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504825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10-K</w:t>
      </w:r>
    </w:p>
    <w:p>
      <w:pPr>
        <w:spacing w:after="0" w:line="6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Annual report pursuant to Section 13 or 15(d) of the Securities Exchange Act of 1934</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December 31, 2015</w:t>
      </w:r>
    </w:p>
    <w:p>
      <w:pPr>
        <w:spacing w:after="0" w:line="6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001-06351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Eli Lilly and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142875</wp:posOffset>
            </wp:positionV>
            <wp:extent cx="72720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4"/>
          <w:szCs w:val="24"/>
          <w:color w:val="auto"/>
        </w:rPr>
      </w:pPr>
    </w:p>
    <w:p>
      <w:pPr>
        <w:spacing w:after="0" w:line="372" w:lineRule="exact"/>
        <w:rPr>
          <w:sz w:val="24"/>
          <w:szCs w:val="24"/>
          <w:color w:val="auto"/>
        </w:rPr>
      </w:pPr>
    </w:p>
    <w:p>
      <w:pPr>
        <w:ind w:left="3900" w:right="720" w:hanging="1898"/>
        <w:spacing w:after="0" w:line="317" w:lineRule="auto"/>
        <w:tabs>
          <w:tab w:leader="none" w:pos="3880" w:val="left"/>
        </w:tabs>
        <w:rPr>
          <w:sz w:val="20"/>
          <w:szCs w:val="20"/>
          <w:color w:val="auto"/>
        </w:rPr>
      </w:pPr>
      <w:r>
        <w:rPr>
          <w:rFonts w:ascii="Arial" w:cs="Arial" w:eastAsia="Arial" w:hAnsi="Arial"/>
          <w:sz w:val="16"/>
          <w:szCs w:val="16"/>
          <w:color w:val="auto"/>
        </w:rPr>
        <w:t>An Indiana corporation</w:t>
      </w:r>
      <w:r>
        <w:rPr>
          <w:sz w:val="20"/>
          <w:szCs w:val="20"/>
          <w:color w:val="auto"/>
        </w:rPr>
        <w:tab/>
      </w:r>
      <w:r>
        <w:rPr>
          <w:rFonts w:ascii="Arial" w:cs="Arial" w:eastAsia="Arial" w:hAnsi="Arial"/>
          <w:sz w:val="16"/>
          <w:szCs w:val="16"/>
          <w:color w:val="auto"/>
        </w:rPr>
        <w:t>I.R.S. employer identification no. 35-0470950 Lilly Corporate Center, Indianapolis, Indiana 46285</w:t>
      </w:r>
    </w:p>
    <w:p>
      <w:pPr>
        <w:ind w:left="5580" w:hanging="420"/>
        <w:spacing w:after="0"/>
        <w:tabs>
          <w:tab w:leader="none" w:pos="5580" w:val="left"/>
        </w:tabs>
        <w:numPr>
          <w:ilvl w:val="0"/>
          <w:numId w:val="1"/>
        </w:numPr>
        <w:rPr>
          <w:rFonts w:ascii="Arial" w:cs="Arial" w:eastAsia="Arial" w:hAnsi="Arial"/>
          <w:sz w:val="16"/>
          <w:szCs w:val="16"/>
          <w:color w:val="auto"/>
        </w:rPr>
      </w:pPr>
      <w:r>
        <w:rPr>
          <w:rFonts w:ascii="Arial" w:cs="Arial" w:eastAsia="Arial" w:hAnsi="Arial"/>
          <w:sz w:val="16"/>
          <w:szCs w:val="16"/>
          <w:color w:val="auto"/>
        </w:rPr>
        <w:t>276-2000</w:t>
      </w:r>
    </w:p>
    <w:p>
      <w:pPr>
        <w:spacing w:after="0" w:line="34"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b w:val="1"/>
          <w:bCs w:val="1"/>
          <w:color w:val="auto"/>
        </w:rPr>
        <w:t>Securities registered pursuant to Section 12(b) of the Exchange Act:</w:t>
      </w:r>
    </w:p>
    <w:p>
      <w:pPr>
        <w:spacing w:after="0" w:line="169" w:lineRule="exact"/>
        <w:rPr>
          <w:sz w:val="24"/>
          <w:szCs w:val="24"/>
          <w:color w:val="auto"/>
        </w:rPr>
      </w:pPr>
    </w:p>
    <w:tbl>
      <w:tblPr>
        <w:tblLayout w:type="fixed"/>
        <w:tblInd w:w="40" w:type="dxa"/>
        <w:tblCellMar>
          <w:top w:w="0" w:type="dxa"/>
          <w:left w:w="0" w:type="dxa"/>
          <w:bottom w:w="0" w:type="dxa"/>
          <w:right w:w="0" w:type="dxa"/>
        </w:tblCellMar>
      </w:tblPr>
      <w:tr>
        <w:trPr>
          <w:trHeight w:val="164"/>
        </w:trPr>
        <w:tc>
          <w:tcPr>
            <w:tcW w:w="12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Title of Each Class</w:t>
            </w:r>
          </w:p>
        </w:tc>
        <w:tc>
          <w:tcPr>
            <w:tcW w:w="4500" w:type="dxa"/>
            <w:vAlign w:val="bottom"/>
          </w:tcPr>
          <w:p>
            <w:pPr>
              <w:spacing w:after="0"/>
              <w:rPr>
                <w:sz w:val="14"/>
                <w:szCs w:val="14"/>
                <w:color w:val="auto"/>
              </w:rPr>
            </w:pPr>
          </w:p>
        </w:tc>
        <w:tc>
          <w:tcPr>
            <w:tcW w:w="31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229"/>
        </w:trPr>
        <w:tc>
          <w:tcPr>
            <w:tcW w:w="5780" w:type="dxa"/>
            <w:vAlign w:val="bottom"/>
            <w:gridSpan w:val="2"/>
          </w:tcPr>
          <w:p>
            <w:pPr>
              <w:spacing w:after="0"/>
              <w:rPr>
                <w:sz w:val="20"/>
                <w:szCs w:val="20"/>
                <w:color w:val="auto"/>
              </w:rPr>
            </w:pPr>
            <w:r>
              <w:rPr>
                <w:rFonts w:ascii="Arial" w:cs="Arial" w:eastAsia="Arial" w:hAnsi="Arial"/>
                <w:sz w:val="14"/>
                <w:szCs w:val="14"/>
                <w:color w:val="auto"/>
              </w:rPr>
              <w:t>Common Stock (no par value)</w:t>
            </w:r>
          </w:p>
        </w:tc>
        <w:tc>
          <w:tcPr>
            <w:tcW w:w="3180" w:type="dxa"/>
            <w:vAlign w:val="bottom"/>
          </w:tcPr>
          <w:p>
            <w:pPr>
              <w:spacing w:after="0"/>
              <w:rPr>
                <w:sz w:val="20"/>
                <w:szCs w:val="20"/>
                <w:color w:val="auto"/>
              </w:rPr>
            </w:pPr>
            <w:r>
              <w:rPr>
                <w:rFonts w:ascii="Arial" w:cs="Arial" w:eastAsia="Arial" w:hAnsi="Arial"/>
                <w:sz w:val="14"/>
                <w:szCs w:val="14"/>
                <w:color w:val="auto"/>
              </w:rPr>
              <w:t>New York Stock Exchange</w:t>
            </w:r>
          </w:p>
        </w:tc>
      </w:tr>
      <w:tr>
        <w:trPr>
          <w:trHeight w:val="216"/>
        </w:trPr>
        <w:tc>
          <w:tcPr>
            <w:tcW w:w="5780" w:type="dxa"/>
            <w:vAlign w:val="bottom"/>
            <w:gridSpan w:val="2"/>
          </w:tcPr>
          <w:p>
            <w:pPr>
              <w:spacing w:after="0"/>
              <w:rPr>
                <w:sz w:val="20"/>
                <w:szCs w:val="20"/>
                <w:color w:val="auto"/>
              </w:rPr>
            </w:pPr>
            <w:r>
              <w:rPr>
                <w:rFonts w:ascii="Arial" w:cs="Arial" w:eastAsia="Arial" w:hAnsi="Arial"/>
                <w:sz w:val="14"/>
                <w:szCs w:val="14"/>
                <w:color w:val="auto"/>
              </w:rPr>
              <w:t>7 1/8% Notes Due June 1, 2025</w:t>
            </w:r>
          </w:p>
        </w:tc>
        <w:tc>
          <w:tcPr>
            <w:tcW w:w="3180" w:type="dxa"/>
            <w:vAlign w:val="bottom"/>
          </w:tcPr>
          <w:p>
            <w:pPr>
              <w:spacing w:after="0"/>
              <w:rPr>
                <w:sz w:val="20"/>
                <w:szCs w:val="20"/>
                <w:color w:val="auto"/>
              </w:rPr>
            </w:pPr>
            <w:r>
              <w:rPr>
                <w:rFonts w:ascii="Arial" w:cs="Arial" w:eastAsia="Arial" w:hAnsi="Arial"/>
                <w:sz w:val="14"/>
                <w:szCs w:val="14"/>
                <w:color w:val="auto"/>
              </w:rPr>
              <w:t>New York Stock Exchange</w:t>
            </w:r>
          </w:p>
        </w:tc>
      </w:tr>
      <w:tr>
        <w:trPr>
          <w:trHeight w:val="216"/>
        </w:trPr>
        <w:tc>
          <w:tcPr>
            <w:tcW w:w="5780" w:type="dxa"/>
            <w:vAlign w:val="bottom"/>
            <w:gridSpan w:val="2"/>
          </w:tcPr>
          <w:p>
            <w:pPr>
              <w:spacing w:after="0"/>
              <w:rPr>
                <w:sz w:val="20"/>
                <w:szCs w:val="20"/>
                <w:color w:val="auto"/>
              </w:rPr>
            </w:pPr>
            <w:r>
              <w:rPr>
                <w:rFonts w:ascii="Arial" w:cs="Arial" w:eastAsia="Arial" w:hAnsi="Arial"/>
                <w:sz w:val="14"/>
                <w:szCs w:val="14"/>
                <w:color w:val="auto"/>
              </w:rPr>
              <w:t>6.77% Notes Due January 1, 2036</w:t>
            </w:r>
          </w:p>
        </w:tc>
        <w:tc>
          <w:tcPr>
            <w:tcW w:w="3180" w:type="dxa"/>
            <w:vAlign w:val="bottom"/>
          </w:tcPr>
          <w:p>
            <w:pPr>
              <w:spacing w:after="0"/>
              <w:rPr>
                <w:sz w:val="20"/>
                <w:szCs w:val="20"/>
                <w:color w:val="auto"/>
              </w:rPr>
            </w:pPr>
            <w:r>
              <w:rPr>
                <w:rFonts w:ascii="Arial" w:cs="Arial" w:eastAsia="Arial" w:hAnsi="Arial"/>
                <w:sz w:val="14"/>
                <w:szCs w:val="14"/>
                <w:color w:val="auto"/>
              </w:rPr>
              <w:t>New York Stock Exchange</w:t>
            </w:r>
          </w:p>
        </w:tc>
      </w:tr>
    </w:tbl>
    <w:p>
      <w:pPr>
        <w:spacing w:after="0" w:line="32"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Securities registered pursuant to Section 12(g) of the Exchange Act: None</w:t>
      </w:r>
    </w:p>
    <w:p>
      <w:pPr>
        <w:spacing w:after="0" w:line="47" w:lineRule="exact"/>
        <w:rPr>
          <w:sz w:val="24"/>
          <w:szCs w:val="24"/>
          <w:color w:val="auto"/>
        </w:rPr>
      </w:pPr>
    </w:p>
    <w:p>
      <w:pPr>
        <w:ind w:right="1280"/>
        <w:spacing w:after="0" w:line="260" w:lineRule="exact"/>
        <w:rPr>
          <w:sz w:val="20"/>
          <w:szCs w:val="20"/>
          <w:color w:val="auto"/>
        </w:rPr>
      </w:pPr>
      <w:r>
        <w:rPr>
          <w:rFonts w:ascii="Arial" w:cs="Arial" w:eastAsia="Arial" w:hAnsi="Arial"/>
          <w:sz w:val="17"/>
          <w:szCs w:val="17"/>
          <w:color w:val="auto"/>
        </w:rPr>
        <w:t xml:space="preserve">Indicate by check mark if the Registrant is a well-known seasoned issuer, as defined in Rule 405 under the Securities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Times New Roman" w:cs="Times New Roman" w:eastAsia="Times New Roman" w:hAnsi="Times New Roman"/>
          <w:sz w:val="17"/>
          <w:szCs w:val="17"/>
          <w:color w:val="auto"/>
        </w:rPr>
        <w:t>o</w:t>
      </w:r>
      <w:r>
        <w:rPr>
          <w:rFonts w:ascii="Arial" w:cs="Arial" w:eastAsia="Arial" w:hAnsi="Arial"/>
          <w:sz w:val="17"/>
          <w:szCs w:val="17"/>
          <w:color w:val="auto"/>
        </w:rPr>
        <w:t xml:space="preserve"> Indicate by check mark if the Registrant is not required to file reports pursuant to Section 13 or 15(d) of the Exchange Act. Yes </w:t>
      </w:r>
      <w:r>
        <w:rPr>
          <w:rFonts w:ascii="Times New Roman" w:cs="Times New Roman" w:eastAsia="Times New Roman" w:hAnsi="Times New Roman"/>
          <w:sz w:val="17"/>
          <w:szCs w:val="17"/>
          <w:color w:val="auto"/>
        </w:rPr>
        <w:t>o</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1" w:lineRule="exact"/>
        <w:rPr>
          <w:sz w:val="24"/>
          <w:szCs w:val="24"/>
          <w:color w:val="auto"/>
        </w:rPr>
      </w:pPr>
    </w:p>
    <w:p>
      <w:pPr>
        <w:ind w:right="580"/>
        <w:spacing w:after="0" w:line="225"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Exchange Act during the preceding 12 months,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Times New Roman" w:cs="Times New Roman" w:eastAsia="Times New Roman" w:hAnsi="Times New Roman"/>
          <w:sz w:val="17"/>
          <w:szCs w:val="17"/>
          <w:color w:val="auto"/>
        </w:rPr>
        <w:t>o</w:t>
      </w:r>
    </w:p>
    <w:p>
      <w:pPr>
        <w:spacing w:after="0" w:line="10" w:lineRule="exact"/>
        <w:rPr>
          <w:sz w:val="24"/>
          <w:szCs w:val="24"/>
          <w:color w:val="auto"/>
        </w:rPr>
      </w:pPr>
    </w:p>
    <w:p>
      <w:pPr>
        <w:ind w:right="360"/>
        <w:spacing w:after="0" w:line="217" w:lineRule="exact"/>
        <w:rPr>
          <w:sz w:val="20"/>
          <w:szCs w:val="20"/>
          <w:color w:val="auto"/>
        </w:rPr>
      </w:pPr>
      <w:r>
        <w:rPr>
          <w:rFonts w:ascii="Arial" w:cs="Arial" w:eastAsia="Arial" w:hAnsi="Arial"/>
          <w:sz w:val="17"/>
          <w:szCs w:val="17"/>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Times New Roman" w:cs="Times New Roman" w:eastAsia="Times New Roman" w:hAnsi="Times New Roman"/>
          <w:sz w:val="17"/>
          <w:szCs w:val="17"/>
          <w:color w:val="auto"/>
        </w:rPr>
        <w:t>o</w:t>
      </w:r>
    </w:p>
    <w:p>
      <w:pPr>
        <w:spacing w:after="0" w:line="11" w:lineRule="exact"/>
        <w:rPr>
          <w:sz w:val="24"/>
          <w:szCs w:val="24"/>
          <w:color w:val="auto"/>
        </w:rPr>
      </w:pPr>
    </w:p>
    <w:p>
      <w:pPr>
        <w:jc w:val="both"/>
        <w:ind w:right="20"/>
        <w:spacing w:after="0" w:line="217" w:lineRule="exact"/>
        <w:rPr>
          <w:sz w:val="20"/>
          <w:szCs w:val="20"/>
          <w:color w:val="auto"/>
        </w:rPr>
      </w:pPr>
      <w:r>
        <w:rPr>
          <w:rFonts w:ascii="Arial" w:cs="Arial" w:eastAsia="Arial" w:hAnsi="Arial"/>
          <w:sz w:val="17"/>
          <w:szCs w:val="17"/>
          <w:color w:val="auto"/>
        </w:rPr>
        <w:t xml:space="preserve">Indicate by check mark if disclosure of delinquent filers pursuant to Item 405 of Regulation S-K is not contained herein, and will not be contained, to the best of Registrant’s knowledge, in the definitive proxy statement incorporated by reference in Part III of this Form 10-K or any amendment to this Form 10-K. </w:t>
      </w:r>
      <w:r>
        <w:rPr>
          <w:rFonts w:ascii="MS PGothic" w:cs="MS PGothic" w:eastAsia="MS PGothic" w:hAnsi="MS PGothic"/>
          <w:sz w:val="17"/>
          <w:szCs w:val="17"/>
          <w:color w:val="auto"/>
        </w:rPr>
        <w:t>☑</w:t>
      </w:r>
    </w:p>
    <w:p>
      <w:pPr>
        <w:spacing w:after="0" w:line="12"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w:t>
      </w:r>
    </w:p>
    <w:p>
      <w:pPr>
        <w:spacing w:after="0" w:line="29" w:lineRule="exact"/>
        <w:rPr>
          <w:sz w:val="24"/>
          <w:szCs w:val="24"/>
          <w:color w:val="auto"/>
        </w:rPr>
      </w:pPr>
    </w:p>
    <w:p>
      <w:pPr>
        <w:spacing w:after="0"/>
        <w:rPr>
          <w:sz w:val="20"/>
          <w:szCs w:val="20"/>
          <w:color w:val="auto"/>
        </w:rPr>
      </w:pPr>
      <w:r>
        <w:rPr>
          <w:rFonts w:ascii="Arial" w:cs="Arial" w:eastAsia="Arial" w:hAnsi="Arial"/>
          <w:sz w:val="17"/>
          <w:szCs w:val="17"/>
          <w:color w:val="auto"/>
        </w:rPr>
        <w:t>See the definitions of “large accelerated filer,” “accelerated filer” and “smaller reporting company” in Rule 12b-2 under the Exchange Act. (Check one):</w:t>
      </w:r>
    </w:p>
    <w:p>
      <w:pPr>
        <w:spacing w:after="0" w:line="136" w:lineRule="exact"/>
        <w:rPr>
          <w:sz w:val="24"/>
          <w:szCs w:val="24"/>
          <w:color w:val="auto"/>
        </w:rPr>
      </w:pPr>
    </w:p>
    <w:p>
      <w:pPr>
        <w:ind w:left="40"/>
        <w:spacing w:after="0" w:line="197" w:lineRule="exact"/>
        <w:tabs>
          <w:tab w:leader="none" w:pos="2860" w:val="left"/>
          <w:tab w:leader="none" w:pos="5060" w:val="left"/>
          <w:tab w:leader="none" w:pos="6700" w:val="left"/>
          <w:tab w:leader="none" w:pos="7720" w:val="left"/>
        </w:tabs>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 xml:space="preserve">Accelerated filer </w:t>
      </w:r>
      <w:r>
        <w:rPr>
          <w:rFonts w:ascii="Times New Roman" w:cs="Times New Roman" w:eastAsia="Times New Roman" w:hAnsi="Times New Roman"/>
          <w:sz w:val="17"/>
          <w:szCs w:val="17"/>
          <w:color w:val="auto"/>
        </w:rPr>
        <w:t>o</w:t>
      </w:r>
      <w:r>
        <w:rPr>
          <w:sz w:val="20"/>
          <w:szCs w:val="20"/>
          <w:color w:val="auto"/>
        </w:rPr>
        <w:tab/>
      </w:r>
      <w:r>
        <w:rPr>
          <w:rFonts w:ascii="Arial" w:cs="Arial" w:eastAsia="Arial" w:hAnsi="Arial"/>
          <w:sz w:val="16"/>
          <w:szCs w:val="16"/>
          <w:color w:val="auto"/>
        </w:rPr>
        <w:t>Non-accelerated filer</w:t>
      </w:r>
      <w:r>
        <w:rPr>
          <w:sz w:val="20"/>
          <w:szCs w:val="20"/>
          <w:color w:val="auto"/>
        </w:rPr>
        <w:tab/>
      </w:r>
      <w:r>
        <w:rPr>
          <w:rFonts w:ascii="Times New Roman" w:cs="Times New Roman" w:eastAsia="Times New Roman" w:hAnsi="Times New Roman"/>
          <w:sz w:val="17"/>
          <w:szCs w:val="17"/>
          <w:color w:val="auto"/>
        </w:rPr>
        <w:t>o</w:t>
      </w:r>
      <w:r>
        <w:rPr>
          <w:sz w:val="20"/>
          <w:szCs w:val="20"/>
          <w:color w:val="auto"/>
        </w:rPr>
        <w:tab/>
      </w:r>
      <w:r>
        <w:rPr>
          <w:rFonts w:ascii="Arial" w:cs="Arial" w:eastAsia="Arial" w:hAnsi="Arial"/>
          <w:sz w:val="16"/>
          <w:szCs w:val="16"/>
          <w:color w:val="auto"/>
        </w:rPr>
        <w:t xml:space="preserve">Smaller reporting company </w:t>
      </w:r>
      <w:r>
        <w:rPr>
          <w:rFonts w:ascii="Times New Roman" w:cs="Times New Roman" w:eastAsia="Times New Roman" w:hAnsi="Times New Roman"/>
          <w:sz w:val="17"/>
          <w:szCs w:val="17"/>
          <w:color w:val="auto"/>
        </w:rPr>
        <w:t>o</w:t>
      </w:r>
    </w:p>
    <w:p>
      <w:pPr>
        <w:spacing w:after="0" w:line="77" w:lineRule="exact"/>
        <w:rPr>
          <w:sz w:val="24"/>
          <w:szCs w:val="24"/>
          <w:color w:val="auto"/>
        </w:rPr>
      </w:pPr>
    </w:p>
    <w:p>
      <w:pPr>
        <w:spacing w:after="0" w:line="197"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under the Exchange Act: Yes </w:t>
      </w:r>
      <w:r>
        <w:rPr>
          <w:rFonts w:ascii="Times New Roman" w:cs="Times New Roman" w:eastAsia="Times New Roman" w:hAnsi="Times New Roman"/>
          <w:sz w:val="17"/>
          <w:szCs w:val="17"/>
          <w:color w:val="auto"/>
        </w:rPr>
        <w:t>o</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82" w:lineRule="exact"/>
        <w:rPr>
          <w:sz w:val="24"/>
          <w:szCs w:val="24"/>
          <w:color w:val="auto"/>
        </w:rPr>
      </w:pPr>
    </w:p>
    <w:p>
      <w:pPr>
        <w:spacing w:after="0" w:line="281" w:lineRule="auto"/>
        <w:rPr>
          <w:sz w:val="20"/>
          <w:szCs w:val="20"/>
          <w:color w:val="auto"/>
        </w:rPr>
      </w:pPr>
      <w:r>
        <w:rPr>
          <w:rFonts w:ascii="Arial" w:cs="Arial" w:eastAsia="Arial" w:hAnsi="Arial"/>
          <w:sz w:val="17"/>
          <w:szCs w:val="17"/>
          <w:color w:val="auto"/>
        </w:rPr>
        <w:t>Aggregate market value of the common equity held by non-affiliates computed by reference to the price at which the common equity was last sold as of the last business day of the Registrant’s most recently completed second fiscal quarter (Common Stock): approximately $81,473,000,000</w:t>
      </w:r>
    </w:p>
    <w:p>
      <w:pPr>
        <w:spacing w:after="0" w:line="1" w:lineRule="exact"/>
        <w:rPr>
          <w:sz w:val="24"/>
          <w:szCs w:val="24"/>
          <w:color w:val="auto"/>
        </w:rPr>
      </w:pPr>
    </w:p>
    <w:p>
      <w:pPr>
        <w:spacing w:after="0"/>
        <w:rPr>
          <w:sz w:val="20"/>
          <w:szCs w:val="20"/>
          <w:color w:val="auto"/>
        </w:rPr>
      </w:pPr>
      <w:r>
        <w:rPr>
          <w:rFonts w:ascii="Arial" w:cs="Arial" w:eastAsia="Arial" w:hAnsi="Arial"/>
          <w:sz w:val="17"/>
          <w:szCs w:val="17"/>
          <w:color w:val="auto"/>
        </w:rPr>
        <w:t>Number of shares of common stock outstanding as of February 12, 2016: 1,106,093,485</w:t>
      </w:r>
    </w:p>
    <w:p>
      <w:pPr>
        <w:spacing w:after="0" w:line="61" w:lineRule="exact"/>
        <w:rPr>
          <w:sz w:val="24"/>
          <w:szCs w:val="24"/>
          <w:color w:val="auto"/>
        </w:rPr>
      </w:pPr>
    </w:p>
    <w:p>
      <w:pPr>
        <w:spacing w:after="0"/>
        <w:rPr>
          <w:sz w:val="20"/>
          <w:szCs w:val="20"/>
          <w:color w:val="auto"/>
        </w:rPr>
      </w:pPr>
      <w:r>
        <w:rPr>
          <w:rFonts w:ascii="Arial" w:cs="Arial" w:eastAsia="Arial" w:hAnsi="Arial"/>
          <w:sz w:val="17"/>
          <w:szCs w:val="17"/>
          <w:color w:val="auto"/>
        </w:rPr>
        <w:t>Portions of the Registrant’s Proxy Statement to be filed on or about March 21, 2016 have been incorporated by reference into Part III of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2720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1</w:t>
      </w:r>
    </w:p>
    <w:p>
      <w:pPr>
        <w:sectPr>
          <w:pgSz w:w="11900" w:h="16838" w:orient="portrait"/>
          <w:cols w:equalWidth="0" w:num="1">
            <w:col w:w="11420"/>
          </w:cols>
          <w:pgMar w:left="240" w:top="981" w:right="239" w:bottom="1440" w:gutter="0" w:footer="0" w:header="0"/>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4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220" w:type="dxa"/>
            <w:vAlign w:val="bottom"/>
            <w:gridSpan w:val="10"/>
          </w:tcPr>
          <w:p>
            <w:pPr>
              <w:jc w:val="center"/>
              <w:ind w:right="3760"/>
              <w:spacing w:after="0"/>
              <w:rPr>
                <w:sz w:val="20"/>
                <w:szCs w:val="20"/>
                <w:color w:val="auto"/>
              </w:rPr>
            </w:pPr>
            <w:r>
              <w:rPr>
                <w:rFonts w:ascii="Arial" w:cs="Arial" w:eastAsia="Arial" w:hAnsi="Arial"/>
                <w:sz w:val="18"/>
                <w:szCs w:val="18"/>
                <w:b w:val="1"/>
                <w:bCs w:val="1"/>
                <w:color w:val="auto"/>
                <w:w w:val="99"/>
              </w:rPr>
              <w:t>Eli Lilly and Company</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87"/>
        </w:trPr>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80" w:type="dxa"/>
            <w:vAlign w:val="bottom"/>
            <w:gridSpan w:val="8"/>
          </w:tcPr>
          <w:p>
            <w:pPr>
              <w:jc w:val="center"/>
              <w:ind w:right="4300"/>
              <w:spacing w:after="0"/>
              <w:rPr>
                <w:sz w:val="20"/>
                <w:szCs w:val="20"/>
                <w:color w:val="auto"/>
              </w:rPr>
            </w:pPr>
            <w:r>
              <w:rPr>
                <w:rFonts w:ascii="Arial" w:cs="Arial" w:eastAsia="Arial" w:hAnsi="Arial"/>
                <w:sz w:val="18"/>
                <w:szCs w:val="18"/>
                <w:b w:val="1"/>
                <w:bCs w:val="1"/>
                <w:color w:val="auto"/>
              </w:rPr>
              <w:t>Form 10-K</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53"/>
        </w:trPr>
        <w:tc>
          <w:tcPr>
            <w:tcW w:w="4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140" w:type="dxa"/>
            <w:vAlign w:val="bottom"/>
            <w:gridSpan w:val="11"/>
          </w:tcPr>
          <w:p>
            <w:pPr>
              <w:jc w:val="center"/>
              <w:ind w:right="2840"/>
              <w:spacing w:after="0"/>
              <w:rPr>
                <w:sz w:val="20"/>
                <w:szCs w:val="20"/>
                <w:color w:val="auto"/>
              </w:rPr>
            </w:pPr>
            <w:r>
              <w:rPr>
                <w:rFonts w:ascii="Arial" w:cs="Arial" w:eastAsia="Arial" w:hAnsi="Arial"/>
                <w:sz w:val="18"/>
                <w:szCs w:val="18"/>
                <w:b w:val="1"/>
                <w:bCs w:val="1"/>
                <w:color w:val="auto"/>
                <w:w w:val="99"/>
              </w:rPr>
              <w:t>For the Year Ended December 31, 2015</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324"/>
        </w:trPr>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80" w:type="dxa"/>
            <w:vAlign w:val="bottom"/>
            <w:gridSpan w:val="9"/>
          </w:tcPr>
          <w:p>
            <w:pPr>
              <w:jc w:val="center"/>
              <w:ind w:right="4100"/>
              <w:spacing w:after="0"/>
              <w:rPr>
                <w:sz w:val="20"/>
                <w:szCs w:val="20"/>
                <w:color w:val="auto"/>
              </w:rPr>
            </w:pPr>
            <w:r>
              <w:rPr>
                <w:rFonts w:ascii="Arial" w:cs="Arial" w:eastAsia="Arial" w:hAnsi="Arial"/>
                <w:sz w:val="18"/>
                <w:szCs w:val="18"/>
                <w:b w:val="1"/>
                <w:bCs w:val="1"/>
                <w:color w:val="auto"/>
                <w:w w:val="98"/>
              </w:rPr>
              <w:t>Table of Contents</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555"/>
        </w:trPr>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20" w:type="dxa"/>
            <w:vAlign w:val="bottom"/>
            <w:tcBorders>
              <w:bottom w:val="single" w:sz="8" w:color="auto"/>
            </w:tcBorders>
            <w:gridSpan w:val="5"/>
          </w:tcPr>
          <w:p>
            <w:pPr>
              <w:spacing w:after="0"/>
              <w:rPr>
                <w:sz w:val="20"/>
                <w:szCs w:val="20"/>
                <w:color w:val="auto"/>
              </w:rPr>
            </w:pPr>
            <w:r>
              <w:rPr>
                <w:rFonts w:ascii="Arial" w:cs="Arial" w:eastAsia="Arial" w:hAnsi="Arial"/>
                <w:sz w:val="18"/>
                <w:szCs w:val="18"/>
                <w:b w:val="1"/>
                <w:bCs w:val="1"/>
                <w:color w:val="auto"/>
                <w:w w:val="92"/>
              </w:rPr>
              <w:t>Page</w:t>
            </w:r>
          </w:p>
        </w:tc>
      </w:tr>
      <w:tr>
        <w:trPr>
          <w:trHeight w:val="250"/>
        </w:trPr>
        <w:tc>
          <w:tcPr>
            <w:tcW w:w="1260" w:type="dxa"/>
            <w:vAlign w:val="bottom"/>
            <w:gridSpan w:val="6"/>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Part I</w:t>
              </w:r>
            </w:hyperlink>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0"/>
        </w:trPr>
        <w:tc>
          <w:tcPr>
            <w:tcW w:w="4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574"/>
        </w:trPr>
        <w:tc>
          <w:tcPr>
            <w:tcW w:w="560" w:type="dxa"/>
            <w:vAlign w:val="bottom"/>
            <w:gridSpan w:val="4"/>
          </w:tcPr>
          <w:p>
            <w:pPr>
              <w:spacing w:after="0"/>
              <w:rPr>
                <w:rFonts w:ascii="Arial" w:cs="Arial" w:eastAsia="Arial" w:hAnsi="Arial"/>
                <w:sz w:val="18"/>
                <w:szCs w:val="18"/>
                <w:color w:val="0000EE"/>
                <w:w w:val="94"/>
              </w:rPr>
            </w:pPr>
            <w:hyperlink w:anchor="page4">
              <w:r>
                <w:rPr>
                  <w:rFonts w:ascii="Arial" w:cs="Arial" w:eastAsia="Arial" w:hAnsi="Arial"/>
                  <w:sz w:val="18"/>
                  <w:szCs w:val="18"/>
                  <w:color w:val="0000EE"/>
                  <w:w w:val="94"/>
                </w:rPr>
                <w:t>Item 1.</w:t>
              </w:r>
            </w:hyperlink>
          </w:p>
        </w:tc>
        <w:tc>
          <w:tcPr>
            <w:tcW w:w="700" w:type="dxa"/>
            <w:vAlign w:val="bottom"/>
            <w:gridSpan w:val="2"/>
          </w:tcPr>
          <w:p>
            <w:pPr>
              <w:spacing w:after="0"/>
              <w:rPr>
                <w:sz w:val="24"/>
                <w:szCs w:val="24"/>
                <w:color w:val="auto"/>
              </w:rPr>
            </w:pPr>
          </w:p>
        </w:tc>
        <w:tc>
          <w:tcPr>
            <w:tcW w:w="740" w:type="dxa"/>
            <w:vAlign w:val="bottom"/>
          </w:tcPr>
          <w:p>
            <w:pPr>
              <w:spacing w:after="0"/>
              <w:rPr>
                <w:rFonts w:ascii="Arial" w:cs="Arial" w:eastAsia="Arial" w:hAnsi="Arial"/>
                <w:sz w:val="18"/>
                <w:szCs w:val="18"/>
                <w:color w:val="0000EE"/>
                <w:w w:val="98"/>
              </w:rPr>
            </w:pPr>
            <w:hyperlink w:anchor="page4">
              <w:r>
                <w:rPr>
                  <w:rFonts w:ascii="Arial" w:cs="Arial" w:eastAsia="Arial" w:hAnsi="Arial"/>
                  <w:sz w:val="18"/>
                  <w:szCs w:val="18"/>
                  <w:color w:val="0000EE"/>
                  <w:w w:val="98"/>
                </w:rPr>
                <w:t>Business</w:t>
              </w:r>
            </w:hyperlink>
          </w:p>
        </w:tc>
        <w:tc>
          <w:tcPr>
            <w:tcW w:w="8660" w:type="dxa"/>
            <w:vAlign w:val="bottom"/>
            <w:gridSpan w:val="19"/>
          </w:tcPr>
          <w:p>
            <w:pPr>
              <w:spacing w:after="0"/>
              <w:rPr>
                <w:sz w:val="24"/>
                <w:szCs w:val="24"/>
                <w:color w:val="auto"/>
              </w:rPr>
            </w:pPr>
          </w:p>
        </w:tc>
        <w:tc>
          <w:tcPr>
            <w:tcW w:w="300" w:type="dxa"/>
            <w:vAlign w:val="bottom"/>
            <w:gridSpan w:val="3"/>
          </w:tcPr>
          <w:p>
            <w:pPr>
              <w:jc w:val="center"/>
              <w:ind w:left="30"/>
              <w:spacing w:after="0"/>
              <w:rPr>
                <w:rFonts w:ascii="Arial" w:cs="Arial" w:eastAsia="Arial" w:hAnsi="Arial"/>
                <w:sz w:val="18"/>
                <w:szCs w:val="18"/>
                <w:color w:val="0000EE"/>
                <w:w w:val="99"/>
              </w:rPr>
            </w:pPr>
            <w:hyperlink w:anchor="page4">
              <w:r>
                <w:rPr>
                  <w:rFonts w:ascii="Arial" w:cs="Arial" w:eastAsia="Arial" w:hAnsi="Arial"/>
                  <w:sz w:val="18"/>
                  <w:szCs w:val="18"/>
                  <w:color w:val="0000EE"/>
                  <w:w w:val="99"/>
                </w:rPr>
                <w:t>4</w:t>
              </w:r>
            </w:hyperlink>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
        </w:trPr>
        <w:tc>
          <w:tcPr>
            <w:tcW w:w="4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0"/>
        </w:trPr>
        <w:tc>
          <w:tcPr>
            <w:tcW w:w="640" w:type="dxa"/>
            <w:vAlign w:val="bottom"/>
            <w:gridSpan w:val="5"/>
          </w:tcPr>
          <w:p>
            <w:pPr>
              <w:spacing w:after="0"/>
              <w:rPr>
                <w:rFonts w:ascii="Arial" w:cs="Arial" w:eastAsia="Arial" w:hAnsi="Arial"/>
                <w:sz w:val="18"/>
                <w:szCs w:val="18"/>
                <w:color w:val="0000EE"/>
                <w:w w:val="89"/>
              </w:rPr>
            </w:pPr>
            <w:hyperlink w:anchor="page19">
              <w:r>
                <w:rPr>
                  <w:rFonts w:ascii="Arial" w:cs="Arial" w:eastAsia="Arial" w:hAnsi="Arial"/>
                  <w:sz w:val="18"/>
                  <w:szCs w:val="18"/>
                  <w:color w:val="0000EE"/>
                  <w:w w:val="89"/>
                </w:rPr>
                <w:t>Item 1A.</w:t>
              </w:r>
            </w:hyperlink>
          </w:p>
        </w:tc>
        <w:tc>
          <w:tcPr>
            <w:tcW w:w="620" w:type="dxa"/>
            <w:vAlign w:val="bottom"/>
          </w:tcPr>
          <w:p>
            <w:pPr>
              <w:spacing w:after="0"/>
              <w:rPr>
                <w:sz w:val="21"/>
                <w:szCs w:val="21"/>
                <w:color w:val="auto"/>
              </w:rPr>
            </w:pPr>
          </w:p>
        </w:tc>
        <w:tc>
          <w:tcPr>
            <w:tcW w:w="9400" w:type="dxa"/>
            <w:vAlign w:val="bottom"/>
            <w:gridSpan w:val="20"/>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Risk Factors</w:t>
              </w:r>
            </w:hyperlink>
          </w:p>
        </w:tc>
        <w:tc>
          <w:tcPr>
            <w:tcW w:w="340" w:type="dxa"/>
            <w:vAlign w:val="bottom"/>
            <w:gridSpan w:val="4"/>
          </w:tcPr>
          <w:p>
            <w:pPr>
              <w:jc w:val="center"/>
              <w:spacing w:after="0"/>
              <w:rPr>
                <w:rFonts w:ascii="Arial" w:cs="Arial" w:eastAsia="Arial" w:hAnsi="Arial"/>
                <w:sz w:val="18"/>
                <w:szCs w:val="18"/>
                <w:color w:val="0000EE"/>
                <w:w w:val="99"/>
              </w:rPr>
            </w:pPr>
            <w:hyperlink w:anchor="page19">
              <w:r>
                <w:rPr>
                  <w:rFonts w:ascii="Arial" w:cs="Arial" w:eastAsia="Arial" w:hAnsi="Arial"/>
                  <w:sz w:val="18"/>
                  <w:szCs w:val="18"/>
                  <w:color w:val="0000EE"/>
                  <w:w w:val="99"/>
                </w:rPr>
                <w:t>19</w:t>
              </w:r>
            </w:hyperlink>
          </w:p>
        </w:tc>
        <w:tc>
          <w:tcPr>
            <w:tcW w:w="80" w:type="dxa"/>
            <w:vAlign w:val="bottom"/>
          </w:tcPr>
          <w:p>
            <w:pPr>
              <w:spacing w:after="0"/>
              <w:rPr>
                <w:sz w:val="21"/>
                <w:szCs w:val="21"/>
                <w:color w:val="auto"/>
              </w:rPr>
            </w:pPr>
          </w:p>
        </w:tc>
      </w:tr>
      <w:tr>
        <w:trPr>
          <w:trHeight w:val="20"/>
        </w:trPr>
        <w:tc>
          <w:tcPr>
            <w:tcW w:w="4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20" w:type="dxa"/>
            <w:vAlign w:val="bottom"/>
            <w:tcBorders>
              <w:left w:val="single" w:sz="8" w:color="0000EE"/>
            </w:tcBorders>
          </w:tcPr>
          <w:p>
            <w:pPr>
              <w:spacing w:after="0" w:line="20" w:lineRule="exact"/>
              <w:rPr>
                <w:sz w:val="1"/>
                <w:szCs w:val="1"/>
                <w:color w:val="auto"/>
              </w:rPr>
            </w:pPr>
          </w:p>
        </w:tc>
        <w:tc>
          <w:tcPr>
            <w:tcW w:w="820" w:type="dxa"/>
            <w:vAlign w:val="bottom"/>
            <w:tcBorders>
              <w:right w:val="single" w:sz="8" w:color="0000EE"/>
            </w:tcBorders>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0"/>
        </w:trPr>
        <w:tc>
          <w:tcPr>
            <w:tcW w:w="640" w:type="dxa"/>
            <w:vAlign w:val="bottom"/>
            <w:gridSpan w:val="5"/>
          </w:tcPr>
          <w:p>
            <w:pPr>
              <w:spacing w:after="0"/>
              <w:rPr>
                <w:rFonts w:ascii="Arial" w:cs="Arial" w:eastAsia="Arial" w:hAnsi="Arial"/>
                <w:sz w:val="18"/>
                <w:szCs w:val="18"/>
                <w:color w:val="0000EE"/>
                <w:w w:val="89"/>
              </w:rPr>
            </w:pPr>
            <w:hyperlink w:anchor="page24">
              <w:r>
                <w:rPr>
                  <w:rFonts w:ascii="Arial" w:cs="Arial" w:eastAsia="Arial" w:hAnsi="Arial"/>
                  <w:sz w:val="18"/>
                  <w:szCs w:val="18"/>
                  <w:color w:val="0000EE"/>
                  <w:w w:val="89"/>
                </w:rPr>
                <w:t>Item 1B.</w:t>
              </w:r>
            </w:hyperlink>
          </w:p>
        </w:tc>
        <w:tc>
          <w:tcPr>
            <w:tcW w:w="620" w:type="dxa"/>
            <w:vAlign w:val="bottom"/>
          </w:tcPr>
          <w:p>
            <w:pPr>
              <w:spacing w:after="0"/>
              <w:rPr>
                <w:sz w:val="21"/>
                <w:szCs w:val="21"/>
                <w:color w:val="auto"/>
              </w:rPr>
            </w:pPr>
          </w:p>
        </w:tc>
        <w:tc>
          <w:tcPr>
            <w:tcW w:w="9400" w:type="dxa"/>
            <w:vAlign w:val="bottom"/>
            <w:gridSpan w:val="20"/>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Unresolved Staff Comments</w:t>
              </w:r>
            </w:hyperlink>
          </w:p>
        </w:tc>
        <w:tc>
          <w:tcPr>
            <w:tcW w:w="340" w:type="dxa"/>
            <w:vAlign w:val="bottom"/>
            <w:gridSpan w:val="4"/>
          </w:tcPr>
          <w:p>
            <w:pPr>
              <w:jc w:val="center"/>
              <w:spacing w:after="0"/>
              <w:rPr>
                <w:rFonts w:ascii="Arial" w:cs="Arial" w:eastAsia="Arial" w:hAnsi="Arial"/>
                <w:sz w:val="18"/>
                <w:szCs w:val="18"/>
                <w:color w:val="0000EE"/>
                <w:w w:val="99"/>
              </w:rPr>
            </w:pPr>
            <w:hyperlink w:anchor="page24">
              <w:r>
                <w:rPr>
                  <w:rFonts w:ascii="Arial" w:cs="Arial" w:eastAsia="Arial" w:hAnsi="Arial"/>
                  <w:sz w:val="18"/>
                  <w:szCs w:val="18"/>
                  <w:color w:val="0000EE"/>
                  <w:w w:val="99"/>
                </w:rPr>
                <w:t>24</w:t>
              </w:r>
            </w:hyperlink>
          </w:p>
        </w:tc>
        <w:tc>
          <w:tcPr>
            <w:tcW w:w="80" w:type="dxa"/>
            <w:vAlign w:val="bottom"/>
          </w:tcPr>
          <w:p>
            <w:pPr>
              <w:spacing w:after="0"/>
              <w:rPr>
                <w:sz w:val="21"/>
                <w:szCs w:val="21"/>
                <w:color w:val="auto"/>
              </w:rPr>
            </w:pPr>
          </w:p>
        </w:tc>
      </w:tr>
      <w:tr>
        <w:trPr>
          <w:trHeight w:val="20"/>
        </w:trPr>
        <w:tc>
          <w:tcPr>
            <w:tcW w:w="4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20" w:type="dxa"/>
            <w:vAlign w:val="bottom"/>
            <w:tcBorders>
              <w:right w:val="single" w:sz="8" w:color="0000EE"/>
            </w:tcBorders>
            <w:gridSpan w:val="2"/>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0"/>
        </w:trPr>
        <w:tc>
          <w:tcPr>
            <w:tcW w:w="560" w:type="dxa"/>
            <w:vAlign w:val="bottom"/>
            <w:gridSpan w:val="4"/>
          </w:tcPr>
          <w:p>
            <w:pPr>
              <w:spacing w:after="0"/>
              <w:rPr>
                <w:rFonts w:ascii="Arial" w:cs="Arial" w:eastAsia="Arial" w:hAnsi="Arial"/>
                <w:sz w:val="18"/>
                <w:szCs w:val="18"/>
                <w:color w:val="0000EE"/>
                <w:w w:val="94"/>
              </w:rPr>
            </w:pPr>
            <w:hyperlink w:anchor="page24">
              <w:r>
                <w:rPr>
                  <w:rFonts w:ascii="Arial" w:cs="Arial" w:eastAsia="Arial" w:hAnsi="Arial"/>
                  <w:sz w:val="18"/>
                  <w:szCs w:val="18"/>
                  <w:color w:val="0000EE"/>
                  <w:w w:val="94"/>
                </w:rPr>
                <w:t>Item 2.</w:t>
              </w:r>
            </w:hyperlink>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260" w:type="dxa"/>
            <w:vAlign w:val="bottom"/>
            <w:gridSpan w:val="9"/>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Properties</w:t>
              </w:r>
            </w:hyperlink>
          </w:p>
        </w:tc>
        <w:tc>
          <w:tcPr>
            <w:tcW w:w="7140" w:type="dxa"/>
            <w:vAlign w:val="bottom"/>
            <w:gridSpan w:val="11"/>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gridSpan w:val="3"/>
          </w:tcPr>
          <w:p>
            <w:pPr>
              <w:jc w:val="center"/>
              <w:ind w:right="40"/>
              <w:spacing w:after="0"/>
              <w:rPr>
                <w:rFonts w:ascii="Arial" w:cs="Arial" w:eastAsia="Arial" w:hAnsi="Arial"/>
                <w:sz w:val="17"/>
                <w:szCs w:val="17"/>
                <w:color w:val="0000EE"/>
                <w:w w:val="73"/>
              </w:rPr>
            </w:pPr>
            <w:hyperlink w:anchor="page24">
              <w:r>
                <w:rPr>
                  <w:rFonts w:ascii="Arial" w:cs="Arial" w:eastAsia="Arial" w:hAnsi="Arial"/>
                  <w:sz w:val="17"/>
                  <w:szCs w:val="17"/>
                  <w:color w:val="0000EE"/>
                  <w:w w:val="73"/>
                </w:rPr>
                <w:t>25</w:t>
              </w:r>
            </w:hyperlink>
          </w:p>
        </w:tc>
        <w:tc>
          <w:tcPr>
            <w:tcW w:w="80" w:type="dxa"/>
            <w:vAlign w:val="bottom"/>
          </w:tcPr>
          <w:p>
            <w:pPr>
              <w:spacing w:after="0"/>
              <w:rPr>
                <w:sz w:val="21"/>
                <w:szCs w:val="21"/>
                <w:color w:val="auto"/>
              </w:rPr>
            </w:pPr>
          </w:p>
        </w:tc>
      </w:tr>
      <w:tr>
        <w:trPr>
          <w:trHeight w:val="20"/>
        </w:trPr>
        <w:tc>
          <w:tcPr>
            <w:tcW w:w="4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20" w:type="dxa"/>
            <w:vAlign w:val="bottom"/>
            <w:tcBorders>
              <w:right w:val="single" w:sz="8" w:color="0000EE"/>
            </w:tcBorders>
            <w:gridSpan w:val="2"/>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0"/>
        </w:trPr>
        <w:tc>
          <w:tcPr>
            <w:tcW w:w="560" w:type="dxa"/>
            <w:vAlign w:val="bottom"/>
            <w:gridSpan w:val="4"/>
          </w:tcPr>
          <w:p>
            <w:pPr>
              <w:spacing w:after="0"/>
              <w:rPr>
                <w:rFonts w:ascii="Arial" w:cs="Arial" w:eastAsia="Arial" w:hAnsi="Arial"/>
                <w:sz w:val="18"/>
                <w:szCs w:val="18"/>
                <w:color w:val="0000EE"/>
                <w:w w:val="94"/>
              </w:rPr>
            </w:pPr>
            <w:hyperlink w:anchor="page25">
              <w:r>
                <w:rPr>
                  <w:rFonts w:ascii="Arial" w:cs="Arial" w:eastAsia="Arial" w:hAnsi="Arial"/>
                  <w:sz w:val="18"/>
                  <w:szCs w:val="18"/>
                  <w:color w:val="0000EE"/>
                  <w:w w:val="94"/>
                </w:rPr>
                <w:t>Item 3.</w:t>
              </w:r>
            </w:hyperlink>
          </w:p>
        </w:tc>
        <w:tc>
          <w:tcPr>
            <w:tcW w:w="700" w:type="dxa"/>
            <w:vAlign w:val="bottom"/>
            <w:gridSpan w:val="2"/>
          </w:tcPr>
          <w:p>
            <w:pPr>
              <w:spacing w:after="0"/>
              <w:rPr>
                <w:sz w:val="21"/>
                <w:szCs w:val="21"/>
                <w:color w:val="auto"/>
              </w:rPr>
            </w:pPr>
          </w:p>
        </w:tc>
        <w:tc>
          <w:tcPr>
            <w:tcW w:w="1500" w:type="dxa"/>
            <w:vAlign w:val="bottom"/>
            <w:gridSpan w:val="5"/>
          </w:tcPr>
          <w:p>
            <w:pPr>
              <w:spacing w:after="0"/>
              <w:rPr>
                <w:rFonts w:ascii="Arial" w:cs="Arial" w:eastAsia="Arial" w:hAnsi="Arial"/>
                <w:sz w:val="18"/>
                <w:szCs w:val="18"/>
                <w:color w:val="0000EE"/>
                <w:w w:val="99"/>
              </w:rPr>
            </w:pPr>
            <w:hyperlink w:anchor="page25">
              <w:r>
                <w:rPr>
                  <w:rFonts w:ascii="Arial" w:cs="Arial" w:eastAsia="Arial" w:hAnsi="Arial"/>
                  <w:sz w:val="18"/>
                  <w:szCs w:val="18"/>
                  <w:color w:val="0000EE"/>
                  <w:w w:val="99"/>
                </w:rPr>
                <w:t>Legal Proceedings</w:t>
              </w:r>
            </w:hyperlink>
          </w:p>
        </w:tc>
        <w:tc>
          <w:tcPr>
            <w:tcW w:w="7900" w:type="dxa"/>
            <w:vAlign w:val="bottom"/>
            <w:gridSpan w:val="15"/>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gridSpan w:val="3"/>
          </w:tcPr>
          <w:p>
            <w:pPr>
              <w:jc w:val="center"/>
              <w:ind w:right="40"/>
              <w:spacing w:after="0"/>
              <w:rPr>
                <w:rFonts w:ascii="Arial" w:cs="Arial" w:eastAsia="Arial" w:hAnsi="Arial"/>
                <w:sz w:val="17"/>
                <w:szCs w:val="17"/>
                <w:color w:val="0000EE"/>
                <w:w w:val="73"/>
              </w:rPr>
            </w:pPr>
            <w:hyperlink w:anchor="page25">
              <w:r>
                <w:rPr>
                  <w:rFonts w:ascii="Arial" w:cs="Arial" w:eastAsia="Arial" w:hAnsi="Arial"/>
                  <w:sz w:val="17"/>
                  <w:szCs w:val="17"/>
                  <w:color w:val="0000EE"/>
                  <w:w w:val="73"/>
                </w:rPr>
                <w:t>25</w:t>
              </w:r>
            </w:hyperlink>
          </w:p>
        </w:tc>
        <w:tc>
          <w:tcPr>
            <w:tcW w:w="80" w:type="dxa"/>
            <w:vAlign w:val="bottom"/>
          </w:tcPr>
          <w:p>
            <w:pPr>
              <w:spacing w:after="0"/>
              <w:rPr>
                <w:sz w:val="21"/>
                <w:szCs w:val="21"/>
                <w:color w:val="auto"/>
              </w:rPr>
            </w:pPr>
          </w:p>
        </w:tc>
      </w:tr>
      <w:tr>
        <w:trPr>
          <w:trHeight w:val="20"/>
        </w:trPr>
        <w:tc>
          <w:tcPr>
            <w:tcW w:w="4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20" w:type="dxa"/>
            <w:vAlign w:val="bottom"/>
            <w:tcBorders>
              <w:right w:val="single" w:sz="8" w:color="0000EE"/>
            </w:tcBorders>
            <w:gridSpan w:val="2"/>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0"/>
        </w:trPr>
        <w:tc>
          <w:tcPr>
            <w:tcW w:w="560" w:type="dxa"/>
            <w:vAlign w:val="bottom"/>
            <w:gridSpan w:val="4"/>
          </w:tcPr>
          <w:p>
            <w:pPr>
              <w:spacing w:after="0"/>
              <w:rPr>
                <w:rFonts w:ascii="Arial" w:cs="Arial" w:eastAsia="Arial" w:hAnsi="Arial"/>
                <w:sz w:val="18"/>
                <w:szCs w:val="18"/>
                <w:color w:val="0000EE"/>
                <w:w w:val="94"/>
              </w:rPr>
            </w:pPr>
            <w:hyperlink w:anchor="page26">
              <w:r>
                <w:rPr>
                  <w:rFonts w:ascii="Arial" w:cs="Arial" w:eastAsia="Arial" w:hAnsi="Arial"/>
                  <w:sz w:val="18"/>
                  <w:szCs w:val="18"/>
                  <w:color w:val="0000EE"/>
                  <w:w w:val="94"/>
                </w:rPr>
                <w:t>Item 4.</w:t>
              </w:r>
            </w:hyperlink>
          </w:p>
        </w:tc>
        <w:tc>
          <w:tcPr>
            <w:tcW w:w="700" w:type="dxa"/>
            <w:vAlign w:val="bottom"/>
            <w:gridSpan w:val="2"/>
          </w:tcPr>
          <w:p>
            <w:pPr>
              <w:spacing w:after="0"/>
              <w:rPr>
                <w:sz w:val="21"/>
                <w:szCs w:val="21"/>
                <w:color w:val="auto"/>
              </w:rPr>
            </w:pPr>
          </w:p>
        </w:tc>
        <w:tc>
          <w:tcPr>
            <w:tcW w:w="9400" w:type="dxa"/>
            <w:vAlign w:val="bottom"/>
            <w:gridSpan w:val="20"/>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Mine Safety Disclosures</w:t>
              </w:r>
            </w:hyperlink>
          </w:p>
        </w:tc>
        <w:tc>
          <w:tcPr>
            <w:tcW w:w="340" w:type="dxa"/>
            <w:vAlign w:val="bottom"/>
            <w:gridSpan w:val="4"/>
          </w:tcPr>
          <w:p>
            <w:pPr>
              <w:jc w:val="center"/>
              <w:spacing w:after="0"/>
              <w:rPr>
                <w:rFonts w:ascii="Arial" w:cs="Arial" w:eastAsia="Arial" w:hAnsi="Arial"/>
                <w:sz w:val="18"/>
                <w:szCs w:val="18"/>
                <w:color w:val="0000EE"/>
                <w:w w:val="99"/>
              </w:rPr>
            </w:pPr>
            <w:hyperlink w:anchor="page26">
              <w:r>
                <w:rPr>
                  <w:rFonts w:ascii="Arial" w:cs="Arial" w:eastAsia="Arial" w:hAnsi="Arial"/>
                  <w:sz w:val="18"/>
                  <w:szCs w:val="18"/>
                  <w:color w:val="0000EE"/>
                  <w:w w:val="99"/>
                </w:rPr>
                <w:t>26</w:t>
              </w:r>
            </w:hyperlink>
          </w:p>
        </w:tc>
        <w:tc>
          <w:tcPr>
            <w:tcW w:w="80" w:type="dxa"/>
            <w:vAlign w:val="bottom"/>
          </w:tcPr>
          <w:p>
            <w:pPr>
              <w:spacing w:after="0"/>
              <w:rPr>
                <w:sz w:val="21"/>
                <w:szCs w:val="21"/>
                <w:color w:val="auto"/>
              </w:rPr>
            </w:pPr>
          </w:p>
        </w:tc>
      </w:tr>
      <w:tr>
        <w:trPr>
          <w:trHeight w:val="574"/>
        </w:trPr>
        <w:tc>
          <w:tcPr>
            <w:tcW w:w="48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5"/>
              </w:rPr>
            </w:pPr>
            <w:hyperlink w:anchor="page26">
              <w:r>
                <w:rPr>
                  <w:rFonts w:ascii="Arial" w:cs="Arial" w:eastAsia="Arial" w:hAnsi="Arial"/>
                  <w:sz w:val="18"/>
                  <w:szCs w:val="18"/>
                  <w:color w:val="0000EE"/>
                  <w:w w:val="95"/>
                </w:rPr>
                <w:t>Part II</w:t>
              </w:r>
            </w:hyperlink>
          </w:p>
        </w:tc>
        <w:tc>
          <w:tcPr>
            <w:tcW w:w="80" w:type="dxa"/>
            <w:vAlign w:val="bottom"/>
            <w:tcBorders>
              <w:top w:val="single" w:sz="8" w:color="0000EE"/>
            </w:tcBorders>
            <w:gridSpan w:val="2"/>
          </w:tcPr>
          <w:p>
            <w:pPr>
              <w:spacing w:after="0"/>
              <w:rPr>
                <w:sz w:val="24"/>
                <w:szCs w:val="24"/>
                <w:color w:val="auto"/>
              </w:rPr>
            </w:pPr>
          </w:p>
        </w:tc>
        <w:tc>
          <w:tcPr>
            <w:tcW w:w="700" w:type="dxa"/>
            <w:vAlign w:val="bottom"/>
            <w:gridSpan w:val="2"/>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561"/>
        </w:trPr>
        <w:tc>
          <w:tcPr>
            <w:tcW w:w="1260" w:type="dxa"/>
            <w:vAlign w:val="bottom"/>
            <w:gridSpan w:val="6"/>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Item 5.</w:t>
              </w:r>
            </w:hyperlink>
          </w:p>
        </w:tc>
        <w:tc>
          <w:tcPr>
            <w:tcW w:w="9400" w:type="dxa"/>
            <w:vAlign w:val="bottom"/>
            <w:gridSpan w:val="20"/>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Market for the Registrant's Common Equity, Related Stockholder Matters, and Issuer Purchases of Equity</w:t>
              </w:r>
            </w:hyperlink>
          </w:p>
        </w:tc>
        <w:tc>
          <w:tcPr>
            <w:tcW w:w="340" w:type="dxa"/>
            <w:vAlign w:val="bottom"/>
            <w:gridSpan w:val="4"/>
          </w:tcPr>
          <w:p>
            <w:pPr>
              <w:jc w:val="center"/>
              <w:spacing w:after="0"/>
              <w:rPr>
                <w:rFonts w:ascii="Arial" w:cs="Arial" w:eastAsia="Arial" w:hAnsi="Arial"/>
                <w:sz w:val="18"/>
                <w:szCs w:val="18"/>
                <w:color w:val="0000EE"/>
                <w:w w:val="99"/>
              </w:rPr>
            </w:pPr>
            <w:hyperlink w:anchor="page27">
              <w:r>
                <w:rPr>
                  <w:rFonts w:ascii="Arial" w:cs="Arial" w:eastAsia="Arial" w:hAnsi="Arial"/>
                  <w:sz w:val="18"/>
                  <w:szCs w:val="18"/>
                  <w:color w:val="0000EE"/>
                  <w:w w:val="99"/>
                </w:rPr>
                <w:t>27</w:t>
              </w:r>
            </w:hyperlink>
          </w:p>
        </w:tc>
        <w:tc>
          <w:tcPr>
            <w:tcW w:w="80" w:type="dxa"/>
            <w:vAlign w:val="bottom"/>
          </w:tcPr>
          <w:p>
            <w:pPr>
              <w:spacing w:after="0"/>
              <w:rPr>
                <w:sz w:val="24"/>
                <w:szCs w:val="24"/>
                <w:color w:val="auto"/>
              </w:rPr>
            </w:pPr>
          </w:p>
        </w:tc>
      </w:tr>
      <w:tr>
        <w:trPr>
          <w:trHeight w:val="183"/>
        </w:trPr>
        <w:tc>
          <w:tcPr>
            <w:tcW w:w="42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Borders>
              <w:top w:val="single" w:sz="8" w:color="0000EE"/>
              <w:bottom w:val="single" w:sz="8" w:color="0000EE"/>
            </w:tcBorders>
            <w:gridSpan w:val="2"/>
          </w:tcPr>
          <w:p>
            <w:pPr>
              <w:spacing w:after="0" w:line="182" w:lineRule="exact"/>
              <w:rPr>
                <w:rFonts w:ascii="Arial" w:cs="Arial" w:eastAsia="Arial" w:hAnsi="Arial"/>
                <w:sz w:val="18"/>
                <w:szCs w:val="18"/>
                <w:color w:val="0000EE"/>
                <w:w w:val="98"/>
              </w:rPr>
            </w:pPr>
            <w:hyperlink w:anchor="page27">
              <w:r>
                <w:rPr>
                  <w:rFonts w:ascii="Arial" w:cs="Arial" w:eastAsia="Arial" w:hAnsi="Arial"/>
                  <w:sz w:val="18"/>
                  <w:szCs w:val="18"/>
                  <w:color w:val="0000EE"/>
                  <w:w w:val="98"/>
                </w:rPr>
                <w:t>Securities</w:t>
              </w:r>
            </w:hyperlink>
          </w:p>
        </w:tc>
        <w:tc>
          <w:tcPr>
            <w:tcW w:w="7560" w:type="dxa"/>
            <w:vAlign w:val="bottom"/>
            <w:tcBorders>
              <w:top w:val="single" w:sz="8" w:color="0000EE"/>
            </w:tcBorders>
            <w:gridSpan w:val="17"/>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37"/>
        </w:trPr>
        <w:tc>
          <w:tcPr>
            <w:tcW w:w="560" w:type="dxa"/>
            <w:vAlign w:val="bottom"/>
            <w:gridSpan w:val="4"/>
          </w:tcPr>
          <w:p>
            <w:pPr>
              <w:spacing w:after="0"/>
              <w:rPr>
                <w:rFonts w:ascii="Arial" w:cs="Arial" w:eastAsia="Arial" w:hAnsi="Arial"/>
                <w:sz w:val="18"/>
                <w:szCs w:val="18"/>
                <w:color w:val="0000EE"/>
                <w:w w:val="94"/>
              </w:rPr>
            </w:pPr>
            <w:hyperlink w:anchor="page28">
              <w:r>
                <w:rPr>
                  <w:rFonts w:ascii="Arial" w:cs="Arial" w:eastAsia="Arial" w:hAnsi="Arial"/>
                  <w:sz w:val="18"/>
                  <w:szCs w:val="18"/>
                  <w:color w:val="0000EE"/>
                  <w:w w:val="94"/>
                </w:rPr>
                <w:t>Item 6.</w:t>
              </w:r>
            </w:hyperlink>
          </w:p>
        </w:tc>
        <w:tc>
          <w:tcPr>
            <w:tcW w:w="700" w:type="dxa"/>
            <w:vAlign w:val="bottom"/>
            <w:gridSpan w:val="2"/>
          </w:tcPr>
          <w:p>
            <w:pPr>
              <w:spacing w:after="0"/>
              <w:rPr>
                <w:sz w:val="20"/>
                <w:szCs w:val="20"/>
                <w:color w:val="auto"/>
              </w:rPr>
            </w:pPr>
          </w:p>
        </w:tc>
        <w:tc>
          <w:tcPr>
            <w:tcW w:w="9400" w:type="dxa"/>
            <w:vAlign w:val="bottom"/>
            <w:gridSpan w:val="20"/>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Selected Financial Data</w:t>
              </w:r>
            </w:hyperlink>
          </w:p>
        </w:tc>
        <w:tc>
          <w:tcPr>
            <w:tcW w:w="160" w:type="dxa"/>
            <w:vAlign w:val="bottom"/>
          </w:tcPr>
          <w:p>
            <w:pPr>
              <w:spacing w:after="0"/>
              <w:rPr>
                <w:sz w:val="20"/>
                <w:szCs w:val="20"/>
                <w:color w:val="auto"/>
              </w:rPr>
            </w:pPr>
          </w:p>
        </w:tc>
        <w:tc>
          <w:tcPr>
            <w:tcW w:w="180" w:type="dxa"/>
            <w:vAlign w:val="bottom"/>
            <w:gridSpan w:val="3"/>
          </w:tcPr>
          <w:p>
            <w:pPr>
              <w:jc w:val="center"/>
              <w:ind w:right="40"/>
              <w:spacing w:after="0"/>
              <w:rPr>
                <w:rFonts w:ascii="Arial" w:cs="Arial" w:eastAsia="Arial" w:hAnsi="Arial"/>
                <w:sz w:val="17"/>
                <w:szCs w:val="17"/>
                <w:color w:val="0000EE"/>
                <w:w w:val="73"/>
              </w:rPr>
            </w:pPr>
            <w:hyperlink w:anchor="page28">
              <w:r>
                <w:rPr>
                  <w:rFonts w:ascii="Arial" w:cs="Arial" w:eastAsia="Arial" w:hAnsi="Arial"/>
                  <w:sz w:val="17"/>
                  <w:szCs w:val="17"/>
                  <w:color w:val="0000EE"/>
                  <w:w w:val="73"/>
                </w:rPr>
                <w:t>29</w:t>
              </w:r>
            </w:hyperlink>
          </w:p>
        </w:tc>
        <w:tc>
          <w:tcPr>
            <w:tcW w:w="80" w:type="dxa"/>
            <w:vAlign w:val="bottom"/>
          </w:tcPr>
          <w:p>
            <w:pPr>
              <w:spacing w:after="0"/>
              <w:rPr>
                <w:sz w:val="20"/>
                <w:szCs w:val="20"/>
                <w:color w:val="auto"/>
              </w:rPr>
            </w:pPr>
          </w:p>
        </w:tc>
      </w:tr>
      <w:tr>
        <w:trPr>
          <w:trHeight w:val="20"/>
        </w:trPr>
        <w:tc>
          <w:tcPr>
            <w:tcW w:w="520" w:type="dxa"/>
            <w:vAlign w:val="bottom"/>
            <w:gridSpan w:val="3"/>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0" w:type="dxa"/>
            <w:vAlign w:val="bottom"/>
            <w:tcBorders>
              <w:bottom w:val="single" w:sz="8" w:color="0000EE"/>
            </w:tcBorders>
            <w:gridSpan w:val="4"/>
          </w:tcPr>
          <w:p>
            <w:pPr>
              <w:spacing w:after="0" w:line="20" w:lineRule="exact"/>
              <w:rPr>
                <w:sz w:val="1"/>
                <w:szCs w:val="1"/>
                <w:color w:val="auto"/>
              </w:rPr>
            </w:pPr>
          </w:p>
        </w:tc>
        <w:tc>
          <w:tcPr>
            <w:tcW w:w="500" w:type="dxa"/>
            <w:vAlign w:val="bottom"/>
            <w:tcBorders>
              <w:bottom w:val="single" w:sz="8" w:color="0000EE"/>
            </w:tcBorders>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560" w:type="dxa"/>
            <w:vAlign w:val="bottom"/>
            <w:gridSpan w:val="4"/>
          </w:tcPr>
          <w:p>
            <w:pPr>
              <w:spacing w:after="0"/>
              <w:rPr>
                <w:rFonts w:ascii="Arial" w:cs="Arial" w:eastAsia="Arial" w:hAnsi="Arial"/>
                <w:sz w:val="18"/>
                <w:szCs w:val="18"/>
                <w:color w:val="0000EE"/>
                <w:w w:val="94"/>
              </w:rPr>
            </w:pPr>
            <w:hyperlink w:anchor="page29">
              <w:r>
                <w:rPr>
                  <w:rFonts w:ascii="Arial" w:cs="Arial" w:eastAsia="Arial" w:hAnsi="Arial"/>
                  <w:sz w:val="18"/>
                  <w:szCs w:val="18"/>
                  <w:color w:val="0000EE"/>
                  <w:w w:val="94"/>
                </w:rPr>
                <w:t>Item 7.</w:t>
              </w:r>
            </w:hyperlink>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400" w:type="dxa"/>
            <w:vAlign w:val="bottom"/>
            <w:gridSpan w:val="20"/>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Management's Discussion and Analysis of Results of Operations and Financial Condition</w:t>
              </w:r>
            </w:hyperlink>
          </w:p>
        </w:tc>
        <w:tc>
          <w:tcPr>
            <w:tcW w:w="160" w:type="dxa"/>
            <w:vAlign w:val="bottom"/>
          </w:tcPr>
          <w:p>
            <w:pPr>
              <w:spacing w:after="0"/>
              <w:rPr>
                <w:sz w:val="20"/>
                <w:szCs w:val="20"/>
                <w:color w:val="auto"/>
              </w:rPr>
            </w:pPr>
          </w:p>
        </w:tc>
        <w:tc>
          <w:tcPr>
            <w:tcW w:w="180" w:type="dxa"/>
            <w:vAlign w:val="bottom"/>
            <w:gridSpan w:val="3"/>
          </w:tcPr>
          <w:p>
            <w:pPr>
              <w:jc w:val="center"/>
              <w:ind w:right="40"/>
              <w:spacing w:after="0"/>
              <w:rPr>
                <w:rFonts w:ascii="Arial" w:cs="Arial" w:eastAsia="Arial" w:hAnsi="Arial"/>
                <w:sz w:val="17"/>
                <w:szCs w:val="17"/>
                <w:color w:val="0000EE"/>
                <w:w w:val="73"/>
              </w:rPr>
            </w:pPr>
            <w:hyperlink w:anchor="page29">
              <w:r>
                <w:rPr>
                  <w:rFonts w:ascii="Arial" w:cs="Arial" w:eastAsia="Arial" w:hAnsi="Arial"/>
                  <w:sz w:val="17"/>
                  <w:szCs w:val="17"/>
                  <w:color w:val="0000EE"/>
                  <w:w w:val="73"/>
                </w:rPr>
                <w:t>30</w:t>
              </w:r>
            </w:hyperlink>
          </w:p>
        </w:tc>
        <w:tc>
          <w:tcPr>
            <w:tcW w:w="80" w:type="dxa"/>
            <w:vAlign w:val="bottom"/>
          </w:tcPr>
          <w:p>
            <w:pPr>
              <w:spacing w:after="0"/>
              <w:rPr>
                <w:sz w:val="20"/>
                <w:szCs w:val="20"/>
                <w:color w:val="auto"/>
              </w:rPr>
            </w:pPr>
          </w:p>
        </w:tc>
      </w:tr>
      <w:tr>
        <w:trPr>
          <w:trHeight w:val="27"/>
        </w:trPr>
        <w:tc>
          <w:tcPr>
            <w:tcW w:w="520" w:type="dxa"/>
            <w:vAlign w:val="bottom"/>
            <w:gridSpan w:val="3"/>
            <w:shd w:val="clear" w:color="auto" w:fill="0000EE"/>
          </w:tcPr>
          <w:p>
            <w:pPr>
              <w:spacing w:after="0"/>
              <w:rPr>
                <w:sz w:val="2"/>
                <w:szCs w:val="2"/>
                <w:color w:val="auto"/>
              </w:rPr>
            </w:pPr>
          </w:p>
        </w:tc>
        <w:tc>
          <w:tcPr>
            <w:tcW w:w="120" w:type="dxa"/>
            <w:vAlign w:val="bottom"/>
            <w:gridSpan w:val="2"/>
            <w:shd w:val="clear" w:color="auto" w:fill="0000EE"/>
          </w:tcPr>
          <w:p>
            <w:pPr>
              <w:spacing w:after="0"/>
              <w:rPr>
                <w:sz w:val="2"/>
                <w:szCs w:val="2"/>
                <w:color w:val="auto"/>
              </w:rPr>
            </w:pPr>
          </w:p>
        </w:tc>
        <w:tc>
          <w:tcPr>
            <w:tcW w:w="620" w:type="dxa"/>
            <w:vAlign w:val="bottom"/>
          </w:tcPr>
          <w:p>
            <w:pPr>
              <w:spacing w:after="0"/>
              <w:rPr>
                <w:sz w:val="2"/>
                <w:szCs w:val="2"/>
                <w:color w:val="auto"/>
              </w:rPr>
            </w:pPr>
          </w:p>
        </w:tc>
        <w:tc>
          <w:tcPr>
            <w:tcW w:w="1400" w:type="dxa"/>
            <w:vAlign w:val="bottom"/>
            <w:gridSpan w:val="4"/>
            <w:shd w:val="clear" w:color="auto" w:fill="0000EE"/>
          </w:tcPr>
          <w:p>
            <w:pPr>
              <w:spacing w:after="0"/>
              <w:rPr>
                <w:sz w:val="2"/>
                <w:szCs w:val="2"/>
                <w:color w:val="auto"/>
              </w:rPr>
            </w:pPr>
          </w:p>
        </w:tc>
        <w:tc>
          <w:tcPr>
            <w:tcW w:w="600" w:type="dxa"/>
            <w:vAlign w:val="bottom"/>
            <w:gridSpan w:val="4"/>
            <w:shd w:val="clear" w:color="auto" w:fill="0000EE"/>
          </w:tcPr>
          <w:p>
            <w:pPr>
              <w:spacing w:after="0"/>
              <w:rPr>
                <w:sz w:val="2"/>
                <w:szCs w:val="2"/>
                <w:color w:val="auto"/>
              </w:rPr>
            </w:pPr>
          </w:p>
        </w:tc>
        <w:tc>
          <w:tcPr>
            <w:tcW w:w="1180" w:type="dxa"/>
            <w:vAlign w:val="bottom"/>
            <w:gridSpan w:val="2"/>
            <w:shd w:val="clear" w:color="auto" w:fill="0000EE"/>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84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360" w:type="dxa"/>
            <w:vAlign w:val="bottom"/>
            <w:shd w:val="clear" w:color="auto" w:fill="0000EE"/>
          </w:tcPr>
          <w:p>
            <w:pPr>
              <w:spacing w:after="0"/>
              <w:rPr>
                <w:sz w:val="2"/>
                <w:szCs w:val="2"/>
                <w:color w:val="auto"/>
              </w:rPr>
            </w:pPr>
          </w:p>
        </w:tc>
        <w:tc>
          <w:tcPr>
            <w:tcW w:w="1000" w:type="dxa"/>
            <w:vAlign w:val="bottom"/>
            <w:shd w:val="clear" w:color="auto" w:fill="0000EE"/>
          </w:tcPr>
          <w:p>
            <w:pPr>
              <w:spacing w:after="0"/>
              <w:rPr>
                <w:sz w:val="2"/>
                <w:szCs w:val="2"/>
                <w:color w:val="auto"/>
              </w:rPr>
            </w:pPr>
          </w:p>
        </w:tc>
        <w:tc>
          <w:tcPr>
            <w:tcW w:w="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160" w:type="dxa"/>
            <w:vAlign w:val="bottom"/>
            <w:tcBorders>
              <w:right w:val="single" w:sz="8" w:color="0000EE"/>
            </w:tcBorders>
          </w:tcPr>
          <w:p>
            <w:pPr>
              <w:spacing w:after="0"/>
              <w:rPr>
                <w:sz w:val="2"/>
                <w:szCs w:val="2"/>
                <w:color w:val="auto"/>
              </w:rPr>
            </w:pPr>
          </w:p>
        </w:tc>
        <w:tc>
          <w:tcPr>
            <w:tcW w:w="180" w:type="dxa"/>
            <w:vAlign w:val="bottom"/>
            <w:gridSpan w:val="3"/>
            <w:shd w:val="clear" w:color="auto" w:fill="0000EE"/>
          </w:tcPr>
          <w:p>
            <w:pPr>
              <w:spacing w:after="0"/>
              <w:rPr>
                <w:sz w:val="2"/>
                <w:szCs w:val="2"/>
                <w:color w:val="auto"/>
              </w:rPr>
            </w:pPr>
          </w:p>
        </w:tc>
        <w:tc>
          <w:tcPr>
            <w:tcW w:w="80" w:type="dxa"/>
            <w:vAlign w:val="bottom"/>
          </w:tcPr>
          <w:p>
            <w:pPr>
              <w:spacing w:after="0"/>
              <w:rPr>
                <w:sz w:val="2"/>
                <w:szCs w:val="2"/>
                <w:color w:val="auto"/>
              </w:rPr>
            </w:pPr>
          </w:p>
        </w:tc>
      </w:tr>
      <w:tr>
        <w:trPr>
          <w:trHeight w:val="257"/>
        </w:trPr>
        <w:tc>
          <w:tcPr>
            <w:tcW w:w="1260" w:type="dxa"/>
            <w:vAlign w:val="bottom"/>
            <w:gridSpan w:val="6"/>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Item 7A.</w:t>
              </w:r>
            </w:hyperlink>
          </w:p>
        </w:tc>
        <w:tc>
          <w:tcPr>
            <w:tcW w:w="9400" w:type="dxa"/>
            <w:vAlign w:val="bottom"/>
            <w:gridSpan w:val="20"/>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Quantitative and Qualitative Disclosures About Market Risk</w:t>
              </w:r>
            </w:hyperlink>
          </w:p>
        </w:tc>
        <w:tc>
          <w:tcPr>
            <w:tcW w:w="340" w:type="dxa"/>
            <w:vAlign w:val="bottom"/>
            <w:gridSpan w:val="4"/>
          </w:tcPr>
          <w:p>
            <w:pPr>
              <w:jc w:val="center"/>
              <w:spacing w:after="0"/>
              <w:rPr>
                <w:rFonts w:ascii="Arial" w:cs="Arial" w:eastAsia="Arial" w:hAnsi="Arial"/>
                <w:sz w:val="18"/>
                <w:szCs w:val="18"/>
                <w:color w:val="0000EE"/>
                <w:w w:val="99"/>
              </w:rPr>
            </w:pPr>
            <w:hyperlink w:anchor="page53">
              <w:r>
                <w:rPr>
                  <w:rFonts w:ascii="Arial" w:cs="Arial" w:eastAsia="Arial" w:hAnsi="Arial"/>
                  <w:sz w:val="18"/>
                  <w:szCs w:val="18"/>
                  <w:color w:val="0000EE"/>
                  <w:w w:val="99"/>
                </w:rPr>
                <w:t>53</w:t>
              </w:r>
            </w:hyperlink>
          </w:p>
        </w:tc>
        <w:tc>
          <w:tcPr>
            <w:tcW w:w="80" w:type="dxa"/>
            <w:vAlign w:val="bottom"/>
          </w:tcPr>
          <w:p>
            <w:pPr>
              <w:spacing w:after="0"/>
              <w:rPr>
                <w:sz w:val="22"/>
                <w:szCs w:val="22"/>
                <w:color w:val="auto"/>
              </w:rPr>
            </w:pPr>
          </w:p>
        </w:tc>
      </w:tr>
      <w:tr>
        <w:trPr>
          <w:trHeight w:val="20"/>
        </w:trPr>
        <w:tc>
          <w:tcPr>
            <w:tcW w:w="520" w:type="dxa"/>
            <w:vAlign w:val="bottom"/>
            <w:gridSpan w:val="3"/>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0" w:type="dxa"/>
            <w:vAlign w:val="bottom"/>
            <w:gridSpan w:val="4"/>
            <w:shd w:val="clear" w:color="auto" w:fill="0000EE"/>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0"/>
        </w:trPr>
        <w:tc>
          <w:tcPr>
            <w:tcW w:w="560" w:type="dxa"/>
            <w:vAlign w:val="bottom"/>
            <w:gridSpan w:val="4"/>
          </w:tcPr>
          <w:p>
            <w:pPr>
              <w:spacing w:after="0"/>
              <w:rPr>
                <w:rFonts w:ascii="Arial" w:cs="Arial" w:eastAsia="Arial" w:hAnsi="Arial"/>
                <w:sz w:val="18"/>
                <w:szCs w:val="18"/>
                <w:color w:val="0000EE"/>
                <w:w w:val="94"/>
              </w:rPr>
            </w:pPr>
            <w:hyperlink w:anchor="page53">
              <w:r>
                <w:rPr>
                  <w:rFonts w:ascii="Arial" w:cs="Arial" w:eastAsia="Arial" w:hAnsi="Arial"/>
                  <w:sz w:val="18"/>
                  <w:szCs w:val="18"/>
                  <w:color w:val="0000EE"/>
                  <w:w w:val="94"/>
                </w:rPr>
                <w:t>Item 8.</w:t>
              </w:r>
            </w:hyperlink>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720" w:type="dxa"/>
            <w:vAlign w:val="bottom"/>
            <w:gridSpan w:val="14"/>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Financial Statements and Supplementary Data</w:t>
              </w:r>
            </w:hyperlink>
          </w:p>
        </w:tc>
        <w:tc>
          <w:tcPr>
            <w:tcW w:w="4680" w:type="dxa"/>
            <w:vAlign w:val="bottom"/>
            <w:gridSpan w:val="6"/>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gridSpan w:val="3"/>
          </w:tcPr>
          <w:p>
            <w:pPr>
              <w:jc w:val="center"/>
              <w:ind w:right="40"/>
              <w:spacing w:after="0"/>
              <w:rPr>
                <w:rFonts w:ascii="Arial" w:cs="Arial" w:eastAsia="Arial" w:hAnsi="Arial"/>
                <w:sz w:val="17"/>
                <w:szCs w:val="17"/>
                <w:color w:val="0000EE"/>
                <w:w w:val="73"/>
              </w:rPr>
            </w:pPr>
            <w:hyperlink w:anchor="page53">
              <w:r>
                <w:rPr>
                  <w:rFonts w:ascii="Arial" w:cs="Arial" w:eastAsia="Arial" w:hAnsi="Arial"/>
                  <w:sz w:val="17"/>
                  <w:szCs w:val="17"/>
                  <w:color w:val="0000EE"/>
                  <w:w w:val="73"/>
                </w:rPr>
                <w:t>54</w:t>
              </w:r>
            </w:hyperlink>
          </w:p>
        </w:tc>
        <w:tc>
          <w:tcPr>
            <w:tcW w:w="80" w:type="dxa"/>
            <w:vAlign w:val="bottom"/>
          </w:tcPr>
          <w:p>
            <w:pPr>
              <w:spacing w:after="0"/>
              <w:rPr>
                <w:sz w:val="21"/>
                <w:szCs w:val="21"/>
                <w:color w:val="auto"/>
              </w:rPr>
            </w:pPr>
          </w:p>
        </w:tc>
      </w:tr>
      <w:tr>
        <w:trPr>
          <w:trHeight w:val="20"/>
        </w:trPr>
        <w:tc>
          <w:tcPr>
            <w:tcW w:w="520" w:type="dxa"/>
            <w:vAlign w:val="bottom"/>
            <w:gridSpan w:val="3"/>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0" w:type="dxa"/>
            <w:vAlign w:val="bottom"/>
            <w:gridSpan w:val="4"/>
            <w:shd w:val="clear" w:color="auto" w:fill="0000EE"/>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44"/>
        </w:trPr>
        <w:tc>
          <w:tcPr>
            <w:tcW w:w="560" w:type="dxa"/>
            <w:vAlign w:val="bottom"/>
            <w:tcBorders>
              <w:bottom w:val="single" w:sz="8" w:color="0000EE"/>
            </w:tcBorders>
            <w:gridSpan w:val="4"/>
          </w:tcPr>
          <w:p>
            <w:pPr>
              <w:spacing w:after="0"/>
              <w:rPr>
                <w:rFonts w:ascii="Arial" w:cs="Arial" w:eastAsia="Arial" w:hAnsi="Arial"/>
                <w:sz w:val="18"/>
                <w:szCs w:val="18"/>
                <w:color w:val="0000EE"/>
                <w:w w:val="94"/>
              </w:rPr>
            </w:pPr>
            <w:hyperlink w:anchor="page109">
              <w:r>
                <w:rPr>
                  <w:rFonts w:ascii="Arial" w:cs="Arial" w:eastAsia="Arial" w:hAnsi="Arial"/>
                  <w:sz w:val="18"/>
                  <w:szCs w:val="18"/>
                  <w:color w:val="0000EE"/>
                  <w:w w:val="94"/>
                </w:rPr>
                <w:t>Item 9.</w:t>
              </w:r>
            </w:hyperlink>
          </w:p>
        </w:tc>
        <w:tc>
          <w:tcPr>
            <w:tcW w:w="80" w:type="dxa"/>
            <w:vAlign w:val="bottom"/>
            <w:tcBorders>
              <w:bottom w:val="single" w:sz="8" w:color="0000EE"/>
            </w:tcBorders>
          </w:tcPr>
          <w:p>
            <w:pPr>
              <w:spacing w:after="0"/>
              <w:rPr>
                <w:sz w:val="21"/>
                <w:szCs w:val="21"/>
                <w:color w:val="auto"/>
              </w:rPr>
            </w:pPr>
          </w:p>
        </w:tc>
        <w:tc>
          <w:tcPr>
            <w:tcW w:w="620" w:type="dxa"/>
            <w:vAlign w:val="bottom"/>
          </w:tcPr>
          <w:p>
            <w:pPr>
              <w:spacing w:after="0"/>
              <w:rPr>
                <w:sz w:val="21"/>
                <w:szCs w:val="21"/>
                <w:color w:val="auto"/>
              </w:rPr>
            </w:pPr>
          </w:p>
        </w:tc>
        <w:tc>
          <w:tcPr>
            <w:tcW w:w="7140" w:type="dxa"/>
            <w:vAlign w:val="bottom"/>
            <w:tcBorders>
              <w:bottom w:val="single" w:sz="8" w:color="0000EE"/>
            </w:tcBorders>
            <w:gridSpan w:val="17"/>
          </w:tcPr>
          <w:p>
            <w:pPr>
              <w:spacing w:after="0"/>
              <w:rPr>
                <w:rFonts w:ascii="Arial" w:cs="Arial" w:eastAsia="Arial" w:hAnsi="Arial"/>
                <w:sz w:val="18"/>
                <w:szCs w:val="18"/>
                <w:color w:val="0000EE"/>
                <w:w w:val="99"/>
              </w:rPr>
            </w:pPr>
            <w:hyperlink w:anchor="page109">
              <w:r>
                <w:rPr>
                  <w:rFonts w:ascii="Arial" w:cs="Arial" w:eastAsia="Arial" w:hAnsi="Arial"/>
                  <w:sz w:val="18"/>
                  <w:szCs w:val="18"/>
                  <w:color w:val="0000EE"/>
                  <w:w w:val="99"/>
                </w:rPr>
                <w:t>Changes in and Disagreements with Accountants on Accounting and Financial Disclosure</w:t>
              </w:r>
            </w:hyperlink>
          </w:p>
        </w:tc>
        <w:tc>
          <w:tcPr>
            <w:tcW w:w="2260" w:type="dxa"/>
            <w:vAlign w:val="bottom"/>
            <w:gridSpan w:val="3"/>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Borders>
              <w:bottom w:val="single" w:sz="8" w:color="0000EE"/>
            </w:tcBorders>
            <w:gridSpan w:val="3"/>
          </w:tcPr>
          <w:p>
            <w:pPr>
              <w:jc w:val="center"/>
              <w:spacing w:after="0"/>
              <w:rPr>
                <w:rFonts w:ascii="Arial" w:cs="Arial" w:eastAsia="Arial" w:hAnsi="Arial"/>
                <w:sz w:val="17"/>
                <w:szCs w:val="17"/>
                <w:color w:val="0000EE"/>
                <w:w w:val="70"/>
              </w:rPr>
            </w:pPr>
            <w:hyperlink w:anchor="page109">
              <w:r>
                <w:rPr>
                  <w:rFonts w:ascii="Arial" w:cs="Arial" w:eastAsia="Arial" w:hAnsi="Arial"/>
                  <w:sz w:val="17"/>
                  <w:szCs w:val="17"/>
                  <w:color w:val="0000EE"/>
                  <w:w w:val="70"/>
                </w:rPr>
                <w:t>110</w:t>
              </w:r>
            </w:hyperlink>
          </w:p>
        </w:tc>
        <w:tc>
          <w:tcPr>
            <w:tcW w:w="80" w:type="dxa"/>
            <w:vAlign w:val="bottom"/>
          </w:tcPr>
          <w:p>
            <w:pPr>
              <w:spacing w:after="0"/>
              <w:rPr>
                <w:sz w:val="21"/>
                <w:szCs w:val="21"/>
                <w:color w:val="auto"/>
              </w:rPr>
            </w:pPr>
          </w:p>
        </w:tc>
      </w:tr>
      <w:tr>
        <w:trPr>
          <w:trHeight w:val="257"/>
        </w:trPr>
        <w:tc>
          <w:tcPr>
            <w:tcW w:w="640" w:type="dxa"/>
            <w:vAlign w:val="bottom"/>
            <w:tcBorders>
              <w:bottom w:val="single" w:sz="8" w:color="0000EE"/>
            </w:tcBorders>
            <w:gridSpan w:val="5"/>
          </w:tcPr>
          <w:p>
            <w:pPr>
              <w:spacing w:after="0"/>
              <w:rPr>
                <w:rFonts w:ascii="Arial" w:cs="Arial" w:eastAsia="Arial" w:hAnsi="Arial"/>
                <w:sz w:val="18"/>
                <w:szCs w:val="18"/>
                <w:color w:val="0000EE"/>
                <w:w w:val="89"/>
              </w:rPr>
            </w:pPr>
            <w:hyperlink w:anchor="page110">
              <w:r>
                <w:rPr>
                  <w:rFonts w:ascii="Arial" w:cs="Arial" w:eastAsia="Arial" w:hAnsi="Arial"/>
                  <w:sz w:val="18"/>
                  <w:szCs w:val="18"/>
                  <w:color w:val="0000EE"/>
                  <w:w w:val="89"/>
                </w:rPr>
                <w:t>Item 9A.</w:t>
              </w:r>
            </w:hyperlink>
          </w:p>
        </w:tc>
        <w:tc>
          <w:tcPr>
            <w:tcW w:w="620" w:type="dxa"/>
            <w:vAlign w:val="bottom"/>
          </w:tcPr>
          <w:p>
            <w:pPr>
              <w:spacing w:after="0"/>
              <w:rPr>
                <w:sz w:val="22"/>
                <w:szCs w:val="22"/>
                <w:color w:val="auto"/>
              </w:rPr>
            </w:pPr>
          </w:p>
        </w:tc>
        <w:tc>
          <w:tcPr>
            <w:tcW w:w="2000" w:type="dxa"/>
            <w:vAlign w:val="bottom"/>
            <w:tcBorders>
              <w:bottom w:val="single" w:sz="8" w:color="0000EE"/>
            </w:tcBorders>
            <w:gridSpan w:val="8"/>
          </w:tcPr>
          <w:p>
            <w:pPr>
              <w:spacing w:after="0"/>
              <w:rPr>
                <w:rFonts w:ascii="Arial" w:cs="Arial" w:eastAsia="Arial" w:hAnsi="Arial"/>
                <w:sz w:val="18"/>
                <w:szCs w:val="18"/>
                <w:color w:val="0000EE"/>
                <w:w w:val="99"/>
              </w:rPr>
            </w:pPr>
            <w:hyperlink w:anchor="page110">
              <w:r>
                <w:rPr>
                  <w:rFonts w:ascii="Arial" w:cs="Arial" w:eastAsia="Arial" w:hAnsi="Arial"/>
                  <w:sz w:val="18"/>
                  <w:szCs w:val="18"/>
                  <w:color w:val="0000EE"/>
                  <w:w w:val="99"/>
                </w:rPr>
                <w:t>Controls and Procedures</w:t>
              </w:r>
            </w:hyperlink>
          </w:p>
        </w:tc>
        <w:tc>
          <w:tcPr>
            <w:tcW w:w="7400" w:type="dxa"/>
            <w:vAlign w:val="bottom"/>
            <w:gridSpan w:val="12"/>
          </w:tcPr>
          <w:p>
            <w:pPr>
              <w:spacing w:after="0"/>
              <w:rPr>
                <w:sz w:val="22"/>
                <w:szCs w:val="22"/>
                <w:color w:val="auto"/>
              </w:rPr>
            </w:pPr>
          </w:p>
        </w:tc>
        <w:tc>
          <w:tcPr>
            <w:tcW w:w="160" w:type="dxa"/>
            <w:vAlign w:val="bottom"/>
          </w:tcPr>
          <w:p>
            <w:pPr>
              <w:spacing w:after="0"/>
              <w:rPr>
                <w:sz w:val="22"/>
                <w:szCs w:val="22"/>
                <w:color w:val="auto"/>
              </w:rPr>
            </w:pPr>
          </w:p>
        </w:tc>
        <w:tc>
          <w:tcPr>
            <w:tcW w:w="180" w:type="dxa"/>
            <w:vAlign w:val="bottom"/>
            <w:tcBorders>
              <w:bottom w:val="single" w:sz="8" w:color="0000EE"/>
            </w:tcBorders>
            <w:gridSpan w:val="3"/>
          </w:tcPr>
          <w:p>
            <w:pPr>
              <w:jc w:val="center"/>
              <w:spacing w:after="0"/>
              <w:rPr>
                <w:rFonts w:ascii="Arial" w:cs="Arial" w:eastAsia="Arial" w:hAnsi="Arial"/>
                <w:sz w:val="17"/>
                <w:szCs w:val="17"/>
                <w:color w:val="0000EE"/>
                <w:w w:val="70"/>
              </w:rPr>
            </w:pPr>
            <w:hyperlink w:anchor="page110">
              <w:r>
                <w:rPr>
                  <w:rFonts w:ascii="Arial" w:cs="Arial" w:eastAsia="Arial" w:hAnsi="Arial"/>
                  <w:sz w:val="17"/>
                  <w:szCs w:val="17"/>
                  <w:color w:val="0000EE"/>
                  <w:w w:val="70"/>
                </w:rPr>
                <w:t>110</w:t>
              </w:r>
            </w:hyperlink>
          </w:p>
        </w:tc>
        <w:tc>
          <w:tcPr>
            <w:tcW w:w="80" w:type="dxa"/>
            <w:vAlign w:val="bottom"/>
          </w:tcPr>
          <w:p>
            <w:pPr>
              <w:spacing w:after="0"/>
              <w:rPr>
                <w:sz w:val="22"/>
                <w:szCs w:val="22"/>
                <w:color w:val="auto"/>
              </w:rPr>
            </w:pPr>
          </w:p>
        </w:tc>
      </w:tr>
      <w:tr>
        <w:trPr>
          <w:trHeight w:val="250"/>
        </w:trPr>
        <w:tc>
          <w:tcPr>
            <w:tcW w:w="1260" w:type="dxa"/>
            <w:vAlign w:val="bottom"/>
            <w:gridSpan w:val="6"/>
          </w:tcPr>
          <w:p>
            <w:pPr>
              <w:spacing w:after="0"/>
              <w:rPr>
                <w:rFonts w:ascii="Arial" w:cs="Arial" w:eastAsia="Arial" w:hAnsi="Arial"/>
                <w:sz w:val="18"/>
                <w:szCs w:val="18"/>
                <w:color w:val="0000EE"/>
              </w:rPr>
            </w:pPr>
            <w:hyperlink w:anchor="page110">
              <w:r>
                <w:rPr>
                  <w:rFonts w:ascii="Arial" w:cs="Arial" w:eastAsia="Arial" w:hAnsi="Arial"/>
                  <w:sz w:val="18"/>
                  <w:szCs w:val="18"/>
                  <w:color w:val="0000EE"/>
                </w:rPr>
                <w:t>Item 9B.</w:t>
              </w:r>
            </w:hyperlink>
          </w:p>
        </w:tc>
        <w:tc>
          <w:tcPr>
            <w:tcW w:w="9400" w:type="dxa"/>
            <w:vAlign w:val="bottom"/>
            <w:gridSpan w:val="20"/>
          </w:tcPr>
          <w:p>
            <w:pPr>
              <w:spacing w:after="0"/>
              <w:rPr>
                <w:rFonts w:ascii="Arial" w:cs="Arial" w:eastAsia="Arial" w:hAnsi="Arial"/>
                <w:sz w:val="18"/>
                <w:szCs w:val="18"/>
                <w:color w:val="0000EE"/>
              </w:rPr>
            </w:pPr>
            <w:hyperlink w:anchor="page110">
              <w:r>
                <w:rPr>
                  <w:rFonts w:ascii="Arial" w:cs="Arial" w:eastAsia="Arial" w:hAnsi="Arial"/>
                  <w:sz w:val="18"/>
                  <w:szCs w:val="18"/>
                  <w:color w:val="0000EE"/>
                </w:rPr>
                <w:t>Other Information</w:t>
              </w:r>
            </w:hyperlink>
          </w:p>
        </w:tc>
        <w:tc>
          <w:tcPr>
            <w:tcW w:w="340" w:type="dxa"/>
            <w:vAlign w:val="bottom"/>
            <w:gridSpan w:val="4"/>
          </w:tcPr>
          <w:p>
            <w:pPr>
              <w:jc w:val="center"/>
              <w:spacing w:after="0"/>
              <w:rPr>
                <w:rFonts w:ascii="Arial" w:cs="Arial" w:eastAsia="Arial" w:hAnsi="Arial"/>
                <w:sz w:val="18"/>
                <w:szCs w:val="18"/>
                <w:color w:val="0000EE"/>
                <w:w w:val="86"/>
              </w:rPr>
            </w:pPr>
            <w:hyperlink w:anchor="page110">
              <w:r>
                <w:rPr>
                  <w:rFonts w:ascii="Arial" w:cs="Arial" w:eastAsia="Arial" w:hAnsi="Arial"/>
                  <w:sz w:val="18"/>
                  <w:szCs w:val="18"/>
                  <w:color w:val="0000EE"/>
                  <w:w w:val="86"/>
                </w:rPr>
                <w:t>111</w:t>
              </w:r>
            </w:hyperlink>
          </w:p>
        </w:tc>
        <w:tc>
          <w:tcPr>
            <w:tcW w:w="80" w:type="dxa"/>
            <w:vAlign w:val="bottom"/>
          </w:tcPr>
          <w:p>
            <w:pPr>
              <w:spacing w:after="0"/>
              <w:rPr>
                <w:sz w:val="21"/>
                <w:szCs w:val="21"/>
                <w:color w:val="auto"/>
              </w:rPr>
            </w:pPr>
          </w:p>
        </w:tc>
      </w:tr>
      <w:tr>
        <w:trPr>
          <w:trHeight w:val="574"/>
        </w:trPr>
        <w:tc>
          <w:tcPr>
            <w:tcW w:w="640" w:type="dxa"/>
            <w:vAlign w:val="bottom"/>
            <w:tcBorders>
              <w:top w:val="single" w:sz="8" w:color="0000EE"/>
            </w:tcBorders>
            <w:gridSpan w:val="5"/>
          </w:tcPr>
          <w:p>
            <w:pPr>
              <w:spacing w:after="0"/>
              <w:rPr>
                <w:rFonts w:ascii="Arial" w:cs="Arial" w:eastAsia="Arial" w:hAnsi="Arial"/>
                <w:sz w:val="18"/>
                <w:szCs w:val="18"/>
                <w:color w:val="0000EE"/>
              </w:rPr>
            </w:pPr>
            <w:hyperlink w:anchor="page111">
              <w:r>
                <w:rPr>
                  <w:rFonts w:ascii="Arial" w:cs="Arial" w:eastAsia="Arial" w:hAnsi="Arial"/>
                  <w:sz w:val="18"/>
                  <w:szCs w:val="18"/>
                  <w:color w:val="0000EE"/>
                </w:rPr>
                <w:t>Part III</w:t>
              </w:r>
            </w:hyperlink>
          </w:p>
        </w:tc>
        <w:tc>
          <w:tcPr>
            <w:tcW w:w="620" w:type="dxa"/>
            <w:vAlign w:val="bottom"/>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r>
      <w:tr>
        <w:trPr>
          <w:trHeight w:val="20"/>
        </w:trPr>
        <w:tc>
          <w:tcPr>
            <w:tcW w:w="520" w:type="dxa"/>
            <w:vAlign w:val="bottom"/>
            <w:gridSpan w:val="3"/>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180" w:type="dxa"/>
            <w:vAlign w:val="bottom"/>
            <w:gridSpan w:val="1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r>
      <w:tr>
        <w:trPr>
          <w:trHeight w:val="574"/>
        </w:trPr>
        <w:tc>
          <w:tcPr>
            <w:tcW w:w="1260" w:type="dxa"/>
            <w:vAlign w:val="bottom"/>
            <w:gridSpan w:val="6"/>
          </w:tcPr>
          <w:p>
            <w:pPr>
              <w:spacing w:after="0"/>
              <w:rPr>
                <w:rFonts w:ascii="Arial" w:cs="Arial" w:eastAsia="Arial" w:hAnsi="Arial"/>
                <w:sz w:val="18"/>
                <w:szCs w:val="18"/>
                <w:color w:val="0000EE"/>
              </w:rPr>
            </w:pPr>
            <w:hyperlink w:anchor="page112">
              <w:r>
                <w:rPr>
                  <w:rFonts w:ascii="Arial" w:cs="Arial" w:eastAsia="Arial" w:hAnsi="Arial"/>
                  <w:sz w:val="18"/>
                  <w:szCs w:val="18"/>
                  <w:color w:val="0000EE"/>
                </w:rPr>
                <w:t>Item 10.</w:t>
              </w:r>
            </w:hyperlink>
          </w:p>
        </w:tc>
        <w:tc>
          <w:tcPr>
            <w:tcW w:w="9400" w:type="dxa"/>
            <w:vAlign w:val="bottom"/>
            <w:gridSpan w:val="20"/>
          </w:tcPr>
          <w:p>
            <w:pPr>
              <w:spacing w:after="0"/>
              <w:rPr>
                <w:rFonts w:ascii="Arial" w:cs="Arial" w:eastAsia="Arial" w:hAnsi="Arial"/>
                <w:sz w:val="18"/>
                <w:szCs w:val="18"/>
                <w:color w:val="0000EE"/>
              </w:rPr>
            </w:pPr>
            <w:hyperlink w:anchor="page112">
              <w:r>
                <w:rPr>
                  <w:rFonts w:ascii="Arial" w:cs="Arial" w:eastAsia="Arial" w:hAnsi="Arial"/>
                  <w:sz w:val="18"/>
                  <w:szCs w:val="18"/>
                  <w:color w:val="0000EE"/>
                </w:rPr>
                <w:t>Directors, Executive Officers, and Corporate Governance</w:t>
              </w:r>
            </w:hyperlink>
          </w:p>
        </w:tc>
        <w:tc>
          <w:tcPr>
            <w:tcW w:w="420" w:type="dxa"/>
            <w:vAlign w:val="bottom"/>
            <w:gridSpan w:val="5"/>
          </w:tcPr>
          <w:p>
            <w:pPr>
              <w:jc w:val="center"/>
              <w:spacing w:after="0"/>
              <w:rPr>
                <w:rFonts w:ascii="Arial" w:cs="Arial" w:eastAsia="Arial" w:hAnsi="Arial"/>
                <w:sz w:val="18"/>
                <w:szCs w:val="18"/>
                <w:color w:val="0000EE"/>
                <w:w w:val="99"/>
              </w:rPr>
            </w:pPr>
            <w:hyperlink w:anchor="page112">
              <w:r>
                <w:rPr>
                  <w:rFonts w:ascii="Arial" w:cs="Arial" w:eastAsia="Arial" w:hAnsi="Arial"/>
                  <w:sz w:val="18"/>
                  <w:szCs w:val="18"/>
                  <w:color w:val="0000EE"/>
                  <w:w w:val="99"/>
                </w:rPr>
                <w:t>112</w:t>
              </w:r>
            </w:hyperlink>
          </w:p>
        </w:tc>
      </w:tr>
      <w:tr>
        <w:trPr>
          <w:trHeight w:val="250"/>
        </w:trPr>
        <w:tc>
          <w:tcPr>
            <w:tcW w:w="64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92"/>
              </w:rPr>
            </w:pPr>
            <w:hyperlink w:anchor="page112">
              <w:r>
                <w:rPr>
                  <w:rFonts w:ascii="Arial" w:cs="Arial" w:eastAsia="Arial" w:hAnsi="Arial"/>
                  <w:sz w:val="18"/>
                  <w:szCs w:val="18"/>
                  <w:color w:val="0000EE"/>
                  <w:w w:val="92"/>
                </w:rPr>
                <w:t>Item 11.</w:t>
              </w:r>
            </w:hyperlink>
          </w:p>
        </w:tc>
        <w:tc>
          <w:tcPr>
            <w:tcW w:w="620" w:type="dxa"/>
            <w:vAlign w:val="bottom"/>
          </w:tcPr>
          <w:p>
            <w:pPr>
              <w:spacing w:after="0"/>
              <w:rPr>
                <w:sz w:val="21"/>
                <w:szCs w:val="21"/>
                <w:color w:val="auto"/>
              </w:rPr>
            </w:pPr>
          </w:p>
        </w:tc>
        <w:tc>
          <w:tcPr>
            <w:tcW w:w="200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99"/>
              </w:rPr>
            </w:pPr>
            <w:hyperlink w:anchor="page112">
              <w:r>
                <w:rPr>
                  <w:rFonts w:ascii="Arial" w:cs="Arial" w:eastAsia="Arial" w:hAnsi="Arial"/>
                  <w:sz w:val="18"/>
                  <w:szCs w:val="18"/>
                  <w:color w:val="0000EE"/>
                  <w:w w:val="99"/>
                </w:rPr>
                <w:t>Executive Compensation</w:t>
              </w:r>
            </w:hyperlink>
          </w:p>
        </w:tc>
        <w:tc>
          <w:tcPr>
            <w:tcW w:w="2560" w:type="dxa"/>
            <w:vAlign w:val="bottom"/>
            <w:tcBorders>
              <w:top w:val="single" w:sz="8" w:color="0000EE"/>
            </w:tcBorders>
            <w:gridSpan w:val="5"/>
          </w:tcPr>
          <w:p>
            <w:pPr>
              <w:spacing w:after="0"/>
              <w:rPr>
                <w:sz w:val="21"/>
                <w:szCs w:val="21"/>
                <w:color w:val="auto"/>
              </w:rPr>
            </w:pPr>
          </w:p>
        </w:tc>
        <w:tc>
          <w:tcPr>
            <w:tcW w:w="4840" w:type="dxa"/>
            <w:vAlign w:val="bottom"/>
            <w:gridSpan w:val="7"/>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Borders>
              <w:top w:val="single" w:sz="8" w:color="0000EE"/>
              <w:bottom w:val="single" w:sz="8" w:color="0000EE"/>
            </w:tcBorders>
            <w:gridSpan w:val="3"/>
          </w:tcPr>
          <w:p>
            <w:pPr>
              <w:jc w:val="center"/>
              <w:spacing w:after="0"/>
              <w:rPr>
                <w:rFonts w:ascii="Arial" w:cs="Arial" w:eastAsia="Arial" w:hAnsi="Arial"/>
                <w:sz w:val="17"/>
                <w:szCs w:val="17"/>
                <w:color w:val="0000EE"/>
                <w:w w:val="70"/>
              </w:rPr>
            </w:pPr>
            <w:hyperlink w:anchor="page112">
              <w:r>
                <w:rPr>
                  <w:rFonts w:ascii="Arial" w:cs="Arial" w:eastAsia="Arial" w:hAnsi="Arial"/>
                  <w:sz w:val="17"/>
                  <w:szCs w:val="17"/>
                  <w:color w:val="0000EE"/>
                  <w:w w:val="70"/>
                </w:rPr>
                <w:t>112</w:t>
              </w:r>
            </w:hyperlink>
          </w:p>
        </w:tc>
        <w:tc>
          <w:tcPr>
            <w:tcW w:w="80" w:type="dxa"/>
            <w:vAlign w:val="bottom"/>
          </w:tcPr>
          <w:p>
            <w:pPr>
              <w:spacing w:after="0"/>
              <w:rPr>
                <w:sz w:val="21"/>
                <w:szCs w:val="21"/>
                <w:color w:val="auto"/>
              </w:rPr>
            </w:pPr>
          </w:p>
        </w:tc>
      </w:tr>
      <w:tr>
        <w:trPr>
          <w:trHeight w:val="244"/>
        </w:trPr>
        <w:tc>
          <w:tcPr>
            <w:tcW w:w="1260" w:type="dxa"/>
            <w:vAlign w:val="bottom"/>
            <w:tcBorders>
              <w:bottom w:val="single" w:sz="8" w:color="0000EE"/>
            </w:tcBorders>
            <w:gridSpan w:val="6"/>
          </w:tcPr>
          <w:p>
            <w:pPr>
              <w:spacing w:after="0"/>
              <w:rPr>
                <w:rFonts w:ascii="Arial" w:cs="Arial" w:eastAsia="Arial" w:hAnsi="Arial"/>
                <w:sz w:val="18"/>
                <w:szCs w:val="18"/>
                <w:color w:val="0000EE"/>
              </w:rPr>
            </w:pPr>
            <w:hyperlink w:anchor="page112">
              <w:r>
                <w:rPr>
                  <w:rFonts w:ascii="Arial" w:cs="Arial" w:eastAsia="Arial" w:hAnsi="Arial"/>
                  <w:sz w:val="18"/>
                  <w:szCs w:val="18"/>
                  <w:color w:val="0000EE"/>
                </w:rPr>
                <w:t>Item 12.</w:t>
              </w:r>
            </w:hyperlink>
          </w:p>
        </w:tc>
        <w:tc>
          <w:tcPr>
            <w:tcW w:w="8020" w:type="dxa"/>
            <w:vAlign w:val="bottom"/>
            <w:tcBorders>
              <w:bottom w:val="single" w:sz="8" w:color="0000EE"/>
            </w:tcBorders>
            <w:gridSpan w:val="18"/>
          </w:tcPr>
          <w:p>
            <w:pPr>
              <w:spacing w:after="0"/>
              <w:rPr>
                <w:rFonts w:ascii="Arial" w:cs="Arial" w:eastAsia="Arial" w:hAnsi="Arial"/>
                <w:sz w:val="18"/>
                <w:szCs w:val="18"/>
                <w:color w:val="0000EE"/>
                <w:w w:val="99"/>
              </w:rPr>
            </w:pPr>
            <w:hyperlink w:anchor="page112">
              <w:r>
                <w:rPr>
                  <w:rFonts w:ascii="Arial" w:cs="Arial" w:eastAsia="Arial" w:hAnsi="Arial"/>
                  <w:sz w:val="18"/>
                  <w:szCs w:val="18"/>
                  <w:color w:val="0000EE"/>
                  <w:w w:val="99"/>
                </w:rPr>
                <w:t>Security Ownership of Certain Beneficial Owners and Management and Related Stockholder Matters</w:t>
              </w:r>
            </w:hyperlink>
          </w:p>
        </w:tc>
        <w:tc>
          <w:tcPr>
            <w:tcW w:w="1380" w:type="dxa"/>
            <w:vAlign w:val="bottom"/>
            <w:gridSpan w:val="2"/>
          </w:tcPr>
          <w:p>
            <w:pPr>
              <w:spacing w:after="0"/>
              <w:rPr>
                <w:sz w:val="21"/>
                <w:szCs w:val="21"/>
                <w:color w:val="auto"/>
              </w:rPr>
            </w:pPr>
          </w:p>
        </w:tc>
        <w:tc>
          <w:tcPr>
            <w:tcW w:w="420" w:type="dxa"/>
            <w:vAlign w:val="bottom"/>
            <w:gridSpan w:val="5"/>
          </w:tcPr>
          <w:p>
            <w:pPr>
              <w:jc w:val="center"/>
              <w:spacing w:after="0"/>
              <w:rPr>
                <w:rFonts w:ascii="Arial" w:cs="Arial" w:eastAsia="Arial" w:hAnsi="Arial"/>
                <w:sz w:val="18"/>
                <w:szCs w:val="18"/>
                <w:color w:val="0000EE"/>
                <w:w w:val="99"/>
              </w:rPr>
            </w:pPr>
            <w:hyperlink w:anchor="page112">
              <w:r>
                <w:rPr>
                  <w:rFonts w:ascii="Arial" w:cs="Arial" w:eastAsia="Arial" w:hAnsi="Arial"/>
                  <w:sz w:val="18"/>
                  <w:szCs w:val="18"/>
                  <w:color w:val="0000EE"/>
                  <w:w w:val="99"/>
                </w:rPr>
                <w:t>113</w:t>
              </w:r>
            </w:hyperlink>
          </w:p>
        </w:tc>
      </w:tr>
      <w:tr>
        <w:trPr>
          <w:trHeight w:val="257"/>
        </w:trPr>
        <w:tc>
          <w:tcPr>
            <w:tcW w:w="1260" w:type="dxa"/>
            <w:vAlign w:val="bottom"/>
            <w:gridSpan w:val="6"/>
          </w:tcPr>
          <w:p>
            <w:pPr>
              <w:spacing w:after="0"/>
              <w:rPr>
                <w:rFonts w:ascii="Arial" w:cs="Arial" w:eastAsia="Arial" w:hAnsi="Arial"/>
                <w:sz w:val="18"/>
                <w:szCs w:val="18"/>
                <w:color w:val="0000EE"/>
              </w:rPr>
            </w:pPr>
            <w:hyperlink w:anchor="page113">
              <w:r>
                <w:rPr>
                  <w:rFonts w:ascii="Arial" w:cs="Arial" w:eastAsia="Arial" w:hAnsi="Arial"/>
                  <w:sz w:val="18"/>
                  <w:szCs w:val="18"/>
                  <w:color w:val="0000EE"/>
                </w:rPr>
                <w:t>Item 13.</w:t>
              </w:r>
            </w:hyperlink>
          </w:p>
        </w:tc>
        <w:tc>
          <w:tcPr>
            <w:tcW w:w="9400" w:type="dxa"/>
            <w:vAlign w:val="bottom"/>
            <w:gridSpan w:val="20"/>
          </w:tcPr>
          <w:p>
            <w:pPr>
              <w:spacing w:after="0"/>
              <w:rPr>
                <w:rFonts w:ascii="Arial" w:cs="Arial" w:eastAsia="Arial" w:hAnsi="Arial"/>
                <w:sz w:val="18"/>
                <w:szCs w:val="18"/>
                <w:color w:val="0000EE"/>
              </w:rPr>
            </w:pPr>
            <w:hyperlink w:anchor="page113">
              <w:r>
                <w:rPr>
                  <w:rFonts w:ascii="Arial" w:cs="Arial" w:eastAsia="Arial" w:hAnsi="Arial"/>
                  <w:sz w:val="18"/>
                  <w:szCs w:val="18"/>
                  <w:color w:val="0000EE"/>
                </w:rPr>
                <w:t>Certain Relationships and Related Transactions, and Director Independence</w:t>
              </w:r>
            </w:hyperlink>
          </w:p>
        </w:tc>
        <w:tc>
          <w:tcPr>
            <w:tcW w:w="420" w:type="dxa"/>
            <w:vAlign w:val="bottom"/>
            <w:gridSpan w:val="5"/>
          </w:tcPr>
          <w:p>
            <w:pPr>
              <w:jc w:val="center"/>
              <w:spacing w:after="0"/>
              <w:rPr>
                <w:rFonts w:ascii="Arial" w:cs="Arial" w:eastAsia="Arial" w:hAnsi="Arial"/>
                <w:sz w:val="18"/>
                <w:szCs w:val="18"/>
                <w:color w:val="0000EE"/>
                <w:w w:val="99"/>
              </w:rPr>
            </w:pPr>
            <w:hyperlink w:anchor="page113">
              <w:r>
                <w:rPr>
                  <w:rFonts w:ascii="Arial" w:cs="Arial" w:eastAsia="Arial" w:hAnsi="Arial"/>
                  <w:sz w:val="18"/>
                  <w:szCs w:val="18"/>
                  <w:color w:val="0000EE"/>
                  <w:w w:val="99"/>
                </w:rPr>
                <w:t>113</w:t>
              </w:r>
            </w:hyperlink>
          </w:p>
        </w:tc>
      </w:tr>
      <w:tr>
        <w:trPr>
          <w:trHeight w:val="20"/>
        </w:trPr>
        <w:tc>
          <w:tcPr>
            <w:tcW w:w="640" w:type="dxa"/>
            <w:vAlign w:val="bottom"/>
            <w:gridSpan w:val="5"/>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180" w:type="dxa"/>
            <w:vAlign w:val="bottom"/>
            <w:gridSpan w:val="10"/>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560" w:type="dxa"/>
            <w:vAlign w:val="bottom"/>
            <w:gridSpan w:val="4"/>
            <w:shd w:val="clear" w:color="auto" w:fill="0000EE"/>
          </w:tcPr>
          <w:p>
            <w:pPr>
              <w:spacing w:after="0" w:line="20" w:lineRule="exact"/>
              <w:rPr>
                <w:sz w:val="1"/>
                <w:szCs w:val="1"/>
                <w:color w:val="auto"/>
              </w:rPr>
            </w:pPr>
          </w:p>
        </w:tc>
        <w:tc>
          <w:tcPr>
            <w:tcW w:w="3320" w:type="dxa"/>
            <w:vAlign w:val="bottom"/>
            <w:gridSpan w:val="5"/>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r>
      <w:tr>
        <w:trPr>
          <w:trHeight w:val="250"/>
        </w:trPr>
        <w:tc>
          <w:tcPr>
            <w:tcW w:w="1260" w:type="dxa"/>
            <w:vAlign w:val="bottom"/>
            <w:gridSpan w:val="6"/>
          </w:tcPr>
          <w:p>
            <w:pPr>
              <w:spacing w:after="0"/>
              <w:rPr>
                <w:rFonts w:ascii="Arial" w:cs="Arial" w:eastAsia="Arial" w:hAnsi="Arial"/>
                <w:sz w:val="18"/>
                <w:szCs w:val="18"/>
                <w:color w:val="0000EE"/>
              </w:rPr>
            </w:pPr>
            <w:hyperlink w:anchor="page113">
              <w:r>
                <w:rPr>
                  <w:rFonts w:ascii="Arial" w:cs="Arial" w:eastAsia="Arial" w:hAnsi="Arial"/>
                  <w:sz w:val="18"/>
                  <w:szCs w:val="18"/>
                  <w:color w:val="0000EE"/>
                </w:rPr>
                <w:t>Item 14.</w:t>
              </w:r>
            </w:hyperlink>
          </w:p>
        </w:tc>
        <w:tc>
          <w:tcPr>
            <w:tcW w:w="9400" w:type="dxa"/>
            <w:vAlign w:val="bottom"/>
            <w:gridSpan w:val="20"/>
          </w:tcPr>
          <w:p>
            <w:pPr>
              <w:spacing w:after="0"/>
              <w:rPr>
                <w:rFonts w:ascii="Arial" w:cs="Arial" w:eastAsia="Arial" w:hAnsi="Arial"/>
                <w:sz w:val="18"/>
                <w:szCs w:val="18"/>
                <w:color w:val="0000EE"/>
              </w:rPr>
            </w:pPr>
            <w:hyperlink w:anchor="page113">
              <w:r>
                <w:rPr>
                  <w:rFonts w:ascii="Arial" w:cs="Arial" w:eastAsia="Arial" w:hAnsi="Arial"/>
                  <w:sz w:val="18"/>
                  <w:szCs w:val="18"/>
                  <w:color w:val="0000EE"/>
                </w:rPr>
                <w:t>Principal Accountant Fees and Services</w:t>
              </w:r>
            </w:hyperlink>
          </w:p>
        </w:tc>
        <w:tc>
          <w:tcPr>
            <w:tcW w:w="420" w:type="dxa"/>
            <w:vAlign w:val="bottom"/>
            <w:gridSpan w:val="5"/>
          </w:tcPr>
          <w:p>
            <w:pPr>
              <w:jc w:val="center"/>
              <w:spacing w:after="0"/>
              <w:rPr>
                <w:rFonts w:ascii="Arial" w:cs="Arial" w:eastAsia="Arial" w:hAnsi="Arial"/>
                <w:sz w:val="18"/>
                <w:szCs w:val="18"/>
                <w:color w:val="0000EE"/>
                <w:w w:val="99"/>
              </w:rPr>
            </w:pPr>
            <w:hyperlink w:anchor="page113">
              <w:r>
                <w:rPr>
                  <w:rFonts w:ascii="Arial" w:cs="Arial" w:eastAsia="Arial" w:hAnsi="Arial"/>
                  <w:sz w:val="18"/>
                  <w:szCs w:val="18"/>
                  <w:color w:val="0000EE"/>
                  <w:w w:val="99"/>
                </w:rPr>
                <w:t>113</w:t>
              </w:r>
            </w:hyperlink>
          </w:p>
        </w:tc>
      </w:tr>
      <w:tr>
        <w:trPr>
          <w:trHeight w:val="20"/>
        </w:trPr>
        <w:tc>
          <w:tcPr>
            <w:tcW w:w="640" w:type="dxa"/>
            <w:vAlign w:val="bottom"/>
            <w:gridSpan w:val="5"/>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180" w:type="dxa"/>
            <w:vAlign w:val="bottom"/>
            <w:gridSpan w:val="10"/>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80" w:type="dxa"/>
            <w:vAlign w:val="bottom"/>
            <w:gridSpan w:val="9"/>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r>
      <w:tr>
        <w:trPr>
          <w:trHeight w:val="250"/>
        </w:trPr>
        <w:tc>
          <w:tcPr>
            <w:tcW w:w="1260" w:type="dxa"/>
            <w:vAlign w:val="bottom"/>
            <w:gridSpan w:val="6"/>
          </w:tcPr>
          <w:p>
            <w:pPr>
              <w:spacing w:after="0"/>
              <w:rPr>
                <w:rFonts w:ascii="Arial" w:cs="Arial" w:eastAsia="Arial" w:hAnsi="Arial"/>
                <w:sz w:val="18"/>
                <w:szCs w:val="18"/>
                <w:color w:val="0000EE"/>
              </w:rPr>
            </w:pPr>
            <w:hyperlink w:anchor="page113">
              <w:r>
                <w:rPr>
                  <w:rFonts w:ascii="Arial" w:cs="Arial" w:eastAsia="Arial" w:hAnsi="Arial"/>
                  <w:sz w:val="18"/>
                  <w:szCs w:val="18"/>
                  <w:color w:val="0000EE"/>
                </w:rPr>
                <w:t>Item 15.</w:t>
              </w:r>
            </w:hyperlink>
          </w:p>
        </w:tc>
        <w:tc>
          <w:tcPr>
            <w:tcW w:w="9400" w:type="dxa"/>
            <w:vAlign w:val="bottom"/>
            <w:gridSpan w:val="20"/>
          </w:tcPr>
          <w:p>
            <w:pPr>
              <w:spacing w:after="0"/>
              <w:rPr>
                <w:rFonts w:ascii="Arial" w:cs="Arial" w:eastAsia="Arial" w:hAnsi="Arial"/>
                <w:sz w:val="18"/>
                <w:szCs w:val="18"/>
                <w:color w:val="0000EE"/>
              </w:rPr>
            </w:pPr>
            <w:hyperlink w:anchor="page113">
              <w:r>
                <w:rPr>
                  <w:rFonts w:ascii="Arial" w:cs="Arial" w:eastAsia="Arial" w:hAnsi="Arial"/>
                  <w:sz w:val="18"/>
                  <w:szCs w:val="18"/>
                  <w:color w:val="0000EE"/>
                </w:rPr>
                <w:t>Exhibits and Financial Statement Schedules</w:t>
              </w:r>
            </w:hyperlink>
          </w:p>
        </w:tc>
        <w:tc>
          <w:tcPr>
            <w:tcW w:w="420" w:type="dxa"/>
            <w:vAlign w:val="bottom"/>
            <w:gridSpan w:val="5"/>
          </w:tcPr>
          <w:p>
            <w:pPr>
              <w:jc w:val="center"/>
              <w:spacing w:after="0"/>
              <w:rPr>
                <w:rFonts w:ascii="Arial" w:cs="Arial" w:eastAsia="Arial" w:hAnsi="Arial"/>
                <w:sz w:val="18"/>
                <w:szCs w:val="18"/>
                <w:color w:val="0000EE"/>
                <w:w w:val="99"/>
              </w:rPr>
            </w:pPr>
            <w:hyperlink w:anchor="page113">
              <w:r>
                <w:rPr>
                  <w:rFonts w:ascii="Arial" w:cs="Arial" w:eastAsia="Arial" w:hAnsi="Arial"/>
                  <w:sz w:val="18"/>
                  <w:szCs w:val="18"/>
                  <w:color w:val="0000EE"/>
                  <w:w w:val="99"/>
                </w:rPr>
                <w:t>113</w:t>
              </w:r>
            </w:hyperlink>
          </w:p>
        </w:tc>
      </w:tr>
      <w:tr>
        <w:trPr>
          <w:trHeight w:val="20"/>
        </w:trPr>
        <w:tc>
          <w:tcPr>
            <w:tcW w:w="4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w:t>
      </w:r>
    </w:p>
    <w:p>
      <w:pPr>
        <w:sectPr>
          <w:pgSz w:w="11900" w:h="16838" w:orient="portrait"/>
          <w:cols w:equalWidth="0" w:num="1">
            <w:col w:w="11120"/>
          </w:cols>
          <w:pgMar w:left="240" w:top="574" w:right="539" w:bottom="1440" w:gutter="0" w:footer="0" w:header="0"/>
        </w:sectPr>
      </w:pPr>
    </w:p>
    <w:bookmarkStart w:id="2" w:name="page3"/>
    <w:bookmarkEnd w:id="2"/>
    <w:p>
      <w:pPr>
        <w:spacing w:after="0"/>
        <w:rPr>
          <w:sz w:val="20"/>
          <w:szCs w:val="20"/>
          <w:color w:val="auto"/>
        </w:rPr>
      </w:pPr>
      <w:r>
        <w:rPr>
          <w:rFonts w:ascii="Arial" w:cs="Arial" w:eastAsia="Arial" w:hAnsi="Arial"/>
          <w:sz w:val="32"/>
          <w:szCs w:val="32"/>
          <w:b w:val="1"/>
          <w:bCs w:val="1"/>
          <w:i w:val="1"/>
          <w:iCs w:val="1"/>
          <w:color w:val="CC0000"/>
        </w:rPr>
        <w:t>Forward-Looking Statements</w:t>
      </w:r>
    </w:p>
    <w:p>
      <w:pPr>
        <w:spacing w:after="0" w:line="179" w:lineRule="exact"/>
        <w:rPr>
          <w:sz w:val="20"/>
          <w:szCs w:val="20"/>
          <w:color w:val="auto"/>
        </w:rPr>
      </w:pPr>
    </w:p>
    <w:p>
      <w:pPr>
        <w:ind w:right="360"/>
        <w:spacing w:after="0" w:line="268" w:lineRule="auto"/>
        <w:rPr>
          <w:sz w:val="20"/>
          <w:szCs w:val="20"/>
          <w:color w:val="auto"/>
        </w:rPr>
      </w:pPr>
      <w:r>
        <w:rPr>
          <w:rFonts w:ascii="Arial" w:cs="Arial" w:eastAsia="Arial" w:hAnsi="Arial"/>
          <w:sz w:val="20"/>
          <w:szCs w:val="20"/>
          <w:color w:val="auto"/>
        </w:rPr>
        <w:t>T</w:t>
      </w:r>
      <w:r>
        <w:rPr>
          <w:rFonts w:ascii="Arial" w:cs="Arial" w:eastAsia="Arial" w:hAnsi="Arial"/>
          <w:sz w:val="18"/>
          <w:szCs w:val="18"/>
          <w:color w:val="auto"/>
        </w:rPr>
        <w:t>his Annual Report on Form 10-K includes forward-looking statements within the meaning of Section 27A of the Securities Act of 1933 and</w:t>
      </w:r>
      <w:r>
        <w:rPr>
          <w:rFonts w:ascii="Arial" w:cs="Arial" w:eastAsia="Arial" w:hAnsi="Arial"/>
          <w:sz w:val="20"/>
          <w:szCs w:val="20"/>
          <w:color w:val="auto"/>
        </w:rPr>
        <w:t xml:space="preserve"> </w:t>
      </w:r>
      <w:r>
        <w:rPr>
          <w:rFonts w:ascii="Arial" w:cs="Arial" w:eastAsia="Arial" w:hAnsi="Arial"/>
          <w:sz w:val="18"/>
          <w:szCs w:val="18"/>
          <w:color w:val="auto"/>
        </w:rPr>
        <w:t>Section 21E of the Securities Exchange Act of 1934 (Exchange Act). Forward-looking statements include all statements that do not relate solely to historical or current facts, and can generally be identified by the use of words such as “may,” “believe,” “will,” “expect,” “project,” “estimate,” “intend,” “anticipate,” “plan,” “continue,” or similar expressions.</w:t>
      </w:r>
    </w:p>
    <w:p>
      <w:pPr>
        <w:spacing w:after="0" w:line="5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particular, information appearing under “Business,” “Risk Factors” and “Management's Discussion and Analysis of Financial Condition and Results of Operations” includes forward-looking statements. Forward-looking statements inherently involve many risks and uncertainties that could cause actual results to differ materially from those projected in these statements. Where, in any forward-looking statement, we express an expectation or belief as to future results or events, it is based on management's current plans and expectations, expressed in good faith and believed to have a reasonable basis. However, we can give no assurance that any such expectation or belief will result or will be achieved or accomplished. The following include some but not all of the factors that could cause actual results or events to differ materially from those anticipated:</w:t>
      </w:r>
    </w:p>
    <w:p>
      <w:pPr>
        <w:spacing w:after="0" w:line="15"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timing of anticipated regulatory approvals and launches of new products;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market uptake of recently launched products;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competitive developments affecting current products;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expiration of intellectual property protection for certain of our products;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protect and enforce patents and other intellectual property;</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impact of actions of governmental and private payers affecting pricing of, reimbursement for, and access to pharmaceuticals;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regulatory compliance problems or government investigations;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regulatory actions regarding currently marketed products;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unexpected safety or efficacy concerns associated with our products;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issues with product supply stemming from manufacturing difficulties or disruptions;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regulatory changes or other developments;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patent law or regulations related to data-package exclusivity;</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litigation involving past, current or future products as we are largely self-insured;</w:t>
      </w:r>
    </w:p>
    <w:p>
      <w:pPr>
        <w:spacing w:after="0" w:line="63" w:lineRule="exact"/>
        <w:rPr>
          <w:rFonts w:ascii="Arial" w:cs="Arial" w:eastAsia="Arial" w:hAnsi="Arial"/>
          <w:sz w:val="18"/>
          <w:szCs w:val="18"/>
          <w:color w:val="auto"/>
        </w:rPr>
      </w:pPr>
    </w:p>
    <w:p>
      <w:pPr>
        <w:ind w:left="1300" w:right="20" w:hanging="968"/>
        <w:spacing w:after="0" w:line="281" w:lineRule="auto"/>
        <w:tabs>
          <w:tab w:leader="none" w:pos="652" w:val="left"/>
        </w:tabs>
        <w:numPr>
          <w:ilvl w:val="0"/>
          <w:numId w:val="2"/>
        </w:numPr>
        <w:rPr>
          <w:rFonts w:ascii="Arial" w:cs="Arial" w:eastAsia="Arial" w:hAnsi="Arial"/>
          <w:sz w:val="18"/>
          <w:szCs w:val="18"/>
          <w:color w:val="auto"/>
        </w:rPr>
      </w:pPr>
      <w:r>
        <w:rPr>
          <w:rFonts w:ascii="Arial" w:cs="Arial" w:eastAsia="Arial" w:hAnsi="Arial"/>
          <w:sz w:val="18"/>
          <w:szCs w:val="18"/>
          <w:color w:val="auto"/>
        </w:rPr>
        <w:t>unauthorized disclosure or misappropriation of trade secrets or other confidential data stored in our information systems, networks, and facilities, or those of third parties with whom we share our data;</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tax law;</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foreign currency exchange rates, interest rates, and inflation;</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asset impairments and restructuring charges;</w:t>
      </w:r>
    </w:p>
    <w:p>
      <w:pPr>
        <w:spacing w:after="0" w:line="63" w:lineRule="exact"/>
        <w:rPr>
          <w:rFonts w:ascii="Arial" w:cs="Arial" w:eastAsia="Arial" w:hAnsi="Arial"/>
          <w:sz w:val="18"/>
          <w:szCs w:val="18"/>
          <w:color w:val="auto"/>
        </w:rPr>
      </w:pPr>
    </w:p>
    <w:p>
      <w:pPr>
        <w:ind w:left="1300" w:right="740" w:hanging="968"/>
        <w:spacing w:after="0" w:line="281" w:lineRule="auto"/>
        <w:tabs>
          <w:tab w:leader="none" w:pos="652"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accounting standards promulgated by the Financial Accounting Standards Board and the Securities and Exchange Commission;</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acquisitions and business development transactions and related integration costs;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information technology system inadequacies or operating failures;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reliance on third-party relationships and outsourcing arrangements;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impact of global macroeconomic conditions.</w:t>
      </w:r>
    </w:p>
    <w:p>
      <w:pPr>
        <w:spacing w:after="0" w:line="333" w:lineRule="exact"/>
        <w:rPr>
          <w:sz w:val="20"/>
          <w:szCs w:val="20"/>
          <w:color w:val="auto"/>
        </w:rPr>
      </w:pPr>
    </w:p>
    <w:p>
      <w:pPr>
        <w:ind w:right="140"/>
        <w:spacing w:after="0" w:line="271" w:lineRule="auto"/>
        <w:rPr>
          <w:sz w:val="20"/>
          <w:szCs w:val="20"/>
          <w:color w:val="auto"/>
        </w:rPr>
      </w:pPr>
      <w:r>
        <w:rPr>
          <w:rFonts w:ascii="Arial" w:cs="Arial" w:eastAsia="Arial" w:hAnsi="Arial"/>
          <w:sz w:val="18"/>
          <w:szCs w:val="18"/>
          <w:color w:val="auto"/>
        </w:rPr>
        <w:t>Investors should not place undue reliance on forward-looking statements. You should carefully read the factors described in the “Risk Factors” section of this Annual Report on Form 10-K for a description of certain risks that could, among other things, cause our actual results to differ from these forward-looking statements.</w:t>
      </w:r>
    </w:p>
    <w:p>
      <w:pPr>
        <w:spacing w:after="0" w:line="55"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color w:val="auto"/>
        </w:rPr>
        <w:t>All forward-looking statements speak only as of the date of this report and are expressly qualified in their entirety by the cautionary statements included in this report. Except as is required by law, we expressly disclaim any obligation to publicly release any revisions to forward-looking statements to reflect events after the date of this report.</w:t>
      </w:r>
    </w:p>
    <w:p>
      <w:pPr>
        <w:spacing w:after="0" w:line="19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3</w:t>
      </w:r>
    </w:p>
    <w:p>
      <w:pPr>
        <w:sectPr>
          <w:pgSz w:w="11900" w:h="16838" w:orient="portrait"/>
          <w:cols w:equalWidth="0" w:num="1">
            <w:col w:w="11420"/>
          </w:cols>
          <w:pgMar w:left="240" w:top="562" w:right="239" w:bottom="1440" w:gutter="0" w:footer="0" w:header="0"/>
        </w:sectPr>
      </w:pPr>
    </w:p>
    <w:bookmarkStart w:id="3" w:name="page4"/>
    <w:bookmarkEnd w:id="3"/>
    <w:p>
      <w:pPr>
        <w:spacing w:after="0"/>
        <w:rPr>
          <w:sz w:val="20"/>
          <w:szCs w:val="20"/>
          <w:color w:val="auto"/>
        </w:rPr>
      </w:pPr>
      <w:r>
        <w:rPr>
          <w:rFonts w:ascii="Arial" w:cs="Arial" w:eastAsia="Arial" w:hAnsi="Arial"/>
          <w:sz w:val="32"/>
          <w:szCs w:val="32"/>
          <w:b w:val="1"/>
          <w:bCs w:val="1"/>
          <w:color w:val="auto"/>
        </w:rPr>
        <w:t>Part I</w:t>
      </w:r>
    </w:p>
    <w:p>
      <w:pPr>
        <w:spacing w:after="0" w:line="232" w:lineRule="exact"/>
        <w:rPr>
          <w:sz w:val="20"/>
          <w:szCs w:val="20"/>
          <w:color w:val="auto"/>
        </w:rPr>
      </w:pPr>
    </w:p>
    <w:p>
      <w:pPr>
        <w:spacing w:after="0"/>
        <w:rPr>
          <w:sz w:val="20"/>
          <w:szCs w:val="20"/>
          <w:color w:val="auto"/>
        </w:rPr>
      </w:pPr>
      <w:r>
        <w:rPr>
          <w:rFonts w:ascii="Arial" w:cs="Arial" w:eastAsia="Arial" w:hAnsi="Arial"/>
          <w:sz w:val="32"/>
          <w:szCs w:val="32"/>
          <w:b w:val="1"/>
          <w:bCs w:val="1"/>
          <w:i w:val="1"/>
          <w:iCs w:val="1"/>
          <w:color w:val="CC0000"/>
        </w:rPr>
        <w:t>Item 1.  Business</w:t>
      </w:r>
    </w:p>
    <w:p>
      <w:pPr>
        <w:spacing w:after="0" w:line="186" w:lineRule="exact"/>
        <w:rPr>
          <w:sz w:val="20"/>
          <w:szCs w:val="20"/>
          <w:color w:val="auto"/>
        </w:rPr>
      </w:pPr>
    </w:p>
    <w:p>
      <w:pPr>
        <w:ind w:right="580"/>
        <w:spacing w:after="0" w:line="271" w:lineRule="auto"/>
        <w:rPr>
          <w:sz w:val="20"/>
          <w:szCs w:val="20"/>
          <w:color w:val="auto"/>
        </w:rPr>
      </w:pPr>
      <w:r>
        <w:rPr>
          <w:rFonts w:ascii="Arial" w:cs="Arial" w:eastAsia="Arial" w:hAnsi="Arial"/>
          <w:sz w:val="18"/>
          <w:szCs w:val="18"/>
          <w:color w:val="auto"/>
        </w:rPr>
        <w:t>Eli Lilly and Company (the “company” or “registrant” or "Lilly") was incorporated in 1901 in Indiana to succeed to the drug manufacturing business founded in Indianapolis, Indiana, in 1876 by Colonel Eli Lilly. We discover, develop, manufacture, and market products in two business segments—human pharmaceutical products and animal health products.</w:t>
      </w:r>
    </w:p>
    <w:p>
      <w:pPr>
        <w:spacing w:after="0" w:line="5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mission of our human pharmaceutical business is to make medicines that help people live longer, healthier, more active lives. Our vision is to make a significant contribution to humanity by improving global health in the 21st century. Most of the products we sell today were discovered or developed by our own scientists, and our success depends to a great extent on our ability to continue to discover, develop, and bring to market innovative new medicines.</w:t>
      </w:r>
    </w:p>
    <w:p>
      <w:pPr>
        <w:spacing w:after="0" w:line="62" w:lineRule="exact"/>
        <w:rPr>
          <w:sz w:val="20"/>
          <w:szCs w:val="20"/>
          <w:color w:val="auto"/>
        </w:rPr>
      </w:pPr>
    </w:p>
    <w:p>
      <w:pPr>
        <w:jc w:val="both"/>
        <w:ind w:right="200"/>
        <w:spacing w:after="0" w:line="271" w:lineRule="auto"/>
        <w:rPr>
          <w:sz w:val="20"/>
          <w:szCs w:val="20"/>
          <w:color w:val="auto"/>
        </w:rPr>
      </w:pPr>
      <w:r>
        <w:rPr>
          <w:rFonts w:ascii="Arial" w:cs="Arial" w:eastAsia="Arial" w:hAnsi="Arial"/>
          <w:sz w:val="18"/>
          <w:szCs w:val="18"/>
          <w:color w:val="auto"/>
        </w:rPr>
        <w:t>Our animal health business, operating through our Elanco division, develops, manufactures, and markets products for both food animals and companion animals. Elanco food animal products help the food industry produce an abundant supply of safe, nutritious and affordable food. Elanco companion animal products help pets live longer, healthier, happier lives.</w:t>
      </w:r>
    </w:p>
    <w:p>
      <w:pPr>
        <w:spacing w:after="0" w:line="55" w:lineRule="exact"/>
        <w:rPr>
          <w:sz w:val="20"/>
          <w:szCs w:val="20"/>
          <w:color w:val="auto"/>
        </w:rPr>
      </w:pPr>
    </w:p>
    <w:p>
      <w:pPr>
        <w:spacing w:after="0" w:line="292" w:lineRule="auto"/>
        <w:rPr>
          <w:sz w:val="20"/>
          <w:szCs w:val="20"/>
          <w:color w:val="auto"/>
        </w:rPr>
      </w:pPr>
      <w:r>
        <w:rPr>
          <w:rFonts w:ascii="Arial" w:cs="Arial" w:eastAsia="Arial" w:hAnsi="Arial"/>
          <w:sz w:val="18"/>
          <w:szCs w:val="18"/>
          <w:color w:val="auto"/>
        </w:rPr>
        <w:t>We manufacture and distribute our products through facilities in the United States (U.S.), Puerto Rico, and 14 other countries. Our products are sold in approximately 125 countries.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Human Pharmaceutical Products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Our human pharmaceutical products include:</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Endocrinology products</w:t>
      </w:r>
      <w:r>
        <w:rPr>
          <w:rFonts w:ascii="Arial" w:cs="Arial" w:eastAsia="Arial" w:hAnsi="Arial"/>
          <w:sz w:val="18"/>
          <w:szCs w:val="18"/>
          <w:color w:val="auto"/>
        </w:rPr>
        <w:t>, including:</w:t>
      </w:r>
    </w:p>
    <w:p>
      <w:pPr>
        <w:spacing w:after="0" w:line="119"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Humalog</w:t>
      </w:r>
      <w:r>
        <w:rPr>
          <w:rFonts w:ascii="Arial" w:cs="Arial" w:eastAsia="Arial" w:hAnsi="Arial"/>
          <w:sz w:val="21"/>
          <w:szCs w:val="21"/>
          <w:i w:val="1"/>
          <w:iCs w:val="1"/>
          <w:color w:val="auto"/>
          <w:vertAlign w:val="superscript"/>
        </w:rPr>
        <w:t>®</w:t>
      </w:r>
      <w:r>
        <w:rPr>
          <w:rFonts w:ascii="Arial" w:cs="Arial" w:eastAsia="Arial" w:hAnsi="Arial"/>
          <w:sz w:val="18"/>
          <w:szCs w:val="18"/>
          <w:color w:val="auto"/>
        </w:rPr>
        <w:t>,</w:t>
      </w:r>
      <w:r>
        <w:rPr>
          <w:rFonts w:ascii="Arial" w:cs="Arial" w:eastAsia="Arial" w:hAnsi="Arial"/>
          <w:sz w:val="18"/>
          <w:szCs w:val="18"/>
          <w:i w:val="1"/>
          <w:iCs w:val="1"/>
          <w:color w:val="auto"/>
        </w:rPr>
        <w:t xml:space="preserve"> Humalog Mix 75/25</w:t>
      </w:r>
      <w:r>
        <w:rPr>
          <w:rFonts w:ascii="Arial" w:cs="Arial" w:eastAsia="Arial" w:hAnsi="Arial"/>
          <w:sz w:val="21"/>
          <w:szCs w:val="21"/>
          <w:i w:val="1"/>
          <w:iCs w:val="1"/>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and</w:t>
      </w:r>
      <w:r>
        <w:rPr>
          <w:rFonts w:ascii="Arial" w:cs="Arial" w:eastAsia="Arial" w:hAnsi="Arial"/>
          <w:sz w:val="18"/>
          <w:szCs w:val="18"/>
          <w:i w:val="1"/>
          <w:iCs w:val="1"/>
          <w:color w:val="auto"/>
        </w:rPr>
        <w:t xml:space="preserve"> Humalog Mix 50/50</w:t>
      </w:r>
      <w:r>
        <w:rPr>
          <w:rFonts w:ascii="Arial" w:cs="Arial" w:eastAsia="Arial" w:hAnsi="Arial"/>
          <w:sz w:val="21"/>
          <w:szCs w:val="21"/>
          <w:i w:val="1"/>
          <w:iCs w:val="1"/>
          <w:color w:val="auto"/>
          <w:vertAlign w:val="superscript"/>
        </w:rPr>
        <w:t>™</w:t>
      </w:r>
      <w:r>
        <w:rPr>
          <w:rFonts w:ascii="Arial" w:cs="Arial" w:eastAsia="Arial" w:hAnsi="Arial"/>
          <w:sz w:val="18"/>
          <w:szCs w:val="18"/>
          <w:color w:val="auto"/>
        </w:rPr>
        <w:t>, insulin analogs for the treatment of diabetes</w:t>
      </w:r>
    </w:p>
    <w:p>
      <w:pPr>
        <w:spacing w:after="0" w:line="8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Humulin</w:t>
      </w:r>
      <w:r>
        <w:rPr>
          <w:rFonts w:ascii="Arial" w:cs="Arial" w:eastAsia="Arial" w:hAnsi="Arial"/>
          <w:sz w:val="21"/>
          <w:szCs w:val="21"/>
          <w:i w:val="1"/>
          <w:iCs w:val="1"/>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human insulin of recombinant DNA origin for the treatment of diabetes</w:t>
      </w:r>
    </w:p>
    <w:p>
      <w:pPr>
        <w:spacing w:after="0" w:line="8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Trajenta</w:t>
      </w:r>
      <w:r>
        <w:rPr>
          <w:rFonts w:ascii="Arial" w:cs="Arial" w:eastAsia="Arial" w:hAnsi="Arial"/>
          <w:sz w:val="21"/>
          <w:szCs w:val="21"/>
          <w:i w:val="1"/>
          <w:iCs w:val="1"/>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treatment of type 2 diabetes</w:t>
      </w:r>
    </w:p>
    <w:p>
      <w:pPr>
        <w:spacing w:after="0" w:line="8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Jentadueto</w:t>
      </w:r>
      <w:r>
        <w:rPr>
          <w:rFonts w:ascii="Arial" w:cs="Arial" w:eastAsia="Arial" w:hAnsi="Arial"/>
          <w:sz w:val="21"/>
          <w:szCs w:val="21"/>
          <w:i w:val="1"/>
          <w:iCs w:val="1"/>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a combination tablet of linagliptin (Trajenta) and metformin hydrochloride for use in the treatment of type 2 diabetes</w:t>
      </w:r>
    </w:p>
    <w:p>
      <w:pPr>
        <w:spacing w:after="0" w:line="8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Jardiance</w:t>
      </w:r>
      <w:r>
        <w:rPr>
          <w:rFonts w:ascii="Arial" w:cs="Arial" w:eastAsia="Arial" w:hAnsi="Arial"/>
          <w:sz w:val="21"/>
          <w:szCs w:val="21"/>
          <w:i w:val="1"/>
          <w:iCs w:val="1"/>
          <w:color w:val="auto"/>
          <w:vertAlign w:val="superscript"/>
        </w:rPr>
        <w:t>®</w:t>
      </w:r>
      <w:r>
        <w:rPr>
          <w:rFonts w:ascii="Arial" w:cs="Arial" w:eastAsia="Arial" w:hAnsi="Arial"/>
          <w:sz w:val="18"/>
          <w:szCs w:val="18"/>
          <w:color w:val="auto"/>
        </w:rPr>
        <w:t>, for the treatment of type 2 diabetes (approved in the U.S., Europe, and Japan in 2014)</w:t>
      </w:r>
    </w:p>
    <w:p>
      <w:pPr>
        <w:spacing w:after="0" w:line="8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Trulicity</w:t>
      </w:r>
      <w:r>
        <w:rPr>
          <w:rFonts w:ascii="Arial" w:cs="Arial" w:eastAsia="Arial" w:hAnsi="Arial"/>
          <w:sz w:val="21"/>
          <w:szCs w:val="21"/>
          <w:i w:val="1"/>
          <w:iCs w:val="1"/>
          <w:color w:val="auto"/>
          <w:vertAlign w:val="superscript"/>
        </w:rPr>
        <w:t>®</w:t>
      </w:r>
      <w:r>
        <w:rPr>
          <w:rFonts w:ascii="Arial" w:cs="Arial" w:eastAsia="Arial" w:hAnsi="Arial"/>
          <w:sz w:val="18"/>
          <w:szCs w:val="18"/>
          <w:color w:val="auto"/>
        </w:rPr>
        <w:t>, for the treatment of type 2 diabetes (approved in the U.S. and Europe in 2014 and Japan in 2015)</w:t>
      </w:r>
    </w:p>
    <w:p>
      <w:pPr>
        <w:spacing w:after="0" w:line="82" w:lineRule="exact"/>
        <w:rPr>
          <w:rFonts w:ascii="Arial" w:cs="Arial" w:eastAsia="Arial" w:hAnsi="Arial"/>
          <w:sz w:val="18"/>
          <w:szCs w:val="18"/>
          <w:color w:val="auto"/>
        </w:rPr>
      </w:pPr>
    </w:p>
    <w:p>
      <w:pPr>
        <w:ind w:left="660" w:hanging="328"/>
        <w:spacing w:after="0" w:line="252"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Glyxambi</w:t>
      </w:r>
      <w:r>
        <w:rPr>
          <w:rFonts w:ascii="Arial" w:cs="Arial" w:eastAsia="Arial" w:hAnsi="Arial"/>
          <w:sz w:val="21"/>
          <w:szCs w:val="21"/>
          <w:i w:val="1"/>
          <w:iCs w:val="1"/>
          <w:color w:val="auto"/>
          <w:vertAlign w:val="superscript"/>
        </w:rPr>
        <w:t>®</w:t>
      </w:r>
      <w:r>
        <w:rPr>
          <w:rFonts w:ascii="Arial" w:cs="Arial" w:eastAsia="Arial" w:hAnsi="Arial"/>
          <w:sz w:val="18"/>
          <w:szCs w:val="18"/>
          <w:color w:val="auto"/>
        </w:rPr>
        <w:t>, a combination tablet of linagliptin and empagliflozin (Jardiance) for the treatment of type 2 diabetes (approved in the U.S. in</w:t>
      </w:r>
      <w:r>
        <w:rPr>
          <w:rFonts w:ascii="Arial" w:cs="Arial" w:eastAsia="Arial" w:hAnsi="Arial"/>
          <w:sz w:val="18"/>
          <w:szCs w:val="18"/>
          <w:i w:val="1"/>
          <w:iCs w:val="1"/>
          <w:color w:val="auto"/>
        </w:rPr>
        <w:t xml:space="preserve"> </w:t>
      </w:r>
      <w:r>
        <w:rPr>
          <w:rFonts w:ascii="Arial" w:cs="Arial" w:eastAsia="Arial" w:hAnsi="Arial"/>
          <w:sz w:val="18"/>
          <w:szCs w:val="18"/>
          <w:color w:val="auto"/>
        </w:rPr>
        <w:t>2015)</w:t>
      </w:r>
    </w:p>
    <w:p>
      <w:pPr>
        <w:spacing w:after="0" w:line="69" w:lineRule="exact"/>
        <w:rPr>
          <w:rFonts w:ascii="Arial" w:cs="Arial" w:eastAsia="Arial" w:hAnsi="Arial"/>
          <w:sz w:val="18"/>
          <w:szCs w:val="18"/>
          <w:color w:val="auto"/>
        </w:rPr>
      </w:pPr>
    </w:p>
    <w:p>
      <w:pPr>
        <w:ind w:left="660" w:hanging="328"/>
        <w:spacing w:after="0" w:line="252"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Synjardy</w:t>
      </w:r>
      <w:r>
        <w:rPr>
          <w:rFonts w:ascii="Arial" w:cs="Arial" w:eastAsia="Arial" w:hAnsi="Arial"/>
          <w:sz w:val="21"/>
          <w:szCs w:val="21"/>
          <w:i w:val="1"/>
          <w:iCs w:val="1"/>
          <w:color w:val="auto"/>
          <w:vertAlign w:val="superscript"/>
        </w:rPr>
        <w:t>®</w:t>
      </w:r>
      <w:r>
        <w:rPr>
          <w:rFonts w:ascii="Arial" w:cs="Arial" w:eastAsia="Arial" w:hAnsi="Arial"/>
          <w:sz w:val="18"/>
          <w:szCs w:val="18"/>
          <w:color w:val="auto"/>
        </w:rPr>
        <w:t>, a combination tablet of empagliflozin and metformin hydrochloride for the treatment of type 2 diabetes (approved in the U.S.</w:t>
      </w:r>
      <w:r>
        <w:rPr>
          <w:rFonts w:ascii="Arial" w:cs="Arial" w:eastAsia="Arial" w:hAnsi="Arial"/>
          <w:sz w:val="18"/>
          <w:szCs w:val="18"/>
          <w:i w:val="1"/>
          <w:iCs w:val="1"/>
          <w:color w:val="auto"/>
        </w:rPr>
        <w:t xml:space="preserve"> </w:t>
      </w:r>
      <w:r>
        <w:rPr>
          <w:rFonts w:ascii="Arial" w:cs="Arial" w:eastAsia="Arial" w:hAnsi="Arial"/>
          <w:sz w:val="18"/>
          <w:szCs w:val="18"/>
          <w:color w:val="auto"/>
        </w:rPr>
        <w:t>and Europe in 2015)</w:t>
      </w:r>
    </w:p>
    <w:p>
      <w:pPr>
        <w:spacing w:after="0" w:line="69" w:lineRule="exact"/>
        <w:rPr>
          <w:rFonts w:ascii="Arial" w:cs="Arial" w:eastAsia="Arial" w:hAnsi="Arial"/>
          <w:sz w:val="18"/>
          <w:szCs w:val="18"/>
          <w:color w:val="auto"/>
        </w:rPr>
      </w:pPr>
    </w:p>
    <w:p>
      <w:pPr>
        <w:ind w:left="660" w:right="60" w:hanging="328"/>
        <w:spacing w:after="0" w:line="246"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Basaglar</w:t>
      </w:r>
      <w:r>
        <w:rPr>
          <w:rFonts w:ascii="Arial" w:cs="Arial" w:eastAsia="Arial" w:hAnsi="Arial"/>
          <w:sz w:val="21"/>
          <w:szCs w:val="21"/>
          <w:i w:val="1"/>
          <w:iCs w:val="1"/>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(insulin glargine injection), a long-acting human insulin analog for the treatment of diabetes (launched in Japan in 2015 and</w:t>
      </w:r>
      <w:r>
        <w:rPr>
          <w:rFonts w:ascii="Arial" w:cs="Arial" w:eastAsia="Arial" w:hAnsi="Arial"/>
          <w:sz w:val="18"/>
          <w:szCs w:val="18"/>
          <w:i w:val="1"/>
          <w:iCs w:val="1"/>
          <w:color w:val="auto"/>
        </w:rPr>
        <w:t xml:space="preserve"> </w:t>
      </w:r>
      <w:r>
        <w:rPr>
          <w:rFonts w:ascii="Arial" w:cs="Arial" w:eastAsia="Arial" w:hAnsi="Arial"/>
          <w:sz w:val="18"/>
          <w:szCs w:val="18"/>
          <w:color w:val="auto"/>
        </w:rPr>
        <w:t>in Europe in 2015 under the trade name Abasaglar</w:t>
      </w:r>
      <w:r>
        <w:rPr>
          <w:rFonts w:ascii="Arial" w:cs="Arial" w:eastAsia="Arial" w:hAnsi="Arial"/>
          <w:sz w:val="21"/>
          <w:szCs w:val="21"/>
          <w:color w:val="auto"/>
          <w:vertAlign w:val="superscript"/>
        </w:rPr>
        <w:t>®</w:t>
      </w:r>
      <w:r>
        <w:rPr>
          <w:rFonts w:ascii="Arial" w:cs="Arial" w:eastAsia="Arial" w:hAnsi="Arial"/>
          <w:sz w:val="18"/>
          <w:szCs w:val="18"/>
          <w:color w:val="auto"/>
        </w:rPr>
        <w:t>). Basaglar was also approved in the U.S. in 2015; under an agreement settling patent litigation with Sanofi-Aventis U.S. LLC (Sanofi) regarding Sanofi's insulin glargine product, we will have the ability to launch Basaglar in the U.S. on December 15, 2016. Under the terms of the agreement, Sanofi has granted us a royalty-bearing license so we can manufacture and sell Basaglar in the Kwikpen</w:t>
      </w:r>
      <w:r>
        <w:rPr>
          <w:rFonts w:ascii="Arial" w:cs="Arial" w:eastAsia="Arial" w:hAnsi="Arial"/>
          <w:sz w:val="21"/>
          <w:szCs w:val="21"/>
          <w:color w:val="auto"/>
          <w:vertAlign w:val="superscript"/>
        </w:rPr>
        <w:t>™</w:t>
      </w:r>
      <w:r>
        <w:rPr>
          <w:rFonts w:ascii="Arial" w:cs="Arial" w:eastAsia="Arial" w:hAnsi="Arial"/>
          <w:sz w:val="18"/>
          <w:szCs w:val="18"/>
          <w:color w:val="auto"/>
        </w:rPr>
        <w:t xml:space="preserve"> device globally.</w:t>
      </w:r>
    </w:p>
    <w:p>
      <w:pPr>
        <w:spacing w:after="0" w:line="21" w:lineRule="exact"/>
        <w:rPr>
          <w:rFonts w:ascii="Arial" w:cs="Arial" w:eastAsia="Arial" w:hAnsi="Arial"/>
          <w:sz w:val="18"/>
          <w:szCs w:val="18"/>
          <w:color w:val="auto"/>
        </w:rPr>
      </w:pPr>
    </w:p>
    <w:p>
      <w:pPr>
        <w:ind w:left="660" w:right="200" w:hanging="328"/>
        <w:spacing w:after="0" w:line="252"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Forteo</w:t>
      </w:r>
      <w:r>
        <w:rPr>
          <w:rFonts w:ascii="Arial" w:cs="Arial" w:eastAsia="Arial" w:hAnsi="Arial"/>
          <w:sz w:val="21"/>
          <w:szCs w:val="21"/>
          <w:i w:val="1"/>
          <w:iCs w:val="1"/>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treatment of osteoporosis in postmenopausal women and men at high risk for fracture and for glucocorticoid-induced</w:t>
      </w:r>
      <w:r>
        <w:rPr>
          <w:rFonts w:ascii="Arial" w:cs="Arial" w:eastAsia="Arial" w:hAnsi="Arial"/>
          <w:sz w:val="18"/>
          <w:szCs w:val="18"/>
          <w:i w:val="1"/>
          <w:iCs w:val="1"/>
          <w:color w:val="auto"/>
        </w:rPr>
        <w:t xml:space="preserve"> </w:t>
      </w:r>
      <w:r>
        <w:rPr>
          <w:rFonts w:ascii="Arial" w:cs="Arial" w:eastAsia="Arial" w:hAnsi="Arial"/>
          <w:sz w:val="18"/>
          <w:szCs w:val="18"/>
          <w:color w:val="auto"/>
        </w:rPr>
        <w:t>osteoporosis in men and postmenopausal women</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4</w:t>
      </w:r>
    </w:p>
    <w:p>
      <w:pPr>
        <w:sectPr>
          <w:pgSz w:w="11900" w:h="16838" w:orient="portrait"/>
          <w:cols w:equalWidth="0" w:num="1">
            <w:col w:w="11380"/>
          </w:cols>
          <w:pgMar w:left="240" w:top="556" w:right="279" w:bottom="1440" w:gutter="0" w:footer="0" w:header="0"/>
        </w:sectPr>
      </w:pPr>
    </w:p>
    <w:bookmarkStart w:id="4" w:name="page5"/>
    <w:bookmarkEnd w:id="4"/>
    <w:p>
      <w:pPr>
        <w:ind w:left="660" w:right="80" w:hanging="328"/>
        <w:spacing w:after="0" w:line="252"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Evista</w:t>
      </w:r>
      <w:r>
        <w:rPr>
          <w:rFonts w:ascii="Arial" w:cs="Arial" w:eastAsia="Arial" w:hAnsi="Arial"/>
          <w:sz w:val="21"/>
          <w:szCs w:val="21"/>
          <w:i w:val="1"/>
          <w:iCs w:val="1"/>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prevention and treatment of osteoporosis in postmenopausal women and for the reduction of the risk of invasive breast</w:t>
      </w:r>
      <w:r>
        <w:rPr>
          <w:rFonts w:ascii="Arial" w:cs="Arial" w:eastAsia="Arial" w:hAnsi="Arial"/>
          <w:sz w:val="18"/>
          <w:szCs w:val="18"/>
          <w:i w:val="1"/>
          <w:iCs w:val="1"/>
          <w:color w:val="auto"/>
        </w:rPr>
        <w:t xml:space="preserve"> </w:t>
      </w:r>
      <w:r>
        <w:rPr>
          <w:rFonts w:ascii="Arial" w:cs="Arial" w:eastAsia="Arial" w:hAnsi="Arial"/>
          <w:sz w:val="18"/>
          <w:szCs w:val="18"/>
          <w:color w:val="auto"/>
        </w:rPr>
        <w:t>cancer in postmenopausal women with osteoporosis and postmenopausal women at high risk for invasive breast cancer</w:t>
      </w:r>
    </w:p>
    <w:p>
      <w:pPr>
        <w:spacing w:after="0" w:line="6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Humatrope</w:t>
      </w:r>
      <w:r>
        <w:rPr>
          <w:rFonts w:ascii="Arial" w:cs="Arial" w:eastAsia="Arial" w:hAnsi="Arial"/>
          <w:sz w:val="21"/>
          <w:szCs w:val="21"/>
          <w:i w:val="1"/>
          <w:iCs w:val="1"/>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treatment of human growth hormone deficiency and certain pediatric growth conditions</w:t>
      </w:r>
    </w:p>
    <w:p>
      <w:pPr>
        <w:spacing w:after="0" w:line="82" w:lineRule="exact"/>
        <w:rPr>
          <w:rFonts w:ascii="Arial" w:cs="Arial" w:eastAsia="Arial" w:hAnsi="Arial"/>
          <w:sz w:val="18"/>
          <w:szCs w:val="18"/>
          <w:color w:val="auto"/>
        </w:rPr>
      </w:pPr>
    </w:p>
    <w:p>
      <w:pPr>
        <w:ind w:left="660" w:right="620" w:hanging="328"/>
        <w:spacing w:after="0" w:line="252"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Axiron</w:t>
      </w:r>
      <w:r>
        <w:rPr>
          <w:rFonts w:ascii="Arial" w:cs="Arial" w:eastAsia="Arial" w:hAnsi="Arial"/>
          <w:sz w:val="21"/>
          <w:szCs w:val="21"/>
          <w:color w:val="auto"/>
          <w:vertAlign w:val="superscript"/>
        </w:rPr>
        <w:t>®</w:t>
      </w:r>
      <w:r>
        <w:rPr>
          <w:rFonts w:ascii="Arial" w:cs="Arial" w:eastAsia="Arial" w:hAnsi="Arial"/>
          <w:sz w:val="18"/>
          <w:szCs w:val="18"/>
          <w:color w:val="auto"/>
        </w:rPr>
        <w:t>, a topical solution of testosterone, applied by underarm applicator, for replacement therapy in men for certain conditions</w:t>
      </w:r>
      <w:r>
        <w:rPr>
          <w:rFonts w:ascii="Arial" w:cs="Arial" w:eastAsia="Arial" w:hAnsi="Arial"/>
          <w:sz w:val="18"/>
          <w:szCs w:val="18"/>
          <w:i w:val="1"/>
          <w:iCs w:val="1"/>
          <w:color w:val="auto"/>
        </w:rPr>
        <w:t xml:space="preserve"> </w:t>
      </w:r>
      <w:r>
        <w:rPr>
          <w:rFonts w:ascii="Arial" w:cs="Arial" w:eastAsia="Arial" w:hAnsi="Arial"/>
          <w:sz w:val="18"/>
          <w:szCs w:val="18"/>
          <w:color w:val="auto"/>
        </w:rPr>
        <w:t>associated with a deficiency or absence of testosterone</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Neuroscience products</w:t>
      </w:r>
      <w:r>
        <w:rPr>
          <w:rFonts w:ascii="Arial" w:cs="Arial" w:eastAsia="Arial" w:hAnsi="Arial"/>
          <w:sz w:val="18"/>
          <w:szCs w:val="18"/>
          <w:color w:val="auto"/>
        </w:rPr>
        <w:t>, including:</w:t>
      </w:r>
    </w:p>
    <w:p>
      <w:pPr>
        <w:spacing w:after="0" w:line="119" w:lineRule="exact"/>
        <w:rPr>
          <w:sz w:val="20"/>
          <w:szCs w:val="20"/>
          <w:color w:val="auto"/>
        </w:rPr>
      </w:pPr>
    </w:p>
    <w:p>
      <w:pPr>
        <w:ind w:left="660" w:right="840" w:hanging="328"/>
        <w:spacing w:after="0" w:line="252"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Cymbalta</w:t>
      </w:r>
      <w:r>
        <w:rPr>
          <w:rFonts w:ascii="Arial" w:cs="Arial" w:eastAsia="Arial" w:hAnsi="Arial"/>
          <w:sz w:val="21"/>
          <w:szCs w:val="21"/>
          <w:i w:val="1"/>
          <w:iCs w:val="1"/>
          <w:color w:val="auto"/>
          <w:vertAlign w:val="superscript"/>
        </w:rPr>
        <w:t>®</w:t>
      </w:r>
      <w:r>
        <w:rPr>
          <w:rFonts w:ascii="Arial" w:cs="Arial" w:eastAsia="Arial" w:hAnsi="Arial"/>
          <w:sz w:val="18"/>
          <w:szCs w:val="18"/>
          <w:color w:val="auto"/>
        </w:rPr>
        <w:t>, for the treatment of major depressive disorder, diabetic peripheral neuropathic pain, generalized anxiety disorder,</w:t>
      </w:r>
      <w:r>
        <w:rPr>
          <w:rFonts w:ascii="Arial" w:cs="Arial" w:eastAsia="Arial" w:hAnsi="Arial"/>
          <w:sz w:val="18"/>
          <w:szCs w:val="18"/>
          <w:i w:val="1"/>
          <w:iCs w:val="1"/>
          <w:color w:val="auto"/>
        </w:rPr>
        <w:t xml:space="preserve"> </w:t>
      </w:r>
      <w:r>
        <w:rPr>
          <w:rFonts w:ascii="Arial" w:cs="Arial" w:eastAsia="Arial" w:hAnsi="Arial"/>
          <w:sz w:val="18"/>
          <w:szCs w:val="18"/>
          <w:color w:val="auto"/>
        </w:rPr>
        <w:t>fibromyalgia, and chronic musculoskeletal pain due to chronic low back pain or chronic pain due to osteoarthritis</w:t>
      </w:r>
    </w:p>
    <w:p>
      <w:pPr>
        <w:spacing w:after="0" w:line="69" w:lineRule="exact"/>
        <w:rPr>
          <w:rFonts w:ascii="Arial" w:cs="Arial" w:eastAsia="Arial" w:hAnsi="Arial"/>
          <w:sz w:val="18"/>
          <w:szCs w:val="18"/>
          <w:color w:val="auto"/>
        </w:rPr>
      </w:pPr>
    </w:p>
    <w:p>
      <w:pPr>
        <w:ind w:left="660" w:right="1020" w:hanging="328"/>
        <w:spacing w:after="0" w:line="252"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Zyprexa</w:t>
      </w:r>
      <w:r>
        <w:rPr>
          <w:rFonts w:ascii="Arial" w:cs="Arial" w:eastAsia="Arial" w:hAnsi="Arial"/>
          <w:sz w:val="21"/>
          <w:szCs w:val="21"/>
          <w:i w:val="1"/>
          <w:iCs w:val="1"/>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treatment of schizophrenia, acute mixed or manic episodes associated with bipolar I disorder, and bipolar</w:t>
      </w:r>
      <w:r>
        <w:rPr>
          <w:rFonts w:ascii="Arial" w:cs="Arial" w:eastAsia="Arial" w:hAnsi="Arial"/>
          <w:sz w:val="18"/>
          <w:szCs w:val="18"/>
          <w:i w:val="1"/>
          <w:iCs w:val="1"/>
          <w:color w:val="auto"/>
        </w:rPr>
        <w:t xml:space="preserve"> </w:t>
      </w:r>
      <w:r>
        <w:rPr>
          <w:rFonts w:ascii="Arial" w:cs="Arial" w:eastAsia="Arial" w:hAnsi="Arial"/>
          <w:sz w:val="18"/>
          <w:szCs w:val="18"/>
          <w:color w:val="auto"/>
        </w:rPr>
        <w:t>maintenance</w:t>
      </w:r>
    </w:p>
    <w:p>
      <w:pPr>
        <w:spacing w:after="0" w:line="6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Strattera</w:t>
      </w:r>
      <w:r>
        <w:rPr>
          <w:rFonts w:ascii="Arial" w:cs="Arial" w:eastAsia="Arial" w:hAnsi="Arial"/>
          <w:sz w:val="21"/>
          <w:szCs w:val="21"/>
          <w:i w:val="1"/>
          <w:iCs w:val="1"/>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treatment of attention-deficit hyperactivity disorder</w:t>
      </w:r>
    </w:p>
    <w:p>
      <w:pPr>
        <w:spacing w:after="0" w:line="82"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Prozac</w:t>
      </w:r>
      <w:r>
        <w:rPr>
          <w:rFonts w:ascii="Arial" w:cs="Arial" w:eastAsia="Arial" w:hAnsi="Arial"/>
          <w:sz w:val="21"/>
          <w:szCs w:val="21"/>
          <w:i w:val="1"/>
          <w:iCs w:val="1"/>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treatment of major depressive disorder, obsessive-compulsive disorder, bulimia nervosa, and panic disorder</w:t>
      </w:r>
    </w:p>
    <w:p>
      <w:pPr>
        <w:spacing w:after="0" w:line="82" w:lineRule="exact"/>
        <w:rPr>
          <w:rFonts w:ascii="Arial" w:cs="Arial" w:eastAsia="Arial" w:hAnsi="Arial"/>
          <w:sz w:val="18"/>
          <w:szCs w:val="18"/>
          <w:color w:val="auto"/>
        </w:rPr>
      </w:pPr>
    </w:p>
    <w:p>
      <w:pPr>
        <w:ind w:left="660" w:right="400" w:hanging="328"/>
        <w:spacing w:after="0" w:line="252"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Amyvid</w:t>
      </w:r>
      <w:r>
        <w:rPr>
          <w:rFonts w:ascii="Arial" w:cs="Arial" w:eastAsia="Arial" w:hAnsi="Arial"/>
          <w:sz w:val="21"/>
          <w:szCs w:val="21"/>
          <w:i w:val="1"/>
          <w:iCs w:val="1"/>
          <w:color w:val="auto"/>
          <w:vertAlign w:val="superscript"/>
        </w:rPr>
        <w:t>®</w:t>
      </w:r>
      <w:r>
        <w:rPr>
          <w:rFonts w:ascii="Arial" w:cs="Arial" w:eastAsia="Arial" w:hAnsi="Arial"/>
          <w:sz w:val="18"/>
          <w:szCs w:val="18"/>
          <w:color w:val="auto"/>
        </w:rPr>
        <w:t>, a radioactive diagnostic agent for positron emission tomography imaging of beta-amyloid neuritic plaques in the brains of</w:t>
      </w:r>
      <w:r>
        <w:rPr>
          <w:rFonts w:ascii="Arial" w:cs="Arial" w:eastAsia="Arial" w:hAnsi="Arial"/>
          <w:sz w:val="18"/>
          <w:szCs w:val="18"/>
          <w:i w:val="1"/>
          <w:iCs w:val="1"/>
          <w:color w:val="auto"/>
        </w:rPr>
        <w:t xml:space="preserve"> </w:t>
      </w:r>
      <w:r>
        <w:rPr>
          <w:rFonts w:ascii="Arial" w:cs="Arial" w:eastAsia="Arial" w:hAnsi="Arial"/>
          <w:sz w:val="18"/>
          <w:szCs w:val="18"/>
          <w:color w:val="auto"/>
        </w:rPr>
        <w:t>adult patients with cognitive impairment who are being evaluated for Alzheimer's disease and other causes of cognitive decline</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Oncology products</w:t>
      </w:r>
      <w:r>
        <w:rPr>
          <w:rFonts w:ascii="Arial" w:cs="Arial" w:eastAsia="Arial" w:hAnsi="Arial"/>
          <w:sz w:val="18"/>
          <w:szCs w:val="18"/>
          <w:color w:val="auto"/>
        </w:rPr>
        <w:t>, including:</w:t>
      </w:r>
    </w:p>
    <w:p>
      <w:pPr>
        <w:spacing w:after="0" w:line="119" w:lineRule="exact"/>
        <w:rPr>
          <w:sz w:val="20"/>
          <w:szCs w:val="20"/>
          <w:color w:val="auto"/>
        </w:rPr>
      </w:pPr>
    </w:p>
    <w:p>
      <w:pPr>
        <w:ind w:left="660" w:right="36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Alimta</w:t>
      </w:r>
      <w:r>
        <w:rPr>
          <w:rFonts w:ascii="Arial" w:cs="Arial" w:eastAsia="Arial" w:hAnsi="Arial"/>
          <w:sz w:val="21"/>
          <w:szCs w:val="21"/>
          <w:i w:val="1"/>
          <w:iCs w:val="1"/>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first-line treatment, in combination with another agent, of advanced non-small cell lung cancer (NSCLC) for patients</w:t>
      </w:r>
      <w:r>
        <w:rPr>
          <w:rFonts w:ascii="Arial" w:cs="Arial" w:eastAsia="Arial" w:hAnsi="Arial"/>
          <w:sz w:val="18"/>
          <w:szCs w:val="18"/>
          <w:i w:val="1"/>
          <w:iCs w:val="1"/>
          <w:color w:val="auto"/>
        </w:rPr>
        <w:t xml:space="preserve"> </w:t>
      </w:r>
      <w:r>
        <w:rPr>
          <w:rFonts w:ascii="Arial" w:cs="Arial" w:eastAsia="Arial" w:hAnsi="Arial"/>
          <w:sz w:val="18"/>
          <w:szCs w:val="18"/>
          <w:color w:val="auto"/>
        </w:rPr>
        <w:t>with non-squamous cell histology; for the second-line treatment of advanced non-squamous NSCLC; as monotherapy for the maintenance treatment of advanced non-squamous NSCLC in patients whose disease has not progressed immediately following chemotherapy treatment; and in combination with another agent, for the treatment of malignant pleural mesothelioma</w:t>
      </w:r>
    </w:p>
    <w:p>
      <w:pPr>
        <w:spacing w:after="0" w:line="74"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Erbitux</w:t>
      </w:r>
      <w:r>
        <w:rPr>
          <w:rFonts w:ascii="Arial" w:cs="Arial" w:eastAsia="Arial" w:hAnsi="Arial"/>
          <w:sz w:val="21"/>
          <w:szCs w:val="21"/>
          <w:i w:val="1"/>
          <w:iCs w:val="1"/>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indicated both as a single agent and with another chemotherapy agent for the treatment of certain types of colorectal cancers;</w:t>
      </w:r>
      <w:r>
        <w:rPr>
          <w:rFonts w:ascii="Arial" w:cs="Arial" w:eastAsia="Arial" w:hAnsi="Arial"/>
          <w:sz w:val="18"/>
          <w:szCs w:val="18"/>
          <w:i w:val="1"/>
          <w:iCs w:val="1"/>
          <w:color w:val="auto"/>
        </w:rPr>
        <w:t xml:space="preserve"> </w:t>
      </w:r>
      <w:r>
        <w:rPr>
          <w:rFonts w:ascii="Arial" w:cs="Arial" w:eastAsia="Arial" w:hAnsi="Arial"/>
          <w:sz w:val="18"/>
          <w:szCs w:val="18"/>
          <w:color w:val="auto"/>
        </w:rPr>
        <w:t>and as a single agent, in combination with chemotherapy, or in combination with radiation therapy for the treatment of certain types of head and neck cancers</w:t>
      </w:r>
    </w:p>
    <w:p>
      <w:pPr>
        <w:spacing w:after="0" w:line="7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Cyramza</w:t>
      </w:r>
      <w:r>
        <w:rPr>
          <w:rFonts w:ascii="Arial" w:cs="Arial" w:eastAsia="Arial" w:hAnsi="Arial"/>
          <w:sz w:val="21"/>
          <w:szCs w:val="21"/>
          <w:i w:val="1"/>
          <w:iCs w:val="1"/>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treatment of various cancers, with approvals as follows:</w:t>
      </w:r>
    </w:p>
    <w:p>
      <w:pPr>
        <w:spacing w:after="0" w:line="82" w:lineRule="exact"/>
        <w:rPr>
          <w:rFonts w:ascii="Arial" w:cs="Arial" w:eastAsia="Arial" w:hAnsi="Arial"/>
          <w:sz w:val="18"/>
          <w:szCs w:val="18"/>
          <w:color w:val="auto"/>
        </w:rPr>
      </w:pPr>
    </w:p>
    <w:p>
      <w:pPr>
        <w:ind w:left="1300" w:right="220" w:hanging="320"/>
        <w:spacing w:after="0" w:line="292"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approved in 2014 in the U.S. and the European Union (EU), and in Japan in 2015, both as a single agent and in combination with another agent as a second-line treatment of advanced or metastatic gastric cancer</w:t>
      </w:r>
    </w:p>
    <w:p>
      <w:pPr>
        <w:spacing w:after="0" w:line="36" w:lineRule="exact"/>
        <w:rPr>
          <w:rFonts w:ascii="Arial" w:cs="Arial" w:eastAsia="Arial" w:hAnsi="Arial"/>
          <w:sz w:val="18"/>
          <w:szCs w:val="18"/>
          <w:color w:val="auto"/>
        </w:rPr>
      </w:pPr>
    </w:p>
    <w:p>
      <w:pPr>
        <w:ind w:left="1300" w:right="840" w:hanging="320"/>
        <w:spacing w:after="0" w:line="292"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approved in 2014 in the U.S., and in the EU in 2016, in combination with another agent as a second-line treatment of metastatic NSCLC</w:t>
      </w:r>
    </w:p>
    <w:p>
      <w:pPr>
        <w:spacing w:after="0" w:line="36" w:lineRule="exact"/>
        <w:rPr>
          <w:rFonts w:ascii="Arial" w:cs="Arial" w:eastAsia="Arial" w:hAnsi="Arial"/>
          <w:sz w:val="18"/>
          <w:szCs w:val="18"/>
          <w:color w:val="auto"/>
        </w:rPr>
      </w:pPr>
    </w:p>
    <w:p>
      <w:pPr>
        <w:ind w:left="1300" w:hanging="320"/>
        <w:spacing w:after="0"/>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approved in 2015 in the U.S., and in the EU in 2016, as a second-line treatment of metastatic colorectal cancer</w:t>
      </w:r>
    </w:p>
    <w:p>
      <w:pPr>
        <w:spacing w:after="0" w:line="117" w:lineRule="exact"/>
        <w:rPr>
          <w:rFonts w:ascii="Arial" w:cs="Arial" w:eastAsia="Arial" w:hAnsi="Arial"/>
          <w:sz w:val="18"/>
          <w:szCs w:val="18"/>
          <w:color w:val="auto"/>
        </w:rPr>
      </w:pPr>
    </w:p>
    <w:p>
      <w:pPr>
        <w:ind w:left="660" w:right="600" w:hanging="328"/>
        <w:spacing w:after="0" w:line="252"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Gemzar</w:t>
      </w:r>
      <w:r>
        <w:rPr>
          <w:rFonts w:ascii="Arial" w:cs="Arial" w:eastAsia="Arial" w:hAnsi="Arial"/>
          <w:sz w:val="21"/>
          <w:szCs w:val="21"/>
          <w:i w:val="1"/>
          <w:iCs w:val="1"/>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treatment of pancreatic cancer; in combination with other agents, for the treatment of metastatic breast cancer,</w:t>
      </w:r>
      <w:r>
        <w:rPr>
          <w:rFonts w:ascii="Arial" w:cs="Arial" w:eastAsia="Arial" w:hAnsi="Arial"/>
          <w:sz w:val="18"/>
          <w:szCs w:val="18"/>
          <w:i w:val="1"/>
          <w:iCs w:val="1"/>
          <w:color w:val="auto"/>
        </w:rPr>
        <w:t xml:space="preserve"> </w:t>
      </w:r>
      <w:r>
        <w:rPr>
          <w:rFonts w:ascii="Arial" w:cs="Arial" w:eastAsia="Arial" w:hAnsi="Arial"/>
          <w:sz w:val="18"/>
          <w:szCs w:val="18"/>
          <w:color w:val="auto"/>
        </w:rPr>
        <w:t>NSCLC, and advanced or recurrent ovarian cancer; and in the EU for the treatment of bladder cancer</w:t>
      </w:r>
    </w:p>
    <w:p>
      <w:pPr>
        <w:spacing w:after="0" w:line="69" w:lineRule="exact"/>
        <w:rPr>
          <w:rFonts w:ascii="Arial" w:cs="Arial" w:eastAsia="Arial" w:hAnsi="Arial"/>
          <w:sz w:val="18"/>
          <w:szCs w:val="18"/>
          <w:color w:val="auto"/>
        </w:rPr>
      </w:pPr>
    </w:p>
    <w:p>
      <w:pPr>
        <w:ind w:left="660" w:right="220" w:hanging="328"/>
        <w:spacing w:after="0" w:line="250" w:lineRule="auto"/>
        <w:tabs>
          <w:tab w:leader="none" w:pos="66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Portrazza</w:t>
      </w:r>
      <w:r>
        <w:rPr>
          <w:rFonts w:ascii="Arial" w:cs="Arial" w:eastAsia="Arial" w:hAnsi="Arial"/>
          <w:sz w:val="21"/>
          <w:szCs w:val="21"/>
          <w:i w:val="1"/>
          <w:iCs w:val="1"/>
          <w:color w:val="auto"/>
          <w:vertAlign w:val="superscript"/>
        </w:rPr>
        <w:t>™</w:t>
      </w:r>
      <w:r>
        <w:rPr>
          <w:rFonts w:ascii="Arial" w:cs="Arial" w:eastAsia="Arial" w:hAnsi="Arial"/>
          <w:sz w:val="18"/>
          <w:szCs w:val="18"/>
          <w:color w:val="auto"/>
        </w:rPr>
        <w:t>, approved in 2015 in the U.S. for use in combination with other agents as a first-line treatment of metastatic squamous</w:t>
      </w:r>
      <w:r>
        <w:rPr>
          <w:rFonts w:ascii="Arial" w:cs="Arial" w:eastAsia="Arial" w:hAnsi="Arial"/>
          <w:sz w:val="18"/>
          <w:szCs w:val="18"/>
          <w:i w:val="1"/>
          <w:iCs w:val="1"/>
          <w:color w:val="auto"/>
        </w:rPr>
        <w:t xml:space="preserve"> </w:t>
      </w:r>
      <w:r>
        <w:rPr>
          <w:rFonts w:ascii="Arial" w:cs="Arial" w:eastAsia="Arial" w:hAnsi="Arial"/>
          <w:sz w:val="18"/>
          <w:szCs w:val="18"/>
          <w:color w:val="auto"/>
        </w:rPr>
        <w:t>NSCLC, and approved in 2016 in the EU for use in combination with other agents as a first-line treatment for epidermal growth factor receptor expressing squamous NSCLC</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Cardiovascular products</w:t>
      </w:r>
      <w:r>
        <w:rPr>
          <w:rFonts w:ascii="Arial" w:cs="Arial" w:eastAsia="Arial" w:hAnsi="Arial"/>
          <w:sz w:val="18"/>
          <w:szCs w:val="18"/>
          <w:color w:val="auto"/>
        </w:rPr>
        <w:t>, including:</w:t>
      </w:r>
    </w:p>
    <w:p>
      <w:pPr>
        <w:spacing w:after="0" w:line="119"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Cialis</w:t>
      </w:r>
      <w:r>
        <w:rPr>
          <w:rFonts w:ascii="Arial" w:cs="Arial" w:eastAsia="Arial" w:hAnsi="Arial"/>
          <w:sz w:val="21"/>
          <w:szCs w:val="21"/>
          <w:i w:val="1"/>
          <w:iCs w:val="1"/>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treatment of erectile dysfunction and benign prostatic hyperplasia</w:t>
      </w:r>
    </w:p>
    <w:p>
      <w:pPr>
        <w:spacing w:after="0" w:line="21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5</w:t>
      </w:r>
    </w:p>
    <w:p>
      <w:pPr>
        <w:sectPr>
          <w:pgSz w:w="11900" w:h="16838" w:orient="portrait"/>
          <w:cols w:equalWidth="0" w:num="1">
            <w:col w:w="11420"/>
          </w:cols>
          <w:pgMar w:left="240" w:top="684" w:right="239" w:bottom="1440" w:gutter="0" w:footer="0" w:header="0"/>
        </w:sectPr>
      </w:pPr>
    </w:p>
    <w:bookmarkStart w:id="5" w:name="page6"/>
    <w:bookmarkEnd w:id="5"/>
    <w:p>
      <w:pPr>
        <w:ind w:left="660" w:hanging="328"/>
        <w:spacing w:after="0" w:line="25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Effient</w:t>
      </w:r>
      <w:r>
        <w:rPr>
          <w:rFonts w:ascii="Arial" w:cs="Arial" w:eastAsia="Arial" w:hAnsi="Arial"/>
          <w:sz w:val="21"/>
          <w:szCs w:val="21"/>
          <w:color w:val="auto"/>
          <w:vertAlign w:val="superscript"/>
        </w:rPr>
        <w:t>®</w:t>
      </w:r>
      <w:r>
        <w:rPr>
          <w:rFonts w:ascii="Arial" w:cs="Arial" w:eastAsia="Arial" w:hAnsi="Arial"/>
          <w:sz w:val="18"/>
          <w:szCs w:val="18"/>
          <w:color w:val="auto"/>
        </w:rPr>
        <w:t>, for the reduction of thrombotic cardiovascular events (including stent thrombosis) in patients with acute coronary syndrome</w:t>
      </w:r>
      <w:r>
        <w:rPr>
          <w:rFonts w:ascii="Arial" w:cs="Arial" w:eastAsia="Arial" w:hAnsi="Arial"/>
          <w:sz w:val="18"/>
          <w:szCs w:val="18"/>
          <w:i w:val="1"/>
          <w:iCs w:val="1"/>
          <w:color w:val="auto"/>
        </w:rPr>
        <w:t xml:space="preserve"> </w:t>
      </w:r>
      <w:r>
        <w:rPr>
          <w:rFonts w:ascii="Arial" w:cs="Arial" w:eastAsia="Arial" w:hAnsi="Arial"/>
          <w:sz w:val="18"/>
          <w:szCs w:val="18"/>
          <w:color w:val="auto"/>
        </w:rPr>
        <w:t>who are managed with an artery-opening procedure known as percutaneous coronary intervention (PCI), including patients undergoing angioplasty, atherectomy, or stent placement</w:t>
      </w:r>
    </w:p>
    <w:p>
      <w:pPr>
        <w:spacing w:after="0" w:line="7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ReoPro</w:t>
      </w:r>
      <w:r>
        <w:rPr>
          <w:rFonts w:ascii="Arial" w:cs="Arial" w:eastAsia="Arial" w:hAnsi="Arial"/>
          <w:sz w:val="21"/>
          <w:szCs w:val="21"/>
          <w:i w:val="1"/>
          <w:iCs w:val="1"/>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for use as an adjunct to PCI for the prevention of cardiac ischemic complications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Animal Health Products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Our products for food animals include:</w:t>
      </w:r>
    </w:p>
    <w:p>
      <w:pPr>
        <w:spacing w:after="0" w:line="117"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Rumensin</w:t>
      </w:r>
      <w:r>
        <w:rPr>
          <w:rFonts w:ascii="Arial" w:cs="Arial" w:eastAsia="Arial" w:hAnsi="Arial"/>
          <w:sz w:val="21"/>
          <w:szCs w:val="21"/>
          <w:i w:val="1"/>
          <w:iCs w:val="1"/>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a cattle feed additive that improves feed efficiency and growth and also controls and prevents coccidiosis</w:t>
      </w:r>
    </w:p>
    <w:p>
      <w:pPr>
        <w:spacing w:after="0" w:line="82"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Posilac</w:t>
      </w:r>
      <w:r>
        <w:rPr>
          <w:rFonts w:ascii="Arial" w:cs="Arial" w:eastAsia="Arial" w:hAnsi="Arial"/>
          <w:sz w:val="21"/>
          <w:szCs w:val="21"/>
          <w:i w:val="1"/>
          <w:iCs w:val="1"/>
          <w:color w:val="auto"/>
          <w:vertAlign w:val="superscript"/>
        </w:rPr>
        <w:t>®</w:t>
      </w:r>
      <w:r>
        <w:rPr>
          <w:rFonts w:ascii="Arial" w:cs="Arial" w:eastAsia="Arial" w:hAnsi="Arial"/>
          <w:sz w:val="18"/>
          <w:szCs w:val="18"/>
          <w:color w:val="auto"/>
        </w:rPr>
        <w:t>, a protein supplement to improve milk productivity in dairy cows</w:t>
      </w:r>
    </w:p>
    <w:p>
      <w:pPr>
        <w:spacing w:after="0" w:line="82"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7"/>
          <w:szCs w:val="17"/>
          <w:i w:val="1"/>
          <w:iCs w:val="1"/>
          <w:color w:val="auto"/>
        </w:rPr>
      </w:pPr>
      <w:r>
        <w:rPr>
          <w:rFonts w:ascii="Arial" w:cs="Arial" w:eastAsia="Arial" w:hAnsi="Arial"/>
          <w:sz w:val="18"/>
          <w:szCs w:val="18"/>
          <w:i w:val="1"/>
          <w:iCs w:val="1"/>
          <w:color w:val="auto"/>
        </w:rPr>
        <w:t>Paylean</w:t>
      </w:r>
      <w:r>
        <w:rPr>
          <w:rFonts w:ascii="Arial" w:cs="Arial" w:eastAsia="Arial" w:hAnsi="Arial"/>
          <w:sz w:val="21"/>
          <w:szCs w:val="21"/>
          <w:i w:val="1"/>
          <w:iCs w:val="1"/>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and</w:t>
      </w:r>
      <w:r>
        <w:rPr>
          <w:rFonts w:ascii="Arial" w:cs="Arial" w:eastAsia="Arial" w:hAnsi="Arial"/>
          <w:sz w:val="18"/>
          <w:szCs w:val="18"/>
          <w:i w:val="1"/>
          <w:iCs w:val="1"/>
          <w:color w:val="auto"/>
        </w:rPr>
        <w:t xml:space="preserve"> Optaflexx</w:t>
      </w:r>
      <w:r>
        <w:rPr>
          <w:rFonts w:ascii="Arial" w:cs="Arial" w:eastAsia="Arial" w:hAnsi="Arial"/>
          <w:sz w:val="21"/>
          <w:szCs w:val="21"/>
          <w:i w:val="1"/>
          <w:iCs w:val="1"/>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leanness and performance enhancers for swine and cattle, respectively</w:t>
      </w:r>
    </w:p>
    <w:p>
      <w:pPr>
        <w:spacing w:after="0" w:line="82" w:lineRule="exact"/>
        <w:rPr>
          <w:rFonts w:ascii="Arial" w:cs="Arial" w:eastAsia="Arial" w:hAnsi="Arial"/>
          <w:sz w:val="17"/>
          <w:szCs w:val="17"/>
          <w:i w:val="1"/>
          <w:iCs w:val="1"/>
          <w:color w:val="auto"/>
        </w:rPr>
      </w:pPr>
    </w:p>
    <w:p>
      <w:pPr>
        <w:ind w:left="660" w:hanging="328"/>
        <w:spacing w:after="0"/>
        <w:tabs>
          <w:tab w:leader="none" w:pos="660" w:val="left"/>
        </w:tabs>
        <w:numPr>
          <w:ilvl w:val="0"/>
          <w:numId w:val="9"/>
        </w:numPr>
        <w:rPr>
          <w:rFonts w:ascii="Arial" w:cs="Arial" w:eastAsia="Arial" w:hAnsi="Arial"/>
          <w:sz w:val="17"/>
          <w:szCs w:val="17"/>
          <w:i w:val="1"/>
          <w:iCs w:val="1"/>
          <w:color w:val="auto"/>
        </w:rPr>
      </w:pPr>
      <w:r>
        <w:rPr>
          <w:rFonts w:ascii="Arial" w:cs="Arial" w:eastAsia="Arial" w:hAnsi="Arial"/>
          <w:sz w:val="18"/>
          <w:szCs w:val="18"/>
          <w:i w:val="1"/>
          <w:iCs w:val="1"/>
          <w:color w:val="auto"/>
        </w:rPr>
        <w:t>Tylan</w:t>
      </w:r>
      <w:r>
        <w:rPr>
          <w:rFonts w:ascii="Arial" w:cs="Arial" w:eastAsia="Arial" w:hAnsi="Arial"/>
          <w:sz w:val="21"/>
          <w:szCs w:val="21"/>
          <w:i w:val="1"/>
          <w:iCs w:val="1"/>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an antibiotic used to control certain diseases in cattle, swine, and poultry</w:t>
      </w:r>
    </w:p>
    <w:p>
      <w:pPr>
        <w:spacing w:after="0" w:line="82" w:lineRule="exact"/>
        <w:rPr>
          <w:rFonts w:ascii="Arial" w:cs="Arial" w:eastAsia="Arial" w:hAnsi="Arial"/>
          <w:sz w:val="17"/>
          <w:szCs w:val="17"/>
          <w:i w:val="1"/>
          <w:iCs w:val="1"/>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Micotil</w:t>
      </w:r>
      <w:r>
        <w:rPr>
          <w:rFonts w:ascii="Arial" w:cs="Arial" w:eastAsia="Arial" w:hAnsi="Arial"/>
          <w:sz w:val="21"/>
          <w:szCs w:val="21"/>
          <w:i w:val="1"/>
          <w:iCs w:val="1"/>
          <w:color w:val="auto"/>
          <w:vertAlign w:val="superscript"/>
        </w:rPr>
        <w:t>®</w:t>
      </w:r>
      <w:r>
        <w:rPr>
          <w:rFonts w:ascii="Arial" w:cs="Arial" w:eastAsia="Arial" w:hAnsi="Arial"/>
          <w:sz w:val="18"/>
          <w:szCs w:val="18"/>
          <w:color w:val="auto"/>
        </w:rPr>
        <w:t>,</w:t>
      </w:r>
      <w:r>
        <w:rPr>
          <w:rFonts w:ascii="Arial" w:cs="Arial" w:eastAsia="Arial" w:hAnsi="Arial"/>
          <w:sz w:val="18"/>
          <w:szCs w:val="18"/>
          <w:i w:val="1"/>
          <w:iCs w:val="1"/>
          <w:color w:val="auto"/>
        </w:rPr>
        <w:t xml:space="preserve"> Pulmotil</w:t>
      </w:r>
      <w:r>
        <w:rPr>
          <w:rFonts w:ascii="Arial" w:cs="Arial" w:eastAsia="Arial" w:hAnsi="Arial"/>
          <w:sz w:val="21"/>
          <w:szCs w:val="21"/>
          <w:i w:val="1"/>
          <w:iCs w:val="1"/>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and</w:t>
      </w:r>
      <w:r>
        <w:rPr>
          <w:rFonts w:ascii="Arial" w:cs="Arial" w:eastAsia="Arial" w:hAnsi="Arial"/>
          <w:sz w:val="18"/>
          <w:szCs w:val="18"/>
          <w:i w:val="1"/>
          <w:iCs w:val="1"/>
          <w:color w:val="auto"/>
        </w:rPr>
        <w:t xml:space="preserve"> Pulmotil AC</w:t>
      </w:r>
      <w:r>
        <w:rPr>
          <w:rFonts w:ascii="Arial" w:cs="Arial" w:eastAsia="Arial" w:hAnsi="Arial"/>
          <w:sz w:val="21"/>
          <w:szCs w:val="21"/>
          <w:i w:val="1"/>
          <w:iCs w:val="1"/>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antibiotics used to treat respiratory disease in cattle, swine, and poultry, respectively</w:t>
      </w:r>
    </w:p>
    <w:p>
      <w:pPr>
        <w:spacing w:after="0" w:line="82"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Coban</w:t>
      </w:r>
      <w:r>
        <w:rPr>
          <w:rFonts w:ascii="Arial" w:cs="Arial" w:eastAsia="Arial" w:hAnsi="Arial"/>
          <w:sz w:val="21"/>
          <w:szCs w:val="21"/>
          <w:i w:val="1"/>
          <w:iCs w:val="1"/>
          <w:color w:val="auto"/>
          <w:vertAlign w:val="superscript"/>
        </w:rPr>
        <w:t>®</w:t>
      </w:r>
      <w:r>
        <w:rPr>
          <w:rFonts w:ascii="Arial" w:cs="Arial" w:eastAsia="Arial" w:hAnsi="Arial"/>
          <w:sz w:val="18"/>
          <w:szCs w:val="18"/>
          <w:i w:val="1"/>
          <w:iCs w:val="1"/>
          <w:color w:val="auto"/>
        </w:rPr>
        <w:t>, Monteban</w:t>
      </w:r>
      <w:r>
        <w:rPr>
          <w:rFonts w:ascii="Arial" w:cs="Arial" w:eastAsia="Arial" w:hAnsi="Arial"/>
          <w:sz w:val="21"/>
          <w:szCs w:val="21"/>
          <w:i w:val="1"/>
          <w:iCs w:val="1"/>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and</w:t>
      </w:r>
      <w:r>
        <w:rPr>
          <w:rFonts w:ascii="Arial" w:cs="Arial" w:eastAsia="Arial" w:hAnsi="Arial"/>
          <w:sz w:val="18"/>
          <w:szCs w:val="18"/>
          <w:i w:val="1"/>
          <w:iCs w:val="1"/>
          <w:color w:val="auto"/>
        </w:rPr>
        <w:t xml:space="preserve"> Maxiban</w:t>
      </w:r>
      <w:r>
        <w:rPr>
          <w:rFonts w:ascii="Arial" w:cs="Arial" w:eastAsia="Arial" w:hAnsi="Arial"/>
          <w:sz w:val="21"/>
          <w:szCs w:val="21"/>
          <w:i w:val="1"/>
          <w:iCs w:val="1"/>
          <w:color w:val="auto"/>
          <w:vertAlign w:val="superscript"/>
        </w:rPr>
        <w:t>®</w:t>
      </w:r>
      <w:r>
        <w:rPr>
          <w:rFonts w:ascii="Arial" w:cs="Arial" w:eastAsia="Arial" w:hAnsi="Arial"/>
          <w:sz w:val="18"/>
          <w:szCs w:val="18"/>
          <w:color w:val="auto"/>
        </w:rPr>
        <w:t>, anticoccidial agents for use in poultry</w:t>
      </w:r>
    </w:p>
    <w:p>
      <w:pPr>
        <w:spacing w:after="0" w:line="82"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Surmax</w:t>
      </w:r>
      <w:r>
        <w:rPr>
          <w:rFonts w:ascii="Arial" w:cs="Arial" w:eastAsia="Arial" w:hAnsi="Arial"/>
          <w:sz w:val="21"/>
          <w:szCs w:val="21"/>
          <w:i w:val="1"/>
          <w:iCs w:val="1"/>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(sold as</w:t>
      </w:r>
      <w:r>
        <w:rPr>
          <w:rFonts w:ascii="Arial" w:cs="Arial" w:eastAsia="Arial" w:hAnsi="Arial"/>
          <w:sz w:val="18"/>
          <w:szCs w:val="18"/>
          <w:i w:val="1"/>
          <w:iCs w:val="1"/>
          <w:color w:val="auto"/>
        </w:rPr>
        <w:t xml:space="preserve"> Maxus</w:t>
      </w:r>
      <w:r>
        <w:rPr>
          <w:rFonts w:ascii="Arial" w:cs="Arial" w:eastAsia="Arial" w:hAnsi="Arial"/>
          <w:sz w:val="21"/>
          <w:szCs w:val="21"/>
          <w:i w:val="1"/>
          <w:iCs w:val="1"/>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in some countries), a performance enhancer for swine and poultry</w:t>
      </w:r>
    </w:p>
    <w:p>
      <w:pPr>
        <w:spacing w:after="0" w:line="82"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Imrestor</w:t>
      </w:r>
      <w:r>
        <w:rPr>
          <w:rFonts w:ascii="Arial" w:cs="Arial" w:eastAsia="Arial" w:hAnsi="Arial"/>
          <w:sz w:val="21"/>
          <w:szCs w:val="21"/>
          <w:i w:val="1"/>
          <w:iCs w:val="1"/>
          <w:color w:val="auto"/>
          <w:vertAlign w:val="superscript"/>
        </w:rPr>
        <w:t>™</w:t>
      </w:r>
      <w:r>
        <w:rPr>
          <w:rFonts w:ascii="Arial" w:cs="Arial" w:eastAsia="Arial" w:hAnsi="Arial"/>
          <w:sz w:val="18"/>
          <w:szCs w:val="18"/>
          <w:color w:val="auto"/>
        </w:rPr>
        <w:t>, a biopharmaceutical that restores neutrophil function in peri-parturient dairy cows</w:t>
      </w:r>
    </w:p>
    <w:p>
      <w:pPr>
        <w:spacing w:after="0" w:line="200" w:lineRule="exact"/>
        <w:rPr>
          <w:sz w:val="20"/>
          <w:szCs w:val="20"/>
          <w:color w:val="auto"/>
        </w:rPr>
      </w:pPr>
    </w:p>
    <w:p>
      <w:pPr>
        <w:spacing w:after="0" w:line="207" w:lineRule="exact"/>
        <w:rPr>
          <w:sz w:val="20"/>
          <w:szCs w:val="20"/>
          <w:color w:val="auto"/>
        </w:rPr>
      </w:pPr>
    </w:p>
    <w:p>
      <w:pPr>
        <w:ind w:left="660" w:right="540" w:hanging="328"/>
        <w:spacing w:after="0" w:line="252"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Trifexis</w:t>
      </w:r>
      <w:r>
        <w:rPr>
          <w:rFonts w:ascii="Arial" w:cs="Arial" w:eastAsia="Arial" w:hAnsi="Arial"/>
          <w:sz w:val="21"/>
          <w:szCs w:val="21"/>
          <w:i w:val="1"/>
          <w:iCs w:val="1"/>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a monthly chewable tablet for dogs that kills fleas, prevents flea infestations, prevents heartworm disease, and controls</w:t>
      </w:r>
      <w:r>
        <w:rPr>
          <w:rFonts w:ascii="Arial" w:cs="Arial" w:eastAsia="Arial" w:hAnsi="Arial"/>
          <w:sz w:val="18"/>
          <w:szCs w:val="18"/>
          <w:i w:val="1"/>
          <w:iCs w:val="1"/>
          <w:color w:val="auto"/>
        </w:rPr>
        <w:t xml:space="preserve"> </w:t>
      </w:r>
      <w:r>
        <w:rPr>
          <w:rFonts w:ascii="Arial" w:cs="Arial" w:eastAsia="Arial" w:hAnsi="Arial"/>
          <w:sz w:val="18"/>
          <w:szCs w:val="18"/>
          <w:color w:val="auto"/>
        </w:rPr>
        <w:t>intestinal parasite infections</w:t>
      </w:r>
    </w:p>
    <w:p>
      <w:pPr>
        <w:spacing w:after="0" w:line="6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Comfortis</w:t>
      </w:r>
      <w:r>
        <w:rPr>
          <w:rFonts w:ascii="Arial" w:cs="Arial" w:eastAsia="Arial" w:hAnsi="Arial"/>
          <w:sz w:val="21"/>
          <w:szCs w:val="21"/>
          <w:color w:val="auto"/>
          <w:vertAlign w:val="superscript"/>
        </w:rPr>
        <w:t>®</w:t>
      </w:r>
      <w:r>
        <w:rPr>
          <w:rFonts w:ascii="Arial" w:cs="Arial" w:eastAsia="Arial" w:hAnsi="Arial"/>
          <w:sz w:val="18"/>
          <w:szCs w:val="18"/>
          <w:color w:val="auto"/>
        </w:rPr>
        <w:t>, a chewable tablet that kills fleas and prevents flea infestations on dogs</w:t>
      </w:r>
    </w:p>
    <w:p>
      <w:pPr>
        <w:spacing w:after="0" w:line="82" w:lineRule="exact"/>
        <w:rPr>
          <w:rFonts w:ascii="Arial" w:cs="Arial" w:eastAsia="Arial" w:hAnsi="Arial"/>
          <w:sz w:val="18"/>
          <w:szCs w:val="18"/>
          <w:i w:val="1"/>
          <w:iCs w:val="1"/>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Onsior</w:t>
      </w:r>
      <w:r>
        <w:rPr>
          <w:rFonts w:ascii="Arial" w:cs="Arial" w:eastAsia="Arial" w:hAnsi="Arial"/>
          <w:sz w:val="21"/>
          <w:szCs w:val="21"/>
          <w:color w:val="auto"/>
          <w:vertAlign w:val="superscript"/>
        </w:rPr>
        <w:t>®</w:t>
      </w:r>
      <w:r>
        <w:rPr>
          <w:rFonts w:ascii="Arial" w:cs="Arial" w:eastAsia="Arial" w:hAnsi="Arial"/>
          <w:sz w:val="18"/>
          <w:szCs w:val="18"/>
          <w:color w:val="auto"/>
        </w:rPr>
        <w:t>, a non-steroidal short-term pain reliever for cats administered orally or by injection</w:t>
      </w:r>
    </w:p>
    <w:p>
      <w:pPr>
        <w:spacing w:after="0" w:line="82"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Interceptor Plus</w:t>
      </w:r>
      <w:r>
        <w:rPr>
          <w:rFonts w:ascii="Arial" w:cs="Arial" w:eastAsia="Arial" w:hAnsi="Arial"/>
          <w:sz w:val="21"/>
          <w:szCs w:val="21"/>
          <w:color w:val="auto"/>
          <w:vertAlign w:val="superscript"/>
        </w:rPr>
        <w:t>®</w:t>
      </w:r>
      <w:r>
        <w:rPr>
          <w:rFonts w:ascii="Arial" w:cs="Arial" w:eastAsia="Arial" w:hAnsi="Arial"/>
          <w:sz w:val="18"/>
          <w:szCs w:val="18"/>
          <w:color w:val="auto"/>
        </w:rPr>
        <w:t>, a canine heartworm drug that fights tapeworms in addition to hookworms, roundworms, and whipworms</w:t>
      </w:r>
    </w:p>
    <w:p>
      <w:pPr>
        <w:spacing w:after="0" w:line="82"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Osurnia</w:t>
      </w:r>
      <w:r>
        <w:rPr>
          <w:rFonts w:ascii="Arial" w:cs="Arial" w:eastAsia="Arial" w:hAnsi="Arial"/>
          <w:sz w:val="21"/>
          <w:szCs w:val="21"/>
          <w:color w:val="auto"/>
          <w:vertAlign w:val="superscript"/>
        </w:rPr>
        <w:t>®</w:t>
      </w:r>
      <w:r>
        <w:rPr>
          <w:rFonts w:ascii="Arial" w:cs="Arial" w:eastAsia="Arial" w:hAnsi="Arial"/>
          <w:sz w:val="18"/>
          <w:szCs w:val="18"/>
          <w:color w:val="auto"/>
        </w:rPr>
        <w:t>, a gel formulation treatment for canine ear canal infection or inflammation</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6</w:t>
      </w:r>
    </w:p>
    <w:p>
      <w:pPr>
        <w:sectPr>
          <w:pgSz w:w="11900" w:h="16838" w:orient="portrait"/>
          <w:cols w:equalWidth="0" w:num="1">
            <w:col w:w="11380"/>
          </w:cols>
          <w:pgMar w:left="240" w:top="684" w:right="279" w:bottom="1440" w:gutter="0" w:footer="0" w:header="0"/>
        </w:sectPr>
      </w:pPr>
    </w:p>
    <w:bookmarkStart w:id="6" w:name="page7"/>
    <w:bookmarkEnd w:id="6"/>
    <w:p>
      <w:pPr>
        <w:ind w:right="120"/>
        <w:spacing w:after="0" w:line="260" w:lineRule="auto"/>
        <w:rPr>
          <w:sz w:val="20"/>
          <w:szCs w:val="20"/>
          <w:color w:val="auto"/>
        </w:rPr>
      </w:pPr>
      <w:r>
        <w:rPr>
          <w:rFonts w:ascii="Arial" w:cs="Arial" w:eastAsia="Arial" w:hAnsi="Arial"/>
          <w:sz w:val="18"/>
          <w:szCs w:val="18"/>
          <w:color w:val="auto"/>
        </w:rPr>
        <w:t>On January 1, 2015, we completed our acquisition of Novartis Animal Health (Novartis AH) in an all-cash transaction for $5.28 billion. Novartis AH operates in approximately 40 countries. The combined organization has added several hundred products to our animal health product portfolio, expanded our global commercial presence, and augmented our animal health manufacturing and research and development. In particular, it has provided Elanco with a greater commercial presence in the companion animal and swine markets, expanded Elanco’s presence in equine and vaccines areas, and created an entry into the aquaculture market. Acquired Novartis AH products include:</w:t>
      </w:r>
    </w:p>
    <w:p>
      <w:pPr>
        <w:spacing w:after="0" w:line="67"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Denagard</w:t>
      </w:r>
      <w:r>
        <w:rPr>
          <w:rFonts w:ascii="Arial" w:cs="Arial" w:eastAsia="Arial" w:hAnsi="Arial"/>
          <w:sz w:val="21"/>
          <w:szCs w:val="21"/>
          <w:i w:val="1"/>
          <w:iCs w:val="1"/>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an antibiotic for the control and treatment of respiratory and enteric diseases in swine and poultry</w:t>
      </w:r>
    </w:p>
    <w:p>
      <w:pPr>
        <w:spacing w:after="0" w:line="82" w:lineRule="exact"/>
        <w:rPr>
          <w:rFonts w:ascii="Arial" w:cs="Arial" w:eastAsia="Arial" w:hAnsi="Arial"/>
          <w:sz w:val="18"/>
          <w:szCs w:val="18"/>
          <w:i w:val="1"/>
          <w:iCs w:val="1"/>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Milbemax</w:t>
      </w:r>
      <w:r>
        <w:rPr>
          <w:rFonts w:ascii="Arial" w:cs="Arial" w:eastAsia="Arial" w:hAnsi="Arial"/>
          <w:sz w:val="21"/>
          <w:szCs w:val="21"/>
          <w:i w:val="1"/>
          <w:iCs w:val="1"/>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a broad-spectrum intestinal wormer which, if given monthly, also offers prevention against heartworm</w:t>
      </w:r>
    </w:p>
    <w:p>
      <w:pPr>
        <w:spacing w:after="0" w:line="82" w:lineRule="exact"/>
        <w:rPr>
          <w:rFonts w:ascii="Arial" w:cs="Arial" w:eastAsia="Arial" w:hAnsi="Arial"/>
          <w:sz w:val="18"/>
          <w:szCs w:val="18"/>
          <w:color w:val="auto"/>
        </w:rPr>
      </w:pPr>
    </w:p>
    <w:p>
      <w:pPr>
        <w:ind w:left="660" w:right="340" w:hanging="328"/>
        <w:spacing w:after="0" w:line="252"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Sentinel</w:t>
      </w:r>
      <w:r>
        <w:rPr>
          <w:rFonts w:ascii="Arial" w:cs="Arial" w:eastAsia="Arial" w:hAnsi="Arial"/>
          <w:sz w:val="21"/>
          <w:szCs w:val="21"/>
          <w:i w:val="1"/>
          <w:iCs w:val="1"/>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(outside the U.S.), a monthly tablet for the prevention of flea populations, the concurrent prevention of heartworm disease</w:t>
      </w:r>
      <w:r>
        <w:rPr>
          <w:rFonts w:ascii="Arial" w:cs="Arial" w:eastAsia="Arial" w:hAnsi="Arial"/>
          <w:sz w:val="18"/>
          <w:szCs w:val="18"/>
          <w:i w:val="1"/>
          <w:iCs w:val="1"/>
          <w:color w:val="auto"/>
        </w:rPr>
        <w:t xml:space="preserve"> </w:t>
      </w:r>
      <w:r>
        <w:rPr>
          <w:rFonts w:ascii="Arial" w:cs="Arial" w:eastAsia="Arial" w:hAnsi="Arial"/>
          <w:sz w:val="18"/>
          <w:szCs w:val="18"/>
          <w:color w:val="auto"/>
        </w:rPr>
        <w:t>and the treatment of roundworms, hookworms, and whipworms in dogs</w:t>
      </w:r>
    </w:p>
    <w:p>
      <w:pPr>
        <w:spacing w:after="0" w:line="69" w:lineRule="exact"/>
        <w:rPr>
          <w:rFonts w:ascii="Arial" w:cs="Arial" w:eastAsia="Arial" w:hAnsi="Arial"/>
          <w:sz w:val="18"/>
          <w:szCs w:val="18"/>
          <w:color w:val="auto"/>
        </w:rPr>
      </w:pPr>
    </w:p>
    <w:p>
      <w:pPr>
        <w:ind w:left="660" w:right="200" w:hanging="328"/>
        <w:spacing w:after="0" w:line="252"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Atopica</w:t>
      </w:r>
      <w:r>
        <w:rPr>
          <w:rFonts w:ascii="Arial" w:cs="Arial" w:eastAsia="Arial" w:hAnsi="Arial"/>
          <w:sz w:val="21"/>
          <w:szCs w:val="21"/>
          <w:i w:val="1"/>
          <w:iCs w:val="1"/>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treatment of chronic manifestations of atopic dermatitis in dogs and for the symptomatic treatment of chronic allergic</w:t>
      </w:r>
      <w:r>
        <w:rPr>
          <w:rFonts w:ascii="Arial" w:cs="Arial" w:eastAsia="Arial" w:hAnsi="Arial"/>
          <w:sz w:val="18"/>
          <w:szCs w:val="18"/>
          <w:i w:val="1"/>
          <w:iCs w:val="1"/>
          <w:color w:val="auto"/>
        </w:rPr>
        <w:t xml:space="preserve"> </w:t>
      </w:r>
      <w:r>
        <w:rPr>
          <w:rFonts w:ascii="Arial" w:cs="Arial" w:eastAsia="Arial" w:hAnsi="Arial"/>
          <w:sz w:val="18"/>
          <w:szCs w:val="18"/>
          <w:color w:val="auto"/>
        </w:rPr>
        <w:t>dermatitis in cats</w:t>
      </w:r>
    </w:p>
    <w:p>
      <w:pPr>
        <w:spacing w:after="0" w:line="69" w:lineRule="exact"/>
        <w:rPr>
          <w:rFonts w:ascii="Arial" w:cs="Arial" w:eastAsia="Arial" w:hAnsi="Arial"/>
          <w:sz w:val="18"/>
          <w:szCs w:val="18"/>
          <w:color w:val="auto"/>
        </w:rPr>
      </w:pPr>
    </w:p>
    <w:p>
      <w:pPr>
        <w:ind w:left="660" w:right="200" w:hanging="328"/>
        <w:spacing w:after="0" w:line="252"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Fortekor</w:t>
      </w:r>
      <w:r>
        <w:rPr>
          <w:rFonts w:ascii="Arial" w:cs="Arial" w:eastAsia="Arial" w:hAnsi="Arial"/>
          <w:sz w:val="21"/>
          <w:szCs w:val="21"/>
          <w:i w:val="1"/>
          <w:iCs w:val="1"/>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treatment of congestive heart failure in dogs and reduction of proteinurea associated with chronic kidney disease in</w:t>
      </w:r>
      <w:r>
        <w:rPr>
          <w:rFonts w:ascii="Arial" w:cs="Arial" w:eastAsia="Arial" w:hAnsi="Arial"/>
          <w:sz w:val="18"/>
          <w:szCs w:val="18"/>
          <w:i w:val="1"/>
          <w:iCs w:val="1"/>
          <w:color w:val="auto"/>
        </w:rPr>
        <w:t xml:space="preserve"> </w:t>
      </w:r>
      <w:r>
        <w:rPr>
          <w:rFonts w:ascii="Arial" w:cs="Arial" w:eastAsia="Arial" w:hAnsi="Arial"/>
          <w:sz w:val="18"/>
          <w:szCs w:val="18"/>
          <w:color w:val="auto"/>
        </w:rPr>
        <w:t>cats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Marketing</w:t>
      </w:r>
    </w:p>
    <w:p>
      <w:pPr>
        <w:spacing w:after="0" w:line="119" w:lineRule="exact"/>
        <w:rPr>
          <w:sz w:val="20"/>
          <w:szCs w:val="20"/>
          <w:color w:val="auto"/>
        </w:rPr>
      </w:pPr>
    </w:p>
    <w:p>
      <w:pPr>
        <w:ind w:right="240"/>
        <w:spacing w:after="0" w:line="292" w:lineRule="auto"/>
        <w:rPr>
          <w:sz w:val="20"/>
          <w:szCs w:val="20"/>
          <w:color w:val="auto"/>
        </w:rPr>
      </w:pPr>
      <w:r>
        <w:rPr>
          <w:rFonts w:ascii="Arial" w:cs="Arial" w:eastAsia="Arial" w:hAnsi="Arial"/>
          <w:sz w:val="18"/>
          <w:szCs w:val="18"/>
          <w:color w:val="auto"/>
        </w:rPr>
        <w:t>We sell most of our products worldwide. We adapt our marketing methods and product emphasis in various countries to meet local customer needs.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Pharmaceuticals—United States</w:t>
      </w:r>
    </w:p>
    <w:p>
      <w:pPr>
        <w:spacing w:after="0" w:line="119"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In the U.S., we distribute human pharmaceutical products principally through independent wholesale distributors, with some sales directly to pharmacies. In 2015, 2014, and 2013, three wholesale distributors in the U.S.—AmerisourceBergen Corporation, McKesson Corporation, and Cardinal Health, Inc.—each accounted for between 8 percent and 19 percent of our consolidated total revenue. No other distributor accounted for more than 10 percent of consolidated total revenue in any of those years.</w:t>
      </w:r>
    </w:p>
    <w:p>
      <w:pPr>
        <w:spacing w:after="0" w:line="62" w:lineRule="exact"/>
        <w:rPr>
          <w:sz w:val="20"/>
          <w:szCs w:val="20"/>
          <w:color w:val="auto"/>
        </w:rPr>
      </w:pPr>
    </w:p>
    <w:p>
      <w:pPr>
        <w:ind w:right="140"/>
        <w:spacing w:after="0" w:line="260" w:lineRule="auto"/>
        <w:rPr>
          <w:sz w:val="20"/>
          <w:szCs w:val="20"/>
          <w:color w:val="auto"/>
        </w:rPr>
      </w:pPr>
      <w:r>
        <w:rPr>
          <w:rFonts w:ascii="Arial" w:cs="Arial" w:eastAsia="Arial" w:hAnsi="Arial"/>
          <w:sz w:val="18"/>
          <w:szCs w:val="18"/>
          <w:color w:val="auto"/>
        </w:rPr>
        <w:t>We promote our major human pharmaceutical products in the U.S. through sales representatives who call upon physicians and other health care professionals. We advertise in medical journals, distribute literature and samples of certain products to physicians, and exhibit at medical meetings. In addition, we advertise certain products directly to consumers in the U.S., and we maintain websites with information about our major products. We supplement our employee sales force with contract sales organizations as appropriate to leverage our own resources and the strengths of our partners in various markets.</w:t>
      </w:r>
    </w:p>
    <w:p>
      <w:pPr>
        <w:spacing w:after="0" w:line="67" w:lineRule="exact"/>
        <w:rPr>
          <w:sz w:val="20"/>
          <w:szCs w:val="20"/>
          <w:color w:val="auto"/>
        </w:rPr>
      </w:pPr>
    </w:p>
    <w:p>
      <w:pPr>
        <w:jc w:val="both"/>
        <w:ind w:right="60"/>
        <w:spacing w:after="0" w:line="271" w:lineRule="auto"/>
        <w:rPr>
          <w:sz w:val="20"/>
          <w:szCs w:val="20"/>
          <w:color w:val="auto"/>
        </w:rPr>
      </w:pPr>
      <w:r>
        <w:rPr>
          <w:rFonts w:ascii="Arial" w:cs="Arial" w:eastAsia="Arial" w:hAnsi="Arial"/>
          <w:sz w:val="18"/>
          <w:szCs w:val="18"/>
          <w:color w:val="auto"/>
        </w:rPr>
        <w:t>We maintain special business groups to service wholesalers, pharmacy benefit managers, managed care organizations, government and long-term care institutions, hospitals, and certain retail pharmacies. We enter into arrangements with these organizations providing for discounts or rebates on our products.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Pharmaceuticals—Outside the United States</w:t>
      </w:r>
    </w:p>
    <w:p>
      <w:pPr>
        <w:spacing w:after="0" w:line="6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Outside the U.S, we promote our human pharmaceutical products primarily through sales representatives. While the products marketed vary from country to country, endocrinology products constitute the largest single group in total revenue. Distribution patterns vary from country to country. In most countries in which we operate, we maintain our own sales organizations, but in some smaller countries we market our products through independent distributors.</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Pharmaceutical Marketing Collaborations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Certain of our human pharmaceutical products are marketed in arrangements with other pharmaceutical companies, including the following:</w:t>
      </w:r>
    </w:p>
    <w:p>
      <w:pPr>
        <w:spacing w:after="0" w:line="117" w:lineRule="exact"/>
        <w:rPr>
          <w:sz w:val="20"/>
          <w:szCs w:val="20"/>
          <w:color w:val="auto"/>
        </w:rPr>
      </w:pPr>
    </w:p>
    <w:p>
      <w:pPr>
        <w:ind w:left="660" w:right="620" w:hanging="328"/>
        <w:spacing w:after="0" w:line="292"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and Boehringer Ingelheim have a diabetes alliance under which we jointly develop and commercialize Trajenta, Jentadueto, Jardiance, Glyxambi, Synjardy, and Basaglar in major markets.</w:t>
      </w:r>
    </w:p>
    <w:p>
      <w:pPr>
        <w:spacing w:after="0" w:line="17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7</w:t>
      </w:r>
    </w:p>
    <w:p>
      <w:pPr>
        <w:sectPr>
          <w:pgSz w:w="11900" w:h="16838" w:orient="portrait"/>
          <w:cols w:equalWidth="0" w:num="1">
            <w:col w:w="11420"/>
          </w:cols>
          <w:pgMar w:left="240" w:top="684" w:right="239" w:bottom="1440" w:gutter="0" w:footer="0" w:header="0"/>
        </w:sectPr>
      </w:pPr>
    </w:p>
    <w:bookmarkStart w:id="7" w:name="page8"/>
    <w:bookmarkEnd w:id="7"/>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We co-promote Cymbalta in Japan with Shionogi &amp; Co. Ltd.</w:t>
      </w:r>
    </w:p>
    <w:p>
      <w:pPr>
        <w:spacing w:after="0" w:line="116" w:lineRule="exact"/>
        <w:rPr>
          <w:rFonts w:ascii="Times New Roman" w:cs="Times New Roman" w:eastAsia="Times New Roman" w:hAnsi="Times New Roman"/>
          <w:sz w:val="18"/>
          <w:szCs w:val="18"/>
          <w:color w:val="auto"/>
        </w:rPr>
      </w:pPr>
    </w:p>
    <w:p>
      <w:pPr>
        <w:ind w:left="660" w:right="320" w:hanging="328"/>
        <w:spacing w:after="0" w:line="271"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Through September 30, 2015, Erbitux was marketed in the U.S. and Canada by Bristol-Myers Squibb (BMS). Effective October 1, 2015, BMS transferred to us all commercialization rights for Erbitux in those two countries. Outside the U.S. and Canada, Erbitux is commercialized by Merck KGaA, and we receive royalties from Merck KGaA.</w:t>
      </w:r>
    </w:p>
    <w:p>
      <w:pPr>
        <w:spacing w:after="0" w:line="55" w:lineRule="exact"/>
        <w:rPr>
          <w:rFonts w:ascii="Arial" w:cs="Arial" w:eastAsia="Arial" w:hAnsi="Arial"/>
          <w:sz w:val="18"/>
          <w:szCs w:val="18"/>
          <w:color w:val="auto"/>
        </w:rPr>
      </w:pPr>
    </w:p>
    <w:p>
      <w:pPr>
        <w:ind w:left="660" w:right="60" w:hanging="328"/>
        <w:spacing w:after="0" w:line="260"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Effient is co-promoted with us by Daiichi Sankyo Co., Ltd. (Daiichi Sankyo) in the U.S., Brazil, Mexico, and certain other countries. Through the end of 2015, we also co-promoted Effient with Daiichi Sankyo in major European markets. Effective January 2016, Daiichi Sankyo is exclusively promoting Effient in major European markets; however, the economic results for these countries will continue to be shared in the same proportion as under the previous arrangement. We retain sole marketing rights in Canada, Australia, Russia, and certain other countries. Daiichi Sankyo retains sole marketing rights in Japan and certain other countries.</w:t>
      </w:r>
    </w:p>
    <w:p>
      <w:pPr>
        <w:spacing w:after="0" w:line="67" w:lineRule="exact"/>
        <w:rPr>
          <w:sz w:val="20"/>
          <w:szCs w:val="20"/>
          <w:color w:val="auto"/>
        </w:rPr>
      </w:pPr>
    </w:p>
    <w:p>
      <w:pPr>
        <w:ind w:right="340" w:firstLine="81"/>
        <w:spacing w:after="0" w:line="375" w:lineRule="auto"/>
        <w:rPr>
          <w:sz w:val="20"/>
          <w:szCs w:val="20"/>
          <w:color w:val="auto"/>
        </w:rPr>
      </w:pPr>
      <w:r>
        <w:rPr>
          <w:rFonts w:ascii="Arial" w:cs="Arial" w:eastAsia="Arial" w:hAnsi="Arial"/>
          <w:sz w:val="18"/>
          <w:szCs w:val="18"/>
          <w:color w:val="auto"/>
        </w:rPr>
        <w:t xml:space="preserve">For additional information, see Item 8, "Financial Statements and Supplementary Data—Note 4, Collaborations and Other Arrangements." </w:t>
      </w:r>
      <w:r>
        <w:rPr>
          <w:rFonts w:ascii="Arial" w:cs="Arial" w:eastAsia="Arial" w:hAnsi="Arial"/>
          <w:sz w:val="18"/>
          <w:szCs w:val="18"/>
          <w:b w:val="1"/>
          <w:bCs w:val="1"/>
          <w:color w:val="auto"/>
        </w:rPr>
        <w:t>Animal Health Products</w:t>
      </w:r>
    </w:p>
    <w:p>
      <w:pPr>
        <w:spacing w:after="0" w:line="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Our Elanco animal health business unit employs field salespeople throughout the U.S. and has an extensive sales force outside the U.S. Elanco sells its products primarily to wholesale distributors. Elanco promotes its products primarily to producers and veterinarians for food animal products and to veterinarians for companion animal products. Elanco also advertises certain companion animal products directly to pet owners in markets where it is consistent with allowable promotional practices.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Competition</w:t>
      </w:r>
    </w:p>
    <w:p>
      <w:pPr>
        <w:spacing w:after="0" w:line="119"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Our human pharmaceutical products compete globally with products of many other companies in highly competitive markets. Our animal health products compete globally with products of animal health care companies as well as pharmaceutical, chemical, and other companies that operate animal health businesses.</w:t>
      </w:r>
    </w:p>
    <w:p>
      <w:pPr>
        <w:spacing w:after="0" w:line="55" w:lineRule="exact"/>
        <w:rPr>
          <w:sz w:val="20"/>
          <w:szCs w:val="20"/>
          <w:color w:val="auto"/>
        </w:rPr>
      </w:pPr>
    </w:p>
    <w:p>
      <w:pPr>
        <w:ind w:right="80"/>
        <w:spacing w:after="0" w:line="260" w:lineRule="auto"/>
        <w:rPr>
          <w:sz w:val="20"/>
          <w:szCs w:val="20"/>
          <w:color w:val="auto"/>
        </w:rPr>
      </w:pPr>
      <w:r>
        <w:rPr>
          <w:rFonts w:ascii="Arial" w:cs="Arial" w:eastAsia="Arial" w:hAnsi="Arial"/>
          <w:sz w:val="18"/>
          <w:szCs w:val="18"/>
          <w:color w:val="auto"/>
        </w:rPr>
        <w:t>Important competitive factors for both human pharmaceutical and animal health products include effectiveness, safety, and ease of use; price and demonstrated cost-effectiveness; marketing effectiveness; and research and development of new products, processes, and uses. Most new products that we introduce must compete with other branded or generic products already on the market or products that are later developed by competitors. If competitors introduce new products or delivery systems with therapeutic or cost advantages, our products can be subject to decreased sales, progressive price reductions, or both.</w:t>
      </w:r>
    </w:p>
    <w:p>
      <w:pPr>
        <w:spacing w:after="0" w:line="67"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color w:val="auto"/>
        </w:rPr>
        <w:t>We believe our long-term competitive success depends upon discovering and developing (either alone or in collaboration with others) or acquiring innovative, cost-effective human pharmaceutical and animal health products that provide improved outcomes and deliver value to payers, and continuously improving the productivity of our operations in a highly competitive environment. There can be no assurance that our research and development efforts will result in commercially successful products, and it is possible that our products will become uncompetitive from time to time as a result of products developed by our competitors.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Generic Pharmaceuticals</w:t>
      </w:r>
    </w:p>
    <w:p>
      <w:pPr>
        <w:spacing w:after="0" w:line="11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One of the biggest competitive challenges we face is from generic pharmaceuticals. In the U.S. and the EU, the regulatory approval process for human pharmaceuticals (other than biological products (biologics)) exempts generics from costly and time-consuming clinical trials to demonstrate their safety and efficacy, allowing generic manufacturers to rely on the safety and efficacy of the innovator product. Therefore, generic manufacturers generally invest far less than we do in research and development and can price their products much lower than our branded products. Accordingly, when a branded non-biologic human pharmaceutical loses its market exclusivity, it normally faces intense price competition from generic forms of the product. Public and private payers typically encourage the use of generics as alternatives to brand-name drugs in their healthcare programs. Laws in the U.S. generally allow, and in many cases require, pharmacists to substitute generic drugs that have been rated under government procedures to be essentially equivalent to a brand-name drug. Where substitution is mandatory, it must be made unless the prescribing physician expressly forbids it. In many countries outside the U.S., intellectual property protection is weak, and we must compete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8</w:t>
      </w:r>
    </w:p>
    <w:p>
      <w:pPr>
        <w:sectPr>
          <w:pgSz w:w="11900" w:h="16838" w:orient="portrait"/>
          <w:cols w:equalWidth="0" w:num="1">
            <w:col w:w="11400"/>
          </w:cols>
          <w:pgMar w:left="240" w:top="684" w:right="259" w:bottom="1440" w:gutter="0" w:footer="0" w:header="0"/>
        </w:sectPr>
      </w:pPr>
    </w:p>
    <w:bookmarkStart w:id="8" w:name="page9"/>
    <w:bookmarkEnd w:id="8"/>
    <w:p>
      <w:pPr>
        <w:ind w:right="2200"/>
        <w:spacing w:after="0" w:line="375" w:lineRule="auto"/>
        <w:rPr>
          <w:sz w:val="20"/>
          <w:szCs w:val="20"/>
          <w:color w:val="auto"/>
        </w:rPr>
      </w:pPr>
      <w:r>
        <w:rPr>
          <w:rFonts w:ascii="Arial" w:cs="Arial" w:eastAsia="Arial" w:hAnsi="Arial"/>
          <w:sz w:val="18"/>
          <w:szCs w:val="18"/>
          <w:color w:val="auto"/>
        </w:rPr>
        <w:t xml:space="preserve">with generic or counterfeit versions of our products. Many of our animal health products also compete with generics. </w:t>
      </w:r>
      <w:r>
        <w:rPr>
          <w:rFonts w:ascii="Arial" w:cs="Arial" w:eastAsia="Arial" w:hAnsi="Arial"/>
          <w:sz w:val="18"/>
          <w:szCs w:val="18"/>
          <w:b w:val="1"/>
          <w:bCs w:val="1"/>
          <w:color w:val="auto"/>
        </w:rPr>
        <w:t>Biosimilars</w:t>
      </w:r>
    </w:p>
    <w:p>
      <w:pPr>
        <w:spacing w:after="0" w:line="1"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Several of our current products, including Cyramza, Erbitux, Trulicity, and Portrazza, and many of the new molecular entities (NMEs) in our research pipeline are biologics. Competition for Lilly’s biologics may be affected by the approval of follow-on biologics, also known as biosimilars. A biosimilar is a subsequent version of an an approved innovator biologic that, due to its physical/structural similarity to the original product, is approved based on an abbreviated data package that relies in part on the full testing required of the originator product. Globally, governments have or are developing regulatory pathways to approve biosimilars as alternatives to innovator-developed biologics, but the patent for the existing, branded product must expire in a given market before biosimilars may enter that market. The extent to which a biosimilar, once approved, will be substituted for the innovator biologic in a way that is similar to traditional generic substitution for non-biologic products, is not yet entirely clear, and will depend on a number of regulatory and marketplace factors that are still developing.</w:t>
      </w:r>
    </w:p>
    <w:p>
      <w:pPr>
        <w:spacing w:after="0" w:line="70" w:lineRule="exact"/>
        <w:rPr>
          <w:sz w:val="20"/>
          <w:szCs w:val="20"/>
          <w:color w:val="auto"/>
        </w:rPr>
      </w:pPr>
    </w:p>
    <w:p>
      <w:pPr>
        <w:jc w:val="both"/>
        <w:ind w:right="840"/>
        <w:spacing w:after="0" w:line="271" w:lineRule="auto"/>
        <w:rPr>
          <w:sz w:val="20"/>
          <w:szCs w:val="20"/>
          <w:color w:val="auto"/>
        </w:rPr>
      </w:pPr>
      <w:r>
        <w:rPr>
          <w:rFonts w:ascii="Arial" w:cs="Arial" w:eastAsia="Arial" w:hAnsi="Arial"/>
          <w:sz w:val="18"/>
          <w:szCs w:val="18"/>
          <w:color w:val="auto"/>
        </w:rPr>
        <w:t>Biosimilars may present both competitive challenges and opportunities. For example, with our partner Boehringer Ingelheim we have developed Basaglar, a new insulin glargine product which has the same amino acid sequence as the product currently marketed by a competitor. Our product has launched in the EU and Japan, and can be launched in the U.S. on December 15, 2016.</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Private Sector Payer Consolidation</w:t>
      </w:r>
    </w:p>
    <w:p>
      <w:pPr>
        <w:spacing w:after="0" w:line="119"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In the U.S. private sector, consolidation and integration among healthcare providers is also a major factor in the competitive marketplace for human pharmaceuticals. Health plans and pharmaceutical benefit managers have been consolidating into fewer, larger entities, thus enhancing their purchasing strength and importance.</w:t>
      </w:r>
    </w:p>
    <w:p>
      <w:pPr>
        <w:spacing w:after="0" w:line="28"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Payers typically maintain formularies which specify coverage (the conditions under which drugs are included on a plan's formulary) and reimbursement (the associated out-of-pocket cost to the consumer). Formulary placement can lead to reduced usage of a drug for the relevant patient population due to coverage restrictions, such as prior authorizations and formulary exclusions, or due to reimbursement limitations which result in higher consumer out-of-pocket cost, such as non-preferred co-pay tiers, increased co-insurance levels, and higher deductibles. Consequently, pharmaceutical companies compete for formulary placement not only on the basis of product attributes such as efficacy, safety profile, or patient ease of use, but also by providing rebates. Price is an increasingly important factor in formulary decisions, particularly in treatment areas in which the payer has taken the position that multiple branded products are therapeutically comparable. These downward pricing pressures could negatively affect our future consolidated results of operations.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Patents, Trademarks, and Other Intellectual Property Rights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19" w:lineRule="exact"/>
        <w:rPr>
          <w:sz w:val="20"/>
          <w:szCs w:val="20"/>
          <w:color w:val="auto"/>
        </w:rPr>
      </w:pPr>
    </w:p>
    <w:p>
      <w:pPr>
        <w:jc w:val="both"/>
        <w:ind w:right="300"/>
        <w:spacing w:after="0" w:line="264" w:lineRule="auto"/>
        <w:rPr>
          <w:sz w:val="20"/>
          <w:szCs w:val="20"/>
          <w:color w:val="auto"/>
        </w:rPr>
      </w:pPr>
      <w:r>
        <w:rPr>
          <w:rFonts w:ascii="Arial" w:cs="Arial" w:eastAsia="Arial" w:hAnsi="Arial"/>
          <w:sz w:val="18"/>
          <w:szCs w:val="18"/>
          <w:color w:val="auto"/>
        </w:rPr>
        <w:t>Intellectual property protection is critical to our ability to successfully commercialize our life sciences innovations and invest in the search for new medicines. We own, have applied for, or are licensed under, a large number of patents in the U.S. and many other countries relating to products, product uses, formulations, and manufacturing processes. In addition, as discussed below, for some products we have additional effective intellectual property protection in the form of data protection under pharmaceutical regulatory laws.</w:t>
      </w:r>
    </w:p>
    <w:p>
      <w:pPr>
        <w:spacing w:after="0" w:line="62"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patent protection anticipated to be of most relevance to human pharmaceuticals is provided by national patents claiming the active ingredient (the compound patent), particularly those in major markets such as the U.S., various European countries, and Japan. These patents may be issued based upon the filing of international patent applications, usually filed under the Patent Cooperation Treaty (PCT). Patent applications covering the compounds are generally filed during the Discovery Research Phase of the drug discovery process, which is described in the “Research and Development” section below. In general, national patents in each relevant country are available for a period of 20 years from the filing date of the PCT application, which is often years prior to the launch of a commercial product. Further patent term adjustments and restorations may extend the original patent term:</w:t>
      </w:r>
    </w:p>
    <w:p>
      <w:pPr>
        <w:spacing w:after="0" w:line="20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9</w:t>
      </w:r>
    </w:p>
    <w:p>
      <w:pPr>
        <w:sectPr>
          <w:pgSz w:w="11900" w:h="16838" w:orient="portrait"/>
          <w:cols w:equalWidth="0" w:num="1">
            <w:col w:w="11420"/>
          </w:cols>
          <w:pgMar w:left="240" w:top="684" w:right="239" w:bottom="1440" w:gutter="0" w:footer="0" w:header="0"/>
        </w:sectPr>
      </w:pPr>
    </w:p>
    <w:bookmarkStart w:id="9" w:name="page10"/>
    <w:bookmarkEnd w:id="9"/>
    <w:p>
      <w:pPr>
        <w:ind w:left="660" w:right="260" w:hanging="328"/>
        <w:spacing w:after="0" w:line="292"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Patent term adjustment is a statutory right available to all U.S. patent applicants to provide relief in the event that a patent is delayed during examination by the United States Patent and Trademark Office (USPTO).</w:t>
      </w:r>
    </w:p>
    <w:p>
      <w:pPr>
        <w:spacing w:after="0" w:line="36" w:lineRule="exact"/>
        <w:rPr>
          <w:rFonts w:ascii="Arial" w:cs="Arial" w:eastAsia="Arial" w:hAnsi="Arial"/>
          <w:sz w:val="18"/>
          <w:szCs w:val="18"/>
          <w:color w:val="auto"/>
        </w:rPr>
      </w:pPr>
    </w:p>
    <w:p>
      <w:pPr>
        <w:ind w:left="660" w:right="100" w:hanging="328"/>
        <w:spacing w:after="0" w:line="256"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Patent term restoration is a statutory right provided to U.S. patents that claim inventions subject to review by the U.S. Food and Drug Administration (FDA). A single patent for a human pharmaceutical product may be eligible for patent term restoration to make up for a portion of the time invested in clinical trials and the FDA review process. Patent term restoration is limited by a formula and cannot be calculated until product approval due to uncertainty about the duration of clinical trials and the time it takes the FDA to review an application. There is a five-year cap on any restoration, and no patent may be extended for more than 14 years beyond FDA approval. Some countries outside the U.S. also offer forms of patent term restoration. For example, Supplementary Protection Certificates are sometimes available to extend the life of a European patent up to an additional five years. Similarly, in Japan, Korea, and Australia, patent terms can be extended up to five years, depending on the length of regulatory review and other factors.</w:t>
      </w:r>
    </w:p>
    <w:p>
      <w:pPr>
        <w:spacing w:after="0" w:line="70" w:lineRule="exact"/>
        <w:rPr>
          <w:sz w:val="20"/>
          <w:szCs w:val="20"/>
          <w:color w:val="auto"/>
        </w:rPr>
      </w:pPr>
    </w:p>
    <w:p>
      <w:pPr>
        <w:ind w:right="100"/>
        <w:spacing w:after="0" w:line="260" w:lineRule="auto"/>
        <w:rPr>
          <w:sz w:val="20"/>
          <w:szCs w:val="20"/>
          <w:color w:val="auto"/>
        </w:rPr>
      </w:pPr>
      <w:r>
        <w:rPr>
          <w:rFonts w:ascii="Arial" w:cs="Arial" w:eastAsia="Arial" w:hAnsi="Arial"/>
          <w:sz w:val="18"/>
          <w:szCs w:val="18"/>
          <w:color w:val="auto"/>
        </w:rPr>
        <w:t>Loss of effective patent protection for human pharmaceuticals typically results in the loss of effective market exclusivity for the product, which can result in severe and rapid decline in sales of the product. However, in some cases the innovator company may be protected from approval of generic or other follow-on versions of a new medicine beyond the expiration of the compound patent through manufacturing trade secrets, later-expiring patents on methods of use or formulations, or data protection that may be available under pharmaceutical regulatory laws. The primary forms of data protection are as follows:</w:t>
      </w:r>
    </w:p>
    <w:p>
      <w:pPr>
        <w:spacing w:after="0" w:line="67" w:lineRule="exact"/>
        <w:rPr>
          <w:sz w:val="20"/>
          <w:szCs w:val="20"/>
          <w:color w:val="auto"/>
        </w:rPr>
      </w:pPr>
    </w:p>
    <w:p>
      <w:pPr>
        <w:ind w:left="660" w:right="40" w:hanging="328"/>
        <w:spacing w:after="0" w:line="258"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Regulatory authorities in major markets generally grant data package protection for a period of years following new drug approvals in recognition of the substantial investment required to complete clinical trials. Data package protection prohibits other manufacturers from submitting regulatory applications for marketing approval based on the innovator company’s regulatory submission data for the drug. The base period of data package protection depends on the country. For example, the period is five years in the U.S. (12 years for new biologics as described below), 10 years in the EU, and eight years in Japan. The period begins on the date of product approval and runs concurrently with the patent term for any relevant patent.</w:t>
      </w:r>
    </w:p>
    <w:p>
      <w:pPr>
        <w:spacing w:after="0" w:line="69" w:lineRule="exact"/>
        <w:rPr>
          <w:rFonts w:ascii="Arial" w:cs="Arial" w:eastAsia="Arial" w:hAnsi="Arial"/>
          <w:sz w:val="18"/>
          <w:szCs w:val="18"/>
          <w:color w:val="auto"/>
        </w:rPr>
      </w:pPr>
    </w:p>
    <w:p>
      <w:pPr>
        <w:ind w:left="660" w:right="180" w:hanging="328"/>
        <w:spacing w:after="0" w:line="260"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Under the Biologics Price Competition and Innovation Act of 2010, the FDA has the authority to approve biosimilars. A competitor seeking approval of a biosimilar must file an application to show its molecule is highly similar to an approved innovator biologic and include a certain amount of safety and efficacy data which the FDA will determine on a case-by-case basis. Under the data protection provisions of this law, the FDA cannot approve a biosimilar application until 12 years after initial marketing approval of the innovator biologic, subject to certain conditions.</w:t>
      </w:r>
    </w:p>
    <w:p>
      <w:pPr>
        <w:spacing w:after="0" w:line="67" w:lineRule="exact"/>
        <w:rPr>
          <w:rFonts w:ascii="Arial" w:cs="Arial" w:eastAsia="Arial" w:hAnsi="Arial"/>
          <w:sz w:val="18"/>
          <w:szCs w:val="18"/>
          <w:color w:val="auto"/>
        </w:rPr>
      </w:pPr>
    </w:p>
    <w:p>
      <w:pPr>
        <w:ind w:left="660" w:right="120" w:hanging="328"/>
        <w:spacing w:after="0" w:line="294" w:lineRule="auto"/>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In the U.S., the FDA has the authority to grant additional data protection for approved drugs where the sponsor conducts specified testing in pediatric or adolescent populations. If granted, this “pediatric exclusivity” provides an additional six months, which are added to the term of data protection as well as to the term of any relevant patents, to the extent these protections have not already expired.</w:t>
      </w:r>
    </w:p>
    <w:p>
      <w:pPr>
        <w:spacing w:after="0" w:line="37" w:lineRule="exact"/>
        <w:rPr>
          <w:rFonts w:ascii="Arial" w:cs="Arial" w:eastAsia="Arial" w:hAnsi="Arial"/>
          <w:sz w:val="17"/>
          <w:szCs w:val="17"/>
          <w:color w:val="auto"/>
        </w:rPr>
      </w:pPr>
    </w:p>
    <w:p>
      <w:pPr>
        <w:ind w:left="660" w:hanging="328"/>
        <w:spacing w:after="0" w:line="258"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Under the U.S. orphan drug law, a specific use of a drug or biological product can receive "orphan" designation if it is intended to treat a disease or condition affecting fewer than 200,000 people in the U.S., or affecting more than 200,000 people but not reasonably expected to recover its development and marketing costs through U.S. sales. Among other benefits, orphan designation entitles the particular use of the drug to seven years of market exclusivity, meaning that the FDA cannot (with limited exceptions) approve another marketing application for the same drug for the same indication until expiration of the seven-year period. Unlike pediatric exclusivity, the orphan exclusivity period is independent of and runs in parallel with any applicable patents.</w:t>
      </w:r>
    </w:p>
    <w:p>
      <w:pPr>
        <w:spacing w:after="0" w:line="6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Outside the major markets, the adequacy and effectiveness of intellectual property protection for human pharmaceuticals varies widely. Under the Trade-Related Aspects of Intellectual Property Agreement (TRIPs) administered by the World Trade Organization, more than 140 countries have agreed to provide non-discriminatory protection for most pharmaceutical inventions and to assure that adequate and effective rights are available to patent owners. Implementation of this agreement differs between developed and developing</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10</w:t>
      </w:r>
    </w:p>
    <w:p>
      <w:pPr>
        <w:sectPr>
          <w:pgSz w:w="11900" w:h="16838" w:orient="portrait"/>
          <w:cols w:equalWidth="0" w:num="1">
            <w:col w:w="11420"/>
          </w:cols>
          <w:pgMar w:left="240" w:top="684" w:right="239" w:bottom="1440" w:gutter="0" w:footer="0" w:header="0"/>
        </w:sectPr>
      </w:pPr>
    </w:p>
    <w:bookmarkStart w:id="10" w:name="page11"/>
    <w:bookmarkEnd w:id="10"/>
    <w:p>
      <w:pPr>
        <w:ind w:right="60"/>
        <w:spacing w:after="0" w:line="264" w:lineRule="auto"/>
        <w:rPr>
          <w:sz w:val="20"/>
          <w:szCs w:val="20"/>
          <w:color w:val="auto"/>
        </w:rPr>
      </w:pPr>
      <w:r>
        <w:rPr>
          <w:rFonts w:ascii="Arial" w:cs="Arial" w:eastAsia="Arial" w:hAnsi="Arial"/>
          <w:sz w:val="18"/>
          <w:szCs w:val="18"/>
          <w:color w:val="auto"/>
        </w:rPr>
        <w:t>countries, with many developing countries limiting protection for biopharmaceutical products under their interpretation of “flexibilities” allowed under the agreement. Thus, certain types of patents, such as those on new uses of compounds or new forms of molecules, are not available in many developing countries. Further, many developing countries do not provide effective data package protection even though it is specified in TRIPs.</w:t>
      </w:r>
    </w:p>
    <w:p>
      <w:pPr>
        <w:spacing w:after="0" w:line="62"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color w:val="auto"/>
        </w:rPr>
        <w:t>Certain of our Elanco animal health products are covered by patents or other forms of intellectual property protection. Historically, upon loss of effective market exclusivity for our animal health products, we have not generally experienced the rapid and severe declines in revenues that are common in the human pharmaceutical segment.</w:t>
      </w:r>
    </w:p>
    <w:p>
      <w:pPr>
        <w:spacing w:after="0" w:line="55"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There is no assurance that the patents we are seeking will be granted or that the patents we hold will be found valid and enforceable if challenged. Moreover, patents relating to particular products, uses, formulations, or processes do not preclude other manufacturers from employing alternative processes or marketing alternative products or formulations that compete with our patented products. In addition, competitors or other third parties may assert claims that our activities infringe patents or other intellectual property rights held by them, or allege a third-party right of ownership in our existing intellectual property.</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Intellectual Property Portfolio</w:t>
      </w:r>
    </w:p>
    <w:p>
      <w:pPr>
        <w:spacing w:after="0" w:line="119"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We consider intellectual property protection for certain products, processes, uses, and formulations—particularly with respect to those products discussed below—to be important to our operations. For many of our products, in addition to the compound patent, we hold other patents on manufacturing processes, formulations, or uses that may extend exclusivity beyond the expiration of the compound patent.</w:t>
      </w:r>
    </w:p>
    <w:p>
      <w:pPr>
        <w:spacing w:after="0" w:line="55" w:lineRule="exact"/>
        <w:rPr>
          <w:sz w:val="20"/>
          <w:szCs w:val="20"/>
          <w:color w:val="auto"/>
        </w:rPr>
      </w:pPr>
    </w:p>
    <w:p>
      <w:pPr>
        <w:ind w:right="300"/>
        <w:spacing w:after="0" w:line="292" w:lineRule="auto"/>
        <w:rPr>
          <w:sz w:val="20"/>
          <w:szCs w:val="20"/>
          <w:color w:val="auto"/>
        </w:rPr>
      </w:pPr>
      <w:r>
        <w:rPr>
          <w:rFonts w:ascii="Arial" w:cs="Arial" w:eastAsia="Arial" w:hAnsi="Arial"/>
          <w:sz w:val="18"/>
          <w:szCs w:val="18"/>
          <w:color w:val="auto"/>
        </w:rPr>
        <w:t>The most relevant U.S. patent protection or data protection for our top-selling or recently launched patent-protected marketed products is as follows:</w:t>
      </w:r>
    </w:p>
    <w:p>
      <w:pPr>
        <w:spacing w:after="0" w:line="37" w:lineRule="exact"/>
        <w:rPr>
          <w:sz w:val="20"/>
          <w:szCs w:val="20"/>
          <w:color w:val="auto"/>
        </w:rPr>
      </w:pPr>
    </w:p>
    <w:p>
      <w:pPr>
        <w:ind w:left="660" w:right="280" w:hanging="328"/>
        <w:spacing w:after="0" w:line="292"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Alimta is protected by a compound patent (July 2016) plus pediatric exclusivity (January 2017), and a vitamin regimen patent (2021) plus pediatric exclusivity (2022).</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Cialis is protected by compound and use patents (November 2017).</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Cyramza is protected by biologics data package protection (2026).</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Effient is protected by a compound patent (April 2017) and patents covering methods of using Effient with aspirin (2023).</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Forteo is protected by patents primarily covering its formulation and related processes (2018) and use patents (2019).</w:t>
      </w:r>
    </w:p>
    <w:p>
      <w:pPr>
        <w:spacing w:after="0" w:line="117" w:lineRule="exact"/>
        <w:rPr>
          <w:rFonts w:ascii="Arial" w:cs="Arial" w:eastAsia="Arial" w:hAnsi="Arial"/>
          <w:sz w:val="18"/>
          <w:szCs w:val="18"/>
          <w:color w:val="auto"/>
        </w:rPr>
      </w:pPr>
    </w:p>
    <w:p>
      <w:pPr>
        <w:ind w:left="660" w:right="480" w:hanging="328"/>
        <w:spacing w:after="0" w:line="292"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Jardiance, and the related combination products Glyxambi and Synjardy, are protected by a compound patent (2025 not including possible patent extension).</w:t>
      </w:r>
    </w:p>
    <w:p>
      <w:pPr>
        <w:spacing w:after="0" w:line="36" w:lineRule="exact"/>
        <w:rPr>
          <w:rFonts w:ascii="Arial" w:cs="Arial" w:eastAsia="Arial" w:hAnsi="Arial"/>
          <w:sz w:val="18"/>
          <w:szCs w:val="18"/>
          <w:color w:val="auto"/>
        </w:rPr>
      </w:pPr>
    </w:p>
    <w:p>
      <w:pPr>
        <w:ind w:left="660" w:right="100" w:hanging="328"/>
        <w:spacing w:after="0" w:line="292"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Portrazza is protected by a compound patent (2025 not including possible patent extension), and by biologics data package protection (2027).</w:t>
      </w:r>
    </w:p>
    <w:p>
      <w:pPr>
        <w:spacing w:after="0" w:line="36" w:lineRule="exact"/>
        <w:rPr>
          <w:rFonts w:ascii="Arial" w:cs="Arial" w:eastAsia="Arial" w:hAnsi="Arial"/>
          <w:sz w:val="18"/>
          <w:szCs w:val="18"/>
          <w:color w:val="auto"/>
        </w:rPr>
      </w:pPr>
    </w:p>
    <w:p>
      <w:pPr>
        <w:ind w:left="660" w:right="440" w:hanging="328"/>
        <w:spacing w:after="0" w:line="292"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Strattera is protected by a patent covering its use in treating attention deficit-hyperactivity disorder (2016) plus pediatric exclusivity (May 2017).</w:t>
      </w:r>
    </w:p>
    <w:p>
      <w:pPr>
        <w:spacing w:after="0" w:line="36" w:lineRule="exact"/>
        <w:rPr>
          <w:rFonts w:ascii="Arial" w:cs="Arial" w:eastAsia="Arial" w:hAnsi="Arial"/>
          <w:sz w:val="18"/>
          <w:szCs w:val="18"/>
          <w:color w:val="auto"/>
        </w:rPr>
      </w:pPr>
    </w:p>
    <w:p>
      <w:pPr>
        <w:ind w:left="660" w:right="200" w:hanging="328"/>
        <w:spacing w:after="0" w:line="292"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Trajenta and Jentadueto are protected by a compound patent (2023), and Boehringer Ingelheim has applied for a patent extension to 2025 under the patent restoration laws.</w:t>
      </w:r>
    </w:p>
    <w:p>
      <w:pPr>
        <w:spacing w:after="0" w:line="36" w:lineRule="exact"/>
        <w:rPr>
          <w:rFonts w:ascii="Arial" w:cs="Arial" w:eastAsia="Arial" w:hAnsi="Arial"/>
          <w:sz w:val="18"/>
          <w:szCs w:val="18"/>
          <w:color w:val="auto"/>
        </w:rPr>
      </w:pPr>
    </w:p>
    <w:p>
      <w:pPr>
        <w:ind w:left="660" w:right="320" w:hanging="328"/>
        <w:spacing w:after="0" w:line="292"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Trulicity is protected by a compound patent (2024 not including possible patent extension) and by biologics data package protection (2026).</w:t>
      </w:r>
    </w:p>
    <w:p>
      <w:pPr>
        <w:spacing w:after="0" w:line="17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11</w:t>
      </w:r>
    </w:p>
    <w:p>
      <w:pPr>
        <w:sectPr>
          <w:pgSz w:w="11900" w:h="16838" w:orient="portrait"/>
          <w:cols w:equalWidth="0" w:num="1">
            <w:col w:w="11420"/>
          </w:cols>
          <w:pgMar w:left="240" w:top="684"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Outside the U.S., important patent protection or data protection includes:</w:t>
      </w:r>
    </w:p>
    <w:p>
      <w:pPr>
        <w:spacing w:after="0" w:line="117" w:lineRule="exact"/>
        <w:rPr>
          <w:sz w:val="20"/>
          <w:szCs w:val="20"/>
          <w:color w:val="auto"/>
        </w:rPr>
      </w:pPr>
    </w:p>
    <w:p>
      <w:pPr>
        <w:ind w:left="660" w:right="300" w:hanging="328"/>
        <w:spacing w:after="0" w:line="292"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Alimta in major European countries (compound patent December 2015, vitamin regimen patent 2021) and Japan (compound patent December 2015, patents covering use to treat cancer concomitantly with vitamins 2021)</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Cialis in major European countries (compound patent November 2017)</w:t>
      </w:r>
    </w:p>
    <w:p>
      <w:pPr>
        <w:spacing w:after="0" w:line="117" w:lineRule="exact"/>
        <w:rPr>
          <w:rFonts w:ascii="Arial" w:cs="Arial" w:eastAsia="Arial" w:hAnsi="Arial"/>
          <w:sz w:val="18"/>
          <w:szCs w:val="18"/>
          <w:color w:val="auto"/>
        </w:rPr>
      </w:pPr>
    </w:p>
    <w:p>
      <w:pPr>
        <w:ind w:left="660" w:right="400" w:hanging="328"/>
        <w:spacing w:after="0" w:line="292"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Cymbalta in Japan (data package protection 2018). In major European countries, our Cymbalta data package protection expired in 2014, and we experienced the entry of generic competitors in 2015 in these markets.</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Forteo in Japan (data package protection 2018; patent covering its formulation and related process 2019).</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Zyprexa in Japan (patent for schizophrenia expired December 2015; patent for bipolar mania will expire April 2016).</w:t>
      </w:r>
    </w:p>
    <w:p>
      <w:pPr>
        <w:spacing w:after="0" w:line="117" w:lineRule="exact"/>
        <w:rPr>
          <w:sz w:val="20"/>
          <w:szCs w:val="20"/>
          <w:color w:val="auto"/>
        </w:rPr>
      </w:pPr>
    </w:p>
    <w:p>
      <w:pPr>
        <w:ind w:right="160"/>
        <w:spacing w:after="0" w:line="292" w:lineRule="auto"/>
        <w:rPr>
          <w:sz w:val="20"/>
          <w:szCs w:val="20"/>
          <w:color w:val="auto"/>
        </w:rPr>
      </w:pPr>
      <w:r>
        <w:rPr>
          <w:rFonts w:ascii="Arial" w:cs="Arial" w:eastAsia="Arial" w:hAnsi="Arial"/>
          <w:sz w:val="18"/>
          <w:szCs w:val="18"/>
          <w:color w:val="auto"/>
        </w:rPr>
        <w:t>U.S. patent protection or data protection for our new molecular entities that have been submitted for regulatory review is as follows (additional information about these molecules is provided in Item 7, "Management’s Discussion and Analysis—Late-Stage Pipeline”):</w:t>
      </w:r>
    </w:p>
    <w:p>
      <w:pPr>
        <w:spacing w:after="0" w:line="37" w:lineRule="exact"/>
        <w:rPr>
          <w:sz w:val="20"/>
          <w:szCs w:val="20"/>
          <w:color w:val="auto"/>
        </w:rPr>
      </w:pPr>
    </w:p>
    <w:p>
      <w:pPr>
        <w:ind w:left="660" w:right="400" w:hanging="328"/>
        <w:spacing w:after="0" w:line="292"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Ixekizumab - compound patent 2026 (not including possible patent extension); biologics data package protection for 12 years after approval</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Baricitinib - compound patent 2030 (not including possible patent extension)</w:t>
      </w:r>
    </w:p>
    <w:p>
      <w:pPr>
        <w:spacing w:after="0" w:line="117" w:lineRule="exact"/>
        <w:rPr>
          <w:sz w:val="20"/>
          <w:szCs w:val="20"/>
          <w:color w:val="auto"/>
        </w:rPr>
      </w:pPr>
    </w:p>
    <w:p>
      <w:pPr>
        <w:jc w:val="both"/>
        <w:ind w:right="100"/>
        <w:spacing w:after="0" w:line="271" w:lineRule="auto"/>
        <w:rPr>
          <w:sz w:val="20"/>
          <w:szCs w:val="20"/>
          <w:color w:val="auto"/>
        </w:rPr>
      </w:pPr>
      <w:r>
        <w:rPr>
          <w:rFonts w:ascii="Arial" w:cs="Arial" w:eastAsia="Arial" w:hAnsi="Arial"/>
          <w:sz w:val="18"/>
          <w:szCs w:val="18"/>
          <w:color w:val="auto"/>
        </w:rPr>
        <w:t>Worldwide, we sell all of our major products under trademarks that we consider in the aggregate to be important to our operations. Trademark protection varies throughout the world, with protection continuing in some countries as long as the mark is used, and in other countries as long as it is registered. Registrations are normally for fixed but renewable terms.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 Licenses</w:t>
      </w:r>
    </w:p>
    <w:p>
      <w:pPr>
        <w:spacing w:after="0" w:line="119" w:lineRule="exact"/>
        <w:rPr>
          <w:sz w:val="20"/>
          <w:szCs w:val="20"/>
          <w:color w:val="auto"/>
        </w:rPr>
      </w:pPr>
    </w:p>
    <w:p>
      <w:pPr>
        <w:ind w:right="260"/>
        <w:spacing w:after="0" w:line="292" w:lineRule="auto"/>
        <w:rPr>
          <w:sz w:val="20"/>
          <w:szCs w:val="20"/>
          <w:color w:val="auto"/>
        </w:rPr>
      </w:pPr>
      <w:r>
        <w:rPr>
          <w:rFonts w:ascii="Arial" w:cs="Arial" w:eastAsia="Arial" w:hAnsi="Arial"/>
          <w:sz w:val="18"/>
          <w:szCs w:val="18"/>
          <w:color w:val="auto"/>
        </w:rPr>
        <w:t>Most of our major products were discovered in our own laboratories and are not subject to significant license agreements. Two of our largest products, Cialis and Alimta, are subject to patent assignments or licenses granted to us by others.</w:t>
      </w:r>
    </w:p>
    <w:p>
      <w:pPr>
        <w:spacing w:after="0" w:line="37" w:lineRule="exact"/>
        <w:rPr>
          <w:sz w:val="20"/>
          <w:szCs w:val="20"/>
          <w:color w:val="auto"/>
        </w:rPr>
      </w:pPr>
    </w:p>
    <w:p>
      <w:pPr>
        <w:ind w:left="660" w:right="80" w:hanging="328"/>
        <w:spacing w:after="0" w:line="271"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compound patent for Cialis is the subject of a license agreement with GlaxoSmithKline (Glaxo), which assigns to us exclusively all rights in the compound. The agreement calls for royalties of a single-digit percentage of net sales. The agreement is not subject to termination by Glaxo for any reason other than a material breach by Lilly of the royalty obligation, after a substantial cure period.</w:t>
      </w:r>
    </w:p>
    <w:p>
      <w:pPr>
        <w:spacing w:after="0" w:line="55" w:lineRule="exact"/>
        <w:rPr>
          <w:rFonts w:ascii="Arial" w:cs="Arial" w:eastAsia="Arial" w:hAnsi="Arial"/>
          <w:sz w:val="18"/>
          <w:szCs w:val="18"/>
          <w:color w:val="auto"/>
        </w:rPr>
      </w:pPr>
    </w:p>
    <w:p>
      <w:pPr>
        <w:ind w:left="660" w:hanging="328"/>
        <w:spacing w:after="0" w:line="25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compound patent for Alimta is the subject of a license agreement with Princeton University, granting us an irrevocable exclusive worldwide license to the compound patents for the lives of the patents in the respective territories. The agreement calls for royalties of a single-digit percentage of net sales. The agreement is not subject to termination by Princeton for any reason other than a material breach by Lilly of the royalty obligation, after a substantial cure period. Alimta is also the subject of a worldwide, nonexclusive license to certain patents owned by Takeda Pharmaceutical Company Limited. The agreement calls for royalties of a single-digit percentage of net sales in countries covered by a relevant patent. The agreement is subject to termination for material default and failure to cure by Lilly and in the event that Lilly becomes bankrupt or insolvent.</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 Challenges</w:t>
      </w:r>
    </w:p>
    <w:p>
      <w:pPr>
        <w:spacing w:after="0" w:line="119"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In the U.S., the Drug Price Competition and Patent Term Restoration Act of 1984, commonly known as the Hatch-Waxman Act, made a complex set of changes to both patent and new-drug-approval laws for human pharmaceuticals. Before the Hatch-Waxman Act, no drug could be approved without providing the FDA complete safety and efficacy studies, i.e., a complete New Drug Application (NDA). The Hatch-Waxman Act authorizes the FDA to approve generic versions of innovative human pharmaceuticals (other than biologics) without such information by filing an Abbreviated New Drug Application (ANDA). In an ANDA, the generic manufacturer must demonstrate only “bioequivalence” between the generic version and the NDA-approved drug—not safety and efficacy.</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12</w:t>
      </w:r>
    </w:p>
    <w:p>
      <w:pPr>
        <w:sectPr>
          <w:pgSz w:w="11900" w:h="16838" w:orient="portrait"/>
          <w:cols w:equalWidth="0" w:num="1">
            <w:col w:w="11420"/>
          </w:cols>
          <w:pgMar w:left="240" w:top="684" w:right="239" w:bottom="1440" w:gutter="0" w:footer="0" w:header="0"/>
        </w:sectPr>
      </w:pPr>
    </w:p>
    <w:bookmarkStart w:id="12" w:name="page13"/>
    <w:bookmarkEnd w:id="12"/>
    <w:p>
      <w:pPr>
        <w:ind w:right="160"/>
        <w:spacing w:after="0" w:line="257" w:lineRule="auto"/>
        <w:rPr>
          <w:sz w:val="20"/>
          <w:szCs w:val="20"/>
          <w:color w:val="auto"/>
        </w:rPr>
      </w:pPr>
      <w:r>
        <w:rPr>
          <w:rFonts w:ascii="Arial" w:cs="Arial" w:eastAsia="Arial" w:hAnsi="Arial"/>
          <w:sz w:val="18"/>
          <w:szCs w:val="18"/>
          <w:color w:val="auto"/>
        </w:rPr>
        <w:t>Absent a patent challenge, the FDA cannot approve an ANDA until after the innovator’s patents expire. However, after the innovator has marketed its product for four years, a generic manufacturer may file an ANDA alleging that one or more of the patents listed in the innovator’s NDA are invalid or not infringed. This allegation is commonly known as a “Paragraph IV certification.” The innovator must then file suit against the generic manufacturer to protect its patents. The FDA is then prohibited from approving the generic company’s application for a 30- to 42-month period (which can be shortened or extended by the trial court judge hearing the patent challenge). If one or more of the NDA-listed patents are challenged, the first filer(s) of a Paragraph IV certification may be entitled to a 180-day period of market exclusivity over all other generic manufacturers.</w:t>
      </w:r>
    </w:p>
    <w:p>
      <w:pPr>
        <w:spacing w:after="0" w:line="69" w:lineRule="exact"/>
        <w:rPr>
          <w:sz w:val="20"/>
          <w:szCs w:val="20"/>
          <w:color w:val="auto"/>
        </w:rPr>
      </w:pPr>
    </w:p>
    <w:p>
      <w:pPr>
        <w:ind w:right="80"/>
        <w:spacing w:after="0" w:line="260" w:lineRule="auto"/>
        <w:rPr>
          <w:sz w:val="20"/>
          <w:szCs w:val="20"/>
          <w:color w:val="auto"/>
        </w:rPr>
      </w:pPr>
      <w:r>
        <w:rPr>
          <w:rFonts w:ascii="Arial" w:cs="Arial" w:eastAsia="Arial" w:hAnsi="Arial"/>
          <w:sz w:val="18"/>
          <w:szCs w:val="18"/>
          <w:color w:val="auto"/>
        </w:rPr>
        <w:t>Generic manufacturers use Paragraph IV certifications extensively to challenge patents on innovative human pharmaceuticals. In addition, generic companies have shown an increasing willingness to launch “at risk,” i.e., after receiving ANDA approval but before final resolution of their patent challenge. We are currently in litigation with numerous generic manufacturers in Hatch-Waxman litigation involving Alimta and Effient, among other products. For more information on Hatch-Waxman litigation involving the company, see Item 8, “Financial Statements and Supplementary Data—Note 15, Contingencies” and Item 3, "Legal Proceedings."</w:t>
      </w:r>
    </w:p>
    <w:p>
      <w:pPr>
        <w:spacing w:after="0" w:line="67" w:lineRule="exact"/>
        <w:rPr>
          <w:sz w:val="20"/>
          <w:szCs w:val="20"/>
          <w:color w:val="auto"/>
        </w:rPr>
      </w:pPr>
    </w:p>
    <w:p>
      <w:pPr>
        <w:ind w:right="220"/>
        <w:spacing w:after="0" w:line="258" w:lineRule="auto"/>
        <w:rPr>
          <w:sz w:val="20"/>
          <w:szCs w:val="20"/>
          <w:color w:val="auto"/>
        </w:rPr>
      </w:pPr>
      <w:r>
        <w:rPr>
          <w:rFonts w:ascii="Arial" w:cs="Arial" w:eastAsia="Arial" w:hAnsi="Arial"/>
          <w:sz w:val="18"/>
          <w:szCs w:val="18"/>
          <w:color w:val="auto"/>
        </w:rPr>
        <w:t xml:space="preserve">The passage of the America Invents Act in 2011 added a new procedure to U.S. patent law. This procedure,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(IPR), allows any member of the public to file a petition with the USPTO seeking the review of any issued U.S. patent. IPRs are conducted before Administrative Patent Judges in the USPTO using a lower standard of proof than used in Federal District Court. In addition, the challenged patents are not accorded the presumption of validity as they are in Federal District Court. We are now seeing instances where generic drug companies and some investment funds are attempting to invalidate our patents by filing IPR challenges in the USPTO. For more information, see Item 8, “Financial Statements and Supplementary Data—Note 15, Contingencies.”</w:t>
      </w:r>
    </w:p>
    <w:p>
      <w:pPr>
        <w:spacing w:after="0" w:line="69"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Outside the U.S., the legal doctrines and processes by which pharmaceutical patents can be challenged vary widely. In recent years, we have experienced an increase in patent challenges from generic manufacturers in many countries outside the U.S., and we expect this trend to continue. For more information on administrative challenges and litigation involving our Alimta patents in Europe and Japan, see Item 8, “Financial Statements and Supplementary Data—Note 15, Contingencies.”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Government Regulation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of Our Operations</w:t>
      </w:r>
    </w:p>
    <w:p>
      <w:pPr>
        <w:spacing w:after="0" w:line="119"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Our operations are regulated extensively by numerous national, state, and local agencies. The lengthy process of laboratory and clinical testing, data analysis, manufacturing development, and regulatory review necessary for governmental approvals is extremely costly and can significantly delay product introductions. Promotion, marketing, manufacturing, and distribution of human pharmaceutical and animal health products are extensively regulated in all major world markets. We conduct extensive post-marketing surveillance of the safety of the products we sell. In addition, our operations are subject to complex federal, state, local, and foreign laws and regulations concerning the environment, occupational health and safety, and privacy. Animal health product regulations address the administration of the product in or on the animal, and in the case of food animal products, the impact on humans who consume the food as well as the impact on the environment at the production site. The laws and regulations affecting the manufacture and sale of current products and the discovery, development, and introduction of new products will continue to require substantial effort, expense, and capital investment.</w:t>
      </w:r>
    </w:p>
    <w:p>
      <w:pPr>
        <w:spacing w:after="0" w:line="74" w:lineRule="exact"/>
        <w:rPr>
          <w:sz w:val="20"/>
          <w:szCs w:val="20"/>
          <w:color w:val="auto"/>
        </w:rPr>
      </w:pPr>
    </w:p>
    <w:p>
      <w:pPr>
        <w:ind w:right="180"/>
        <w:spacing w:after="0" w:line="260" w:lineRule="auto"/>
        <w:rPr>
          <w:sz w:val="20"/>
          <w:szCs w:val="20"/>
          <w:color w:val="auto"/>
        </w:rPr>
      </w:pPr>
      <w:r>
        <w:rPr>
          <w:rFonts w:ascii="Arial" w:cs="Arial" w:eastAsia="Arial" w:hAnsi="Arial"/>
          <w:sz w:val="18"/>
          <w:szCs w:val="18"/>
          <w:color w:val="auto"/>
        </w:rPr>
        <w:t>Of particular importance is the FDA in the U.S. Pursuant to the Federal Food, Drug, and Cosmetic Act, the FDA has jurisdiction over all of our human pharmaceutical products and certain animal health products in the U.S. and administers requirements covering the testing, safety, effectiveness, manufacturing, quality control, distribution, labeling, marketing, advertising, dissemination of information, and post-marketing surveillance of those products. The U.S. Department of Agriculture and the U.S. Environmental Protection Agency also regulate some animal health products.</w:t>
      </w:r>
    </w:p>
    <w:p>
      <w:pPr>
        <w:spacing w:after="0" w:line="6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FDA extensively regulates all aspects of manufacturing quality for human pharmaceuticals under its current Good Manufacturing Practices (cGMP) regulations. Outside the U.S., our products and operations are subject to similar regulatory requirements, notably by the European Medicines Agency in the EU and the Ministry of Health, Labor and Welfare in Japan. Specific regulatory requirements vary from country to country. We make substantial investments of capital and operating expenses to implement comprehensive, company-</w:t>
      </w:r>
    </w:p>
    <w:p>
      <w:pPr>
        <w:spacing w:after="0" w:line="19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13</w:t>
      </w:r>
    </w:p>
    <w:p>
      <w:pPr>
        <w:sectPr>
          <w:pgSz w:w="11900" w:h="16838" w:orient="portrait"/>
          <w:cols w:equalWidth="0" w:num="1">
            <w:col w:w="11420"/>
          </w:cols>
          <w:pgMar w:left="240" w:top="684" w:right="239" w:bottom="1440" w:gutter="0" w:footer="0" w:header="0"/>
        </w:sectPr>
      </w:pPr>
    </w:p>
    <w:bookmarkStart w:id="13" w:name="page14"/>
    <w:bookmarkEnd w:id="13"/>
    <w:p>
      <w:pPr>
        <w:ind w:right="140"/>
        <w:spacing w:after="0" w:line="264" w:lineRule="auto"/>
        <w:rPr>
          <w:sz w:val="20"/>
          <w:szCs w:val="20"/>
          <w:color w:val="auto"/>
        </w:rPr>
      </w:pPr>
      <w:r>
        <w:rPr>
          <w:rFonts w:ascii="Arial" w:cs="Arial" w:eastAsia="Arial" w:hAnsi="Arial"/>
          <w:sz w:val="18"/>
          <w:szCs w:val="18"/>
          <w:color w:val="auto"/>
        </w:rPr>
        <w:t>wide quality systems in our manufacturing, product development, and process development operations to ensure sustained compliance with cGMP and similar regulations. However, in the event we fail to adhere to these requirements in the future, we could be subject to interruptions in production, fines and penalties, and delays in new product approvals. Certain of our products are manufactured by third parties, and their failure to comply with these regulations could adversely affect us through failure to supply product to us or delays in new product approvals.</w:t>
      </w:r>
    </w:p>
    <w:p>
      <w:pPr>
        <w:spacing w:after="0" w:line="6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marketing, promotional, and pricing practices of human pharmaceutical manufacturers, as well as the manner in which manufacturers interact with purchasers and prescribers, are subject to various other U.S. federal and state laws, including the federal anti-kickback statute and the False Claims Act and state laws governing kickbacks, false claims, unfair trade practices, and consumer protection. These laws are administered by, among others, the Department of Justice (DOJ), the Office of Inspector General of the Department of Health and Human Services, the Federal Trade Commission, the Office of Personnel Management, and state attorneys general. Over the past several years, the FDA, the DOJ, and many of these other agencies have increased their enforcement activities with respect to pharmaceutical companies and increased the inter-agency coordination of enforcement activities. Several claims brought by these agencies against Lilly and other companies under these and other laws have resulted in corporate criminal sanctions and very substantial civil settlements.</w:t>
      </w:r>
    </w:p>
    <w:p>
      <w:pPr>
        <w:spacing w:after="0" w:line="7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U.S. Foreign Corrupt Practices Act of 1977 (FCPA) prohibits certain individuals and entities, including U.S. publicly traded companies, from promising, offering, or giving anything of value to foreign officials with the corrupt intent of influencing the foreign official for the purpose of helping the company obtain or retain business or gain any improper advantage. The FCPA also imposes specific recordkeeping and internal controls requirements on U.S. publicly traded companies. As noted above, outside the U.S., our business is heavily regulated and therefore involves significant interaction with foreign officials. Additionally, in many countries outside the U.S., the health care providers who prescribe human pharmaceuticals are employed by the government and the purchasers of human pharmaceuticals are government entities; therefore, our interactions with these prescribers and purchasers are subject to regulation under the FCPA.</w:t>
      </w:r>
    </w:p>
    <w:p>
      <w:pPr>
        <w:spacing w:after="0" w:line="69"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In addition to the U.S. application and enforcement of the FCPA, the various jurisdictions in which we operate and supply our products have laws and regulations aimed at preventing and penalizing corrupt and anticompetitive behavior. In recent years, several jurisdictions, including China, Brazil, and the United Kingdom (U.K.), have enhanced their laws and regulations in this area, increased their enforcement activities, and/or increased the level of cross-border coordination and information sharing.</w:t>
      </w:r>
    </w:p>
    <w:p>
      <w:pPr>
        <w:spacing w:after="0" w:line="6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It is possible that we could become subject to additional administrative and legal proceedings and actions, which could include claims for civil penalties (including treble damages under the False Claims Act), criminal sanctions, and administrative remedies, including exclusion from U.S. federal and other health care programs. It is possible that an adverse outcome in future actions could have a material adverse impact on our consolidated results of operations, liquidity, and financial position.</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Regulations Affecting Human Pharmaceutical Pricing, Reimbursement, and Access</w:t>
      </w:r>
    </w:p>
    <w:p>
      <w:pPr>
        <w:spacing w:after="0" w:line="119"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In the U.S., we are required to provide rebates to the federal government and respective state governments on their purchases of our human pharmaceuticals under state Medicaid and Medicaid Managed Care programs (minimum of 23.1 percent plus adjustments for price increases over time) and rebates to private payers who cover patients in certain types of health care facilities that serve low-income and uninsured patients (known as 340B facilities). No rebates are required at this time in the Medicare Part B (physician and hospital outpatient) program where reimbursement is set on an "average selling price plus 4.3 percent" formula. Drug manufacturers are required to provide a discount of 50 percent of the cost of branded prescription drugs for Medicare Part D participants who are in the “doughnut hole” (the coverage gap in Medicare prescription drug coverage). Additionally, an annual fee is imposed on pharmaceutical manufacturers and importers that sell branded prescription drugs to specified government programs.</w:t>
      </w:r>
    </w:p>
    <w:p>
      <w:pPr>
        <w:spacing w:after="0" w:line="70" w:lineRule="exact"/>
        <w:rPr>
          <w:sz w:val="20"/>
          <w:szCs w:val="20"/>
          <w:color w:val="auto"/>
        </w:rPr>
      </w:pPr>
    </w:p>
    <w:p>
      <w:pPr>
        <w:jc w:val="both"/>
        <w:ind w:right="160"/>
        <w:spacing w:after="0" w:line="271" w:lineRule="auto"/>
        <w:rPr>
          <w:sz w:val="20"/>
          <w:szCs w:val="20"/>
          <w:color w:val="auto"/>
        </w:rPr>
      </w:pPr>
      <w:r>
        <w:rPr>
          <w:rFonts w:ascii="Arial" w:cs="Arial" w:eastAsia="Arial" w:hAnsi="Arial"/>
          <w:sz w:val="18"/>
          <w:szCs w:val="18"/>
          <w:color w:val="auto"/>
        </w:rPr>
        <w:t>Rebates are also negotiated in the private sector. We give rebates to private payers who provide prescription drug benefits to seniors covered by Medicare and to private payers who provide prescription drug benefits to their customers. These rebates are affected by the introduction of competitive products and generics in the same class.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14</w:t>
      </w:r>
    </w:p>
    <w:p>
      <w:pPr>
        <w:sectPr>
          <w:pgSz w:w="11900" w:h="16838" w:orient="portrait"/>
          <w:cols w:equalWidth="0" w:num="1">
            <w:col w:w="11420"/>
          </w:cols>
          <w:pgMar w:left="240" w:top="684" w:right="239" w:bottom="1440" w:gutter="0" w:footer="0" w:header="0"/>
        </w:sectPr>
      </w:pPr>
    </w:p>
    <w:bookmarkStart w:id="14" w:name="page15"/>
    <w:bookmarkEnd w:id="14"/>
    <w:p>
      <w:pPr>
        <w:ind w:right="40"/>
        <w:spacing w:after="0" w:line="271" w:lineRule="auto"/>
        <w:rPr>
          <w:sz w:val="20"/>
          <w:szCs w:val="20"/>
          <w:color w:val="auto"/>
        </w:rPr>
      </w:pPr>
      <w:r>
        <w:rPr>
          <w:rFonts w:ascii="Arial" w:cs="Arial" w:eastAsia="Arial" w:hAnsi="Arial"/>
          <w:sz w:val="18"/>
          <w:szCs w:val="18"/>
          <w:color w:val="auto"/>
        </w:rPr>
        <w:t>In most international markets, we operate in an environment of government-mandated cost-containment programs, which may include price controls, international reference pricing (to other countries’ prices), discounts and rebates, therapeutic reference pricing (to other, often generic, pharmaceutical choices), restrictions on physician prescription levels, and mandatory generic substitution.</w:t>
      </w:r>
    </w:p>
    <w:p>
      <w:pPr>
        <w:spacing w:after="0" w:line="55"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Globally, public and private payers are increasingly restricting access to human pharmaceuticals based on assessments of comparative effectiveness and value, including through the establishment of formal health technology assessment processes. In addition, third party organizations, including professional associations, academic institutions, and non-profit entities associated with payers, are conducting and publishing comparative effectiveness and cost/benefit analyses on medicines, the impact of which are uncertain at this time.</w:t>
      </w:r>
    </w:p>
    <w:p>
      <w:pPr>
        <w:spacing w:after="0" w:line="62"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color w:val="auto"/>
        </w:rPr>
        <w:t>We cannot predict the extent to which our business may be affected by these or other potential future legislative or regulatory developments. However, in general we expect that state, federal, and international legislative and regulatory developments could have further negative effects on pricing and reimbursement for our human pharmaceutical products.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Research and Development</w:t>
      </w:r>
    </w:p>
    <w:p>
      <w:pPr>
        <w:spacing w:after="0" w:line="119" w:lineRule="exact"/>
        <w:rPr>
          <w:sz w:val="20"/>
          <w:szCs w:val="20"/>
          <w:color w:val="auto"/>
        </w:rPr>
      </w:pPr>
    </w:p>
    <w:p>
      <w:pPr>
        <w:ind w:right="40"/>
        <w:spacing w:after="0" w:line="260" w:lineRule="auto"/>
        <w:rPr>
          <w:sz w:val="20"/>
          <w:szCs w:val="20"/>
          <w:color w:val="auto"/>
        </w:rPr>
      </w:pPr>
      <w:r>
        <w:rPr>
          <w:rFonts w:ascii="Arial" w:cs="Arial" w:eastAsia="Arial" w:hAnsi="Arial"/>
          <w:sz w:val="18"/>
          <w:szCs w:val="18"/>
          <w:color w:val="auto"/>
        </w:rPr>
        <w:t>Our commitment to research and development dates back more than 100 years. We invest heavily in research and development because we believe it is critical to our long-term competitiveness. At the end of 2015, we employed approximately 8,730 people in human pharmaceutical and animal health research and development activities, including a substantial number of physicians, scientists holding graduate or postgraduate degrees, and highly skilled technical personnel. Our research and development expenses were $4.80 billion in 2015, $4.73 billion in 2014, and $5.53 billion in 2013.</w:t>
      </w:r>
    </w:p>
    <w:p>
      <w:pPr>
        <w:spacing w:after="0" w:line="67"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Our internal human pharmaceutical research focuses primarily on the areas of cancer, diabetes, neurodegeneration, immunology, and pain. We have a strong biotechnology research program, with more than half of our clinical-stage pipeline currently consisting of biologics. In addition to discovering and developing NMEs, we seek to expand the value of existing products through new uses, formulations, and therapeutic approaches that provide additional value to patients. Across all our therapeutic areas, we are increasingly focusing our efforts on tailored therapeutics, seeking to identify and use advanced diagnostic tools and other information to identify specific subgroups of patients for whom our medicines—or potentially those of other companies—will be the best treatment option.</w:t>
      </w:r>
    </w:p>
    <w:p>
      <w:pPr>
        <w:spacing w:after="0" w:line="69"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color w:val="auto"/>
        </w:rPr>
        <w:t>To supplement our internal efforts, we collaborate with others, including academic institutions and research-based pharmaceutical and biotechnology companies. We use the services of physicians, hospitals, medical schools, and other research organizations worldwide to conduct clinical trials to establish the safety and effectiveness of our human pharmaceutical products. We actively seek out external investments in research and technologies that hold the promise to complement and strengthen our own efforts. These investments can take many forms, including licensing arrangements, co-development and co-marketing agreements, co-promotion arrangements, joint ventures, and acquisitions.</w:t>
      </w:r>
    </w:p>
    <w:p>
      <w:pPr>
        <w:spacing w:after="0" w:line="69" w:lineRule="exact"/>
        <w:rPr>
          <w:sz w:val="20"/>
          <w:szCs w:val="20"/>
          <w:color w:val="auto"/>
        </w:rPr>
      </w:pPr>
    </w:p>
    <w:p>
      <w:pPr>
        <w:ind w:right="280"/>
        <w:spacing w:after="0" w:line="271" w:lineRule="auto"/>
        <w:rPr>
          <w:sz w:val="20"/>
          <w:szCs w:val="20"/>
          <w:color w:val="auto"/>
        </w:rPr>
      </w:pPr>
      <w:r>
        <w:rPr>
          <w:rFonts w:ascii="Arial" w:cs="Arial" w:eastAsia="Arial" w:hAnsi="Arial"/>
          <w:sz w:val="18"/>
          <w:szCs w:val="18"/>
          <w:color w:val="auto"/>
        </w:rPr>
        <w:t>Our Elanco animal health innovation strategy is focused on identifying and developing promising technologies and potential products from internal and external sources to meet unmet veterinary needs. Our animal health scientists also leverage discoveries from our human health laboratories to develop products to enhance the health and wellbeing of farm animals and pets.</w:t>
      </w:r>
    </w:p>
    <w:p>
      <w:pPr>
        <w:spacing w:after="0" w:line="19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15</w:t>
      </w:r>
    </w:p>
    <w:p>
      <w:pPr>
        <w:sectPr>
          <w:pgSz w:w="11900" w:h="16838" w:orient="portrait"/>
          <w:cols w:equalWidth="0" w:num="1">
            <w:col w:w="11420"/>
          </w:cols>
          <w:pgMar w:left="240" w:top="684" w:right="239" w:bottom="1440" w:gutter="0" w:footer="0" w:header="0"/>
        </w:sectPr>
      </w:pPr>
    </w:p>
    <w:bookmarkStart w:id="15" w:name="page16"/>
    <w:bookmarkEnd w:id="15"/>
    <w:p>
      <w:pPr>
        <w:ind w:right="460"/>
        <w:spacing w:after="0" w:line="258" w:lineRule="auto"/>
        <w:rPr>
          <w:sz w:val="20"/>
          <w:szCs w:val="20"/>
          <w:color w:val="auto"/>
        </w:rPr>
      </w:pPr>
      <w:r>
        <w:rPr>
          <w:rFonts w:ascii="Arial" w:cs="Arial" w:eastAsia="Arial" w:hAnsi="Arial"/>
          <w:sz w:val="18"/>
          <w:szCs w:val="18"/>
          <w:color w:val="auto"/>
        </w:rPr>
        <w:t>Human pharmaceutical development is time-consuming, expensive, and risky. On average, only one out of many thousands of molecules discovered by researchers ultimately becomes an approved medicine. The process from discovery to regulatory approval can take over a decade. Drug candidates can fail at any stage of the process, and even late-stage drug candidates sometimes fail to receive regulatory approval or achieve commercial success. After approval and launch of a product, we expend considerable resources on post-marketing surveillance and additional clinical studies to collect data and understand the benefits and potential risks of medicines as they are used as therapeutics. The following describes in more detail the research and development process for human pharmaceutical products: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Phases of New Drug Development</w:t>
      </w:r>
    </w:p>
    <w:p>
      <w:pPr>
        <w:spacing w:after="0" w:line="117" w:lineRule="exact"/>
        <w:rPr>
          <w:sz w:val="20"/>
          <w:szCs w:val="20"/>
          <w:color w:val="auto"/>
        </w:rPr>
      </w:pPr>
    </w:p>
    <w:p>
      <w:pPr>
        <w:ind w:left="420" w:hanging="250"/>
        <w:spacing w:after="0"/>
        <w:tabs>
          <w:tab w:leader="none" w:pos="420" w:val="left"/>
        </w:tabs>
        <w:numPr>
          <w:ilvl w:val="1"/>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Discovery Research Phase</w:t>
      </w:r>
    </w:p>
    <w:p>
      <w:pPr>
        <w:spacing w:after="0" w:line="119" w:lineRule="exact"/>
        <w:rPr>
          <w:rFonts w:ascii="Arial" w:cs="Arial" w:eastAsia="Arial" w:hAnsi="Arial"/>
          <w:sz w:val="18"/>
          <w:szCs w:val="18"/>
          <w:b w:val="1"/>
          <w:bCs w:val="1"/>
          <w:color w:val="auto"/>
        </w:rPr>
      </w:pPr>
    </w:p>
    <w:p>
      <w:pPr>
        <w:ind w:left="42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The earliest phase of new drug research and development, the discovery phase, can take many years. Scientists identify, design, and synthesize promising molecules, screening tens of thousands of molecules for their effect on biological “targets” that appear to play an important role in one or more diseases. Targets can be part of the body, such as a protein, receptor, or gene; or foreign, such as a virus or bacteria. Some targets have been proven to affect disease processes, but often the target is unproven and may later prove to be irrelevant to the disease or to yield insufficient clinical benefit. Molecules that have the desired effect on the target and meet other design criteria become “candidate” molecules and move to the next phase of development. The probability of any one candidate molecule becoming a commercial product is extremely low.</w:t>
      </w:r>
    </w:p>
    <w:p>
      <w:pPr>
        <w:spacing w:after="0" w:line="67" w:lineRule="exact"/>
        <w:rPr>
          <w:rFonts w:ascii="Arial" w:cs="Arial" w:eastAsia="Arial" w:hAnsi="Arial"/>
          <w:sz w:val="18"/>
          <w:szCs w:val="18"/>
          <w:b w:val="1"/>
          <w:bCs w:val="1"/>
          <w:color w:val="auto"/>
        </w:rPr>
      </w:pPr>
    </w:p>
    <w:p>
      <w:pPr>
        <w:ind w:left="420" w:hanging="412"/>
        <w:spacing w:after="0"/>
        <w:tabs>
          <w:tab w:leader="none" w:pos="42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Early Development Phase</w:t>
      </w:r>
    </w:p>
    <w:p>
      <w:pPr>
        <w:spacing w:after="0" w:line="119" w:lineRule="exact"/>
        <w:rPr>
          <w:rFonts w:ascii="Arial" w:cs="Arial" w:eastAsia="Arial" w:hAnsi="Arial"/>
          <w:sz w:val="18"/>
          <w:szCs w:val="18"/>
          <w:b w:val="1"/>
          <w:bCs w:val="1"/>
          <w:color w:val="auto"/>
        </w:rPr>
      </w:pPr>
    </w:p>
    <w:p>
      <w:pPr>
        <w:ind w:left="420" w:right="6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The early development phase involves refining candidate molecules, understanding how to manufacture them efficiently, and completing initial testing for safety and efficacy. Safety testing is done first in laboratory tests and animals as necessary, to identify toxicity and other potential safety issues that would preclude use in humans. In general, the first human tests (often referred to as Phase I) are conducted in small groups of healthy volunteers to assess safety and find the potential dosing range. After a safe dose has been established, the drug is typically administered to small populations of patients (Phase II) to look for initial signs of efficacy in treating the targeted disease, or biomarkers of the disease, and to continue to assess safety. In parallel, scientists work to identify safe, effective, and economical manufacturing processes. Long-term animal studies continue to test for potential safety issues. Of the molecules that enter the early development phase, approximately 10 percent move on to the product phase. The early development phase can take several years to complete.</w:t>
      </w:r>
    </w:p>
    <w:p>
      <w:pPr>
        <w:spacing w:after="0" w:line="71" w:lineRule="exact"/>
        <w:rPr>
          <w:rFonts w:ascii="Arial" w:cs="Arial" w:eastAsia="Arial" w:hAnsi="Arial"/>
          <w:sz w:val="18"/>
          <w:szCs w:val="18"/>
          <w:b w:val="1"/>
          <w:bCs w:val="1"/>
          <w:color w:val="auto"/>
        </w:rPr>
      </w:pPr>
    </w:p>
    <w:p>
      <w:pPr>
        <w:ind w:left="420" w:hanging="412"/>
        <w:spacing w:after="0"/>
        <w:tabs>
          <w:tab w:leader="none" w:pos="42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Product Phase</w:t>
      </w:r>
    </w:p>
    <w:p>
      <w:pPr>
        <w:spacing w:after="0" w:line="119" w:lineRule="exact"/>
        <w:rPr>
          <w:rFonts w:ascii="Arial" w:cs="Arial" w:eastAsia="Arial" w:hAnsi="Arial"/>
          <w:sz w:val="18"/>
          <w:szCs w:val="18"/>
          <w:b w:val="1"/>
          <w:bCs w:val="1"/>
          <w:color w:val="auto"/>
        </w:rPr>
      </w:pPr>
    </w:p>
    <w:p>
      <w:pPr>
        <w:ind w:left="420" w:right="60"/>
        <w:spacing w:after="0" w:line="276" w:lineRule="auto"/>
        <w:rPr>
          <w:rFonts w:ascii="Arial" w:cs="Arial" w:eastAsia="Arial" w:hAnsi="Arial"/>
          <w:sz w:val="18"/>
          <w:szCs w:val="18"/>
          <w:b w:val="1"/>
          <w:bCs w:val="1"/>
          <w:color w:val="auto"/>
        </w:rPr>
      </w:pPr>
      <w:r>
        <w:rPr>
          <w:rFonts w:ascii="Arial" w:cs="Arial" w:eastAsia="Arial" w:hAnsi="Arial"/>
          <w:sz w:val="17"/>
          <w:szCs w:val="17"/>
          <w:color w:val="auto"/>
        </w:rPr>
        <w:t>Product phase (Phase III) molecules have already demonstrated safety and, typically, shown initial evidence of efficacy. As a result, these molecules generally have a higher likelihood of success. The molecules are tested in much larger patient populations to demonstrate efficacy to a predetermined level of statistical significance and to continue to develop the safety profile. These trials are generally global in nature and are designed to generate the data necessary to submit the molecule to regulatory agencies for marketing approval. The potential new drug is generally compared with existing competitive therapies, placebo, or both. The resulting data is compiled and may be submitted to regulatory agencies around the world. Phase III testing varies by disease state, but can often last from three to four years.</w:t>
      </w:r>
    </w:p>
    <w:p>
      <w:pPr>
        <w:spacing w:after="0" w:line="53" w:lineRule="exact"/>
        <w:rPr>
          <w:rFonts w:ascii="Arial" w:cs="Arial" w:eastAsia="Arial" w:hAnsi="Arial"/>
          <w:sz w:val="18"/>
          <w:szCs w:val="18"/>
          <w:b w:val="1"/>
          <w:bCs w:val="1"/>
          <w:color w:val="auto"/>
        </w:rPr>
      </w:pPr>
    </w:p>
    <w:p>
      <w:pPr>
        <w:ind w:left="420" w:hanging="412"/>
        <w:spacing w:after="0"/>
        <w:tabs>
          <w:tab w:leader="none" w:pos="42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Submission Phase</w:t>
      </w:r>
    </w:p>
    <w:p>
      <w:pPr>
        <w:spacing w:after="0" w:line="119" w:lineRule="exact"/>
        <w:rPr>
          <w:rFonts w:ascii="Arial" w:cs="Arial" w:eastAsia="Arial" w:hAnsi="Arial"/>
          <w:sz w:val="18"/>
          <w:szCs w:val="18"/>
          <w:b w:val="1"/>
          <w:bCs w:val="1"/>
          <w:color w:val="auto"/>
        </w:rPr>
      </w:pPr>
    </w:p>
    <w:p>
      <w:pPr>
        <w:ind w:left="420" w:right="14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Once a molecule is submitted to regulatory agencies, the time to final marketing approval can vary from several months to several years, depending on variables such as the disease state, the strength and complexity of the data presented, the novelty of the target or compound, and the time required for the agency(ies) to evaluate the submission. There is no guarantee that a potential medicine will receive marketing approval, or that decisions on marketing approvals or indications will be consistent across geographic areas.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16</w:t>
      </w:r>
    </w:p>
    <w:p>
      <w:pPr>
        <w:sectPr>
          <w:pgSz w:w="11900" w:h="16838" w:orient="portrait"/>
          <w:cols w:equalWidth="0" w:num="1">
            <w:col w:w="11420"/>
          </w:cols>
          <w:pgMar w:left="240" w:top="684" w:right="239" w:bottom="1440" w:gutter="0" w:footer="0" w:header="0"/>
        </w:sectPr>
      </w:pPr>
    </w:p>
    <w:bookmarkStart w:id="16" w:name="page17"/>
    <w:bookmarkEnd w:id="16"/>
    <w:p>
      <w:pPr>
        <w:ind w:right="140"/>
        <w:spacing w:after="0" w:line="256" w:lineRule="auto"/>
        <w:rPr>
          <w:sz w:val="20"/>
          <w:szCs w:val="20"/>
          <w:color w:val="auto"/>
        </w:rPr>
      </w:pPr>
      <w:r>
        <w:rPr>
          <w:rFonts w:ascii="Arial" w:cs="Arial" w:eastAsia="Arial" w:hAnsi="Arial"/>
          <w:sz w:val="18"/>
          <w:szCs w:val="18"/>
          <w:color w:val="auto"/>
        </w:rPr>
        <w:t>We believe our investments in research, both internally and in collaboration with others, have been rewarded by the large number of new molecules and new indications for existing molecules that we have in all stages of development. We currently have approximately 50 drug candidates across all stages of human testing and a larger number of projects in preclinical development. Among our new investigational molecules currently in the product phase of development or awaiting regulatory approval or launch are potential therapies for various cancers, Alzheimer’s disease, pain, migraines, rheumatoid arthritis, psoriasis, psoriatic arthritis, and severe hypoglycemia. We are studying many other drug candidates in the earlier stages of development in our chosen priority areas. We are also developing new uses, formulations, or delivery methods for many of these molecules as well as several currently marketed products. See Item 7, "Management's Discussion and Analysis— Late-Stage Pipeline," for more information on certain of our product candidates.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Raw Materials and Product Supply</w:t>
      </w:r>
    </w:p>
    <w:p>
      <w:pPr>
        <w:spacing w:after="0" w:line="119" w:lineRule="exact"/>
        <w:rPr>
          <w:sz w:val="20"/>
          <w:szCs w:val="20"/>
          <w:color w:val="auto"/>
        </w:rPr>
      </w:pPr>
    </w:p>
    <w:p>
      <w:pPr>
        <w:ind w:right="60"/>
        <w:spacing w:after="0" w:line="260" w:lineRule="auto"/>
        <w:rPr>
          <w:sz w:val="20"/>
          <w:szCs w:val="20"/>
          <w:color w:val="auto"/>
        </w:rPr>
      </w:pPr>
      <w:r>
        <w:rPr>
          <w:rFonts w:ascii="Arial" w:cs="Arial" w:eastAsia="Arial" w:hAnsi="Arial"/>
          <w:sz w:val="18"/>
          <w:szCs w:val="18"/>
          <w:color w:val="auto"/>
        </w:rPr>
        <w:t>Most of the principal materials we use in our manufacturing operations are available from more than one source. However, we obtain certain raw materials principally from only one source. In the event one of these suppliers was unable to provide the materials or product, we generally seek to maintain sufficient inventory to supply the market until an alternative source of supply can be implemented. However, in the event of an extended failure of a supplier, it is possible that we could experience an interruption in supply until we established new sources or, in some cases, implemented alternative processes.</w:t>
      </w:r>
    </w:p>
    <w:p>
      <w:pPr>
        <w:spacing w:after="0" w:line="67"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The majority of our revenue comes from products produced in our own facilities. Our principal active ingredient manufacturing occurs at four owned sites in the U.S. as well as owned sites in Ireland, Puerto Rico, and the U.K. Finishing operations, including formulation, filling, assembling, delivery device manufacturing, and packaging, take place at a number of sites throughout the world. We utilize third parties for certain active ingredient manufacturing and finishing operations.</w:t>
      </w:r>
    </w:p>
    <w:p>
      <w:pPr>
        <w:spacing w:after="0" w:line="62"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We manage our supply chain (including our own facilities, contracted arrangements, and inventory) in a way that should allow us to meet all expected product demand while maintaining flexibility to reallocate manufacturing capacity to improve efficiency and respond to changes in supply and demand. To maintain a stable supply of our products, we use a variety of techniques including comprehensive quality systems, inventory management, and back-up sites.</w:t>
      </w:r>
    </w:p>
    <w:p>
      <w:pPr>
        <w:spacing w:after="0" w:line="62"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color w:val="auto"/>
        </w:rPr>
        <w:t>However, human pharmaceutical and animal health production processes are complex, highly regulated, and vary widely from product to product. Shifting or adding manufacturing capacity can be a very lengthy process requiring significant capital expenditures, process modifications, and regulatory approvals. Accordingly, if we were to experience extended plant shutdowns at one of our own facilities, extended failure of a contract supplier, or extraordinary unplanned increases in demand, we could experience an interruption in supply of certain products or product shortages until production could be resumed or expanded.</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Quality Assurance</w:t>
      </w:r>
    </w:p>
    <w:p>
      <w:pPr>
        <w:spacing w:after="0" w:line="119" w:lineRule="exact"/>
        <w:rPr>
          <w:sz w:val="20"/>
          <w:szCs w:val="20"/>
          <w:color w:val="auto"/>
        </w:rPr>
      </w:pPr>
    </w:p>
    <w:p>
      <w:pPr>
        <w:jc w:val="both"/>
        <w:ind w:right="320"/>
        <w:spacing w:after="0" w:line="271" w:lineRule="auto"/>
        <w:rPr>
          <w:sz w:val="20"/>
          <w:szCs w:val="20"/>
          <w:color w:val="auto"/>
        </w:rPr>
      </w:pPr>
      <w:r>
        <w:rPr>
          <w:rFonts w:ascii="Arial" w:cs="Arial" w:eastAsia="Arial" w:hAnsi="Arial"/>
          <w:sz w:val="18"/>
          <w:szCs w:val="18"/>
          <w:color w:val="auto"/>
        </w:rPr>
        <w:t>Our success depends in great measure upon customer confidence in the quality of our products and in the integrity of the data that support their safety and effectiveness. Product quality arises from a total commitment to quality in all parts of our operations, including research and development, purchasing, facilities planning, manufacturing, distribution, and dissemination of information about our medicines.</w:t>
      </w:r>
    </w:p>
    <w:p>
      <w:pPr>
        <w:spacing w:after="0" w:line="55"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color w:val="auto"/>
        </w:rPr>
        <w:t>Quality of production processes involves strict control of ingredients, equipment, facilities, manufacturing methods, packaging materials, and labeling. We perform tests at various stages of production processes and on the final product to assure that the product meets all regulatory requirements and Lilly internal standards. These tests may involve chemical and physical chemical analyses, microbiological testing, testing in animals, or a combination. Additional assurance of quality is provided by corporate quality-assurance groups that audit and monitor all aspects of quality related to human pharmaceutical and animal health manufacturing procedures and systems in company operations and at third-party suppliers.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Executive Officers of the Company</w:t>
      </w:r>
    </w:p>
    <w:p>
      <w:pPr>
        <w:spacing w:after="0" w:line="119" w:lineRule="exact"/>
        <w:rPr>
          <w:sz w:val="20"/>
          <w:szCs w:val="20"/>
          <w:color w:val="auto"/>
        </w:rPr>
      </w:pPr>
    </w:p>
    <w:p>
      <w:pPr>
        <w:ind w:right="220"/>
        <w:spacing w:after="0" w:line="292" w:lineRule="auto"/>
        <w:rPr>
          <w:sz w:val="20"/>
          <w:szCs w:val="20"/>
          <w:color w:val="auto"/>
        </w:rPr>
      </w:pPr>
      <w:r>
        <w:rPr>
          <w:rFonts w:ascii="Arial" w:cs="Arial" w:eastAsia="Arial" w:hAnsi="Arial"/>
          <w:sz w:val="18"/>
          <w:szCs w:val="18"/>
          <w:color w:val="auto"/>
        </w:rPr>
        <w:t>The following table sets forth certain information regarding our executive officers. Except as otherwise noted, all executive officers have been employed by the company in management or executive positions during the last five years.</w:t>
      </w:r>
    </w:p>
    <w:p>
      <w:pPr>
        <w:spacing w:after="0" w:line="17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17</w:t>
      </w:r>
    </w:p>
    <w:p>
      <w:pPr>
        <w:sectPr>
          <w:pgSz w:w="11900" w:h="16838" w:orient="portrait"/>
          <w:cols w:equalWidth="0" w:num="1">
            <w:col w:w="11420"/>
          </w:cols>
          <w:pgMar w:left="240" w:top="684" w:right="239" w:bottom="1440" w:gutter="0" w:footer="0" w:header="0"/>
        </w:sectPr>
      </w:pPr>
    </w:p>
    <w:bookmarkStart w:id="17" w:name="page18"/>
    <w:bookmarkEnd w:id="17"/>
    <w:p>
      <w:pPr>
        <w:ind w:right="140"/>
        <w:spacing w:after="0" w:line="264" w:lineRule="auto"/>
        <w:rPr>
          <w:sz w:val="20"/>
          <w:szCs w:val="20"/>
          <w:color w:val="auto"/>
        </w:rPr>
      </w:pPr>
      <w:r>
        <w:rPr>
          <w:rFonts w:ascii="Arial" w:cs="Arial" w:eastAsia="Arial" w:hAnsi="Arial"/>
          <w:sz w:val="18"/>
          <w:szCs w:val="18"/>
          <w:color w:val="auto"/>
        </w:rPr>
        <w:t>The term of office for each executive officer expires on the date of the annual meeting of the Board of Directors, to be held on May 2, 2016, or on the date his or her successor is chosen and qualified. No director or executive officer has a “family relationship” with any other director or executive officer of the company, as that term is defined for purposes of this disclosure requirement. There is no understanding between any executive officer and any other person pursuant to which the executive officer was selected.</w:t>
      </w:r>
    </w:p>
    <w:p>
      <w:pPr>
        <w:spacing w:after="0" w:line="281"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2200" w:type="dxa"/>
            <w:vAlign w:val="bottom"/>
            <w:tcBorders>
              <w:top w:val="single" w:sz="8" w:color="auto"/>
              <w:left w:val="single" w:sz="8" w:color="auto"/>
              <w:bottom w:val="single" w:sz="8" w:color="auto"/>
              <w:right w:val="single" w:sz="8" w:color="auto"/>
            </w:tcBorders>
          </w:tcPr>
          <w:p>
            <w:pPr>
              <w:ind w:left="900"/>
              <w:spacing w:after="0"/>
              <w:rPr>
                <w:sz w:val="20"/>
                <w:szCs w:val="20"/>
                <w:color w:val="auto"/>
              </w:rPr>
            </w:pPr>
            <w:r>
              <w:rPr>
                <w:rFonts w:ascii="Arial" w:cs="Arial" w:eastAsia="Arial" w:hAnsi="Arial"/>
                <w:sz w:val="14"/>
                <w:szCs w:val="14"/>
                <w:b w:val="1"/>
                <w:bCs w:val="1"/>
                <w:color w:val="auto"/>
              </w:rPr>
              <w:t>Name</w:t>
            </w:r>
          </w:p>
        </w:tc>
        <w:tc>
          <w:tcPr>
            <w:tcW w:w="5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Age</w:t>
            </w:r>
          </w:p>
        </w:tc>
        <w:tc>
          <w:tcPr>
            <w:tcW w:w="8660" w:type="dxa"/>
            <w:vAlign w:val="bottom"/>
            <w:tcBorders>
              <w:top w:val="single" w:sz="8" w:color="auto"/>
              <w:bottom w:val="single" w:sz="8" w:color="auto"/>
              <w:right w:val="single" w:sz="8" w:color="auto"/>
            </w:tcBorders>
          </w:tcPr>
          <w:p>
            <w:pPr>
              <w:ind w:left="3180"/>
              <w:spacing w:after="0"/>
              <w:rPr>
                <w:sz w:val="20"/>
                <w:szCs w:val="20"/>
                <w:color w:val="auto"/>
              </w:rPr>
            </w:pPr>
            <w:r>
              <w:rPr>
                <w:rFonts w:ascii="Arial" w:cs="Arial" w:eastAsia="Arial" w:hAnsi="Arial"/>
                <w:sz w:val="14"/>
                <w:szCs w:val="14"/>
                <w:b w:val="1"/>
                <w:bCs w:val="1"/>
                <w:color w:val="auto"/>
              </w:rPr>
              <w:t>Offices and Business Experience</w:t>
            </w:r>
          </w:p>
        </w:tc>
        <w:tc>
          <w:tcPr>
            <w:tcW w:w="0" w:type="dxa"/>
            <w:vAlign w:val="bottom"/>
          </w:tcPr>
          <w:p>
            <w:pPr>
              <w:spacing w:after="0"/>
              <w:rPr>
                <w:sz w:val="1"/>
                <w:szCs w:val="1"/>
                <w:color w:val="auto"/>
              </w:rPr>
            </w:pPr>
          </w:p>
        </w:tc>
      </w:tr>
      <w:tr>
        <w:trPr>
          <w:trHeight w:val="170"/>
        </w:trPr>
        <w:tc>
          <w:tcPr>
            <w:tcW w:w="22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John C. Lechleiter, Ph.D.</w:t>
            </w:r>
          </w:p>
        </w:tc>
        <w:tc>
          <w:tcPr>
            <w:tcW w:w="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62</w:t>
            </w:r>
          </w:p>
        </w:tc>
        <w:tc>
          <w:tcPr>
            <w:tcW w:w="866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Chairman (since January 2009), President (since October 2005), Chief Executive Officer (since April 2008), and a Director (since</w:t>
            </w:r>
          </w:p>
        </w:tc>
        <w:tc>
          <w:tcPr>
            <w:tcW w:w="0" w:type="dxa"/>
            <w:vAlign w:val="bottom"/>
          </w:tcPr>
          <w:p>
            <w:pPr>
              <w:spacing w:after="0"/>
              <w:rPr>
                <w:sz w:val="1"/>
                <w:szCs w:val="1"/>
                <w:color w:val="auto"/>
              </w:rPr>
            </w:pPr>
          </w:p>
        </w:tc>
      </w:tr>
      <w:tr>
        <w:trPr>
          <w:trHeight w:val="113"/>
        </w:trPr>
        <w:tc>
          <w:tcPr>
            <w:tcW w:w="2200" w:type="dxa"/>
            <w:vAlign w:val="bottom"/>
            <w:tcBorders>
              <w:left w:val="single" w:sz="8" w:color="auto"/>
              <w:right w:val="single" w:sz="8" w:color="auto"/>
            </w:tcBorders>
            <w:vMerge w:val="continue"/>
          </w:tcPr>
          <w:p>
            <w:pPr>
              <w:spacing w:after="0"/>
              <w:rPr>
                <w:sz w:val="9"/>
                <w:szCs w:val="9"/>
                <w:color w:val="auto"/>
              </w:rPr>
            </w:pPr>
          </w:p>
        </w:tc>
        <w:tc>
          <w:tcPr>
            <w:tcW w:w="560" w:type="dxa"/>
            <w:vAlign w:val="bottom"/>
            <w:tcBorders>
              <w:right w:val="single" w:sz="8" w:color="auto"/>
            </w:tcBorders>
            <w:vMerge w:val="continue"/>
          </w:tcPr>
          <w:p>
            <w:pPr>
              <w:spacing w:after="0"/>
              <w:rPr>
                <w:sz w:val="9"/>
                <w:szCs w:val="9"/>
                <w:color w:val="auto"/>
              </w:rPr>
            </w:pPr>
          </w:p>
        </w:tc>
        <w:tc>
          <w:tcPr>
            <w:tcW w:w="8660" w:type="dxa"/>
            <w:vAlign w:val="bottom"/>
            <w:tcBorders>
              <w:right w:val="single" w:sz="8" w:color="auto"/>
            </w:tcBorders>
            <w:vMerge w:val="restart"/>
          </w:tcPr>
          <w:p>
            <w:pPr>
              <w:ind w:left="40"/>
              <w:spacing w:after="0"/>
              <w:rPr>
                <w:sz w:val="20"/>
                <w:szCs w:val="20"/>
                <w:color w:val="auto"/>
              </w:rPr>
            </w:pPr>
            <w:r>
              <w:rPr>
                <w:rFonts w:ascii="Arial" w:cs="Arial" w:eastAsia="Arial" w:hAnsi="Arial"/>
                <w:sz w:val="14"/>
                <w:szCs w:val="14"/>
                <w:color w:val="auto"/>
              </w:rPr>
              <w:t>October 2005)</w:t>
            </w:r>
          </w:p>
        </w:tc>
        <w:tc>
          <w:tcPr>
            <w:tcW w:w="0" w:type="dxa"/>
            <w:vAlign w:val="bottom"/>
          </w:tcPr>
          <w:p>
            <w:pPr>
              <w:spacing w:after="0"/>
              <w:rPr>
                <w:sz w:val="1"/>
                <w:szCs w:val="1"/>
                <w:color w:val="auto"/>
              </w:rPr>
            </w:pPr>
          </w:p>
        </w:tc>
      </w:tr>
      <w:tr>
        <w:trPr>
          <w:trHeight w:val="85"/>
        </w:trPr>
        <w:tc>
          <w:tcPr>
            <w:tcW w:w="2200" w:type="dxa"/>
            <w:vAlign w:val="bottom"/>
            <w:tcBorders>
              <w:left w:val="single" w:sz="8" w:color="auto"/>
              <w:bottom w:val="single" w:sz="8" w:color="auto"/>
              <w:right w:val="single" w:sz="8" w:color="auto"/>
            </w:tcBorders>
          </w:tcPr>
          <w:p>
            <w:pPr>
              <w:spacing w:after="0"/>
              <w:rPr>
                <w:sz w:val="7"/>
                <w:szCs w:val="7"/>
                <w:color w:val="auto"/>
              </w:rPr>
            </w:pPr>
          </w:p>
        </w:tc>
        <w:tc>
          <w:tcPr>
            <w:tcW w:w="560" w:type="dxa"/>
            <w:vAlign w:val="bottom"/>
            <w:tcBorders>
              <w:bottom w:val="single" w:sz="8" w:color="auto"/>
              <w:right w:val="single" w:sz="8" w:color="auto"/>
            </w:tcBorders>
          </w:tcPr>
          <w:p>
            <w:pPr>
              <w:spacing w:after="0"/>
              <w:rPr>
                <w:sz w:val="7"/>
                <w:szCs w:val="7"/>
                <w:color w:val="auto"/>
              </w:rPr>
            </w:pPr>
          </w:p>
        </w:tc>
        <w:tc>
          <w:tcPr>
            <w:tcW w:w="866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22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Melissa S. Barnes</w:t>
            </w:r>
          </w:p>
        </w:tc>
        <w:tc>
          <w:tcPr>
            <w:tcW w:w="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47</w:t>
            </w:r>
          </w:p>
        </w:tc>
        <w:tc>
          <w:tcPr>
            <w:tcW w:w="86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Senior Vice President, Enterprise Risk Management and Chief Ethics and Compliance Officer (since January 2013)</w:t>
            </w:r>
          </w:p>
        </w:tc>
        <w:tc>
          <w:tcPr>
            <w:tcW w:w="0" w:type="dxa"/>
            <w:vAlign w:val="bottom"/>
          </w:tcPr>
          <w:p>
            <w:pPr>
              <w:spacing w:after="0"/>
              <w:rPr>
                <w:sz w:val="1"/>
                <w:szCs w:val="1"/>
                <w:color w:val="auto"/>
              </w:rPr>
            </w:pPr>
          </w:p>
        </w:tc>
      </w:tr>
      <w:tr>
        <w:trPr>
          <w:trHeight w:val="210"/>
        </w:trPr>
        <w:tc>
          <w:tcPr>
            <w:tcW w:w="22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Enrique A. Conterno</w:t>
            </w:r>
          </w:p>
        </w:tc>
        <w:tc>
          <w:tcPr>
            <w:tcW w:w="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49</w:t>
            </w:r>
          </w:p>
        </w:tc>
        <w:tc>
          <w:tcPr>
            <w:tcW w:w="86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Senior Vice President and President, Lilly Diabetes (since November 2009)</w:t>
            </w:r>
          </w:p>
        </w:tc>
        <w:tc>
          <w:tcPr>
            <w:tcW w:w="0" w:type="dxa"/>
            <w:vAlign w:val="bottom"/>
          </w:tcPr>
          <w:p>
            <w:pPr>
              <w:spacing w:after="0"/>
              <w:rPr>
                <w:sz w:val="1"/>
                <w:szCs w:val="1"/>
                <w:color w:val="auto"/>
              </w:rPr>
            </w:pPr>
          </w:p>
        </w:tc>
      </w:tr>
      <w:tr>
        <w:trPr>
          <w:trHeight w:val="210"/>
        </w:trPr>
        <w:tc>
          <w:tcPr>
            <w:tcW w:w="22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Maria A. Crowe</w:t>
            </w:r>
          </w:p>
        </w:tc>
        <w:tc>
          <w:tcPr>
            <w:tcW w:w="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56</w:t>
            </w:r>
          </w:p>
        </w:tc>
        <w:tc>
          <w:tcPr>
            <w:tcW w:w="86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President, Manufacturing Operations (since January 2012)</w:t>
            </w:r>
          </w:p>
        </w:tc>
        <w:tc>
          <w:tcPr>
            <w:tcW w:w="0" w:type="dxa"/>
            <w:vAlign w:val="bottom"/>
          </w:tcPr>
          <w:p>
            <w:pPr>
              <w:spacing w:after="0"/>
              <w:rPr>
                <w:sz w:val="1"/>
                <w:szCs w:val="1"/>
                <w:color w:val="auto"/>
              </w:rPr>
            </w:pPr>
          </w:p>
        </w:tc>
      </w:tr>
      <w:tr>
        <w:trPr>
          <w:trHeight w:val="210"/>
        </w:trPr>
        <w:tc>
          <w:tcPr>
            <w:tcW w:w="22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Stephen F. Fry</w:t>
            </w:r>
          </w:p>
        </w:tc>
        <w:tc>
          <w:tcPr>
            <w:tcW w:w="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50</w:t>
            </w:r>
          </w:p>
        </w:tc>
        <w:tc>
          <w:tcPr>
            <w:tcW w:w="86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Senior Vice President, Human Resources and Diversity (since February 2011)</w:t>
            </w:r>
          </w:p>
        </w:tc>
        <w:tc>
          <w:tcPr>
            <w:tcW w:w="0" w:type="dxa"/>
            <w:vAlign w:val="bottom"/>
          </w:tcPr>
          <w:p>
            <w:pPr>
              <w:spacing w:after="0"/>
              <w:rPr>
                <w:sz w:val="1"/>
                <w:szCs w:val="1"/>
                <w:color w:val="auto"/>
              </w:rPr>
            </w:pPr>
          </w:p>
        </w:tc>
      </w:tr>
      <w:tr>
        <w:trPr>
          <w:trHeight w:val="210"/>
        </w:trPr>
        <w:tc>
          <w:tcPr>
            <w:tcW w:w="22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Michael J. Harrington</w:t>
            </w:r>
          </w:p>
        </w:tc>
        <w:tc>
          <w:tcPr>
            <w:tcW w:w="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53</w:t>
            </w:r>
          </w:p>
        </w:tc>
        <w:tc>
          <w:tcPr>
            <w:tcW w:w="86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Senior Vice President and General Counsel (since January 2013)</w:t>
            </w:r>
          </w:p>
        </w:tc>
        <w:tc>
          <w:tcPr>
            <w:tcW w:w="0" w:type="dxa"/>
            <w:vAlign w:val="bottom"/>
          </w:tcPr>
          <w:p>
            <w:pPr>
              <w:spacing w:after="0"/>
              <w:rPr>
                <w:sz w:val="1"/>
                <w:szCs w:val="1"/>
                <w:color w:val="auto"/>
              </w:rPr>
            </w:pPr>
          </w:p>
        </w:tc>
      </w:tr>
      <w:tr>
        <w:trPr>
          <w:trHeight w:val="210"/>
        </w:trPr>
        <w:tc>
          <w:tcPr>
            <w:tcW w:w="22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Jan M. Lundberg, Ph.D.</w:t>
            </w:r>
          </w:p>
        </w:tc>
        <w:tc>
          <w:tcPr>
            <w:tcW w:w="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62</w:t>
            </w:r>
          </w:p>
        </w:tc>
        <w:tc>
          <w:tcPr>
            <w:tcW w:w="86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Executive Vice President, Science and Technology, and President, Lilly Research Laboratories (since January 2010)</w:t>
            </w:r>
          </w:p>
        </w:tc>
        <w:tc>
          <w:tcPr>
            <w:tcW w:w="0" w:type="dxa"/>
            <w:vAlign w:val="bottom"/>
          </w:tcPr>
          <w:p>
            <w:pPr>
              <w:spacing w:after="0"/>
              <w:rPr>
                <w:sz w:val="1"/>
                <w:szCs w:val="1"/>
                <w:color w:val="auto"/>
              </w:rPr>
            </w:pPr>
          </w:p>
        </w:tc>
      </w:tr>
      <w:tr>
        <w:trPr>
          <w:trHeight w:val="210"/>
        </w:trPr>
        <w:tc>
          <w:tcPr>
            <w:tcW w:w="22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Susan Mahony, Ph.D.</w:t>
            </w:r>
          </w:p>
        </w:tc>
        <w:tc>
          <w:tcPr>
            <w:tcW w:w="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51</w:t>
            </w:r>
          </w:p>
        </w:tc>
        <w:tc>
          <w:tcPr>
            <w:tcW w:w="86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Senior Vice President and President, Lilly Oncology (since February 2011)</w:t>
            </w:r>
          </w:p>
        </w:tc>
        <w:tc>
          <w:tcPr>
            <w:tcW w:w="0" w:type="dxa"/>
            <w:vAlign w:val="bottom"/>
          </w:tcPr>
          <w:p>
            <w:pPr>
              <w:spacing w:after="0"/>
              <w:rPr>
                <w:sz w:val="1"/>
                <w:szCs w:val="1"/>
                <w:color w:val="auto"/>
              </w:rPr>
            </w:pPr>
          </w:p>
        </w:tc>
      </w:tr>
      <w:tr>
        <w:trPr>
          <w:trHeight w:val="210"/>
        </w:trPr>
        <w:tc>
          <w:tcPr>
            <w:tcW w:w="22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Barton R. Peterson</w:t>
            </w:r>
          </w:p>
        </w:tc>
        <w:tc>
          <w:tcPr>
            <w:tcW w:w="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57</w:t>
            </w:r>
          </w:p>
        </w:tc>
        <w:tc>
          <w:tcPr>
            <w:tcW w:w="86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Senior Vice President, Corporate Affairs and Communications (since June 2009)</w:t>
            </w:r>
          </w:p>
        </w:tc>
        <w:tc>
          <w:tcPr>
            <w:tcW w:w="0" w:type="dxa"/>
            <w:vAlign w:val="bottom"/>
          </w:tcPr>
          <w:p>
            <w:pPr>
              <w:spacing w:after="0"/>
              <w:rPr>
                <w:sz w:val="1"/>
                <w:szCs w:val="1"/>
                <w:color w:val="auto"/>
              </w:rPr>
            </w:pPr>
          </w:p>
        </w:tc>
      </w:tr>
      <w:tr>
        <w:trPr>
          <w:trHeight w:val="210"/>
        </w:trPr>
        <w:tc>
          <w:tcPr>
            <w:tcW w:w="22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Derica W. Rice</w:t>
            </w:r>
          </w:p>
        </w:tc>
        <w:tc>
          <w:tcPr>
            <w:tcW w:w="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51</w:t>
            </w:r>
          </w:p>
        </w:tc>
        <w:tc>
          <w:tcPr>
            <w:tcW w:w="86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Executive Vice President, Global Services (since January 2010) and Chief Financial Officer (since May 2006)</w:t>
            </w:r>
          </w:p>
        </w:tc>
        <w:tc>
          <w:tcPr>
            <w:tcW w:w="0" w:type="dxa"/>
            <w:vAlign w:val="bottom"/>
          </w:tcPr>
          <w:p>
            <w:pPr>
              <w:spacing w:after="0"/>
              <w:rPr>
                <w:sz w:val="1"/>
                <w:szCs w:val="1"/>
                <w:color w:val="auto"/>
              </w:rPr>
            </w:pPr>
          </w:p>
        </w:tc>
      </w:tr>
      <w:tr>
        <w:trPr>
          <w:trHeight w:val="210"/>
        </w:trPr>
        <w:tc>
          <w:tcPr>
            <w:tcW w:w="22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David A. Ricks</w:t>
            </w:r>
          </w:p>
        </w:tc>
        <w:tc>
          <w:tcPr>
            <w:tcW w:w="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48</w:t>
            </w:r>
          </w:p>
        </w:tc>
        <w:tc>
          <w:tcPr>
            <w:tcW w:w="86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Senior Vice President and President, Lilly Bio-Medicines (since January 2012)</w:t>
            </w:r>
          </w:p>
        </w:tc>
        <w:tc>
          <w:tcPr>
            <w:tcW w:w="0" w:type="dxa"/>
            <w:vAlign w:val="bottom"/>
          </w:tcPr>
          <w:p>
            <w:pPr>
              <w:spacing w:after="0"/>
              <w:rPr>
                <w:sz w:val="1"/>
                <w:szCs w:val="1"/>
                <w:color w:val="auto"/>
              </w:rPr>
            </w:pPr>
          </w:p>
        </w:tc>
      </w:tr>
      <w:tr>
        <w:trPr>
          <w:trHeight w:val="210"/>
        </w:trPr>
        <w:tc>
          <w:tcPr>
            <w:tcW w:w="22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Jeffrey N. Simmons</w:t>
            </w:r>
          </w:p>
        </w:tc>
        <w:tc>
          <w:tcPr>
            <w:tcW w:w="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48</w:t>
            </w:r>
          </w:p>
        </w:tc>
        <w:tc>
          <w:tcPr>
            <w:tcW w:w="86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Senior Vice President and President, Elanco Animal Health (since January 2008)</w:t>
            </w:r>
          </w:p>
        </w:tc>
        <w:tc>
          <w:tcPr>
            <w:tcW w:w="0" w:type="dxa"/>
            <w:vAlign w:val="bottom"/>
          </w:tcPr>
          <w:p>
            <w:pPr>
              <w:spacing w:after="0"/>
              <w:rPr>
                <w:sz w:val="1"/>
                <w:szCs w:val="1"/>
                <w:color w:val="auto"/>
              </w:rPr>
            </w:pPr>
          </w:p>
        </w:tc>
      </w:tr>
      <w:tr>
        <w:trPr>
          <w:trHeight w:val="210"/>
        </w:trPr>
        <w:tc>
          <w:tcPr>
            <w:tcW w:w="22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Fionnuala M. Walsh</w:t>
            </w:r>
          </w:p>
        </w:tc>
        <w:tc>
          <w:tcPr>
            <w:tcW w:w="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56</w:t>
            </w:r>
          </w:p>
        </w:tc>
        <w:tc>
          <w:tcPr>
            <w:tcW w:w="86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Senior Vice President, Global Quality (since July 2007)</w:t>
            </w:r>
          </w:p>
        </w:tc>
        <w:tc>
          <w:tcPr>
            <w:tcW w:w="0" w:type="dxa"/>
            <w:vAlign w:val="bottom"/>
          </w:tcPr>
          <w:p>
            <w:pPr>
              <w:spacing w:after="0"/>
              <w:rPr>
                <w:sz w:val="1"/>
                <w:szCs w:val="1"/>
                <w:color w:val="auto"/>
              </w:rPr>
            </w:pPr>
          </w:p>
        </w:tc>
      </w:tr>
      <w:tr>
        <w:trPr>
          <w:trHeight w:val="210"/>
        </w:trPr>
        <w:tc>
          <w:tcPr>
            <w:tcW w:w="22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Alfonso Zulueta</w:t>
            </w:r>
          </w:p>
        </w:tc>
        <w:tc>
          <w:tcPr>
            <w:tcW w:w="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53</w:t>
            </w:r>
          </w:p>
        </w:tc>
        <w:tc>
          <w:tcPr>
            <w:tcW w:w="86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Senior Vice President and President, Emerging Markets (since January 2014)</w:t>
            </w:r>
          </w:p>
        </w:tc>
        <w:tc>
          <w:tcPr>
            <w:tcW w:w="0" w:type="dxa"/>
            <w:vAlign w:val="bottom"/>
          </w:tcPr>
          <w:p>
            <w:pPr>
              <w:spacing w:after="0"/>
              <w:rPr>
                <w:sz w:val="1"/>
                <w:szCs w:val="1"/>
                <w:color w:val="auto"/>
              </w:rPr>
            </w:pPr>
          </w:p>
        </w:tc>
      </w:tr>
    </w:tbl>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Employees</w:t>
      </w:r>
    </w:p>
    <w:p>
      <w:pPr>
        <w:spacing w:after="0" w:line="119" w:lineRule="exact"/>
        <w:rPr>
          <w:sz w:val="20"/>
          <w:szCs w:val="20"/>
          <w:color w:val="auto"/>
        </w:rPr>
      </w:pPr>
    </w:p>
    <w:p>
      <w:pPr>
        <w:ind w:right="480"/>
        <w:spacing w:after="0" w:line="292" w:lineRule="auto"/>
        <w:rPr>
          <w:sz w:val="20"/>
          <w:szCs w:val="20"/>
          <w:color w:val="auto"/>
        </w:rPr>
      </w:pPr>
      <w:r>
        <w:rPr>
          <w:rFonts w:ascii="Arial" w:cs="Arial" w:eastAsia="Arial" w:hAnsi="Arial"/>
          <w:sz w:val="18"/>
          <w:szCs w:val="18"/>
          <w:color w:val="auto"/>
        </w:rPr>
        <w:t>At the end of 2015, we employed approximately 41,275 people, including approximately 23,425 employees outside the U.S. A substantial number of our employees have long records of continuous service.</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Financial Information Relating to Business Segments and Classes of Products</w:t>
      </w:r>
    </w:p>
    <w:p>
      <w:pPr>
        <w:spacing w:after="0" w:line="119" w:lineRule="exact"/>
        <w:rPr>
          <w:sz w:val="20"/>
          <w:szCs w:val="20"/>
          <w:color w:val="auto"/>
        </w:rPr>
      </w:pPr>
    </w:p>
    <w:p>
      <w:pPr>
        <w:ind w:right="1140"/>
        <w:spacing w:after="0" w:line="292" w:lineRule="auto"/>
        <w:rPr>
          <w:sz w:val="20"/>
          <w:szCs w:val="20"/>
          <w:color w:val="auto"/>
        </w:rPr>
      </w:pPr>
      <w:r>
        <w:rPr>
          <w:rFonts w:ascii="Arial" w:cs="Arial" w:eastAsia="Arial" w:hAnsi="Arial"/>
          <w:sz w:val="18"/>
          <w:szCs w:val="18"/>
          <w:color w:val="auto"/>
        </w:rPr>
        <w:t>You can find financial information relating to our business segments and classes of products in Item 8, "Financial Statements and Supplementary Data—Note 18, Segment Information." That information is incorporated here by reference.</w:t>
      </w:r>
    </w:p>
    <w:p>
      <w:pPr>
        <w:spacing w:after="0" w:line="37" w:lineRule="exact"/>
        <w:rPr>
          <w:sz w:val="20"/>
          <w:szCs w:val="20"/>
          <w:color w:val="auto"/>
        </w:rPr>
      </w:pPr>
    </w:p>
    <w:p>
      <w:pPr>
        <w:ind w:right="520"/>
        <w:spacing w:after="0" w:line="271" w:lineRule="auto"/>
        <w:rPr>
          <w:sz w:val="20"/>
          <w:szCs w:val="20"/>
          <w:color w:val="auto"/>
        </w:rPr>
      </w:pPr>
      <w:r>
        <w:rPr>
          <w:rFonts w:ascii="Arial" w:cs="Arial" w:eastAsia="Arial" w:hAnsi="Arial"/>
          <w:sz w:val="18"/>
          <w:szCs w:val="18"/>
          <w:color w:val="auto"/>
        </w:rPr>
        <w:t>The relative contribution of any particular product to our consolidated revenue changes from year to year. This is due to several factors, including the introduction of new products by us and by other manufacturers and the introduction of generic pharmaceuticals upon patent expirations. Our product revenues are generally not seasonal.</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Financial Information Relating to Foreign and Domestic Operations</w:t>
      </w:r>
    </w:p>
    <w:p>
      <w:pPr>
        <w:spacing w:after="0" w:line="11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You can find financial information relating to foreign and domestic operations in Item 8, “Financial Statements and Supplementary Data—Note 18, Segment Information.” That information is incorporated here by reference. To date, our overall operations abroad have not been significantly deterred by local restrictions on the transfer of funds from branches and subsidiaries located abroad, including the availability of U.S. dollar exchange. We cannot predict what effect these restrictions or the other risks inherent in foreign operations, including possible nationalization, might have on our future operations or what other restrictions may be imposed in the future. In addition, changing currency values can either favorably or unfavorably affect our financial position, liquidity, and results of operations. We mitigate certain foreign exchange risks through various hedging techniques including the use of foreign currency contracts.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18</w:t>
      </w:r>
    </w:p>
    <w:p>
      <w:pPr>
        <w:sectPr>
          <w:pgSz w:w="11900" w:h="16838" w:orient="portrait"/>
          <w:cols w:equalWidth="0" w:num="1">
            <w:col w:w="11400"/>
          </w:cols>
          <w:pgMar w:left="240" w:top="684" w:right="25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CC0000"/>
        </w:rPr>
        <w:t>Available Information on Our Website</w:t>
      </w:r>
    </w:p>
    <w:p>
      <w:pPr>
        <w:spacing w:after="0" w:line="117"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 xml:space="preserve">Our company website is </w:t>
      </w:r>
      <w:r>
        <w:rPr>
          <w:rFonts w:ascii="Arial" w:cs="Arial" w:eastAsia="Arial" w:hAnsi="Arial"/>
          <w:sz w:val="18"/>
          <w:szCs w:val="18"/>
          <w:b w:val="1"/>
          <w:bCs w:val="1"/>
          <w:color w:val="auto"/>
        </w:rPr>
        <w:t>http://www.lilly.com.</w:t>
      </w:r>
      <w:r>
        <w:rPr>
          <w:rFonts w:ascii="Arial" w:cs="Arial" w:eastAsia="Arial" w:hAnsi="Arial"/>
          <w:sz w:val="18"/>
          <w:szCs w:val="18"/>
          <w:color w:val="auto"/>
        </w:rPr>
        <w:t xml:space="preserve"> None of the information accessible on or through our website is incorporated into this Form 10-K. We make available through the website, free of charge, our company filings with the Securities and Exchange Commission (SEC) as soon as reasonably practicable after we electronically file them with, or furnish them to, the SEC. These include our annual reports on Form 10-K, quarterly reports on Form 10-Q, current reports on Form 8-K, proxy statements, registration statements, and any amendments to those documents. The company website link to our SEC filings is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http://investor.lilly.com/sec.cfm</w:t>
      </w:r>
      <w:r>
        <w:rPr>
          <w:rFonts w:ascii="Arial" w:cs="Arial" w:eastAsia="Arial" w:hAnsi="Arial"/>
          <w:sz w:val="18"/>
          <w:szCs w:val="18"/>
          <w:color w:val="auto"/>
        </w:rPr>
        <w:t>.</w:t>
      </w:r>
    </w:p>
    <w:p>
      <w:pPr>
        <w:spacing w:after="0" w:line="95" w:lineRule="exact"/>
        <w:rPr>
          <w:sz w:val="20"/>
          <w:szCs w:val="20"/>
          <w:color w:val="auto"/>
        </w:rPr>
      </w:pPr>
    </w:p>
    <w:p>
      <w:pPr>
        <w:ind w:right="160"/>
        <w:spacing w:after="0" w:line="276" w:lineRule="auto"/>
        <w:rPr>
          <w:sz w:val="20"/>
          <w:szCs w:val="20"/>
          <w:color w:val="auto"/>
        </w:rPr>
      </w:pPr>
      <w:r>
        <w:rPr>
          <w:rFonts w:ascii="Arial" w:cs="Arial" w:eastAsia="Arial" w:hAnsi="Arial"/>
          <w:sz w:val="18"/>
          <w:szCs w:val="18"/>
          <w:color w:val="auto"/>
        </w:rPr>
        <w:t xml:space="preserve">In addition, the Corporate Governance portion of our website includes our corporate governance guidelines, board and committee information (including committee charters), and our articles of incorporation and by-laws. The link to our corporate governance information is </w:t>
      </w:r>
      <w:r>
        <w:rPr>
          <w:rFonts w:ascii="Arial" w:cs="Arial" w:eastAsia="Arial" w:hAnsi="Arial"/>
          <w:sz w:val="18"/>
          <w:szCs w:val="18"/>
          <w:b w:val="1"/>
          <w:bCs w:val="1"/>
          <w:color w:val="auto"/>
        </w:rPr>
        <w:t>http://www.lilly.com/about/corporate-governance/Pages/corporate-governance.aspx.</w:t>
      </w:r>
    </w:p>
    <w:p>
      <w:pPr>
        <w:spacing w:after="0" w:line="42" w:lineRule="exact"/>
        <w:rPr>
          <w:sz w:val="20"/>
          <w:szCs w:val="20"/>
          <w:color w:val="auto"/>
        </w:rPr>
      </w:pPr>
    </w:p>
    <w:p>
      <w:pPr>
        <w:ind w:right="80"/>
        <w:spacing w:after="0" w:line="292" w:lineRule="auto"/>
        <w:rPr>
          <w:sz w:val="20"/>
          <w:szCs w:val="20"/>
          <w:color w:val="auto"/>
        </w:rPr>
      </w:pPr>
      <w:r>
        <w:rPr>
          <w:rFonts w:ascii="Arial" w:cs="Arial" w:eastAsia="Arial" w:hAnsi="Arial"/>
          <w:sz w:val="18"/>
          <w:szCs w:val="18"/>
          <w:color w:val="auto"/>
        </w:rPr>
        <w:t>We will provide paper copies of our SEC filings free of charge upon request to the company’s secretary at the address listed on the front of this Form 10-K.</w:t>
      </w:r>
    </w:p>
    <w:p>
      <w:pPr>
        <w:spacing w:after="0" w:line="131" w:lineRule="exact"/>
        <w:rPr>
          <w:sz w:val="20"/>
          <w:szCs w:val="20"/>
          <w:color w:val="auto"/>
        </w:rPr>
      </w:pPr>
    </w:p>
    <w:p>
      <w:pPr>
        <w:spacing w:after="0"/>
        <w:rPr>
          <w:sz w:val="20"/>
          <w:szCs w:val="20"/>
          <w:color w:val="auto"/>
        </w:rPr>
      </w:pPr>
      <w:r>
        <w:rPr>
          <w:rFonts w:ascii="Arial" w:cs="Arial" w:eastAsia="Arial" w:hAnsi="Arial"/>
          <w:sz w:val="32"/>
          <w:szCs w:val="32"/>
          <w:b w:val="1"/>
          <w:bCs w:val="1"/>
          <w:i w:val="1"/>
          <w:iCs w:val="1"/>
          <w:color w:val="CC0000"/>
        </w:rPr>
        <w:t>Item 1A.Risk Factors</w:t>
      </w:r>
    </w:p>
    <w:p>
      <w:pPr>
        <w:spacing w:after="0" w:line="186" w:lineRule="exact"/>
        <w:rPr>
          <w:sz w:val="20"/>
          <w:szCs w:val="20"/>
          <w:color w:val="auto"/>
        </w:rPr>
      </w:pPr>
    </w:p>
    <w:p>
      <w:pPr>
        <w:ind w:right="200"/>
        <w:spacing w:after="0" w:line="271" w:lineRule="auto"/>
        <w:rPr>
          <w:sz w:val="20"/>
          <w:szCs w:val="20"/>
          <w:color w:val="auto"/>
        </w:rPr>
      </w:pPr>
      <w:r>
        <w:rPr>
          <w:rFonts w:ascii="Arial" w:cs="Arial" w:eastAsia="Arial" w:hAnsi="Arial"/>
          <w:sz w:val="18"/>
          <w:szCs w:val="18"/>
          <w:color w:val="auto"/>
        </w:rPr>
        <w:t>In addition to the other information contained in this Form 10-K, the following risk factors should be considered carefully in evaluating our company. It is possible that our business, financial condition, liquidity, or results of operations could be materially adversely affected by any of these risks. Certain of these risks could also adversely affect the company's reputation.</w:t>
      </w:r>
    </w:p>
    <w:p>
      <w:pPr>
        <w:spacing w:after="0" w:line="53" w:lineRule="exact"/>
        <w:rPr>
          <w:sz w:val="20"/>
          <w:szCs w:val="20"/>
          <w:color w:val="auto"/>
        </w:rPr>
      </w:pPr>
    </w:p>
    <w:p>
      <w:pPr>
        <w:ind w:left="340" w:right="260" w:hanging="332"/>
        <w:spacing w:after="0" w:line="277"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b w:val="1"/>
          <w:bCs w:val="1"/>
          <w:color w:val="auto"/>
        </w:rPr>
        <w:t>Pharmaceutical research and development is very costly and highly uncertain; we may not succeed in developing or acquiring commercially successful products sufficient in number or value to replace revenues of products losing intellectual property protection.</w:t>
      </w:r>
    </w:p>
    <w:p>
      <w:pPr>
        <w:spacing w:after="0" w:line="41" w:lineRule="exact"/>
        <w:rPr>
          <w:rFonts w:ascii="Arial" w:cs="Arial" w:eastAsia="Arial" w:hAnsi="Arial"/>
          <w:sz w:val="18"/>
          <w:szCs w:val="18"/>
          <w:color w:val="auto"/>
        </w:rPr>
      </w:pPr>
    </w:p>
    <w:p>
      <w:pPr>
        <w:ind w:left="340" w:right="40"/>
        <w:spacing w:after="0" w:line="255" w:lineRule="auto"/>
        <w:rPr>
          <w:rFonts w:ascii="Arial" w:cs="Arial" w:eastAsia="Arial" w:hAnsi="Arial"/>
          <w:sz w:val="18"/>
          <w:szCs w:val="18"/>
          <w:color w:val="auto"/>
        </w:rPr>
      </w:pPr>
      <w:r>
        <w:rPr>
          <w:rFonts w:ascii="Arial" w:cs="Arial" w:eastAsia="Arial" w:hAnsi="Arial"/>
          <w:sz w:val="18"/>
          <w:szCs w:val="18"/>
          <w:color w:val="auto"/>
        </w:rPr>
        <w:t>There are many difficulties and uncertainties inherent in human pharmaceutical research and development and the introduction of new products. There is a high rate of failure inherent in new drug discovery and development. To bring a drug from the discovery phase to market can take over a decade and often costs in excess of $1 billion. Failure can occur at any point in the process, including in later stages after substantial investment. As a result, most funds invested in research programs will not generate financial returns. New product candidates that appear promising in development may fail to reach the market or may have only limited commercial success because of efficacy or safety concerns, inability to obtain necessary regulatory approvals or payer reimbursement or coverage, limited scope of approved uses, difficulty or excessive costs to manufacture, or infringement of the patents or intellectual property rights of others. Regulatory agencies are establishing increasingly high hurdles for the efficacy and safety of new products; delays and uncertainties in drug approval processes can result in delays in product launches and lost market opportunity. In addition, it can be very difficult to predict sales growth rates of new products.</w:t>
      </w:r>
    </w:p>
    <w:p>
      <w:pPr>
        <w:spacing w:after="0" w:line="69" w:lineRule="exact"/>
        <w:rPr>
          <w:rFonts w:ascii="Arial" w:cs="Arial" w:eastAsia="Arial" w:hAnsi="Arial"/>
          <w:sz w:val="18"/>
          <w:szCs w:val="18"/>
          <w:color w:val="auto"/>
        </w:rPr>
      </w:pPr>
    </w:p>
    <w:p>
      <w:pPr>
        <w:ind w:left="340" w:right="200"/>
        <w:spacing w:after="0" w:line="257" w:lineRule="auto"/>
        <w:rPr>
          <w:rFonts w:ascii="Arial" w:cs="Arial" w:eastAsia="Arial" w:hAnsi="Arial"/>
          <w:sz w:val="18"/>
          <w:szCs w:val="18"/>
          <w:color w:val="auto"/>
        </w:rPr>
      </w:pPr>
      <w:r>
        <w:rPr>
          <w:rFonts w:ascii="Arial" w:cs="Arial" w:eastAsia="Arial" w:hAnsi="Arial"/>
          <w:sz w:val="18"/>
          <w:szCs w:val="18"/>
          <w:color w:val="auto"/>
        </w:rPr>
        <w:t>We cannot state with certainty when or whether our products now under development will be approved or launched; whether we will be able to develop, license, or otherwise acquire additional product candidates or products; or whether our products, once launched, will be commercially successful. We must maintain a continuous flow of successful new products and successful new indications or brand extensions for existing products sufficient both to cover our substantial research and development costs and to replace sales that are lost as profitable products lose intellectual property exclusivity or are displaced by competing products or therapies. Failure to do so in the short-term or long-term would have a material adverse effect on our business, results of operations, cash flows, financial position, and prospects.</w:t>
      </w:r>
    </w:p>
    <w:p>
      <w:pPr>
        <w:spacing w:after="0" w:line="20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19</w:t>
      </w:r>
    </w:p>
    <w:p>
      <w:pPr>
        <w:sectPr>
          <w:pgSz w:w="11900" w:h="16838" w:orient="portrait"/>
          <w:cols w:equalWidth="0" w:num="1">
            <w:col w:w="11420"/>
          </w:cols>
          <w:pgMar w:left="240" w:top="736" w:right="239" w:bottom="1440" w:gutter="0" w:footer="0" w:header="0"/>
        </w:sectPr>
      </w:pPr>
    </w:p>
    <w:bookmarkStart w:id="19" w:name="page20"/>
    <w:bookmarkEnd w:id="19"/>
    <w:p>
      <w:pPr>
        <w:ind w:left="660" w:right="80" w:hanging="652"/>
        <w:spacing w:after="0" w:line="277" w:lineRule="auto"/>
        <w:tabs>
          <w:tab w:leader="none" w:pos="336" w:val="left"/>
        </w:tabs>
        <w:numPr>
          <w:ilvl w:val="0"/>
          <w:numId w:val="22"/>
        </w:numPr>
        <w:rPr>
          <w:rFonts w:ascii="Arial" w:cs="Arial" w:eastAsia="Arial" w:hAnsi="Arial"/>
          <w:sz w:val="18"/>
          <w:szCs w:val="18"/>
          <w:color w:val="auto"/>
        </w:rPr>
      </w:pPr>
      <w:r>
        <w:rPr>
          <w:rFonts w:ascii="Arial" w:cs="Arial" w:eastAsia="Arial" w:hAnsi="Arial"/>
          <w:sz w:val="18"/>
          <w:szCs w:val="18"/>
          <w:b w:val="1"/>
          <w:bCs w:val="1"/>
          <w:color w:val="auto"/>
        </w:rPr>
        <w:t>We depend on products with intellectual property protection for most of our revenues, cash flows, and earnings; we have lost or will lose effective intellectual property protection for many of those products in the next several years, which may result in rapid and severe declines in revenues.</w:t>
      </w:r>
    </w:p>
    <w:p>
      <w:pPr>
        <w:spacing w:after="0" w:line="42" w:lineRule="exact"/>
        <w:rPr>
          <w:sz w:val="20"/>
          <w:szCs w:val="20"/>
          <w:color w:val="auto"/>
        </w:rPr>
      </w:pPr>
    </w:p>
    <w:p>
      <w:pPr>
        <w:ind w:left="340" w:right="460"/>
        <w:spacing w:after="0" w:line="292" w:lineRule="auto"/>
        <w:rPr>
          <w:sz w:val="20"/>
          <w:szCs w:val="20"/>
          <w:color w:val="auto"/>
        </w:rPr>
      </w:pPr>
      <w:r>
        <w:rPr>
          <w:rFonts w:ascii="Arial" w:cs="Arial" w:eastAsia="Arial" w:hAnsi="Arial"/>
          <w:sz w:val="18"/>
          <w:szCs w:val="18"/>
          <w:color w:val="auto"/>
        </w:rPr>
        <w:t>A number of our top-selling human pharmaceutical products have recently lost, or will lose in the next several years, significant patent protection and/or data protection in the U.S. as well as key countries outside the U.S., as illustrated in the tables below:</w:t>
      </w:r>
    </w:p>
    <w:p>
      <w:pPr>
        <w:spacing w:after="0" w:line="120" w:lineRule="exact"/>
        <w:rPr>
          <w:sz w:val="20"/>
          <w:szCs w:val="20"/>
          <w:color w:val="auto"/>
        </w:rPr>
      </w:pPr>
    </w:p>
    <w:tbl>
      <w:tblPr>
        <w:tblLayout w:type="fixed"/>
        <w:tblInd w:w="350" w:type="dxa"/>
        <w:tblCellMar>
          <w:top w:w="0" w:type="dxa"/>
          <w:left w:w="0" w:type="dxa"/>
          <w:bottom w:w="0" w:type="dxa"/>
          <w:right w:w="0" w:type="dxa"/>
        </w:tblCellMar>
      </w:tblPr>
      <w:tr>
        <w:trPr>
          <w:trHeight w:val="187"/>
        </w:trPr>
        <w:tc>
          <w:tcPr>
            <w:tcW w:w="1500" w:type="dxa"/>
            <w:vAlign w:val="bottom"/>
            <w:tcBorders>
              <w:top w:val="single" w:sz="8" w:color="auto"/>
              <w:left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ind w:left="320"/>
              <w:spacing w:after="0"/>
              <w:rPr>
                <w:sz w:val="20"/>
                <w:szCs w:val="20"/>
                <w:color w:val="auto"/>
              </w:rPr>
            </w:pPr>
            <w:r>
              <w:rPr>
                <w:rFonts w:ascii="Arial" w:cs="Arial" w:eastAsia="Arial" w:hAnsi="Arial"/>
                <w:sz w:val="14"/>
                <w:szCs w:val="14"/>
                <w:b w:val="1"/>
                <w:bCs w:val="1"/>
                <w:color w:val="auto"/>
              </w:rPr>
              <w:t>Percent of</w:t>
            </w:r>
          </w:p>
        </w:tc>
        <w:tc>
          <w:tcPr>
            <w:tcW w:w="6400" w:type="dxa"/>
            <w:vAlign w:val="bottom"/>
            <w:tcBorders>
              <w:top w:val="single" w:sz="8" w:color="auto"/>
              <w:right w:val="single" w:sz="8" w:color="auto"/>
            </w:tcBorders>
          </w:tcPr>
          <w:p>
            <w:pPr>
              <w:spacing w:after="0"/>
              <w:rPr>
                <w:sz w:val="16"/>
                <w:szCs w:val="16"/>
                <w:color w:val="auto"/>
              </w:rPr>
            </w:pPr>
          </w:p>
        </w:tc>
      </w:tr>
      <w:tr>
        <w:trPr>
          <w:trHeight w:val="162"/>
        </w:trPr>
        <w:tc>
          <w:tcPr>
            <w:tcW w:w="1500" w:type="dxa"/>
            <w:vAlign w:val="bottom"/>
            <w:tcBorders>
              <w:lef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jc w:val="center"/>
              <w:ind w:right="137"/>
              <w:spacing w:after="0"/>
              <w:rPr>
                <w:sz w:val="20"/>
                <w:szCs w:val="20"/>
                <w:color w:val="auto"/>
              </w:rPr>
            </w:pPr>
            <w:r>
              <w:rPr>
                <w:rFonts w:ascii="Arial" w:cs="Arial" w:eastAsia="Arial" w:hAnsi="Arial"/>
                <w:sz w:val="14"/>
                <w:szCs w:val="14"/>
                <w:b w:val="1"/>
                <w:bCs w:val="1"/>
                <w:color w:val="auto"/>
              </w:rPr>
              <w:t>U.S. Revenues</w:t>
            </w:r>
          </w:p>
        </w:tc>
        <w:tc>
          <w:tcPr>
            <w:tcW w:w="1380" w:type="dxa"/>
            <w:vAlign w:val="bottom"/>
          </w:tcPr>
          <w:p>
            <w:pPr>
              <w:ind w:left="300"/>
              <w:spacing w:after="0"/>
              <w:rPr>
                <w:sz w:val="20"/>
                <w:szCs w:val="20"/>
                <w:color w:val="auto"/>
              </w:rPr>
            </w:pPr>
            <w:r>
              <w:rPr>
                <w:rFonts w:ascii="Arial" w:cs="Arial" w:eastAsia="Arial" w:hAnsi="Arial"/>
                <w:sz w:val="14"/>
                <w:szCs w:val="14"/>
                <w:b w:val="1"/>
                <w:bCs w:val="1"/>
                <w:color w:val="auto"/>
              </w:rPr>
              <w:t>Worldwide</w:t>
            </w:r>
          </w:p>
        </w:tc>
        <w:tc>
          <w:tcPr>
            <w:tcW w:w="6400" w:type="dxa"/>
            <w:vAlign w:val="bottom"/>
            <w:tcBorders>
              <w:right w:val="single" w:sz="8" w:color="auto"/>
            </w:tcBorders>
          </w:tcPr>
          <w:p>
            <w:pPr>
              <w:spacing w:after="0"/>
              <w:rPr>
                <w:sz w:val="14"/>
                <w:szCs w:val="14"/>
                <w:color w:val="auto"/>
              </w:rPr>
            </w:pPr>
          </w:p>
        </w:tc>
      </w:tr>
      <w:tr>
        <w:trPr>
          <w:trHeight w:val="162"/>
        </w:trPr>
        <w:tc>
          <w:tcPr>
            <w:tcW w:w="1500" w:type="dxa"/>
            <w:vAlign w:val="bottom"/>
            <w:tcBorders>
              <w:lef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jc w:val="center"/>
              <w:ind w:right="117"/>
              <w:spacing w:after="0"/>
              <w:rPr>
                <w:sz w:val="20"/>
                <w:szCs w:val="20"/>
                <w:color w:val="auto"/>
              </w:rPr>
            </w:pPr>
            <w:r>
              <w:rPr>
                <w:rFonts w:ascii="Arial" w:cs="Arial" w:eastAsia="Arial" w:hAnsi="Arial"/>
                <w:sz w:val="14"/>
                <w:szCs w:val="14"/>
                <w:b w:val="1"/>
                <w:bCs w:val="1"/>
                <w:color w:val="auto"/>
              </w:rPr>
              <w:t>(2015)</w:t>
            </w:r>
          </w:p>
        </w:tc>
        <w:tc>
          <w:tcPr>
            <w:tcW w:w="1380" w:type="dxa"/>
            <w:vAlign w:val="bottom"/>
          </w:tcPr>
          <w:p>
            <w:pPr>
              <w:ind w:left="320"/>
              <w:spacing w:after="0"/>
              <w:rPr>
                <w:sz w:val="20"/>
                <w:szCs w:val="20"/>
                <w:color w:val="auto"/>
              </w:rPr>
            </w:pPr>
            <w:r>
              <w:rPr>
                <w:rFonts w:ascii="Arial" w:cs="Arial" w:eastAsia="Arial" w:hAnsi="Arial"/>
                <w:sz w:val="14"/>
                <w:szCs w:val="14"/>
                <w:b w:val="1"/>
                <w:bCs w:val="1"/>
                <w:color w:val="auto"/>
              </w:rPr>
              <w:t>Revenues</w:t>
            </w:r>
          </w:p>
        </w:tc>
        <w:tc>
          <w:tcPr>
            <w:tcW w:w="6400" w:type="dxa"/>
            <w:vAlign w:val="bottom"/>
            <w:tcBorders>
              <w:right w:val="single" w:sz="8" w:color="auto"/>
            </w:tcBorders>
          </w:tcPr>
          <w:p>
            <w:pPr>
              <w:spacing w:after="0"/>
              <w:rPr>
                <w:sz w:val="14"/>
                <w:szCs w:val="14"/>
                <w:color w:val="auto"/>
              </w:rPr>
            </w:pPr>
          </w:p>
        </w:tc>
      </w:tr>
      <w:tr>
        <w:trPr>
          <w:trHeight w:val="203"/>
        </w:trPr>
        <w:tc>
          <w:tcPr>
            <w:tcW w:w="150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4"/>
                <w:szCs w:val="14"/>
                <w:b w:val="1"/>
                <w:bCs w:val="1"/>
                <w:color w:val="auto"/>
              </w:rPr>
              <w:t>Product</w:t>
            </w: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rPr>
              <w:t>($ in millions)</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(2015)</w:t>
            </w:r>
          </w:p>
        </w:tc>
        <w:tc>
          <w:tcPr>
            <w:tcW w:w="6400" w:type="dxa"/>
            <w:vAlign w:val="bottom"/>
            <w:tcBorders>
              <w:bottom w:val="single" w:sz="8" w:color="auto"/>
              <w:right w:val="single" w:sz="8" w:color="auto"/>
            </w:tcBorders>
          </w:tcPr>
          <w:p>
            <w:pPr>
              <w:ind w:left="2160"/>
              <w:spacing w:after="0"/>
              <w:rPr>
                <w:sz w:val="20"/>
                <w:szCs w:val="20"/>
                <w:color w:val="auto"/>
              </w:rPr>
            </w:pPr>
            <w:r>
              <w:rPr>
                <w:rFonts w:ascii="Arial" w:cs="Arial" w:eastAsia="Arial" w:hAnsi="Arial"/>
                <w:sz w:val="14"/>
                <w:szCs w:val="14"/>
                <w:b w:val="1"/>
                <w:bCs w:val="1"/>
                <w:color w:val="auto"/>
              </w:rPr>
              <w:t>Patent / Data Protection - U.S.</w:t>
            </w:r>
          </w:p>
        </w:tc>
      </w:tr>
      <w:tr>
        <w:trPr>
          <w:trHeight w:val="242"/>
        </w:trPr>
        <w:tc>
          <w:tcPr>
            <w:tcW w:w="15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Cialis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right w:val="single" w:sz="8" w:color="auto"/>
            </w:tcBorders>
          </w:tcPr>
          <w:p>
            <w:pPr>
              <w:jc w:val="right"/>
              <w:ind w:right="37"/>
              <w:spacing w:after="0"/>
              <w:rPr>
                <w:sz w:val="20"/>
                <w:szCs w:val="20"/>
                <w:color w:val="auto"/>
              </w:rPr>
            </w:pPr>
            <w:r>
              <w:rPr>
                <w:rFonts w:ascii="Arial" w:cs="Arial" w:eastAsia="Arial" w:hAnsi="Arial"/>
                <w:sz w:val="18"/>
                <w:szCs w:val="18"/>
                <w:color w:val="auto"/>
              </w:rPr>
              <w:t>1,256.8</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6%</w:t>
            </w:r>
          </w:p>
        </w:tc>
        <w:tc>
          <w:tcPr>
            <w:tcW w:w="64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Compound and use patents November 2017</w:t>
            </w:r>
          </w:p>
        </w:tc>
      </w:tr>
      <w:tr>
        <w:trPr>
          <w:trHeight w:val="216"/>
        </w:trPr>
        <w:tc>
          <w:tcPr>
            <w:tcW w:w="15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Alimta</w:t>
            </w:r>
          </w:p>
        </w:tc>
        <w:tc>
          <w:tcPr>
            <w:tcW w:w="160" w:type="dxa"/>
            <w:vAlign w:val="bottom"/>
          </w:tcPr>
          <w:p>
            <w:pPr>
              <w:spacing w:after="0"/>
              <w:rPr>
                <w:sz w:val="18"/>
                <w:szCs w:val="18"/>
                <w:color w:val="auto"/>
              </w:rPr>
            </w:pPr>
          </w:p>
        </w:tc>
        <w:tc>
          <w:tcPr>
            <w:tcW w:w="1260" w:type="dxa"/>
            <w:vAlign w:val="bottom"/>
            <w:tcBorders>
              <w:right w:val="single" w:sz="8" w:color="auto"/>
            </w:tcBorders>
          </w:tcPr>
          <w:p>
            <w:pPr>
              <w:jc w:val="right"/>
              <w:ind w:right="37"/>
              <w:spacing w:after="0"/>
              <w:rPr>
                <w:sz w:val="20"/>
                <w:szCs w:val="20"/>
                <w:color w:val="auto"/>
              </w:rPr>
            </w:pPr>
            <w:r>
              <w:rPr>
                <w:rFonts w:ascii="Arial" w:cs="Arial" w:eastAsia="Arial" w:hAnsi="Arial"/>
                <w:sz w:val="18"/>
                <w:szCs w:val="18"/>
                <w:color w:val="auto"/>
              </w:rPr>
              <w:t>1,162.4</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6%</w:t>
            </w:r>
          </w:p>
        </w:tc>
        <w:tc>
          <w:tcPr>
            <w:tcW w:w="64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Compound patent plus pediatric exclusivity January 2017;</w:t>
            </w:r>
          </w:p>
        </w:tc>
      </w:tr>
      <w:tr>
        <w:trPr>
          <w:trHeight w:val="243"/>
        </w:trPr>
        <w:tc>
          <w:tcPr>
            <w:tcW w:w="1500" w:type="dxa"/>
            <w:vAlign w:val="bottom"/>
            <w:tcBorders>
              <w:left w:val="single" w:sz="8" w:color="auto"/>
              <w:right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Borders>
              <w:right w:val="single" w:sz="8" w:color="auto"/>
            </w:tcBorders>
          </w:tcPr>
          <w:p>
            <w:pPr>
              <w:spacing w:after="0"/>
              <w:rPr>
                <w:sz w:val="21"/>
                <w:szCs w:val="21"/>
                <w:color w:val="auto"/>
              </w:rPr>
            </w:pPr>
          </w:p>
        </w:tc>
        <w:tc>
          <w:tcPr>
            <w:tcW w:w="1380" w:type="dxa"/>
            <w:vAlign w:val="bottom"/>
            <w:tcBorders>
              <w:right w:val="single" w:sz="8" w:color="auto"/>
            </w:tcBorders>
          </w:tcPr>
          <w:p>
            <w:pPr>
              <w:spacing w:after="0"/>
              <w:rPr>
                <w:sz w:val="21"/>
                <w:szCs w:val="21"/>
                <w:color w:val="auto"/>
              </w:rPr>
            </w:pPr>
          </w:p>
        </w:tc>
        <w:tc>
          <w:tcPr>
            <w:tcW w:w="64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vitamin regimen patent plus pediatric exclusivity 2022</w:t>
            </w:r>
          </w:p>
        </w:tc>
      </w:tr>
      <w:tr>
        <w:trPr>
          <w:trHeight w:val="257"/>
        </w:trPr>
        <w:tc>
          <w:tcPr>
            <w:tcW w:w="15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Forteo</w:t>
            </w:r>
          </w:p>
        </w:tc>
        <w:tc>
          <w:tcPr>
            <w:tcW w:w="160" w:type="dxa"/>
            <w:vAlign w:val="bottom"/>
          </w:tcPr>
          <w:p>
            <w:pPr>
              <w:spacing w:after="0"/>
              <w:rPr>
                <w:sz w:val="22"/>
                <w:szCs w:val="22"/>
                <w:color w:val="auto"/>
              </w:rPr>
            </w:pPr>
          </w:p>
        </w:tc>
        <w:tc>
          <w:tcPr>
            <w:tcW w:w="1260" w:type="dxa"/>
            <w:vAlign w:val="bottom"/>
            <w:tcBorders>
              <w:right w:val="single" w:sz="8" w:color="auto"/>
            </w:tcBorders>
          </w:tcPr>
          <w:p>
            <w:pPr>
              <w:jc w:val="right"/>
              <w:ind w:right="37"/>
              <w:spacing w:after="0"/>
              <w:rPr>
                <w:sz w:val="20"/>
                <w:szCs w:val="20"/>
                <w:color w:val="auto"/>
              </w:rPr>
            </w:pPr>
            <w:r>
              <w:rPr>
                <w:rFonts w:ascii="Arial" w:cs="Arial" w:eastAsia="Arial" w:hAnsi="Arial"/>
                <w:sz w:val="18"/>
                <w:szCs w:val="18"/>
                <w:color w:val="auto"/>
              </w:rPr>
              <w:t>612.4</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3%</w:t>
            </w:r>
          </w:p>
        </w:tc>
        <w:tc>
          <w:tcPr>
            <w:tcW w:w="64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Formulation and related process patents 2018; use patents 2019</w:t>
            </w:r>
          </w:p>
        </w:tc>
      </w:tr>
      <w:tr>
        <w:trPr>
          <w:trHeight w:val="257"/>
        </w:trPr>
        <w:tc>
          <w:tcPr>
            <w:tcW w:w="15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Strattera</w:t>
            </w:r>
          </w:p>
        </w:tc>
        <w:tc>
          <w:tcPr>
            <w:tcW w:w="160" w:type="dxa"/>
            <w:vAlign w:val="bottom"/>
          </w:tcPr>
          <w:p>
            <w:pPr>
              <w:spacing w:after="0"/>
              <w:rPr>
                <w:sz w:val="22"/>
                <w:szCs w:val="22"/>
                <w:color w:val="auto"/>
              </w:rPr>
            </w:pPr>
          </w:p>
        </w:tc>
        <w:tc>
          <w:tcPr>
            <w:tcW w:w="1260" w:type="dxa"/>
            <w:vAlign w:val="bottom"/>
            <w:tcBorders>
              <w:right w:val="single" w:sz="8" w:color="auto"/>
            </w:tcBorders>
          </w:tcPr>
          <w:p>
            <w:pPr>
              <w:jc w:val="right"/>
              <w:ind w:right="37"/>
              <w:spacing w:after="0"/>
              <w:rPr>
                <w:sz w:val="20"/>
                <w:szCs w:val="20"/>
                <w:color w:val="auto"/>
              </w:rPr>
            </w:pPr>
            <w:r>
              <w:rPr>
                <w:rFonts w:ascii="Arial" w:cs="Arial" w:eastAsia="Arial" w:hAnsi="Arial"/>
                <w:sz w:val="18"/>
                <w:szCs w:val="18"/>
                <w:color w:val="auto"/>
              </w:rPr>
              <w:t>502.1</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3%</w:t>
            </w:r>
          </w:p>
        </w:tc>
        <w:tc>
          <w:tcPr>
            <w:tcW w:w="64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Use patent plus pediatric exclusivity May 2017</w:t>
            </w:r>
          </w:p>
        </w:tc>
      </w:tr>
      <w:tr>
        <w:trPr>
          <w:trHeight w:val="261"/>
        </w:trPr>
        <w:tc>
          <w:tcPr>
            <w:tcW w:w="15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Effient</w:t>
            </w:r>
          </w:p>
        </w:tc>
        <w:tc>
          <w:tcPr>
            <w:tcW w:w="160" w:type="dxa"/>
            <w:vAlign w:val="bottom"/>
            <w:tcBorders>
              <w:bottom w:val="single" w:sz="8" w:color="auto"/>
            </w:tcBorders>
          </w:tcPr>
          <w:p>
            <w:pPr>
              <w:spacing w:after="0"/>
              <w:rPr>
                <w:sz w:val="22"/>
                <w:szCs w:val="22"/>
                <w:color w:val="auto"/>
              </w:rPr>
            </w:pPr>
          </w:p>
        </w:tc>
        <w:tc>
          <w:tcPr>
            <w:tcW w:w="1260" w:type="dxa"/>
            <w:vAlign w:val="bottom"/>
            <w:tcBorders>
              <w:bottom w:val="single" w:sz="8" w:color="auto"/>
              <w:right w:val="single" w:sz="8" w:color="auto"/>
            </w:tcBorders>
          </w:tcPr>
          <w:p>
            <w:pPr>
              <w:jc w:val="right"/>
              <w:ind w:right="37"/>
              <w:spacing w:after="0"/>
              <w:rPr>
                <w:sz w:val="20"/>
                <w:szCs w:val="20"/>
                <w:color w:val="auto"/>
              </w:rPr>
            </w:pPr>
            <w:r>
              <w:rPr>
                <w:rFonts w:ascii="Arial" w:cs="Arial" w:eastAsia="Arial" w:hAnsi="Arial"/>
                <w:sz w:val="18"/>
                <w:szCs w:val="18"/>
                <w:color w:val="auto"/>
              </w:rPr>
              <w:t>417.6</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2%</w:t>
            </w:r>
          </w:p>
        </w:tc>
        <w:tc>
          <w:tcPr>
            <w:tcW w:w="64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Compound patent April 2017; use patents 2023</w:t>
            </w:r>
          </w:p>
        </w:tc>
      </w:tr>
      <w:tr>
        <w:trPr>
          <w:trHeight w:val="187"/>
        </w:trPr>
        <w:tc>
          <w:tcPr>
            <w:tcW w:w="15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6400" w:type="dxa"/>
            <w:vAlign w:val="bottom"/>
            <w:tcBorders>
              <w:bottom w:val="single" w:sz="8" w:color="auto"/>
            </w:tcBorders>
          </w:tcPr>
          <w:p>
            <w:pPr>
              <w:spacing w:after="0"/>
              <w:rPr>
                <w:sz w:val="16"/>
                <w:szCs w:val="16"/>
                <w:color w:val="auto"/>
              </w:rPr>
            </w:pPr>
          </w:p>
        </w:tc>
      </w:tr>
      <w:tr>
        <w:trPr>
          <w:trHeight w:val="167"/>
        </w:trPr>
        <w:tc>
          <w:tcPr>
            <w:tcW w:w="1500" w:type="dxa"/>
            <w:vAlign w:val="bottom"/>
            <w:tcBorders>
              <w:left w:val="single" w:sz="8" w:color="auto"/>
              <w:right w:val="single" w:sz="8" w:color="auto"/>
            </w:tcBorders>
          </w:tcPr>
          <w:p>
            <w:pPr>
              <w:spacing w:after="0"/>
              <w:rPr>
                <w:sz w:val="14"/>
                <w:szCs w:val="14"/>
                <w:color w:val="auto"/>
              </w:rPr>
            </w:pPr>
          </w:p>
        </w:tc>
        <w:tc>
          <w:tcPr>
            <w:tcW w:w="1420" w:type="dxa"/>
            <w:vAlign w:val="bottom"/>
            <w:tcBorders>
              <w:right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Revenues Outside</w:t>
            </w:r>
          </w:p>
        </w:tc>
        <w:tc>
          <w:tcPr>
            <w:tcW w:w="1380" w:type="dxa"/>
            <w:vAlign w:val="bottom"/>
            <w:tcBorders>
              <w:right w:val="single" w:sz="8" w:color="auto"/>
            </w:tcBorders>
          </w:tcPr>
          <w:p>
            <w:pPr>
              <w:ind w:left="320"/>
              <w:spacing w:after="0"/>
              <w:rPr>
                <w:sz w:val="20"/>
                <w:szCs w:val="20"/>
                <w:color w:val="auto"/>
              </w:rPr>
            </w:pPr>
            <w:r>
              <w:rPr>
                <w:rFonts w:ascii="Arial" w:cs="Arial" w:eastAsia="Arial" w:hAnsi="Arial"/>
                <w:sz w:val="14"/>
                <w:szCs w:val="14"/>
                <w:b w:val="1"/>
                <w:bCs w:val="1"/>
                <w:color w:val="auto"/>
              </w:rPr>
              <w:t>Percent of</w:t>
            </w:r>
          </w:p>
        </w:tc>
        <w:tc>
          <w:tcPr>
            <w:tcW w:w="6400" w:type="dxa"/>
            <w:vAlign w:val="bottom"/>
            <w:tcBorders>
              <w:right w:val="single" w:sz="8" w:color="auto"/>
            </w:tcBorders>
          </w:tcPr>
          <w:p>
            <w:pPr>
              <w:spacing w:after="0"/>
              <w:rPr>
                <w:sz w:val="14"/>
                <w:szCs w:val="14"/>
                <w:color w:val="auto"/>
              </w:rPr>
            </w:pPr>
          </w:p>
        </w:tc>
      </w:tr>
      <w:tr>
        <w:trPr>
          <w:trHeight w:val="162"/>
        </w:trPr>
        <w:tc>
          <w:tcPr>
            <w:tcW w:w="1500" w:type="dxa"/>
            <w:vAlign w:val="bottom"/>
            <w:tcBorders>
              <w:left w:val="single" w:sz="8" w:color="auto"/>
              <w:righ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Borders>
              <w:right w:val="single" w:sz="8" w:color="auto"/>
            </w:tcBorders>
          </w:tcPr>
          <w:p>
            <w:pPr>
              <w:jc w:val="center"/>
              <w:ind w:right="97"/>
              <w:spacing w:after="0"/>
              <w:rPr>
                <w:sz w:val="20"/>
                <w:szCs w:val="20"/>
                <w:color w:val="auto"/>
              </w:rPr>
            </w:pPr>
            <w:r>
              <w:rPr>
                <w:rFonts w:ascii="Arial" w:cs="Arial" w:eastAsia="Arial" w:hAnsi="Arial"/>
                <w:sz w:val="14"/>
                <w:szCs w:val="14"/>
                <w:b w:val="1"/>
                <w:bCs w:val="1"/>
                <w:color w:val="auto"/>
              </w:rPr>
              <w:t>U.S.</w:t>
            </w:r>
          </w:p>
        </w:tc>
        <w:tc>
          <w:tcPr>
            <w:tcW w:w="1380" w:type="dxa"/>
            <w:vAlign w:val="bottom"/>
            <w:tcBorders>
              <w:right w:val="single" w:sz="8" w:color="auto"/>
            </w:tcBorders>
          </w:tcPr>
          <w:p>
            <w:pPr>
              <w:ind w:left="300"/>
              <w:spacing w:after="0"/>
              <w:rPr>
                <w:sz w:val="20"/>
                <w:szCs w:val="20"/>
                <w:color w:val="auto"/>
              </w:rPr>
            </w:pPr>
            <w:r>
              <w:rPr>
                <w:rFonts w:ascii="Arial" w:cs="Arial" w:eastAsia="Arial" w:hAnsi="Arial"/>
                <w:sz w:val="14"/>
                <w:szCs w:val="14"/>
                <w:b w:val="1"/>
                <w:bCs w:val="1"/>
                <w:color w:val="auto"/>
              </w:rPr>
              <w:t>Worldwide</w:t>
            </w:r>
          </w:p>
        </w:tc>
        <w:tc>
          <w:tcPr>
            <w:tcW w:w="6400" w:type="dxa"/>
            <w:vAlign w:val="bottom"/>
            <w:tcBorders>
              <w:right w:val="single" w:sz="8" w:color="auto"/>
            </w:tcBorders>
          </w:tcPr>
          <w:p>
            <w:pPr>
              <w:spacing w:after="0"/>
              <w:rPr>
                <w:sz w:val="14"/>
                <w:szCs w:val="14"/>
                <w:color w:val="auto"/>
              </w:rPr>
            </w:pPr>
          </w:p>
        </w:tc>
      </w:tr>
      <w:tr>
        <w:trPr>
          <w:trHeight w:val="162"/>
        </w:trPr>
        <w:tc>
          <w:tcPr>
            <w:tcW w:w="1500" w:type="dxa"/>
            <w:vAlign w:val="bottom"/>
            <w:tcBorders>
              <w:left w:val="single" w:sz="8" w:color="auto"/>
              <w:righ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Borders>
              <w:right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rPr>
              <w:t>(2015)</w:t>
            </w:r>
          </w:p>
        </w:tc>
        <w:tc>
          <w:tcPr>
            <w:tcW w:w="1380" w:type="dxa"/>
            <w:vAlign w:val="bottom"/>
            <w:tcBorders>
              <w:right w:val="single" w:sz="8" w:color="auto"/>
            </w:tcBorders>
          </w:tcPr>
          <w:p>
            <w:pPr>
              <w:ind w:left="340"/>
              <w:spacing w:after="0"/>
              <w:rPr>
                <w:sz w:val="20"/>
                <w:szCs w:val="20"/>
                <w:color w:val="auto"/>
              </w:rPr>
            </w:pPr>
            <w:r>
              <w:rPr>
                <w:rFonts w:ascii="Arial" w:cs="Arial" w:eastAsia="Arial" w:hAnsi="Arial"/>
                <w:sz w:val="14"/>
                <w:szCs w:val="14"/>
                <w:b w:val="1"/>
                <w:bCs w:val="1"/>
                <w:color w:val="auto"/>
              </w:rPr>
              <w:t>Revenues</w:t>
            </w:r>
          </w:p>
        </w:tc>
        <w:tc>
          <w:tcPr>
            <w:tcW w:w="6400" w:type="dxa"/>
            <w:vAlign w:val="bottom"/>
            <w:tcBorders>
              <w:right w:val="single" w:sz="8" w:color="auto"/>
            </w:tcBorders>
          </w:tcPr>
          <w:p>
            <w:pPr>
              <w:spacing w:after="0"/>
              <w:rPr>
                <w:sz w:val="14"/>
                <w:szCs w:val="14"/>
                <w:color w:val="auto"/>
              </w:rPr>
            </w:pPr>
          </w:p>
        </w:tc>
      </w:tr>
      <w:tr>
        <w:trPr>
          <w:trHeight w:val="203"/>
        </w:trPr>
        <w:tc>
          <w:tcPr>
            <w:tcW w:w="15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b w:val="1"/>
                <w:bCs w:val="1"/>
                <w:color w:val="auto"/>
              </w:rPr>
              <w:t>Product</w:t>
            </w: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rPr>
              <w:t>($ in millions)</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(2015)</w:t>
            </w:r>
          </w:p>
        </w:tc>
        <w:tc>
          <w:tcPr>
            <w:tcW w:w="6400" w:type="dxa"/>
            <w:vAlign w:val="bottom"/>
            <w:tcBorders>
              <w:bottom w:val="single" w:sz="8" w:color="auto"/>
              <w:right w:val="single" w:sz="8" w:color="auto"/>
            </w:tcBorders>
          </w:tcPr>
          <w:p>
            <w:pPr>
              <w:ind w:left="1580"/>
              <w:spacing w:after="0"/>
              <w:rPr>
                <w:sz w:val="20"/>
                <w:szCs w:val="20"/>
                <w:color w:val="auto"/>
              </w:rPr>
            </w:pPr>
            <w:r>
              <w:rPr>
                <w:rFonts w:ascii="Arial" w:cs="Arial" w:eastAsia="Arial" w:hAnsi="Arial"/>
                <w:sz w:val="14"/>
                <w:szCs w:val="14"/>
                <w:b w:val="1"/>
                <w:bCs w:val="1"/>
                <w:color w:val="auto"/>
              </w:rPr>
              <w:t>Patent / Data Protection - Major Europe / Japan</w:t>
            </w:r>
          </w:p>
        </w:tc>
      </w:tr>
      <w:tr>
        <w:trPr>
          <w:trHeight w:val="201"/>
        </w:trPr>
        <w:tc>
          <w:tcPr>
            <w:tcW w:w="1500" w:type="dxa"/>
            <w:vAlign w:val="bottom"/>
            <w:tcBorders>
              <w:left w:val="single" w:sz="8" w:color="auto"/>
              <w:right w:val="single" w:sz="8" w:color="auto"/>
            </w:tcBorders>
          </w:tcPr>
          <w:p>
            <w:pPr>
              <w:ind w:left="40"/>
              <w:spacing w:after="0" w:line="201" w:lineRule="exact"/>
              <w:rPr>
                <w:sz w:val="20"/>
                <w:szCs w:val="20"/>
                <w:color w:val="auto"/>
              </w:rPr>
            </w:pPr>
            <w:r>
              <w:rPr>
                <w:rFonts w:ascii="Arial" w:cs="Arial" w:eastAsia="Arial" w:hAnsi="Arial"/>
                <w:sz w:val="18"/>
                <w:szCs w:val="18"/>
                <w:color w:val="auto"/>
              </w:rPr>
              <w:t>Alimta</w:t>
            </w:r>
          </w:p>
        </w:tc>
        <w:tc>
          <w:tcPr>
            <w:tcW w:w="160" w:type="dxa"/>
            <w:vAlign w:val="bottom"/>
          </w:tcPr>
          <w:p>
            <w:pPr>
              <w:jc w:val="right"/>
              <w:spacing w:after="0" w:line="201" w:lineRule="exact"/>
              <w:rPr>
                <w:sz w:val="20"/>
                <w:szCs w:val="20"/>
                <w:color w:val="auto"/>
              </w:rPr>
            </w:pPr>
            <w:r>
              <w:rPr>
                <w:rFonts w:ascii="Arial" w:cs="Arial" w:eastAsia="Arial" w:hAnsi="Arial"/>
                <w:sz w:val="18"/>
                <w:szCs w:val="18"/>
                <w:color w:val="auto"/>
                <w:w w:val="99"/>
              </w:rPr>
              <w:t>$</w:t>
            </w:r>
          </w:p>
        </w:tc>
        <w:tc>
          <w:tcPr>
            <w:tcW w:w="1260" w:type="dxa"/>
            <w:vAlign w:val="bottom"/>
            <w:tcBorders>
              <w:right w:val="single" w:sz="8" w:color="auto"/>
            </w:tcBorders>
          </w:tcPr>
          <w:p>
            <w:pPr>
              <w:jc w:val="right"/>
              <w:ind w:right="37"/>
              <w:spacing w:after="0" w:line="201" w:lineRule="exact"/>
              <w:rPr>
                <w:sz w:val="20"/>
                <w:szCs w:val="20"/>
                <w:color w:val="auto"/>
              </w:rPr>
            </w:pPr>
            <w:r>
              <w:rPr>
                <w:rFonts w:ascii="Arial" w:cs="Arial" w:eastAsia="Arial" w:hAnsi="Arial"/>
                <w:sz w:val="18"/>
                <w:szCs w:val="18"/>
                <w:color w:val="auto"/>
              </w:rPr>
              <w:t>1,330.7</w:t>
            </w:r>
          </w:p>
        </w:tc>
        <w:tc>
          <w:tcPr>
            <w:tcW w:w="138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9"/>
              </w:rPr>
              <w:t>7%</w:t>
            </w:r>
          </w:p>
        </w:tc>
        <w:tc>
          <w:tcPr>
            <w:tcW w:w="6400" w:type="dxa"/>
            <w:vAlign w:val="bottom"/>
            <w:tcBorders>
              <w:right w:val="single" w:sz="8" w:color="auto"/>
            </w:tcBorders>
          </w:tcPr>
          <w:p>
            <w:pPr>
              <w:ind w:left="20"/>
              <w:spacing w:after="0" w:line="201" w:lineRule="exact"/>
              <w:rPr>
                <w:sz w:val="20"/>
                <w:szCs w:val="20"/>
                <w:color w:val="auto"/>
              </w:rPr>
            </w:pPr>
            <w:r>
              <w:rPr>
                <w:rFonts w:ascii="Arial" w:cs="Arial" w:eastAsia="Arial" w:hAnsi="Arial"/>
                <w:sz w:val="18"/>
                <w:szCs w:val="18"/>
                <w:color w:val="auto"/>
              </w:rPr>
              <w:t>Major European countries: compound patent December 2015, vitamin regimen</w:t>
            </w:r>
          </w:p>
        </w:tc>
      </w:tr>
      <w:tr>
        <w:trPr>
          <w:trHeight w:val="203"/>
        </w:trPr>
        <w:tc>
          <w:tcPr>
            <w:tcW w:w="1500" w:type="dxa"/>
            <w:vAlign w:val="bottom"/>
            <w:tcBorders>
              <w:left w:val="single" w:sz="8" w:color="auto"/>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Borders>
              <w:right w:val="single" w:sz="8" w:color="auto"/>
            </w:tcBorders>
          </w:tcPr>
          <w:p>
            <w:pPr>
              <w:spacing w:after="0"/>
              <w:rPr>
                <w:sz w:val="17"/>
                <w:szCs w:val="17"/>
                <w:color w:val="auto"/>
              </w:rPr>
            </w:pPr>
          </w:p>
        </w:tc>
        <w:tc>
          <w:tcPr>
            <w:tcW w:w="1380" w:type="dxa"/>
            <w:vAlign w:val="bottom"/>
            <w:tcBorders>
              <w:right w:val="single" w:sz="8" w:color="auto"/>
            </w:tcBorders>
          </w:tcPr>
          <w:p>
            <w:pPr>
              <w:spacing w:after="0"/>
              <w:rPr>
                <w:sz w:val="17"/>
                <w:szCs w:val="17"/>
                <w:color w:val="auto"/>
              </w:rPr>
            </w:pPr>
          </w:p>
        </w:tc>
        <w:tc>
          <w:tcPr>
            <w:tcW w:w="640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patent 2021</w:t>
            </w:r>
          </w:p>
        </w:tc>
      </w:tr>
      <w:tr>
        <w:trPr>
          <w:trHeight w:val="203"/>
        </w:trPr>
        <w:tc>
          <w:tcPr>
            <w:tcW w:w="1500" w:type="dxa"/>
            <w:vAlign w:val="bottom"/>
            <w:tcBorders>
              <w:left w:val="single" w:sz="8" w:color="auto"/>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Borders>
              <w:right w:val="single" w:sz="8" w:color="auto"/>
            </w:tcBorders>
          </w:tcPr>
          <w:p>
            <w:pPr>
              <w:spacing w:after="0"/>
              <w:rPr>
                <w:sz w:val="17"/>
                <w:szCs w:val="17"/>
                <w:color w:val="auto"/>
              </w:rPr>
            </w:pPr>
          </w:p>
        </w:tc>
        <w:tc>
          <w:tcPr>
            <w:tcW w:w="1380" w:type="dxa"/>
            <w:vAlign w:val="bottom"/>
            <w:tcBorders>
              <w:right w:val="single" w:sz="8" w:color="auto"/>
            </w:tcBorders>
          </w:tcPr>
          <w:p>
            <w:pPr>
              <w:spacing w:after="0"/>
              <w:rPr>
                <w:sz w:val="17"/>
                <w:szCs w:val="17"/>
                <w:color w:val="auto"/>
              </w:rPr>
            </w:pPr>
          </w:p>
        </w:tc>
        <w:tc>
          <w:tcPr>
            <w:tcW w:w="640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Japan: compound patent December 2015, use patents to treat cancer</w:t>
            </w:r>
          </w:p>
        </w:tc>
      </w:tr>
      <w:tr>
        <w:trPr>
          <w:trHeight w:val="243"/>
        </w:trPr>
        <w:tc>
          <w:tcPr>
            <w:tcW w:w="1500" w:type="dxa"/>
            <w:vAlign w:val="bottom"/>
            <w:tcBorders>
              <w:left w:val="single" w:sz="8" w:color="auto"/>
              <w:right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Borders>
              <w:right w:val="single" w:sz="8" w:color="auto"/>
            </w:tcBorders>
          </w:tcPr>
          <w:p>
            <w:pPr>
              <w:spacing w:after="0"/>
              <w:rPr>
                <w:sz w:val="21"/>
                <w:szCs w:val="21"/>
                <w:color w:val="auto"/>
              </w:rPr>
            </w:pPr>
          </w:p>
        </w:tc>
        <w:tc>
          <w:tcPr>
            <w:tcW w:w="1380" w:type="dxa"/>
            <w:vAlign w:val="bottom"/>
            <w:tcBorders>
              <w:right w:val="single" w:sz="8" w:color="auto"/>
            </w:tcBorders>
          </w:tcPr>
          <w:p>
            <w:pPr>
              <w:spacing w:after="0"/>
              <w:rPr>
                <w:sz w:val="21"/>
                <w:szCs w:val="21"/>
                <w:color w:val="auto"/>
              </w:rPr>
            </w:pPr>
          </w:p>
        </w:tc>
        <w:tc>
          <w:tcPr>
            <w:tcW w:w="64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concomitantly with vitamins 2021</w:t>
            </w:r>
          </w:p>
        </w:tc>
      </w:tr>
      <w:tr>
        <w:trPr>
          <w:trHeight w:val="257"/>
        </w:trPr>
        <w:tc>
          <w:tcPr>
            <w:tcW w:w="15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Cialis</w:t>
            </w:r>
          </w:p>
        </w:tc>
        <w:tc>
          <w:tcPr>
            <w:tcW w:w="160" w:type="dxa"/>
            <w:vAlign w:val="bottom"/>
          </w:tcPr>
          <w:p>
            <w:pPr>
              <w:spacing w:after="0"/>
              <w:rPr>
                <w:sz w:val="22"/>
                <w:szCs w:val="22"/>
                <w:color w:val="auto"/>
              </w:rPr>
            </w:pPr>
          </w:p>
        </w:tc>
        <w:tc>
          <w:tcPr>
            <w:tcW w:w="1260" w:type="dxa"/>
            <w:vAlign w:val="bottom"/>
            <w:tcBorders>
              <w:right w:val="single" w:sz="8" w:color="auto"/>
            </w:tcBorders>
          </w:tcPr>
          <w:p>
            <w:pPr>
              <w:jc w:val="right"/>
              <w:ind w:right="37"/>
              <w:spacing w:after="0"/>
              <w:rPr>
                <w:sz w:val="20"/>
                <w:szCs w:val="20"/>
                <w:color w:val="auto"/>
              </w:rPr>
            </w:pPr>
            <w:r>
              <w:rPr>
                <w:rFonts w:ascii="Arial" w:cs="Arial" w:eastAsia="Arial" w:hAnsi="Arial"/>
                <w:sz w:val="18"/>
                <w:szCs w:val="18"/>
                <w:color w:val="auto"/>
              </w:rPr>
              <w:t>1,053.9</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5%</w:t>
            </w:r>
          </w:p>
        </w:tc>
        <w:tc>
          <w:tcPr>
            <w:tcW w:w="64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Major European countries: compound patent November 2017</w:t>
            </w:r>
          </w:p>
        </w:tc>
      </w:tr>
      <w:tr>
        <w:trPr>
          <w:trHeight w:val="216"/>
        </w:trPr>
        <w:tc>
          <w:tcPr>
            <w:tcW w:w="15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Cymbalta</w:t>
            </w:r>
          </w:p>
        </w:tc>
        <w:tc>
          <w:tcPr>
            <w:tcW w:w="160" w:type="dxa"/>
            <w:vAlign w:val="bottom"/>
          </w:tcPr>
          <w:p>
            <w:pPr>
              <w:spacing w:after="0"/>
              <w:rPr>
                <w:sz w:val="18"/>
                <w:szCs w:val="18"/>
                <w:color w:val="auto"/>
              </w:rPr>
            </w:pPr>
          </w:p>
        </w:tc>
        <w:tc>
          <w:tcPr>
            <w:tcW w:w="1260" w:type="dxa"/>
            <w:vAlign w:val="bottom"/>
            <w:tcBorders>
              <w:right w:val="single" w:sz="8" w:color="auto"/>
            </w:tcBorders>
          </w:tcPr>
          <w:p>
            <w:pPr>
              <w:jc w:val="right"/>
              <w:ind w:right="37"/>
              <w:spacing w:after="0"/>
              <w:rPr>
                <w:sz w:val="20"/>
                <w:szCs w:val="20"/>
                <w:color w:val="auto"/>
              </w:rPr>
            </w:pPr>
            <w:r>
              <w:rPr>
                <w:rFonts w:ascii="Arial" w:cs="Arial" w:eastAsia="Arial" w:hAnsi="Arial"/>
                <w:sz w:val="18"/>
                <w:szCs w:val="18"/>
                <w:color w:val="auto"/>
              </w:rPr>
              <w:t>883.0</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4%</w:t>
            </w:r>
          </w:p>
        </w:tc>
        <w:tc>
          <w:tcPr>
            <w:tcW w:w="64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Major European countries: data package protection 2014</w:t>
            </w:r>
          </w:p>
        </w:tc>
      </w:tr>
      <w:tr>
        <w:trPr>
          <w:trHeight w:val="243"/>
        </w:trPr>
        <w:tc>
          <w:tcPr>
            <w:tcW w:w="1500" w:type="dxa"/>
            <w:vAlign w:val="bottom"/>
            <w:tcBorders>
              <w:left w:val="single" w:sz="8" w:color="auto"/>
              <w:right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Borders>
              <w:right w:val="single" w:sz="8" w:color="auto"/>
            </w:tcBorders>
          </w:tcPr>
          <w:p>
            <w:pPr>
              <w:spacing w:after="0"/>
              <w:rPr>
                <w:sz w:val="21"/>
                <w:szCs w:val="21"/>
                <w:color w:val="auto"/>
              </w:rPr>
            </w:pPr>
          </w:p>
        </w:tc>
        <w:tc>
          <w:tcPr>
            <w:tcW w:w="1380" w:type="dxa"/>
            <w:vAlign w:val="bottom"/>
            <w:tcBorders>
              <w:right w:val="single" w:sz="8" w:color="auto"/>
            </w:tcBorders>
          </w:tcPr>
          <w:p>
            <w:pPr>
              <w:spacing w:after="0"/>
              <w:rPr>
                <w:sz w:val="21"/>
                <w:szCs w:val="21"/>
                <w:color w:val="auto"/>
              </w:rPr>
            </w:pPr>
          </w:p>
        </w:tc>
        <w:tc>
          <w:tcPr>
            <w:tcW w:w="64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Japan: data package protection 2018</w:t>
            </w:r>
          </w:p>
        </w:tc>
      </w:tr>
      <w:tr>
        <w:trPr>
          <w:trHeight w:val="257"/>
        </w:trPr>
        <w:tc>
          <w:tcPr>
            <w:tcW w:w="15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Zyprexa</w:t>
            </w:r>
          </w:p>
        </w:tc>
        <w:tc>
          <w:tcPr>
            <w:tcW w:w="160" w:type="dxa"/>
            <w:vAlign w:val="bottom"/>
          </w:tcPr>
          <w:p>
            <w:pPr>
              <w:spacing w:after="0"/>
              <w:rPr>
                <w:sz w:val="22"/>
                <w:szCs w:val="22"/>
                <w:color w:val="auto"/>
              </w:rPr>
            </w:pPr>
          </w:p>
        </w:tc>
        <w:tc>
          <w:tcPr>
            <w:tcW w:w="1260" w:type="dxa"/>
            <w:vAlign w:val="bottom"/>
            <w:tcBorders>
              <w:right w:val="single" w:sz="8" w:color="auto"/>
            </w:tcBorders>
          </w:tcPr>
          <w:p>
            <w:pPr>
              <w:jc w:val="right"/>
              <w:ind w:right="37"/>
              <w:spacing w:after="0"/>
              <w:rPr>
                <w:sz w:val="20"/>
                <w:szCs w:val="20"/>
                <w:color w:val="auto"/>
              </w:rPr>
            </w:pPr>
            <w:r>
              <w:rPr>
                <w:rFonts w:ascii="Arial" w:cs="Arial" w:eastAsia="Arial" w:hAnsi="Arial"/>
                <w:sz w:val="18"/>
                <w:szCs w:val="18"/>
                <w:color w:val="auto"/>
              </w:rPr>
              <w:t>783.6</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4%</w:t>
            </w:r>
          </w:p>
        </w:tc>
        <w:tc>
          <w:tcPr>
            <w:tcW w:w="64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Japan: Patent for schizophrenia December 2015; for bipolar mania April 2016</w:t>
            </w:r>
          </w:p>
        </w:tc>
      </w:tr>
      <w:tr>
        <w:trPr>
          <w:trHeight w:val="216"/>
        </w:trPr>
        <w:tc>
          <w:tcPr>
            <w:tcW w:w="15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Forteo</w:t>
            </w:r>
          </w:p>
        </w:tc>
        <w:tc>
          <w:tcPr>
            <w:tcW w:w="160" w:type="dxa"/>
            <w:vAlign w:val="bottom"/>
          </w:tcPr>
          <w:p>
            <w:pPr>
              <w:spacing w:after="0"/>
              <w:rPr>
                <w:sz w:val="18"/>
                <w:szCs w:val="18"/>
                <w:color w:val="auto"/>
              </w:rPr>
            </w:pPr>
          </w:p>
        </w:tc>
        <w:tc>
          <w:tcPr>
            <w:tcW w:w="1260" w:type="dxa"/>
            <w:vAlign w:val="bottom"/>
            <w:tcBorders>
              <w:right w:val="single" w:sz="8" w:color="auto"/>
            </w:tcBorders>
          </w:tcPr>
          <w:p>
            <w:pPr>
              <w:jc w:val="right"/>
              <w:ind w:right="37"/>
              <w:spacing w:after="0"/>
              <w:rPr>
                <w:sz w:val="20"/>
                <w:szCs w:val="20"/>
                <w:color w:val="auto"/>
              </w:rPr>
            </w:pPr>
            <w:r>
              <w:rPr>
                <w:rFonts w:ascii="Arial" w:cs="Arial" w:eastAsia="Arial" w:hAnsi="Arial"/>
                <w:sz w:val="18"/>
                <w:szCs w:val="18"/>
                <w:color w:val="auto"/>
              </w:rPr>
              <w:t>735.9</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4%</w:t>
            </w:r>
          </w:p>
        </w:tc>
        <w:tc>
          <w:tcPr>
            <w:tcW w:w="64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Japan: Data package protection 2018; formulation and related process patent</w:t>
            </w:r>
          </w:p>
        </w:tc>
      </w:tr>
      <w:tr>
        <w:trPr>
          <w:trHeight w:val="248"/>
        </w:trPr>
        <w:tc>
          <w:tcPr>
            <w:tcW w:w="1500" w:type="dxa"/>
            <w:vAlign w:val="bottom"/>
            <w:tcBorders>
              <w:left w:val="single" w:sz="8" w:color="auto"/>
              <w:bottom w:val="single" w:sz="8" w:color="auto"/>
              <w:right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60" w:type="dxa"/>
            <w:vAlign w:val="bottom"/>
            <w:tcBorders>
              <w:bottom w:val="single" w:sz="8" w:color="auto"/>
              <w:right w:val="single" w:sz="8" w:color="auto"/>
            </w:tcBorders>
          </w:tcPr>
          <w:p>
            <w:pPr>
              <w:spacing w:after="0"/>
              <w:rPr>
                <w:sz w:val="21"/>
                <w:szCs w:val="21"/>
                <w:color w:val="auto"/>
              </w:rPr>
            </w:pPr>
          </w:p>
        </w:tc>
        <w:tc>
          <w:tcPr>
            <w:tcW w:w="1380" w:type="dxa"/>
            <w:vAlign w:val="bottom"/>
            <w:tcBorders>
              <w:bottom w:val="single" w:sz="8" w:color="auto"/>
              <w:right w:val="single" w:sz="8" w:color="auto"/>
            </w:tcBorders>
          </w:tcPr>
          <w:p>
            <w:pPr>
              <w:spacing w:after="0"/>
              <w:rPr>
                <w:sz w:val="21"/>
                <w:szCs w:val="21"/>
                <w:color w:val="auto"/>
              </w:rPr>
            </w:pPr>
          </w:p>
        </w:tc>
        <w:tc>
          <w:tcPr>
            <w:tcW w:w="64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2019</w:t>
            </w:r>
          </w:p>
        </w:tc>
      </w:tr>
    </w:tbl>
    <w:p>
      <w:pPr>
        <w:spacing w:after="0" w:line="139" w:lineRule="exact"/>
        <w:rPr>
          <w:sz w:val="20"/>
          <w:szCs w:val="20"/>
          <w:color w:val="auto"/>
        </w:rPr>
      </w:pPr>
    </w:p>
    <w:p>
      <w:pPr>
        <w:ind w:left="340"/>
        <w:spacing w:after="0" w:line="255" w:lineRule="auto"/>
        <w:rPr>
          <w:sz w:val="20"/>
          <w:szCs w:val="20"/>
          <w:color w:val="auto"/>
        </w:rPr>
      </w:pPr>
      <w:r>
        <w:rPr>
          <w:rFonts w:ascii="Arial" w:cs="Arial" w:eastAsia="Arial" w:hAnsi="Arial"/>
          <w:sz w:val="18"/>
          <w:szCs w:val="18"/>
          <w:color w:val="auto"/>
        </w:rPr>
        <w:t>Certain other significant products no longer have effective exclusivity through patent protection or data protection. For non-biological products, loss of exclusivity (whether by expiration or as a consequence of litigation) typically results in the entry of one or more generic competitors, leading to a rapid and severe decline in revenues, especially in the U.S. Historically, outside the U.S. the market penetration of generics following loss of exclusivity has not been as rapid or pervasive as in the U.S.; however, generic market penetration is increasing in many markets outside the U.S., including Japan, Europe, and many countries in the emerging markets. For biological products (such as Humalog, Humulin, Erbitux, and Cyramza), loss of exclusivity may or may not result in the near-term entry of competitor versions (i.e., biosimilars) due to development timelines, manufacturing challenges, and/or uncertainties in the regulatory pathways for approval of the competitor versions. See Item 7, “Management’s Discussion and Analysis—Executive Overview—Other Matters,” and Item 1, "Business— Patents, Trademarks, and Other Intellectual Property Rights," for more details.</w:t>
      </w:r>
    </w:p>
    <w:p>
      <w:pPr>
        <w:spacing w:after="0" w:line="72" w:lineRule="exact"/>
        <w:rPr>
          <w:sz w:val="20"/>
          <w:szCs w:val="20"/>
          <w:color w:val="auto"/>
        </w:rPr>
      </w:pPr>
    </w:p>
    <w:p>
      <w:pPr>
        <w:ind w:left="340" w:right="1100" w:hanging="332"/>
        <w:spacing w:after="0" w:line="303" w:lineRule="auto"/>
        <w:tabs>
          <w:tab w:leader="none" w:pos="34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Our long-term success depends on intellectual property protection; if our intellectual property rights are invalidated, circumvented, or weakened, our business will be adversely affected.</w:t>
      </w:r>
    </w:p>
    <w:p>
      <w:pPr>
        <w:spacing w:after="0" w:line="19" w:lineRule="exact"/>
        <w:rPr>
          <w:rFonts w:ascii="Arial" w:cs="Arial" w:eastAsia="Arial" w:hAnsi="Arial"/>
          <w:sz w:val="18"/>
          <w:szCs w:val="18"/>
          <w:b w:val="1"/>
          <w:bCs w:val="1"/>
          <w:color w:val="auto"/>
        </w:rPr>
      </w:pPr>
    </w:p>
    <w:p>
      <w:pPr>
        <w:jc w:val="both"/>
        <w:ind w:left="340"/>
        <w:spacing w:after="0" w:line="271" w:lineRule="auto"/>
        <w:rPr>
          <w:rFonts w:ascii="Arial" w:cs="Arial" w:eastAsia="Arial" w:hAnsi="Arial"/>
          <w:sz w:val="18"/>
          <w:szCs w:val="18"/>
          <w:b w:val="1"/>
          <w:bCs w:val="1"/>
          <w:color w:val="auto"/>
        </w:rPr>
      </w:pPr>
      <w:r>
        <w:rPr>
          <w:rFonts w:ascii="Arial" w:cs="Arial" w:eastAsia="Arial" w:hAnsi="Arial"/>
          <w:sz w:val="18"/>
          <w:szCs w:val="18"/>
          <w:color w:val="auto"/>
        </w:rPr>
        <w:t>Our long-term success depends on our ability to continually discover, develop, and commercialize innovative new pharmaceutical products. Without strong intellectual property protection, we would be unable to generate the returns necessary to support the enormous investments in research and development and capital as well as other expenditures required to bring new drugs to the market.</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w:t>
      </w:r>
    </w:p>
    <w:p>
      <w:pPr>
        <w:sectPr>
          <w:pgSz w:w="11900" w:h="16838" w:orient="portrait"/>
          <w:cols w:equalWidth="0" w:num="1">
            <w:col w:w="11400"/>
          </w:cols>
          <w:pgMar w:left="240" w:top="682" w:right="259" w:bottom="1440" w:gutter="0" w:footer="0" w:header="0"/>
        </w:sectPr>
      </w:pPr>
    </w:p>
    <w:bookmarkStart w:id="20" w:name="page21"/>
    <w:bookmarkEnd w:id="20"/>
    <w:p>
      <w:pPr>
        <w:ind w:left="340" w:right="20"/>
        <w:spacing w:after="0" w:line="255" w:lineRule="auto"/>
        <w:rPr>
          <w:sz w:val="20"/>
          <w:szCs w:val="20"/>
          <w:color w:val="auto"/>
        </w:rPr>
      </w:pPr>
      <w:r>
        <w:rPr>
          <w:rFonts w:ascii="Arial" w:cs="Arial" w:eastAsia="Arial" w:hAnsi="Arial"/>
          <w:sz w:val="18"/>
          <w:szCs w:val="18"/>
          <w:color w:val="auto"/>
        </w:rPr>
        <w:t>Intellectual property protection varies throughout the world and is subject to change over time. In the U.S., the Hatch-Waxman Act provides generic companies powerful incentives to seek to invalidate our human pharmaceutical patents; as a result, we expect that our U.S. patents on major pharmaceutical products will be routinely challenged in litigation and administrative proceedings, and may not be upheld. We face many generic manufacturer challenges to our patents outside the U.S. as well. The entry of generic competitors typically results in rapid and severe declines in sales. In addition, competitors or other third parties may claim that our activities infringe patents or other intellectual property rights held by them. If successful, such claims could result in our being unable to market a product in a particular territory or being required to pay damages for past infringement or royalties on future sales. See Item 1, “Business—Patents, Trademarks, and Other Intellectual Property Rights,” Item 3, "Legal Proceedings," and Item 8, "Financial Statements and Supplementary Data—Note 15, Contingencies," for more details.</w:t>
      </w:r>
    </w:p>
    <w:p>
      <w:pPr>
        <w:spacing w:after="0" w:line="72" w:lineRule="exact"/>
        <w:rPr>
          <w:sz w:val="20"/>
          <w:szCs w:val="20"/>
          <w:color w:val="auto"/>
        </w:rPr>
      </w:pPr>
    </w:p>
    <w:p>
      <w:pPr>
        <w:ind w:left="340" w:right="60" w:hanging="332"/>
        <w:spacing w:after="0" w:line="303"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b w:val="1"/>
          <w:bCs w:val="1"/>
          <w:color w:val="auto"/>
        </w:rPr>
        <w:t>Our human pharmaceutical business is subject to increasing government price controls and other public and private restrictions on pricing, reimbursement, and access for our drugs, which could have a material adverse effect on our business.</w:t>
      </w:r>
    </w:p>
    <w:p>
      <w:pPr>
        <w:spacing w:after="0" w:line="19" w:lineRule="exact"/>
        <w:rPr>
          <w:rFonts w:ascii="Arial" w:cs="Arial" w:eastAsia="Arial" w:hAnsi="Arial"/>
          <w:sz w:val="18"/>
          <w:szCs w:val="18"/>
          <w:color w:val="auto"/>
        </w:rPr>
      </w:pPr>
    </w:p>
    <w:p>
      <w:pPr>
        <w:ind w:left="340" w:right="280"/>
        <w:spacing w:after="0" w:line="271" w:lineRule="auto"/>
        <w:rPr>
          <w:rFonts w:ascii="Arial" w:cs="Arial" w:eastAsia="Arial" w:hAnsi="Arial"/>
          <w:sz w:val="18"/>
          <w:szCs w:val="18"/>
          <w:color w:val="auto"/>
        </w:rPr>
      </w:pPr>
      <w:r>
        <w:rPr>
          <w:rFonts w:ascii="Arial" w:cs="Arial" w:eastAsia="Arial" w:hAnsi="Arial"/>
          <w:sz w:val="18"/>
          <w:szCs w:val="18"/>
          <w:color w:val="auto"/>
        </w:rPr>
        <w:t>Public and private payers are taking increasingly aggressive steps to control their expenditures for human pharmaceuticals by placing restrictions on pricing and reimbursement for, and patient access to, our medications. These pressures could negatively affect our future revenues and income.</w:t>
      </w:r>
    </w:p>
    <w:p>
      <w:pPr>
        <w:spacing w:after="0" w:line="55" w:lineRule="exact"/>
        <w:rPr>
          <w:rFonts w:ascii="Arial" w:cs="Arial" w:eastAsia="Arial" w:hAnsi="Arial"/>
          <w:sz w:val="18"/>
          <w:szCs w:val="18"/>
          <w:color w:val="auto"/>
        </w:rPr>
      </w:pPr>
    </w:p>
    <w:p>
      <w:pPr>
        <w:ind w:left="340"/>
        <w:spacing w:after="0" w:line="257" w:lineRule="auto"/>
        <w:rPr>
          <w:rFonts w:ascii="Arial" w:cs="Arial" w:eastAsia="Arial" w:hAnsi="Arial"/>
          <w:sz w:val="18"/>
          <w:szCs w:val="18"/>
          <w:color w:val="auto"/>
        </w:rPr>
      </w:pPr>
      <w:r>
        <w:rPr>
          <w:rFonts w:ascii="Arial" w:cs="Arial" w:eastAsia="Arial" w:hAnsi="Arial"/>
          <w:sz w:val="18"/>
          <w:szCs w:val="18"/>
          <w:color w:val="auto"/>
        </w:rPr>
        <w:t>In the U.S., public concern over prices for specialty and brand name pharmaceuticals continues to drive the legislative debate. These policy and political issues increase the risk that taxes, fees, rebates or other federal and state measures may be enacted. Key health policy proposals affecting biopharmaceuticals include a reduction in biologic data exclusivity, modifications to Medicare Parts B and D, new language that would allow the Department of Health and Human Services to negotiate prices for biologics and drugs on the specialty tier in Part D, and state-level proposals to reduce the cost of pharmaceuticals purchased by government health care programs. Savings projected under these proposals are targeted as a means to fund both health care expenditures and non-health care initiatives, or to manage federal and state budgets.</w:t>
      </w:r>
    </w:p>
    <w:p>
      <w:pPr>
        <w:spacing w:after="0" w:line="177" w:lineRule="exact"/>
        <w:rPr>
          <w:rFonts w:ascii="Arial" w:cs="Arial" w:eastAsia="Arial" w:hAnsi="Arial"/>
          <w:sz w:val="18"/>
          <w:szCs w:val="18"/>
          <w:color w:val="auto"/>
        </w:rPr>
      </w:pPr>
    </w:p>
    <w:p>
      <w:pPr>
        <w:ind w:left="340" w:right="20"/>
        <w:spacing w:after="0" w:line="258" w:lineRule="auto"/>
        <w:rPr>
          <w:rFonts w:ascii="Arial" w:cs="Arial" w:eastAsia="Arial" w:hAnsi="Arial"/>
          <w:sz w:val="18"/>
          <w:szCs w:val="18"/>
          <w:color w:val="auto"/>
        </w:rPr>
      </w:pPr>
      <w:r>
        <w:rPr>
          <w:rFonts w:ascii="Arial" w:cs="Arial" w:eastAsia="Arial" w:hAnsi="Arial"/>
          <w:sz w:val="18"/>
          <w:szCs w:val="18"/>
          <w:color w:val="auto"/>
        </w:rPr>
        <w:t>In the U.S. private sector, health plans and pharmaceutical benefit managers have been consolidating into fewer, larger entities, thus enhancing their purchasing strength and importance. Payers typically maintain formularies specifying which drugs are covered and the cost to the consumer. Non-preferred formulary placement, including the exclusion of a drug from a formulary, typically leads to its reduced usage in the patient population. Consequently, pharmaceutical companies compete to have their branded products included by, among other things, providing offsetting rebates. Price is an increasingly important factor in formulary decisions, particularly in treatment areas in which payers take the position that multiple branded products are therapeutically comparable.</w:t>
      </w:r>
    </w:p>
    <w:p>
      <w:pPr>
        <w:spacing w:after="0" w:line="69" w:lineRule="exact"/>
        <w:rPr>
          <w:rFonts w:ascii="Arial" w:cs="Arial" w:eastAsia="Arial" w:hAnsi="Arial"/>
          <w:sz w:val="18"/>
          <w:szCs w:val="18"/>
          <w:color w:val="auto"/>
        </w:rPr>
      </w:pPr>
    </w:p>
    <w:p>
      <w:pPr>
        <w:ind w:left="340"/>
        <w:spacing w:after="0" w:line="256" w:lineRule="auto"/>
        <w:rPr>
          <w:rFonts w:ascii="Arial" w:cs="Arial" w:eastAsia="Arial" w:hAnsi="Arial"/>
          <w:sz w:val="18"/>
          <w:szCs w:val="18"/>
          <w:color w:val="auto"/>
        </w:rPr>
      </w:pPr>
      <w:r>
        <w:rPr>
          <w:rFonts w:ascii="Arial" w:cs="Arial" w:eastAsia="Arial" w:hAnsi="Arial"/>
          <w:sz w:val="18"/>
          <w:szCs w:val="18"/>
          <w:color w:val="auto"/>
        </w:rPr>
        <w:t>The main coverage expansion provisions of the Affordable Care Act (ACA) are now in effect through both the launch of state-based exchanges and the expansion of Medicaid. An emerging trend has been the prevalence of benefit designs containing high patient out-of-pocket costs for pharmaceuticals. In addition to the coverage expansions, many employers in the commercial market, driven in part by ACA changes such as the 2020 implementation of the excise tax on employer-sponsored health care coverage for which there is an excess benefit (the so-called "Cadillac tax"), continue to evaluate strategies such as private exchanges and wider use of consumer-driven health plans to reduce their healthcare liabilities over time. At the same time, the broader paradigm shift towards quality-based reimbursement and the launch of several value-based purchasing initiatives are placing demands on the pharmaceutical industry to offer products with proven real-world outcomes data and a favorable economic profile.</w:t>
      </w:r>
    </w:p>
    <w:p>
      <w:pPr>
        <w:spacing w:after="0" w:line="70" w:lineRule="exact"/>
        <w:rPr>
          <w:rFonts w:ascii="Arial" w:cs="Arial" w:eastAsia="Arial" w:hAnsi="Arial"/>
          <w:sz w:val="18"/>
          <w:szCs w:val="18"/>
          <w:color w:val="auto"/>
        </w:rPr>
      </w:pPr>
    </w:p>
    <w:p>
      <w:pPr>
        <w:ind w:left="340" w:right="20"/>
        <w:spacing w:after="0" w:line="258" w:lineRule="auto"/>
        <w:rPr>
          <w:rFonts w:ascii="Arial" w:cs="Arial" w:eastAsia="Arial" w:hAnsi="Arial"/>
          <w:sz w:val="18"/>
          <w:szCs w:val="18"/>
          <w:color w:val="auto"/>
        </w:rPr>
      </w:pPr>
      <w:r>
        <w:rPr>
          <w:rFonts w:ascii="Arial" w:cs="Arial" w:eastAsia="Arial" w:hAnsi="Arial"/>
          <w:sz w:val="18"/>
          <w:szCs w:val="18"/>
          <w:color w:val="auto"/>
        </w:rPr>
        <w:t>International operations also are generally subject to extensive price and market regulations. Cost-containment measures exist in a number of countries, including additional price controls and mechanisms to limit reimbursement for our products. Such policies are expected to increase in impact and reach, given the pressures on health care budgets that come from a growing aging population and ongoing economic challenges. In addition, governments in many emerging markets are becoming increasingly active in expanding health care system offerings. Given the budget challenges of increasing health care coverage for citizens, policies may be proposed that promote generics only and reduce current and future access to human pharmaceutical products.</w:t>
      </w:r>
    </w:p>
    <w:p>
      <w:pPr>
        <w:spacing w:after="0" w:line="69" w:lineRule="exact"/>
        <w:rPr>
          <w:rFonts w:ascii="Arial" w:cs="Arial" w:eastAsia="Arial" w:hAnsi="Arial"/>
          <w:sz w:val="18"/>
          <w:szCs w:val="18"/>
          <w:color w:val="auto"/>
        </w:rPr>
      </w:pPr>
    </w:p>
    <w:p>
      <w:pPr>
        <w:ind w:left="340" w:right="340"/>
        <w:spacing w:after="0" w:line="271" w:lineRule="auto"/>
        <w:rPr>
          <w:rFonts w:ascii="Arial" w:cs="Arial" w:eastAsia="Arial" w:hAnsi="Arial"/>
          <w:sz w:val="18"/>
          <w:szCs w:val="18"/>
          <w:color w:val="auto"/>
        </w:rPr>
      </w:pPr>
      <w:r>
        <w:rPr>
          <w:rFonts w:ascii="Arial" w:cs="Arial" w:eastAsia="Arial" w:hAnsi="Arial"/>
          <w:sz w:val="18"/>
          <w:szCs w:val="18"/>
          <w:color w:val="auto"/>
        </w:rPr>
        <w:t>We expect pricing, reimbursement, and access pressures from both governments and private payers inside and outside the U.S. to become more severe. For more details, see Item 1, “Business—Regulations Affecting Human Pharmaceutical Pricing, Reimbursement, and Access,” and Item 7, “Management’s Discussion and Analysis—Executive Overview—Other Matters.”</w:t>
      </w:r>
    </w:p>
    <w:p>
      <w:pPr>
        <w:spacing w:after="0" w:line="19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21</w:t>
      </w:r>
    </w:p>
    <w:p>
      <w:pPr>
        <w:sectPr>
          <w:pgSz w:w="11900" w:h="16838" w:orient="portrait"/>
          <w:cols w:equalWidth="0" w:num="1">
            <w:col w:w="11420"/>
          </w:cols>
          <w:pgMar w:left="240" w:top="684" w:right="239" w:bottom="1440" w:gutter="0" w:footer="0" w:header="0"/>
        </w:sectPr>
      </w:pPr>
    </w:p>
    <w:bookmarkStart w:id="21" w:name="page22"/>
    <w:bookmarkEnd w:id="21"/>
    <w:p>
      <w:pPr>
        <w:ind w:left="340" w:right="300" w:hanging="332"/>
        <w:spacing w:after="0" w:line="303"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b w:val="1"/>
          <w:bCs w:val="1"/>
          <w:color w:val="auto"/>
        </w:rPr>
        <w:t>We face intense competition from multinational pharmaceutical companies, biotechnology companies, and lower-cost generic and biosimilar manufacturers, and such competition could have a material adverse effect on our business.</w:t>
      </w:r>
    </w:p>
    <w:p>
      <w:pPr>
        <w:spacing w:after="0" w:line="19" w:lineRule="exact"/>
        <w:rPr>
          <w:rFonts w:ascii="Arial" w:cs="Arial" w:eastAsia="Arial" w:hAnsi="Arial"/>
          <w:sz w:val="18"/>
          <w:szCs w:val="18"/>
          <w:color w:val="auto"/>
        </w:rPr>
      </w:pPr>
    </w:p>
    <w:p>
      <w:pPr>
        <w:ind w:left="340" w:right="100"/>
        <w:spacing w:after="0" w:line="258" w:lineRule="auto"/>
        <w:rPr>
          <w:rFonts w:ascii="Arial" w:cs="Arial" w:eastAsia="Arial" w:hAnsi="Arial"/>
          <w:sz w:val="18"/>
          <w:szCs w:val="18"/>
          <w:color w:val="auto"/>
        </w:rPr>
      </w:pPr>
      <w:r>
        <w:rPr>
          <w:rFonts w:ascii="Arial" w:cs="Arial" w:eastAsia="Arial" w:hAnsi="Arial"/>
          <w:sz w:val="18"/>
          <w:szCs w:val="18"/>
          <w:color w:val="auto"/>
        </w:rPr>
        <w:t>We compete with a large number of multinational pharmaceutical companies, biotechnology companies, and generic pharmaceutical companies. To compete successfully, we must continue to deliver to the market innovative, cost-effective products that meet important medical needs. Our product revenues can be adversely affected by the introduction by competitors of branded products that are perceived as superior by the marketplace, by generic or biosimilar versions of our branded products, and by generic or biosimilar versions of other products in the same therapeutic class as our branded products. Our revenues can also be adversely affected by treatment innovations that eliminate or minimize the need for treatment with drugs. See Item 1, “Business—Competition,” for more details.</w:t>
      </w:r>
    </w:p>
    <w:p>
      <w:pPr>
        <w:spacing w:after="0" w:line="67" w:lineRule="exact"/>
        <w:rPr>
          <w:rFonts w:ascii="Arial" w:cs="Arial" w:eastAsia="Arial" w:hAnsi="Arial"/>
          <w:sz w:val="18"/>
          <w:szCs w:val="18"/>
          <w:color w:val="auto"/>
        </w:rPr>
      </w:pPr>
    </w:p>
    <w:p>
      <w:pPr>
        <w:ind w:left="340" w:hanging="332"/>
        <w:spacing w:after="0"/>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b w:val="1"/>
          <w:bCs w:val="1"/>
          <w:color w:val="auto"/>
        </w:rPr>
        <w:t>Changes in foreign currency rates can materially affect our revenue, cost of sales, and operating expenses.</w:t>
      </w:r>
    </w:p>
    <w:p>
      <w:pPr>
        <w:spacing w:after="0" w:line="119" w:lineRule="exact"/>
        <w:rPr>
          <w:rFonts w:ascii="Arial" w:cs="Arial" w:eastAsia="Arial" w:hAnsi="Arial"/>
          <w:sz w:val="18"/>
          <w:szCs w:val="18"/>
          <w:color w:val="auto"/>
        </w:rPr>
      </w:pPr>
    </w:p>
    <w:p>
      <w:pPr>
        <w:ind w:left="340" w:right="80"/>
        <w:spacing w:after="0" w:line="264" w:lineRule="auto"/>
        <w:rPr>
          <w:rFonts w:ascii="Arial" w:cs="Arial" w:eastAsia="Arial" w:hAnsi="Arial"/>
          <w:sz w:val="18"/>
          <w:szCs w:val="18"/>
          <w:color w:val="auto"/>
        </w:rPr>
      </w:pPr>
      <w:r>
        <w:rPr>
          <w:rFonts w:ascii="Arial" w:cs="Arial" w:eastAsia="Arial" w:hAnsi="Arial"/>
          <w:sz w:val="18"/>
          <w:szCs w:val="18"/>
          <w:color w:val="auto"/>
        </w:rPr>
        <w:t>As a global company with substantial operations outside the U.S., we face foreign currency risk exposure from fluctuating currency exchange rates, primarily the U.S. dollar against the euro, Japanese yen, and British pound, and the British pound against the euro. While we manage a portion of these exposures through hedging and other risk management techniques, significant fluctuations in currency rates can have a material impact, either positive or negative, on our revenue, cost of sales, and operating expenses.</w:t>
      </w:r>
    </w:p>
    <w:p>
      <w:pPr>
        <w:spacing w:after="0" w:line="59" w:lineRule="exact"/>
        <w:rPr>
          <w:rFonts w:ascii="Arial" w:cs="Arial" w:eastAsia="Arial" w:hAnsi="Arial"/>
          <w:sz w:val="18"/>
          <w:szCs w:val="18"/>
          <w:color w:val="auto"/>
        </w:rPr>
      </w:pPr>
    </w:p>
    <w:p>
      <w:pPr>
        <w:ind w:left="340" w:right="60" w:hanging="332"/>
        <w:spacing w:after="0" w:line="303" w:lineRule="auto"/>
        <w:tabs>
          <w:tab w:leader="none" w:pos="34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Unanticipated changes in our tax rates or exposure to additional tax liabilities could increase our income taxes and decrease our net income.</w:t>
      </w:r>
    </w:p>
    <w:p>
      <w:pPr>
        <w:spacing w:after="0" w:line="19" w:lineRule="exact"/>
        <w:rPr>
          <w:rFonts w:ascii="Arial" w:cs="Arial" w:eastAsia="Arial" w:hAnsi="Arial"/>
          <w:sz w:val="18"/>
          <w:szCs w:val="18"/>
          <w:b w:val="1"/>
          <w:bCs w:val="1"/>
          <w:color w:val="auto"/>
        </w:rPr>
      </w:pPr>
    </w:p>
    <w:p>
      <w:pPr>
        <w:ind w:left="34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We are subject to income taxes in the U.S. and numerous foreign jurisdictions. Changes in the relevant tax laws, regulations, administrative practices, principles, and interpretations could adversely affect our future effective tax rates. The U.S. and a number of other countries are actively considering or enacting changes in this regard. For example, the Obama administration proposed changes to the manner in which the U.S. would tax the international income of U.S.-based companies, including unremitted earnings of foreign subsidiaries. Other tax proposals under discussion or introduced in the U.S. Congress could change the tax rate and manner in which U.S. companies would be taxed. Additionally, the Organisation for Economic Co-operation and Development issued its final recommendations of international tax reform proposals to influence international tax policy in major countries in which we operate. While outcomes of these initiatives continue to develop and remain uncertain, changes to key elements of the U.S. or international tax framework could have a material adverse effect on our consolidated operating results and cash flows.</w:t>
      </w:r>
    </w:p>
    <w:p>
      <w:pPr>
        <w:spacing w:after="0" w:line="73"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See Item 8, "Financial Statements and Supplementary Data—Note 13, Income Taxes," for more details.</w:t>
      </w:r>
    </w:p>
    <w:p>
      <w:pPr>
        <w:spacing w:after="0" w:line="115" w:lineRule="exact"/>
        <w:rPr>
          <w:rFonts w:ascii="Arial" w:cs="Arial" w:eastAsia="Arial" w:hAnsi="Arial"/>
          <w:sz w:val="18"/>
          <w:szCs w:val="18"/>
          <w:b w:val="1"/>
          <w:bCs w:val="1"/>
          <w:color w:val="auto"/>
        </w:rPr>
      </w:pPr>
    </w:p>
    <w:p>
      <w:pPr>
        <w:ind w:left="340" w:hanging="332"/>
        <w:spacing w:after="0"/>
        <w:tabs>
          <w:tab w:leader="none" w:pos="34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Regulatory compliance problems could be damaging to the company.</w:t>
      </w:r>
    </w:p>
    <w:p>
      <w:pPr>
        <w:spacing w:after="0" w:line="119" w:lineRule="exact"/>
        <w:rPr>
          <w:rFonts w:ascii="Arial" w:cs="Arial" w:eastAsia="Arial" w:hAnsi="Arial"/>
          <w:sz w:val="18"/>
          <w:szCs w:val="18"/>
          <w:b w:val="1"/>
          <w:bCs w:val="1"/>
          <w:color w:val="auto"/>
        </w:rPr>
      </w:pPr>
    </w:p>
    <w:p>
      <w:pPr>
        <w:ind w:left="340" w:right="2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The marketing, promotional, and pricing practices of human pharmaceutical manufacturers, as well as the manner in which manufacturers interact with purchasers, prescribers, and patients, are subject to extensive regulation. Many companies, including us, have been subject to claims related to these practices asserted by federal, state, and foreign governmental authorities, private payers, and consumers. These claims have resulted in substantial expense and other significant consequences to us. It is possible that we could become subject to such investigations and that the outcome could include criminal charges and fines, penalties, or other monetary or non-monetary remedies, including exclusion from U.S. federal and other health care programs. In addition, regulatory issues concerning compliance with cGMP regulations (and comparable foreign regulations) for pharmaceutical products can lead to product recalls and seizures, fines and penalties, interruption of production leading to product shortages, and delays in the approvals of new products pending resolution of the issues. See Item 1, “Business—Regulation of our Operations,” for more details.</w:t>
      </w:r>
    </w:p>
    <w:p>
      <w:pPr>
        <w:spacing w:after="0" w:line="71" w:lineRule="exact"/>
        <w:rPr>
          <w:rFonts w:ascii="Arial" w:cs="Arial" w:eastAsia="Arial" w:hAnsi="Arial"/>
          <w:sz w:val="18"/>
          <w:szCs w:val="18"/>
          <w:b w:val="1"/>
          <w:bCs w:val="1"/>
          <w:color w:val="auto"/>
        </w:rPr>
      </w:pPr>
    </w:p>
    <w:p>
      <w:pPr>
        <w:ind w:left="340" w:right="700" w:hanging="332"/>
        <w:spacing w:after="0" w:line="303" w:lineRule="auto"/>
        <w:tabs>
          <w:tab w:leader="none" w:pos="34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The loss, theft, or inadvertent disclosure of our confidential data could impair our valuable intellectual property, harm our competitive position, and/or expose us to regulatory penalties and other costs.</w:t>
      </w:r>
    </w:p>
    <w:p>
      <w:pPr>
        <w:spacing w:after="0" w:line="19" w:lineRule="exact"/>
        <w:rPr>
          <w:rFonts w:ascii="Arial" w:cs="Arial" w:eastAsia="Arial" w:hAnsi="Arial"/>
          <w:sz w:val="18"/>
          <w:szCs w:val="18"/>
          <w:b w:val="1"/>
          <w:bCs w:val="1"/>
          <w:color w:val="auto"/>
        </w:rPr>
      </w:pPr>
    </w:p>
    <w:p>
      <w:pPr>
        <w:ind w:left="340" w:right="100"/>
        <w:spacing w:after="0" w:line="260" w:lineRule="auto"/>
        <w:rPr>
          <w:rFonts w:ascii="Arial" w:cs="Arial" w:eastAsia="Arial" w:hAnsi="Arial"/>
          <w:sz w:val="18"/>
          <w:szCs w:val="18"/>
          <w:b w:val="1"/>
          <w:bCs w:val="1"/>
          <w:color w:val="auto"/>
        </w:rPr>
      </w:pPr>
      <w:r>
        <w:rPr>
          <w:rFonts w:ascii="Arial" w:cs="Arial" w:eastAsia="Arial" w:hAnsi="Arial"/>
          <w:sz w:val="18"/>
          <w:szCs w:val="18"/>
          <w:color w:val="auto"/>
        </w:rPr>
        <w:t>A great deal of confidential information owned by both us and our alliances is stored in our information systems, networks, and facilities or those of third parties. This includes valuable trade secrets and intellectual property, corporate strategic plans, marketing plans, customer information, and personally identifiable information (such as employee and patient information). Some of this information is created, accessed, and/or maintained by third parties. The confidentiality of this information may be breached in a variety of ways, including but not limited to negligent or wrongful conduct by employees or others with</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22</w:t>
      </w:r>
    </w:p>
    <w:p>
      <w:pPr>
        <w:sectPr>
          <w:pgSz w:w="11900" w:h="16838" w:orient="portrait"/>
          <w:cols w:equalWidth="0" w:num="1">
            <w:col w:w="11420"/>
          </w:cols>
          <w:pgMar w:left="240" w:top="682" w:right="239" w:bottom="1440" w:gutter="0" w:footer="0" w:header="0"/>
        </w:sectPr>
      </w:pPr>
    </w:p>
    <w:bookmarkStart w:id="22" w:name="page23"/>
    <w:bookmarkEnd w:id="22"/>
    <w:p>
      <w:pPr>
        <w:jc w:val="both"/>
        <w:ind w:left="340" w:right="720"/>
        <w:spacing w:after="0" w:line="271" w:lineRule="auto"/>
        <w:rPr>
          <w:sz w:val="20"/>
          <w:szCs w:val="20"/>
          <w:color w:val="auto"/>
        </w:rPr>
      </w:pPr>
      <w:r>
        <w:rPr>
          <w:rFonts w:ascii="Arial" w:cs="Arial" w:eastAsia="Arial" w:hAnsi="Arial"/>
          <w:sz w:val="18"/>
          <w:szCs w:val="18"/>
          <w:color w:val="auto"/>
        </w:rPr>
        <w:t>permitted access to our systems and data, or wrongful conduct by certain governments, hackers, unethical competitors, or former workforce members. The rapid growth of factors such as mobile computing capacity, high-speed Internet access, and social media exacerbates the risk of information security breaches.</w:t>
      </w:r>
    </w:p>
    <w:p>
      <w:pPr>
        <w:spacing w:after="0" w:line="55" w:lineRule="exact"/>
        <w:rPr>
          <w:sz w:val="20"/>
          <w:szCs w:val="20"/>
          <w:color w:val="auto"/>
        </w:rPr>
      </w:pPr>
    </w:p>
    <w:p>
      <w:pPr>
        <w:ind w:left="340" w:right="60"/>
        <w:spacing w:after="0" w:line="254" w:lineRule="auto"/>
        <w:rPr>
          <w:sz w:val="20"/>
          <w:szCs w:val="20"/>
          <w:color w:val="auto"/>
        </w:rPr>
      </w:pPr>
      <w:r>
        <w:rPr>
          <w:rFonts w:ascii="Arial" w:cs="Arial" w:eastAsia="Arial" w:hAnsi="Arial"/>
          <w:sz w:val="18"/>
          <w:szCs w:val="18"/>
          <w:color w:val="auto"/>
        </w:rPr>
        <w:t>The theft or unauthorized disclosure of confidential information could impair our ability to secure and maintain intellectual property rights, cause damage to company operations and reputation, and cause us to lose trade secrets or other competitive advantages. Unauthorized disclosure of personally identifiable information could expose us to sanctions for violations of data privacy laws and regulations and could damage the public trust in our company. Information security breaches may be very difficult to detect, and once detected, their impact may be very difficult to assess. To date, the information security breaches of which we have become aware have been infrequent in occurrence and, to the extent we have been able to measure their financial impact on our consolidated results of operations, such impact has not been material. We have invested and continue to invest to prevent, monitor, detect, and respond to information security breaches by strengthening our employee awareness and training, information technology systems, and business processes, and strengthening data protection requirements for third parties that handle our confidential information. However, despite these efforts, we expect information security breaches to continue, and there can be no assurance that these efforts will prevent information security breaches that would have a material adverse effect on our business.</w:t>
      </w:r>
    </w:p>
    <w:p>
      <w:pPr>
        <w:spacing w:after="0" w:line="73" w:lineRule="exact"/>
        <w:rPr>
          <w:sz w:val="20"/>
          <w:szCs w:val="20"/>
          <w:color w:val="auto"/>
        </w:rPr>
      </w:pPr>
    </w:p>
    <w:p>
      <w:pPr>
        <w:ind w:left="340" w:hanging="332"/>
        <w:spacing w:after="0"/>
        <w:tabs>
          <w:tab w:leader="none" w:pos="34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Worsening economic conditions could adversely affect our business and operating results.</w:t>
      </w:r>
    </w:p>
    <w:p>
      <w:pPr>
        <w:spacing w:after="0" w:line="119" w:lineRule="exact"/>
        <w:rPr>
          <w:rFonts w:ascii="Arial" w:cs="Arial" w:eastAsia="Arial" w:hAnsi="Arial"/>
          <w:sz w:val="18"/>
          <w:szCs w:val="18"/>
          <w:b w:val="1"/>
          <w:bCs w:val="1"/>
          <w:color w:val="auto"/>
        </w:rPr>
      </w:pPr>
    </w:p>
    <w:p>
      <w:pPr>
        <w:ind w:left="340" w:right="20"/>
        <w:spacing w:after="0" w:line="258" w:lineRule="auto"/>
        <w:rPr>
          <w:rFonts w:ascii="Arial" w:cs="Arial" w:eastAsia="Arial" w:hAnsi="Arial"/>
          <w:sz w:val="18"/>
          <w:szCs w:val="18"/>
          <w:b w:val="1"/>
          <w:bCs w:val="1"/>
          <w:color w:val="auto"/>
        </w:rPr>
      </w:pPr>
      <w:r>
        <w:rPr>
          <w:rFonts w:ascii="Arial" w:cs="Arial" w:eastAsia="Arial" w:hAnsi="Arial"/>
          <w:sz w:val="18"/>
          <w:szCs w:val="18"/>
          <w:color w:val="auto"/>
        </w:rPr>
        <w:t>While human pharmaceuticals have not generally been sensitive to overall economic cycles, prolonged economic slowdowns could lead to decreased utilization of drugs, affecting our sales volume. Declining tax revenues attributable to economic downturns increase the pressure on governments to reduce health care spending, leading to increasing government efforts to control drug prices and utilization. Additionally, some customers, including governments or other entities reliant upon government funding, may be unable to pay in a timely manner for our products. Also, if our customers, suppliers, or collaboration partners experience financial difficulties, we could experience slower customer collections, greater bad debt expense, and performance defaults by suppliers or collaboration partners.</w:t>
      </w:r>
    </w:p>
    <w:p>
      <w:pPr>
        <w:spacing w:after="0" w:line="67" w:lineRule="exact"/>
        <w:rPr>
          <w:rFonts w:ascii="Arial" w:cs="Arial" w:eastAsia="Arial" w:hAnsi="Arial"/>
          <w:sz w:val="18"/>
          <w:szCs w:val="18"/>
          <w:b w:val="1"/>
          <w:bCs w:val="1"/>
          <w:color w:val="auto"/>
        </w:rPr>
      </w:pPr>
    </w:p>
    <w:p>
      <w:pPr>
        <w:ind w:left="340" w:right="400" w:hanging="332"/>
        <w:spacing w:after="0" w:line="303"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b w:val="1"/>
          <w:bCs w:val="1"/>
          <w:color w:val="auto"/>
        </w:rPr>
        <w:t>Pharmaceutical products can develop unexpected safety or efficacy concerns, which could have a material adverse effect on revenues and income.</w:t>
      </w:r>
    </w:p>
    <w:p>
      <w:pPr>
        <w:spacing w:after="0" w:line="19" w:lineRule="exact"/>
        <w:rPr>
          <w:rFonts w:ascii="Arial" w:cs="Arial" w:eastAsia="Arial" w:hAnsi="Arial"/>
          <w:sz w:val="18"/>
          <w:szCs w:val="18"/>
          <w:color w:val="auto"/>
        </w:rPr>
      </w:pPr>
    </w:p>
    <w:p>
      <w:pPr>
        <w:ind w:left="340" w:right="40"/>
        <w:spacing w:after="0" w:line="256" w:lineRule="auto"/>
        <w:rPr>
          <w:rFonts w:ascii="Arial" w:cs="Arial" w:eastAsia="Arial" w:hAnsi="Arial"/>
          <w:sz w:val="18"/>
          <w:szCs w:val="18"/>
          <w:color w:val="auto"/>
        </w:rPr>
      </w:pPr>
      <w:r>
        <w:rPr>
          <w:rFonts w:ascii="Arial" w:cs="Arial" w:eastAsia="Arial" w:hAnsi="Arial"/>
          <w:sz w:val="18"/>
          <w:szCs w:val="18"/>
          <w:color w:val="auto"/>
        </w:rPr>
        <w:t>Human pharmaceutical products receive regulatory approval based on data obtained in controlled clinical trials of limited duration. After approval, the products are used for longer periods of time by much larger numbers of patients; we and others (including regulatory agencies and private payers) collect extensive information on the efficacy and safety of our marketed products by continuously monitoring the use of our products in the marketplace. In addition, we or others may conduct post-marketing clinical studies on efficacy and safety of our marketed products. New safety or efficacy data from both market surveillance and post-marketing clinical studies may result in product label changes that could reduce the product's market acceptance and result in declining sales. Serious safety or efficacy issues that arise after product approval could result in voluntary or mandatory product recalls or withdrawals from the market. Safety issues could also result in costly product liability claims.</w:t>
      </w:r>
    </w:p>
    <w:p>
      <w:pPr>
        <w:spacing w:after="0" w:line="68" w:lineRule="exact"/>
        <w:rPr>
          <w:rFonts w:ascii="Arial" w:cs="Arial" w:eastAsia="Arial" w:hAnsi="Arial"/>
          <w:sz w:val="18"/>
          <w:szCs w:val="18"/>
          <w:color w:val="auto"/>
        </w:rPr>
      </w:pPr>
    </w:p>
    <w:p>
      <w:pPr>
        <w:ind w:left="340" w:right="1020" w:hanging="332"/>
        <w:spacing w:after="0" w:line="303" w:lineRule="auto"/>
        <w:tabs>
          <w:tab w:leader="none" w:pos="34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We face many product liability claims and are self-insured; we could face large numbers of claims in the future, which could adversely affect our business.</w:t>
      </w:r>
    </w:p>
    <w:p>
      <w:pPr>
        <w:spacing w:after="0" w:line="19" w:lineRule="exact"/>
        <w:rPr>
          <w:rFonts w:ascii="Arial" w:cs="Arial" w:eastAsia="Arial" w:hAnsi="Arial"/>
          <w:sz w:val="18"/>
          <w:szCs w:val="18"/>
          <w:b w:val="1"/>
          <w:bCs w:val="1"/>
          <w:color w:val="auto"/>
        </w:rPr>
      </w:pPr>
    </w:p>
    <w:p>
      <w:pPr>
        <w:ind w:left="340" w:right="140"/>
        <w:spacing w:after="0" w:line="250" w:lineRule="auto"/>
        <w:rPr>
          <w:rFonts w:ascii="Arial" w:cs="Arial" w:eastAsia="Arial" w:hAnsi="Arial"/>
          <w:sz w:val="18"/>
          <w:szCs w:val="18"/>
          <w:b w:val="1"/>
          <w:bCs w:val="1"/>
          <w:color w:val="auto"/>
        </w:rPr>
      </w:pPr>
      <w:r>
        <w:rPr>
          <w:rFonts w:ascii="Arial" w:cs="Arial" w:eastAsia="Arial" w:hAnsi="Arial"/>
          <w:sz w:val="18"/>
          <w:szCs w:val="18"/>
          <w:color w:val="auto"/>
        </w:rPr>
        <w:t>We are subject to a substantial number of product liability claims involving Actos</w:t>
      </w:r>
      <w:r>
        <w:rPr>
          <w:rFonts w:ascii="Arial" w:cs="Arial" w:eastAsia="Arial" w:hAnsi="Arial"/>
          <w:sz w:val="21"/>
          <w:szCs w:val="21"/>
          <w:i w:val="1"/>
          <w:iCs w:val="1"/>
          <w:color w:val="auto"/>
          <w:vertAlign w:val="superscript"/>
        </w:rPr>
        <w:t>®</w:t>
      </w:r>
      <w:r>
        <w:rPr>
          <w:rFonts w:ascii="Arial" w:cs="Arial" w:eastAsia="Arial" w:hAnsi="Arial"/>
          <w:sz w:val="18"/>
          <w:szCs w:val="18"/>
          <w:color w:val="auto"/>
        </w:rPr>
        <w:t>, Byetta</w:t>
      </w:r>
      <w:r>
        <w:rPr>
          <w:rFonts w:ascii="Arial" w:cs="Arial" w:eastAsia="Arial" w:hAnsi="Arial"/>
          <w:sz w:val="21"/>
          <w:szCs w:val="21"/>
          <w:i w:val="1"/>
          <w:iCs w:val="1"/>
          <w:color w:val="auto"/>
          <w:vertAlign w:val="superscript"/>
        </w:rPr>
        <w:t>®</w:t>
      </w:r>
      <w:r>
        <w:rPr>
          <w:rFonts w:ascii="Arial" w:cs="Arial" w:eastAsia="Arial" w:hAnsi="Arial"/>
          <w:sz w:val="18"/>
          <w:szCs w:val="18"/>
          <w:color w:val="auto"/>
        </w:rPr>
        <w:t>, Cymbalta, and Prozac among other products. See Item 8, “Financial Statements and Supplementary Data—Note 15, Contingencies,” and Item 3, “Legal Proceedings,” for more information on our current product liability litigation. Because of the nature of pharmaceutical products, we could become subject to large numbers of product liability claims for these or other products in the future, which could require substantial expenditures to resolve and, if involving marketed products, could adversely affect sales of the product. Due to a very restrictive market for product liability insurance, we are self-insured for product liability losses for all our currently marketed products.</w:t>
      </w:r>
    </w:p>
    <w:p>
      <w:pPr>
        <w:spacing w:after="0" w:line="72" w:lineRule="exact"/>
        <w:rPr>
          <w:rFonts w:ascii="Arial" w:cs="Arial" w:eastAsia="Arial" w:hAnsi="Arial"/>
          <w:sz w:val="18"/>
          <w:szCs w:val="18"/>
          <w:b w:val="1"/>
          <w:bCs w:val="1"/>
          <w:color w:val="auto"/>
        </w:rPr>
      </w:pPr>
    </w:p>
    <w:p>
      <w:pPr>
        <w:ind w:left="340" w:hanging="332"/>
        <w:spacing w:after="0"/>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b w:val="1"/>
          <w:bCs w:val="1"/>
          <w:color w:val="auto"/>
        </w:rPr>
        <w:t>Manufacturing difficulties or disruptions could lead to product supply problems.</w:t>
      </w:r>
    </w:p>
    <w:p>
      <w:pPr>
        <w:spacing w:after="0" w:line="119" w:lineRule="exact"/>
        <w:rPr>
          <w:rFonts w:ascii="Arial" w:cs="Arial" w:eastAsia="Arial" w:hAnsi="Arial"/>
          <w:sz w:val="18"/>
          <w:szCs w:val="18"/>
          <w:color w:val="auto"/>
        </w:rPr>
      </w:pPr>
    </w:p>
    <w:p>
      <w:pPr>
        <w:ind w:left="340"/>
        <w:spacing w:after="0" w:line="264" w:lineRule="auto"/>
        <w:rPr>
          <w:rFonts w:ascii="Arial" w:cs="Arial" w:eastAsia="Arial" w:hAnsi="Arial"/>
          <w:sz w:val="18"/>
          <w:szCs w:val="18"/>
          <w:color w:val="auto"/>
        </w:rPr>
      </w:pPr>
      <w:r>
        <w:rPr>
          <w:rFonts w:ascii="Arial" w:cs="Arial" w:eastAsia="Arial" w:hAnsi="Arial"/>
          <w:sz w:val="18"/>
          <w:szCs w:val="18"/>
          <w:color w:val="auto"/>
        </w:rPr>
        <w:t>Pharmaceutical and animal health manufacturing is complex and highly regulated. Manufacturing difficulties at our facilities or contracted facilities, or the failure or refusal of a contract manufacturer to supply contracted quantities, could result in product shortages, leading to lost revenue. Such difficulties or disruptions could result from quality or regulatory compliance problems, natural disasters, mechanical or information technology system failures, or inability to obtain sole-source raw or intermediate materials. In addition, given</w:t>
      </w:r>
    </w:p>
    <w:p>
      <w:pPr>
        <w:spacing w:after="0" w:line="19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23</w:t>
      </w:r>
    </w:p>
    <w:p>
      <w:pPr>
        <w:sectPr>
          <w:pgSz w:w="11900" w:h="16838" w:orient="portrait"/>
          <w:cols w:equalWidth="0" w:num="1">
            <w:col w:w="11420"/>
          </w:cols>
          <w:pgMar w:left="240" w:top="684" w:right="239" w:bottom="1440" w:gutter="0" w:footer="0" w:header="0"/>
        </w:sectPr>
      </w:pPr>
    </w:p>
    <w:bookmarkStart w:id="23" w:name="page24"/>
    <w:bookmarkEnd w:id="23"/>
    <w:p>
      <w:pPr>
        <w:ind w:left="340"/>
        <w:spacing w:after="0" w:line="271" w:lineRule="auto"/>
        <w:rPr>
          <w:sz w:val="20"/>
          <w:szCs w:val="20"/>
          <w:color w:val="auto"/>
        </w:rPr>
      </w:pPr>
      <w:r>
        <w:rPr>
          <w:rFonts w:ascii="Arial" w:cs="Arial" w:eastAsia="Arial" w:hAnsi="Arial"/>
          <w:sz w:val="18"/>
          <w:szCs w:val="18"/>
          <w:color w:val="auto"/>
        </w:rPr>
        <w:t>the difficulties in predicting sales of new products and the very long lead times necessary for the expansion and regulatory qualification of pharmaceutical manufacturing capacity, it is possible that we could have difficulty meeting demand for new products. See Item 1, “Business —Raw Materials and Product Supply,” for more details.</w:t>
      </w:r>
    </w:p>
    <w:p>
      <w:pPr>
        <w:spacing w:after="0" w:line="53" w:lineRule="exact"/>
        <w:rPr>
          <w:sz w:val="20"/>
          <w:szCs w:val="20"/>
          <w:color w:val="auto"/>
        </w:rPr>
      </w:pPr>
    </w:p>
    <w:p>
      <w:pPr>
        <w:ind w:left="340" w:right="320" w:hanging="332"/>
        <w:spacing w:after="0" w:line="303" w:lineRule="auto"/>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b w:val="1"/>
          <w:bCs w:val="1"/>
          <w:color w:val="auto"/>
        </w:rPr>
        <w:t>We depend on information technology systems and infrastructure to operate our business; system inadequacies or operating failures could harm our business.</w:t>
      </w:r>
    </w:p>
    <w:p>
      <w:pPr>
        <w:spacing w:after="0" w:line="19" w:lineRule="exact"/>
        <w:rPr>
          <w:rFonts w:ascii="Arial" w:cs="Arial" w:eastAsia="Arial" w:hAnsi="Arial"/>
          <w:sz w:val="18"/>
          <w:szCs w:val="18"/>
          <w:color w:val="auto"/>
        </w:rPr>
      </w:pPr>
    </w:p>
    <w:p>
      <w:pPr>
        <w:ind w:left="340" w:right="40"/>
        <w:spacing w:after="0" w:line="257" w:lineRule="auto"/>
        <w:rPr>
          <w:rFonts w:ascii="Arial" w:cs="Arial" w:eastAsia="Arial" w:hAnsi="Arial"/>
          <w:sz w:val="18"/>
          <w:szCs w:val="18"/>
          <w:color w:val="auto"/>
        </w:rPr>
      </w:pPr>
      <w:r>
        <w:rPr>
          <w:rFonts w:ascii="Arial" w:cs="Arial" w:eastAsia="Arial" w:hAnsi="Arial"/>
          <w:sz w:val="18"/>
          <w:szCs w:val="18"/>
          <w:color w:val="auto"/>
        </w:rPr>
        <w:t>We rely to a large extent on the efficient and uninterrupted operation of complex information technology systems and networks, some of which are within the company and some of which are outsourced. These systems and networks are potentially vulnerable to corruption, damage, or interruption from a variety of sources, including energy or telecommunications failures, breakdowns, natural disasters, terrorism, war, computer malware or other malicious intrusions, and random attacks. To date, system interruptions have been infrequent and have not had a material impact on our consolidated results of operations. We have implemented measures to prevent, respond to, and minimize the impact of system interruptions. However, there can be no assurance that these efforts will prevent future interruptions that would have a material adverse effect on our business.</w:t>
      </w:r>
    </w:p>
    <w:p>
      <w:pPr>
        <w:spacing w:after="0" w:line="67" w:lineRule="exact"/>
        <w:rPr>
          <w:rFonts w:ascii="Arial" w:cs="Arial" w:eastAsia="Arial" w:hAnsi="Arial"/>
          <w:sz w:val="18"/>
          <w:szCs w:val="18"/>
          <w:color w:val="auto"/>
        </w:rPr>
      </w:pPr>
    </w:p>
    <w:p>
      <w:pPr>
        <w:ind w:left="340" w:hanging="332"/>
        <w:spacing w:after="0"/>
        <w:tabs>
          <w:tab w:leader="none" w:pos="34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Reliance on third-party relationships and outsourcing arrangements could adversely affect our business.</w:t>
      </w:r>
    </w:p>
    <w:p>
      <w:pPr>
        <w:spacing w:after="0" w:line="119" w:lineRule="exact"/>
        <w:rPr>
          <w:rFonts w:ascii="Arial" w:cs="Arial" w:eastAsia="Arial" w:hAnsi="Arial"/>
          <w:sz w:val="18"/>
          <w:szCs w:val="18"/>
          <w:b w:val="1"/>
          <w:bCs w:val="1"/>
          <w:color w:val="auto"/>
        </w:rPr>
      </w:pPr>
    </w:p>
    <w:p>
      <w:pPr>
        <w:ind w:left="340" w:right="2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We utilize third parties, including suppliers, alliances with other pharmaceutical and biotechnology companies, and third-party service providers, for selected aspects of product development, the manufacture and commercialization of certain products, support for information technology systems, and certain financial transactional processes. For example, we outsource the day-to-day management and oversight of our clinical trials to contract research organizations. Outsourcing these functions involves the risk that the third parties may not perform to our standards or legal requirements, may not produce reliable results, may not perform in a timely manner, may not maintain the confidentiality of our proprietary information, or may fail to perform at all. Failure of these third parties to meet their contractual, regulatory, confidentiality, or other obligations to us could have a material adverse effect on our business.</w:t>
      </w:r>
    </w:p>
    <w:p>
      <w:pPr>
        <w:spacing w:after="0" w:line="67" w:lineRule="exact"/>
        <w:rPr>
          <w:rFonts w:ascii="Arial" w:cs="Arial" w:eastAsia="Arial" w:hAnsi="Arial"/>
          <w:sz w:val="18"/>
          <w:szCs w:val="18"/>
          <w:b w:val="1"/>
          <w:bCs w:val="1"/>
          <w:color w:val="auto"/>
        </w:rPr>
      </w:pPr>
    </w:p>
    <w:p>
      <w:pPr>
        <w:ind w:left="340" w:right="660" w:hanging="332"/>
        <w:spacing w:after="0" w:line="303" w:lineRule="auto"/>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b w:val="1"/>
          <w:bCs w:val="1"/>
          <w:color w:val="auto"/>
        </w:rPr>
        <w:t>Our animal health segment faces risks related to increased generic competition, food and animal safety concerns, factors affecting global agricultural markets, and other risks.</w:t>
      </w:r>
    </w:p>
    <w:p>
      <w:pPr>
        <w:spacing w:after="0" w:line="19" w:lineRule="exact"/>
        <w:rPr>
          <w:rFonts w:ascii="Arial" w:cs="Arial" w:eastAsia="Arial" w:hAnsi="Arial"/>
          <w:sz w:val="18"/>
          <w:szCs w:val="18"/>
          <w:color w:val="auto"/>
        </w:rPr>
      </w:pPr>
    </w:p>
    <w:p>
      <w:pPr>
        <w:ind w:left="340" w:right="60"/>
        <w:spacing w:after="0" w:line="257" w:lineRule="auto"/>
        <w:rPr>
          <w:rFonts w:ascii="Arial" w:cs="Arial" w:eastAsia="Arial" w:hAnsi="Arial"/>
          <w:sz w:val="18"/>
          <w:szCs w:val="18"/>
          <w:color w:val="auto"/>
        </w:rPr>
      </w:pPr>
      <w:r>
        <w:rPr>
          <w:rFonts w:ascii="Arial" w:cs="Arial" w:eastAsia="Arial" w:hAnsi="Arial"/>
          <w:sz w:val="18"/>
          <w:szCs w:val="18"/>
          <w:color w:val="auto"/>
        </w:rPr>
        <w:t>The animal health operating segment may be impacted by, among other things, increased generic competition; increased sales of companion animal products by non-veterinarian retail outlets; emerging restrictions and bans on the use of antibacterials in food-producing animals; perceived adverse effects on human health linked to the consumption of food derived from animals that utilize our products; increased regulation or decreased governmental support relating to the raising, processing, or consumption of food-producing animals; an outbreak of infectious disease carried by animals; adverse weather conditions and the availability of natural resources; adverse global economic conditions affecting agricultural markets; and failure of our research and development, acquisition, and licensing efforts to generate new products. The failure to manage these risks could have a material adverse effect on our revenues and income.</w:t>
      </w:r>
    </w:p>
    <w:p>
      <w:pPr>
        <w:spacing w:after="0" w:line="67" w:lineRule="exact"/>
        <w:rPr>
          <w:rFonts w:ascii="Arial" w:cs="Arial" w:eastAsia="Arial" w:hAnsi="Arial"/>
          <w:sz w:val="18"/>
          <w:szCs w:val="18"/>
          <w:color w:val="auto"/>
        </w:rPr>
      </w:pPr>
    </w:p>
    <w:p>
      <w:pPr>
        <w:ind w:left="340" w:hanging="332"/>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b w:val="1"/>
          <w:bCs w:val="1"/>
          <w:color w:val="auto"/>
        </w:rPr>
        <w:t>Integration of the Novartis Animal Health business could lead to additional unplanned expenses and be disruptive to operations.</w:t>
      </w:r>
    </w:p>
    <w:p>
      <w:pPr>
        <w:spacing w:after="0" w:line="119" w:lineRule="exact"/>
        <w:rPr>
          <w:rFonts w:ascii="Arial" w:cs="Arial" w:eastAsia="Arial" w:hAnsi="Arial"/>
          <w:sz w:val="18"/>
          <w:szCs w:val="18"/>
          <w:color w:val="auto"/>
        </w:rPr>
      </w:pPr>
    </w:p>
    <w:p>
      <w:pPr>
        <w:ind w:left="340" w:right="360"/>
        <w:spacing w:after="0" w:line="258" w:lineRule="auto"/>
        <w:rPr>
          <w:rFonts w:ascii="Arial" w:cs="Arial" w:eastAsia="Arial" w:hAnsi="Arial"/>
          <w:sz w:val="18"/>
          <w:szCs w:val="18"/>
          <w:color w:val="auto"/>
        </w:rPr>
      </w:pPr>
      <w:r>
        <w:rPr>
          <w:rFonts w:ascii="Arial" w:cs="Arial" w:eastAsia="Arial" w:hAnsi="Arial"/>
          <w:sz w:val="18"/>
          <w:szCs w:val="18"/>
          <w:color w:val="auto"/>
        </w:rPr>
        <w:t>We are continuing to integrate into our operations the Novartis AH business which we purchased in January 2015. This complex global integration is a multi-year process and could still be disruptive to the ongoing operations of the Elanco business or to certain corporate support functions. Unexpected delays and difficulties in the integration could lead to additional expenses and disruption to ongoing operating results.</w:t>
      </w:r>
    </w:p>
    <w:p>
      <w:pPr>
        <w:spacing w:after="0" w:line="1" w:lineRule="exact"/>
        <w:rPr>
          <w:sz w:val="20"/>
          <w:szCs w:val="20"/>
          <w:color w:val="auto"/>
        </w:rPr>
      </w:pPr>
    </w:p>
    <w:p>
      <w:pPr>
        <w:spacing w:after="0"/>
        <w:rPr>
          <w:sz w:val="20"/>
          <w:szCs w:val="20"/>
          <w:color w:val="auto"/>
        </w:rPr>
      </w:pPr>
      <w:r>
        <w:rPr>
          <w:rFonts w:ascii="Arial" w:cs="Arial" w:eastAsia="Arial" w:hAnsi="Arial"/>
          <w:sz w:val="32"/>
          <w:szCs w:val="32"/>
          <w:b w:val="1"/>
          <w:bCs w:val="1"/>
          <w:i w:val="1"/>
          <w:iCs w:val="1"/>
          <w:color w:val="CC0000"/>
        </w:rPr>
        <w:t>Item 1B.Unresolved Staff Comments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24</w:t>
      </w:r>
    </w:p>
    <w:p>
      <w:pPr>
        <w:sectPr>
          <w:pgSz w:w="11900" w:h="16838" w:orient="portrait"/>
          <w:cols w:equalWidth="0" w:num="1">
            <w:col w:w="11400"/>
          </w:cols>
          <w:pgMar w:left="240" w:top="684" w:right="259" w:bottom="1440" w:gutter="0" w:footer="0" w:header="0"/>
        </w:sectPr>
      </w:pPr>
    </w:p>
    <w:bookmarkStart w:id="24" w:name="page25"/>
    <w:bookmarkEnd w:id="24"/>
    <w:p>
      <w:pPr>
        <w:spacing w:after="0"/>
        <w:rPr>
          <w:sz w:val="20"/>
          <w:szCs w:val="20"/>
          <w:color w:val="auto"/>
        </w:rPr>
      </w:pPr>
      <w:r>
        <w:rPr>
          <w:rFonts w:ascii="Arial" w:cs="Arial" w:eastAsia="Arial" w:hAnsi="Arial"/>
          <w:sz w:val="32"/>
          <w:szCs w:val="32"/>
          <w:b w:val="1"/>
          <w:bCs w:val="1"/>
          <w:i w:val="1"/>
          <w:iCs w:val="1"/>
          <w:color w:val="CC0000"/>
        </w:rPr>
        <w:t>Item 2.  Properties</w:t>
      </w:r>
    </w:p>
    <w:p>
      <w:pPr>
        <w:spacing w:after="0" w:line="186"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Our principal domestic and international executive offices are located in Indianapolis. At December 31, 2015, we owned 13 production and distribution sites in the U.S. and Puerto Rico. Together with the corporate administrative offices, these facilities contain an aggregate of approximately 10.7 million square feet of floor area dedicated to production, distribution, and administration. Major production sites include Indianapolis and Clinton, Indiana; Carolina, Puerto Rico; and Branchburg, New Jersey.</w:t>
      </w:r>
    </w:p>
    <w:p>
      <w:pPr>
        <w:spacing w:after="0" w:line="62" w:lineRule="exact"/>
        <w:rPr>
          <w:sz w:val="20"/>
          <w:szCs w:val="20"/>
          <w:color w:val="auto"/>
        </w:rPr>
      </w:pPr>
    </w:p>
    <w:p>
      <w:pPr>
        <w:ind w:right="20"/>
        <w:spacing w:after="0" w:line="292" w:lineRule="auto"/>
        <w:rPr>
          <w:sz w:val="20"/>
          <w:szCs w:val="20"/>
          <w:color w:val="auto"/>
        </w:rPr>
      </w:pPr>
      <w:r>
        <w:rPr>
          <w:rFonts w:ascii="Arial" w:cs="Arial" w:eastAsia="Arial" w:hAnsi="Arial"/>
          <w:sz w:val="18"/>
          <w:szCs w:val="18"/>
          <w:color w:val="auto"/>
        </w:rPr>
        <w:t>We own production and distribution sites in 14 countries outside the U.S. and Puerto Rico, containing an aggregate of approximately 5.4 million square feet of floor area. Major production sites include facilities in France, Ireland, China, the U.K., Spain, and Italy.</w:t>
      </w:r>
    </w:p>
    <w:p>
      <w:pPr>
        <w:spacing w:after="0" w:line="37" w:lineRule="exact"/>
        <w:rPr>
          <w:sz w:val="20"/>
          <w:szCs w:val="20"/>
          <w:color w:val="auto"/>
        </w:rPr>
      </w:pPr>
    </w:p>
    <w:p>
      <w:pPr>
        <w:ind w:right="300"/>
        <w:spacing w:after="0" w:line="271" w:lineRule="auto"/>
        <w:rPr>
          <w:sz w:val="20"/>
          <w:szCs w:val="20"/>
          <w:color w:val="auto"/>
        </w:rPr>
      </w:pPr>
      <w:r>
        <w:rPr>
          <w:rFonts w:ascii="Arial" w:cs="Arial" w:eastAsia="Arial" w:hAnsi="Arial"/>
          <w:sz w:val="18"/>
          <w:szCs w:val="18"/>
          <w:color w:val="auto"/>
        </w:rPr>
        <w:t>In the U.S., our research and development facilities contain an aggregate of approximately 3.9 million square feet of floor area, primarily consisting of owned facilities located in Indianapolis. We also lease smaller sites in San Diego and New York City. Outside the U.S., we own smaller research and development facilities in the U.K., Spain, Australia, and lease smaller sites in China.</w:t>
      </w:r>
    </w:p>
    <w:p>
      <w:pPr>
        <w:spacing w:after="0" w:line="55"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The 2015 acquisition of Novartis AH added 11 owned sites and 26 leased sites totaling approximately 1.4 million square feet and approximately 500 thousand square feet of floor area, respectively. These locations include a mix of office, research and development, and production and distribution space.</w:t>
      </w:r>
    </w:p>
    <w:p>
      <w:pPr>
        <w:spacing w:after="0" w:line="55" w:lineRule="exact"/>
        <w:rPr>
          <w:sz w:val="20"/>
          <w:szCs w:val="20"/>
          <w:color w:val="auto"/>
        </w:rPr>
      </w:pPr>
    </w:p>
    <w:p>
      <w:pPr>
        <w:ind w:right="20"/>
        <w:spacing w:after="0" w:line="292" w:lineRule="auto"/>
        <w:rPr>
          <w:sz w:val="20"/>
          <w:szCs w:val="20"/>
          <w:color w:val="auto"/>
        </w:rPr>
      </w:pPr>
      <w:r>
        <w:rPr>
          <w:rFonts w:ascii="Arial" w:cs="Arial" w:eastAsia="Arial" w:hAnsi="Arial"/>
          <w:sz w:val="18"/>
          <w:szCs w:val="18"/>
          <w:color w:val="auto"/>
        </w:rPr>
        <w:t>We believe that none of our properties is subject to any encumbrance, easement, or other restriction that would detract materially from its value or impair its use in the operation of the business. The buildings we own are of varying ages and in good condition.</w:t>
      </w:r>
    </w:p>
    <w:p>
      <w:pPr>
        <w:spacing w:after="0" w:line="131" w:lineRule="exact"/>
        <w:rPr>
          <w:sz w:val="20"/>
          <w:szCs w:val="20"/>
          <w:color w:val="auto"/>
        </w:rPr>
      </w:pPr>
    </w:p>
    <w:p>
      <w:pPr>
        <w:spacing w:after="0"/>
        <w:rPr>
          <w:sz w:val="20"/>
          <w:szCs w:val="20"/>
          <w:color w:val="auto"/>
        </w:rPr>
      </w:pPr>
      <w:r>
        <w:rPr>
          <w:rFonts w:ascii="Arial" w:cs="Arial" w:eastAsia="Arial" w:hAnsi="Arial"/>
          <w:sz w:val="32"/>
          <w:szCs w:val="32"/>
          <w:b w:val="1"/>
          <w:bCs w:val="1"/>
          <w:i w:val="1"/>
          <w:iCs w:val="1"/>
          <w:color w:val="CC0000"/>
        </w:rPr>
        <w:t>Item 3.  Legal Proceedings</w:t>
      </w:r>
    </w:p>
    <w:p>
      <w:pPr>
        <w:spacing w:after="0" w:line="186"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color w:val="auto"/>
        </w:rPr>
        <w:t>We are a party to various currently pending legal actions, government investigations, and environmental proceedings, and we anticipate that such actions could be brought against us in the future. The most significant of these matters are described below or, as noted, in Item 8, "Financial Statements and Supplementary Data—Note 15, Contingencies." While it is not possible to determine the outcome of the legal actions, investigations, and proceedings brought against us, we believe that, except as otherwise specifically noted in Item 8, "Financial Statements and Supplementary Data—Note 15, Contingencies," the resolution of all such matters will not have a material adverse effect on our consolidated financial position or liquidity, but could be material to our consolidated results of operations in any one accounting period.</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Legal Proceedings Described in Note 15 to the Consolidated Financial Statements</w:t>
      </w:r>
    </w:p>
    <w:p>
      <w:pPr>
        <w:spacing w:after="0" w:line="119" w:lineRule="exact"/>
        <w:rPr>
          <w:sz w:val="20"/>
          <w:szCs w:val="20"/>
          <w:color w:val="auto"/>
        </w:rPr>
      </w:pPr>
    </w:p>
    <w:p>
      <w:pPr>
        <w:ind w:right="140"/>
        <w:spacing w:after="0" w:line="292" w:lineRule="auto"/>
        <w:rPr>
          <w:sz w:val="20"/>
          <w:szCs w:val="20"/>
          <w:color w:val="auto"/>
        </w:rPr>
      </w:pPr>
      <w:r>
        <w:rPr>
          <w:rFonts w:ascii="Arial" w:cs="Arial" w:eastAsia="Arial" w:hAnsi="Arial"/>
          <w:sz w:val="18"/>
          <w:szCs w:val="18"/>
          <w:color w:val="auto"/>
        </w:rPr>
        <w:t>See Item 8, "Financial Statements and Supplementary Data—Note 15, Contingencies," for information on various legal proceedings, including but not limited to:</w:t>
      </w:r>
    </w:p>
    <w:p>
      <w:pPr>
        <w:spacing w:after="0" w:line="37"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patent litigation and administrative proceedings involving Alimta and Effient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product liability litigation involving Actos, Byetta, Cymbalta, and Prozac</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employee litigation in Brazil.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That information is incorporated into this Item by reference.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Other Product Liability Litigation</w:t>
      </w:r>
    </w:p>
    <w:p>
      <w:pPr>
        <w:spacing w:after="0" w:line="119" w:lineRule="exact"/>
        <w:rPr>
          <w:sz w:val="20"/>
          <w:szCs w:val="20"/>
          <w:color w:val="auto"/>
        </w:rPr>
      </w:pPr>
    </w:p>
    <w:p>
      <w:pPr>
        <w:ind w:right="40"/>
        <w:spacing w:after="0" w:line="260" w:lineRule="auto"/>
        <w:rPr>
          <w:sz w:val="20"/>
          <w:szCs w:val="20"/>
          <w:color w:val="auto"/>
        </w:rPr>
      </w:pPr>
      <w:r>
        <w:rPr>
          <w:rFonts w:ascii="Arial" w:cs="Arial" w:eastAsia="Arial" w:hAnsi="Arial"/>
          <w:sz w:val="18"/>
          <w:szCs w:val="18"/>
          <w:color w:val="auto"/>
        </w:rPr>
        <w:t>We are named as a defendant in approximately 410 Axiron product liability lawsuits in the U.S. involving approximately 560 plaintiffs. In more than one-third of the cases, other manufacturers of testosterone are named as co-defendants. Nearly all of these lawsuits have been consolidated in a federal multi-district litigation in the U.S. District Court for the Northern District of Illinois. A small number of lawsuits has been filed in state courts. The cases generally allege cardiovascular and related injuries. We believe these claims are without merit and are prepared to defend against them vigorously.</w:t>
      </w:r>
    </w:p>
    <w:p>
      <w:pPr>
        <w:spacing w:after="0" w:line="20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25</w:t>
      </w:r>
    </w:p>
    <w:p>
      <w:pPr>
        <w:sectPr>
          <w:pgSz w:w="11900" w:h="16838" w:orient="portrait"/>
          <w:cols w:equalWidth="0" w:num="1">
            <w:col w:w="11420"/>
          </w:cols>
          <w:pgMar w:left="240" w:top="562"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CC0000"/>
        </w:rPr>
        <w:t>Other Patent Litigation</w:t>
      </w:r>
    </w:p>
    <w:p>
      <w:pPr>
        <w:spacing w:after="0" w:line="119" w:lineRule="exact"/>
        <w:rPr>
          <w:sz w:val="20"/>
          <w:szCs w:val="20"/>
          <w:color w:val="auto"/>
        </w:rPr>
      </w:pPr>
    </w:p>
    <w:p>
      <w:pPr>
        <w:ind w:right="100"/>
        <w:spacing w:after="0" w:line="260" w:lineRule="auto"/>
        <w:rPr>
          <w:sz w:val="20"/>
          <w:szCs w:val="20"/>
          <w:color w:val="auto"/>
        </w:rPr>
      </w:pPr>
      <w:r>
        <w:rPr>
          <w:rFonts w:ascii="Arial" w:cs="Arial" w:eastAsia="Arial" w:hAnsi="Arial"/>
          <w:sz w:val="18"/>
          <w:szCs w:val="18"/>
          <w:color w:val="auto"/>
        </w:rPr>
        <w:t>Boehringer Ingelheim, our partner in marketing and development of Trajenta, is engaged in various U.S. patent litigation matters involving Trajenta/Jentadueto in accordance with the procedures set out in the Drug Price Competition and Patent Term Restoration Act of 1984. Eleven groups of companies submitted Abbreviated New Drug Applications seeking approval to market generic versions of Trajenta prior to the expiration of Trajenta/Jentadueto patents, alleging certain patents, including in some allegations the compound patent, are invalid or would not be infringed.</w:t>
      </w:r>
    </w:p>
    <w:p>
      <w:pPr>
        <w:spacing w:after="0" w:line="67" w:lineRule="exact"/>
        <w:rPr>
          <w:sz w:val="20"/>
          <w:szCs w:val="20"/>
          <w:color w:val="auto"/>
        </w:rPr>
      </w:pPr>
    </w:p>
    <w:p>
      <w:pPr>
        <w:ind w:right="180"/>
        <w:spacing w:after="0" w:line="258" w:lineRule="auto"/>
        <w:rPr>
          <w:sz w:val="20"/>
          <w:szCs w:val="20"/>
          <w:color w:val="auto"/>
        </w:rPr>
      </w:pPr>
      <w:r>
        <w:rPr>
          <w:rFonts w:ascii="Arial" w:cs="Arial" w:eastAsia="Arial" w:hAnsi="Arial"/>
          <w:sz w:val="18"/>
          <w:szCs w:val="18"/>
          <w:color w:val="auto"/>
        </w:rPr>
        <w:t>In Canada, several generic companies challenged the validity of our Zyprexa patent. In September 2012, the Canadian Court of Appeals affirmed the lower court's decision that the patent was invalid for lack of utility. In 2013, our petition for leave to appeal the decision to the Supreme Court of Canada was denied. Two of the generic companies, Apotex Inc. (Apotex) and Teva Canada Limited (Teva), pursued claims for damages arising from our enforcement of the patent under Canadian regulations. In April 2014, the Supreme Court of Canada dismissed Apotex's damages suit. Teva's claim for damages remains, and the total amount of damages that may be awarded to Teva will be determined through a separate trial, which is scheduled for May 2016.</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Other Matters</w:t>
      </w:r>
    </w:p>
    <w:p>
      <w:pPr>
        <w:spacing w:after="0" w:line="119"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In September 2015, we were advised that the U.S. Attorney’s office for the Eastern District of Pennsylvania and the Civil Division of the DOJ are conducting an inquiry concerning the treatment by various pharmaceutical companies, including us, of certain distribution service agreements with wholesalers when calculating and reporting Average Manufacturer Prices in connection with the Medicaid drug rebate program. We are voluntarily responding to this request.</w:t>
      </w:r>
    </w:p>
    <w:p>
      <w:pPr>
        <w:spacing w:after="0" w:line="62" w:lineRule="exact"/>
        <w:rPr>
          <w:sz w:val="20"/>
          <w:szCs w:val="20"/>
          <w:color w:val="auto"/>
        </w:rPr>
      </w:pPr>
    </w:p>
    <w:p>
      <w:pPr>
        <w:ind w:right="660"/>
        <w:spacing w:after="0" w:line="271" w:lineRule="auto"/>
        <w:rPr>
          <w:sz w:val="20"/>
          <w:szCs w:val="20"/>
          <w:color w:val="auto"/>
        </w:rPr>
      </w:pPr>
      <w:r>
        <w:rPr>
          <w:rFonts w:ascii="Arial" w:cs="Arial" w:eastAsia="Arial" w:hAnsi="Arial"/>
          <w:sz w:val="18"/>
          <w:szCs w:val="18"/>
          <w:color w:val="auto"/>
        </w:rPr>
        <w:t>Under the Comprehensive Environmental Response, Compensation, and Liability Act, commonly known as "Superfund," we have been designated as one of several potentially responsible parties with respect to the cleanup of fewer than 10 sites. Under Superfund, each responsible party may be jointly and severally liable for the entire amount of the cleanup.</w:t>
      </w:r>
    </w:p>
    <w:p>
      <w:pPr>
        <w:spacing w:after="0" w:line="55" w:lineRule="exact"/>
        <w:rPr>
          <w:sz w:val="20"/>
          <w:szCs w:val="20"/>
          <w:color w:val="auto"/>
        </w:rPr>
      </w:pPr>
    </w:p>
    <w:p>
      <w:pPr>
        <w:spacing w:after="0" w:line="292" w:lineRule="auto"/>
        <w:rPr>
          <w:sz w:val="20"/>
          <w:szCs w:val="20"/>
          <w:color w:val="auto"/>
        </w:rPr>
      </w:pPr>
      <w:r>
        <w:rPr>
          <w:rFonts w:ascii="Arial" w:cs="Arial" w:eastAsia="Arial" w:hAnsi="Arial"/>
          <w:sz w:val="18"/>
          <w:szCs w:val="18"/>
          <w:color w:val="auto"/>
        </w:rPr>
        <w:t>We are also a defendant in other litigation and investigations, including product liability, patent, employment, and premises liability litigation, of a character we regard as normal to our business.</w:t>
      </w:r>
    </w:p>
    <w:p>
      <w:pPr>
        <w:spacing w:after="0" w:line="131" w:lineRule="exact"/>
        <w:rPr>
          <w:sz w:val="20"/>
          <w:szCs w:val="20"/>
          <w:color w:val="auto"/>
        </w:rPr>
      </w:pPr>
    </w:p>
    <w:p>
      <w:pPr>
        <w:spacing w:after="0"/>
        <w:rPr>
          <w:sz w:val="20"/>
          <w:szCs w:val="20"/>
          <w:color w:val="auto"/>
        </w:rPr>
      </w:pPr>
      <w:r>
        <w:rPr>
          <w:rFonts w:ascii="Arial" w:cs="Arial" w:eastAsia="Arial" w:hAnsi="Arial"/>
          <w:sz w:val="32"/>
          <w:szCs w:val="32"/>
          <w:b w:val="1"/>
          <w:bCs w:val="1"/>
          <w:i w:val="1"/>
          <w:iCs w:val="1"/>
          <w:color w:val="CC0000"/>
        </w:rPr>
        <w:t>Item 4.  Mine Safety Disclosures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26</w:t>
      </w:r>
    </w:p>
    <w:p>
      <w:pPr>
        <w:sectPr>
          <w:pgSz w:w="11900" w:h="16838" w:orient="portrait"/>
          <w:cols w:equalWidth="0" w:num="1">
            <w:col w:w="11420"/>
          </w:cols>
          <w:pgMar w:left="240" w:top="736" w:right="239" w:bottom="1440" w:gutter="0" w:footer="0" w:header="0"/>
        </w:sectPr>
      </w:pPr>
    </w:p>
    <w:bookmarkStart w:id="26" w:name="page27"/>
    <w:bookmarkEnd w:id="26"/>
    <w:p>
      <w:pPr>
        <w:spacing w:after="0"/>
        <w:rPr>
          <w:sz w:val="20"/>
          <w:szCs w:val="20"/>
          <w:color w:val="auto"/>
        </w:rPr>
      </w:pPr>
      <w:r>
        <w:rPr>
          <w:rFonts w:ascii="Arial" w:cs="Arial" w:eastAsia="Arial" w:hAnsi="Arial"/>
          <w:sz w:val="32"/>
          <w:szCs w:val="32"/>
          <w:b w:val="1"/>
          <w:bCs w:val="1"/>
          <w:color w:val="auto"/>
        </w:rPr>
        <w:t>Part II</w:t>
      </w:r>
    </w:p>
    <w:p>
      <w:pPr>
        <w:spacing w:after="0" w:line="232" w:lineRule="exact"/>
        <w:rPr>
          <w:sz w:val="20"/>
          <w:szCs w:val="20"/>
          <w:color w:val="auto"/>
        </w:rPr>
      </w:pPr>
    </w:p>
    <w:p>
      <w:pPr>
        <w:ind w:left="1300" w:right="140" w:hanging="1296"/>
        <w:spacing w:after="0" w:line="302" w:lineRule="auto"/>
        <w:rPr>
          <w:sz w:val="20"/>
          <w:szCs w:val="20"/>
          <w:color w:val="auto"/>
        </w:rPr>
      </w:pPr>
      <w:r>
        <w:rPr>
          <w:rFonts w:ascii="Arial" w:cs="Arial" w:eastAsia="Arial" w:hAnsi="Arial"/>
          <w:sz w:val="32"/>
          <w:szCs w:val="32"/>
          <w:b w:val="1"/>
          <w:bCs w:val="1"/>
          <w:i w:val="1"/>
          <w:iCs w:val="1"/>
          <w:color w:val="CC0000"/>
        </w:rPr>
        <w:t>Item 5. Market for the Registrant’s Common Equity, Related Stockholder Matters, and Issuer Purchases of Equity Securities</w:t>
      </w:r>
    </w:p>
    <w:p>
      <w:pPr>
        <w:spacing w:after="0" w:line="6" w:lineRule="exact"/>
        <w:rPr>
          <w:sz w:val="20"/>
          <w:szCs w:val="20"/>
          <w:color w:val="auto"/>
        </w:rPr>
      </w:pPr>
    </w:p>
    <w:p>
      <w:pPr>
        <w:ind w:right="280"/>
        <w:spacing w:after="0" w:line="271" w:lineRule="auto"/>
        <w:rPr>
          <w:sz w:val="20"/>
          <w:szCs w:val="20"/>
          <w:color w:val="auto"/>
        </w:rPr>
      </w:pPr>
      <w:r>
        <w:rPr>
          <w:rFonts w:ascii="Arial" w:cs="Arial" w:eastAsia="Arial" w:hAnsi="Arial"/>
          <w:sz w:val="18"/>
          <w:szCs w:val="18"/>
          <w:color w:val="auto"/>
        </w:rPr>
        <w:t>You can find information relating to the principal market for our common stock and related stockholder matters at Item 6, "Selected Financial Data (unaudited)" and Item 8, "Financial Statements and Supplementary Data—Note 19, Selected Quarterly Data (unaudited).” That information is incorporated here by reference.</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activity related to repurchases of our equity securities during the fourth quarter ended December 31, 2015:</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380" w:type="dxa"/>
            <w:vAlign w:val="bottom"/>
          </w:tcPr>
          <w:p>
            <w:pPr>
              <w:jc w:val="center"/>
              <w:spacing w:after="0"/>
              <w:rPr>
                <w:sz w:val="20"/>
                <w:szCs w:val="20"/>
                <w:color w:val="auto"/>
              </w:rPr>
            </w:pPr>
            <w:r>
              <w:rPr>
                <w:rFonts w:ascii="Arial" w:cs="Arial" w:eastAsia="Arial" w:hAnsi="Arial"/>
                <w:sz w:val="14"/>
                <w:szCs w:val="14"/>
                <w:b w:val="1"/>
                <w:bCs w:val="1"/>
                <w:color w:val="auto"/>
              </w:rPr>
              <w:t>Total Number of Shares</w:t>
            </w:r>
          </w:p>
        </w:tc>
        <w:tc>
          <w:tcPr>
            <w:tcW w:w="2600" w:type="dxa"/>
            <w:vAlign w:val="bottom"/>
          </w:tcPr>
          <w:p>
            <w:pPr>
              <w:jc w:val="center"/>
              <w:ind w:left="665"/>
              <w:spacing w:after="0"/>
              <w:rPr>
                <w:sz w:val="20"/>
                <w:szCs w:val="20"/>
                <w:color w:val="auto"/>
              </w:rPr>
            </w:pPr>
            <w:r>
              <w:rPr>
                <w:rFonts w:ascii="Arial" w:cs="Arial" w:eastAsia="Arial" w:hAnsi="Arial"/>
                <w:sz w:val="14"/>
                <w:szCs w:val="14"/>
                <w:b w:val="1"/>
                <w:bCs w:val="1"/>
                <w:color w:val="auto"/>
              </w:rPr>
              <w:t>Approximate Dollar Value</w:t>
            </w:r>
          </w:p>
        </w:tc>
        <w:tc>
          <w:tcPr>
            <w:tcW w:w="740" w:type="dxa"/>
            <w:vAlign w:val="bottom"/>
          </w:tcPr>
          <w:p>
            <w:pPr>
              <w:spacing w:after="0"/>
              <w:rPr>
                <w:sz w:val="14"/>
                <w:szCs w:val="14"/>
                <w:color w:val="auto"/>
              </w:rPr>
            </w:pPr>
          </w:p>
        </w:tc>
      </w:tr>
      <w:tr>
        <w:trPr>
          <w:trHeight w:val="162"/>
        </w:trPr>
        <w:tc>
          <w:tcPr>
            <w:tcW w:w="17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380" w:type="dxa"/>
            <w:vAlign w:val="bottom"/>
          </w:tcPr>
          <w:p>
            <w:pPr>
              <w:jc w:val="center"/>
              <w:spacing w:after="0"/>
              <w:rPr>
                <w:sz w:val="20"/>
                <w:szCs w:val="20"/>
                <w:color w:val="auto"/>
              </w:rPr>
            </w:pPr>
            <w:r>
              <w:rPr>
                <w:rFonts w:ascii="Arial" w:cs="Arial" w:eastAsia="Arial" w:hAnsi="Arial"/>
                <w:sz w:val="14"/>
                <w:szCs w:val="14"/>
                <w:b w:val="1"/>
                <w:bCs w:val="1"/>
                <w:color w:val="auto"/>
              </w:rPr>
              <w:t>Purchased as Part of</w:t>
            </w:r>
          </w:p>
        </w:tc>
        <w:tc>
          <w:tcPr>
            <w:tcW w:w="2600" w:type="dxa"/>
            <w:vAlign w:val="bottom"/>
          </w:tcPr>
          <w:p>
            <w:pPr>
              <w:jc w:val="center"/>
              <w:ind w:left="665"/>
              <w:spacing w:after="0"/>
              <w:rPr>
                <w:sz w:val="20"/>
                <w:szCs w:val="20"/>
                <w:color w:val="auto"/>
              </w:rPr>
            </w:pPr>
            <w:r>
              <w:rPr>
                <w:rFonts w:ascii="Arial" w:cs="Arial" w:eastAsia="Arial" w:hAnsi="Arial"/>
                <w:sz w:val="14"/>
                <w:szCs w:val="14"/>
                <w:b w:val="1"/>
                <w:bCs w:val="1"/>
                <w:color w:val="auto"/>
              </w:rPr>
              <w:t>of Shares that May Yet Be</w:t>
            </w:r>
          </w:p>
        </w:tc>
        <w:tc>
          <w:tcPr>
            <w:tcW w:w="740" w:type="dxa"/>
            <w:vAlign w:val="bottom"/>
          </w:tcPr>
          <w:p>
            <w:pPr>
              <w:spacing w:after="0"/>
              <w:rPr>
                <w:sz w:val="14"/>
                <w:szCs w:val="14"/>
                <w:color w:val="auto"/>
              </w:rPr>
            </w:pPr>
          </w:p>
        </w:tc>
      </w:tr>
      <w:tr>
        <w:trPr>
          <w:trHeight w:val="162"/>
        </w:trPr>
        <w:tc>
          <w:tcPr>
            <w:tcW w:w="1720" w:type="dxa"/>
            <w:vAlign w:val="bottom"/>
          </w:tcPr>
          <w:p>
            <w:pPr>
              <w:spacing w:after="0"/>
              <w:rPr>
                <w:sz w:val="14"/>
                <w:szCs w:val="14"/>
                <w:color w:val="auto"/>
              </w:rPr>
            </w:pPr>
          </w:p>
        </w:tc>
        <w:tc>
          <w:tcPr>
            <w:tcW w:w="1780" w:type="dxa"/>
            <w:vAlign w:val="bottom"/>
          </w:tcPr>
          <w:p>
            <w:pPr>
              <w:jc w:val="center"/>
              <w:spacing w:after="0"/>
              <w:rPr>
                <w:sz w:val="20"/>
                <w:szCs w:val="20"/>
                <w:color w:val="auto"/>
              </w:rPr>
            </w:pPr>
            <w:r>
              <w:rPr>
                <w:rFonts w:ascii="Arial" w:cs="Arial" w:eastAsia="Arial" w:hAnsi="Arial"/>
                <w:sz w:val="14"/>
                <w:szCs w:val="14"/>
                <w:b w:val="1"/>
                <w:bCs w:val="1"/>
                <w:color w:val="auto"/>
              </w:rPr>
              <w:t>Total Number of</w:t>
            </w:r>
          </w:p>
        </w:tc>
        <w:tc>
          <w:tcPr>
            <w:tcW w:w="5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380" w:type="dxa"/>
            <w:vAlign w:val="bottom"/>
          </w:tcPr>
          <w:p>
            <w:pPr>
              <w:jc w:val="center"/>
              <w:spacing w:after="0"/>
              <w:rPr>
                <w:sz w:val="20"/>
                <w:szCs w:val="20"/>
                <w:color w:val="auto"/>
              </w:rPr>
            </w:pPr>
            <w:r>
              <w:rPr>
                <w:rFonts w:ascii="Arial" w:cs="Arial" w:eastAsia="Arial" w:hAnsi="Arial"/>
                <w:sz w:val="14"/>
                <w:szCs w:val="14"/>
                <w:b w:val="1"/>
                <w:bCs w:val="1"/>
                <w:color w:val="auto"/>
              </w:rPr>
              <w:t>Publicly Announced</w:t>
            </w:r>
          </w:p>
        </w:tc>
        <w:tc>
          <w:tcPr>
            <w:tcW w:w="2600" w:type="dxa"/>
            <w:vAlign w:val="bottom"/>
          </w:tcPr>
          <w:p>
            <w:pPr>
              <w:jc w:val="center"/>
              <w:ind w:left="665"/>
              <w:spacing w:after="0"/>
              <w:rPr>
                <w:sz w:val="20"/>
                <w:szCs w:val="20"/>
                <w:color w:val="auto"/>
              </w:rPr>
            </w:pPr>
            <w:r>
              <w:rPr>
                <w:rFonts w:ascii="Arial" w:cs="Arial" w:eastAsia="Arial" w:hAnsi="Arial"/>
                <w:sz w:val="14"/>
                <w:szCs w:val="14"/>
                <w:b w:val="1"/>
                <w:bCs w:val="1"/>
                <w:color w:val="auto"/>
              </w:rPr>
              <w:t>Purchased Under the</w:t>
            </w:r>
          </w:p>
        </w:tc>
        <w:tc>
          <w:tcPr>
            <w:tcW w:w="740" w:type="dxa"/>
            <w:vAlign w:val="bottom"/>
          </w:tcPr>
          <w:p>
            <w:pPr>
              <w:spacing w:after="0"/>
              <w:rPr>
                <w:sz w:val="14"/>
                <w:szCs w:val="14"/>
                <w:color w:val="auto"/>
              </w:rPr>
            </w:pPr>
          </w:p>
        </w:tc>
      </w:tr>
      <w:tr>
        <w:trPr>
          <w:trHeight w:val="162"/>
        </w:trPr>
        <w:tc>
          <w:tcPr>
            <w:tcW w:w="1720" w:type="dxa"/>
            <w:vAlign w:val="bottom"/>
          </w:tcPr>
          <w:p>
            <w:pPr>
              <w:spacing w:after="0"/>
              <w:rPr>
                <w:sz w:val="14"/>
                <w:szCs w:val="14"/>
                <w:color w:val="auto"/>
              </w:rPr>
            </w:pPr>
          </w:p>
        </w:tc>
        <w:tc>
          <w:tcPr>
            <w:tcW w:w="1780" w:type="dxa"/>
            <w:vAlign w:val="bottom"/>
          </w:tcPr>
          <w:p>
            <w:pPr>
              <w:jc w:val="center"/>
              <w:spacing w:after="0"/>
              <w:rPr>
                <w:sz w:val="20"/>
                <w:szCs w:val="20"/>
                <w:color w:val="auto"/>
              </w:rPr>
            </w:pPr>
            <w:r>
              <w:rPr>
                <w:rFonts w:ascii="Arial" w:cs="Arial" w:eastAsia="Arial" w:hAnsi="Arial"/>
                <w:sz w:val="14"/>
                <w:szCs w:val="14"/>
                <w:b w:val="1"/>
                <w:bCs w:val="1"/>
                <w:color w:val="auto"/>
              </w:rPr>
              <w:t>Shares Purchased</w:t>
            </w:r>
          </w:p>
        </w:tc>
        <w:tc>
          <w:tcPr>
            <w:tcW w:w="2140" w:type="dxa"/>
            <w:vAlign w:val="bottom"/>
            <w:gridSpan w:val="2"/>
          </w:tcPr>
          <w:p>
            <w:pPr>
              <w:jc w:val="right"/>
              <w:ind w:right="334"/>
              <w:spacing w:after="0"/>
              <w:rPr>
                <w:sz w:val="20"/>
                <w:szCs w:val="20"/>
                <w:color w:val="auto"/>
              </w:rPr>
            </w:pPr>
            <w:r>
              <w:rPr>
                <w:rFonts w:ascii="Arial" w:cs="Arial" w:eastAsia="Arial" w:hAnsi="Arial"/>
                <w:sz w:val="14"/>
                <w:szCs w:val="14"/>
                <w:b w:val="1"/>
                <w:bCs w:val="1"/>
                <w:color w:val="auto"/>
              </w:rPr>
              <w:t>Average Price Paid</w:t>
            </w:r>
          </w:p>
        </w:tc>
        <w:tc>
          <w:tcPr>
            <w:tcW w:w="2380" w:type="dxa"/>
            <w:vAlign w:val="bottom"/>
          </w:tcPr>
          <w:p>
            <w:pPr>
              <w:jc w:val="center"/>
              <w:spacing w:after="0"/>
              <w:rPr>
                <w:sz w:val="20"/>
                <w:szCs w:val="20"/>
                <w:color w:val="auto"/>
              </w:rPr>
            </w:pPr>
            <w:r>
              <w:rPr>
                <w:rFonts w:ascii="Arial" w:cs="Arial" w:eastAsia="Arial" w:hAnsi="Arial"/>
                <w:sz w:val="14"/>
                <w:szCs w:val="14"/>
                <w:b w:val="1"/>
                <w:bCs w:val="1"/>
                <w:color w:val="auto"/>
              </w:rPr>
              <w:t>Plans or Programs</w:t>
            </w:r>
          </w:p>
        </w:tc>
        <w:tc>
          <w:tcPr>
            <w:tcW w:w="2600" w:type="dxa"/>
            <w:vAlign w:val="bottom"/>
          </w:tcPr>
          <w:p>
            <w:pPr>
              <w:jc w:val="center"/>
              <w:ind w:left="685"/>
              <w:spacing w:after="0"/>
              <w:rPr>
                <w:sz w:val="20"/>
                <w:szCs w:val="20"/>
                <w:color w:val="auto"/>
              </w:rPr>
            </w:pPr>
            <w:r>
              <w:rPr>
                <w:rFonts w:ascii="Arial" w:cs="Arial" w:eastAsia="Arial" w:hAnsi="Arial"/>
                <w:sz w:val="14"/>
                <w:szCs w:val="14"/>
                <w:b w:val="1"/>
                <w:bCs w:val="1"/>
                <w:color w:val="auto"/>
              </w:rPr>
              <w:t>Plans or Programs</w:t>
            </w:r>
          </w:p>
        </w:tc>
        <w:tc>
          <w:tcPr>
            <w:tcW w:w="740" w:type="dxa"/>
            <w:vAlign w:val="bottom"/>
          </w:tcPr>
          <w:p>
            <w:pPr>
              <w:spacing w:after="0"/>
              <w:rPr>
                <w:sz w:val="14"/>
                <w:szCs w:val="14"/>
                <w:color w:val="auto"/>
              </w:rPr>
            </w:pPr>
          </w:p>
        </w:tc>
      </w:tr>
      <w:tr>
        <w:trPr>
          <w:trHeight w:val="203"/>
        </w:trPr>
        <w:tc>
          <w:tcPr>
            <w:tcW w:w="17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Period</w:t>
            </w: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 thousands)</w:t>
            </w:r>
          </w:p>
        </w:tc>
        <w:tc>
          <w:tcPr>
            <w:tcW w:w="5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654"/>
              <w:spacing w:after="0"/>
              <w:rPr>
                <w:sz w:val="20"/>
                <w:szCs w:val="20"/>
                <w:color w:val="auto"/>
              </w:rPr>
            </w:pPr>
            <w:r>
              <w:rPr>
                <w:rFonts w:ascii="Arial" w:cs="Arial" w:eastAsia="Arial" w:hAnsi="Arial"/>
                <w:sz w:val="14"/>
                <w:szCs w:val="14"/>
                <w:b w:val="1"/>
                <w:bCs w:val="1"/>
                <w:color w:val="auto"/>
              </w:rPr>
              <w:t>per Share</w:t>
            </w:r>
          </w:p>
        </w:tc>
        <w:tc>
          <w:tcPr>
            <w:tcW w:w="2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 thousands)</w:t>
            </w:r>
          </w:p>
        </w:tc>
        <w:tc>
          <w:tcPr>
            <w:tcW w:w="2600" w:type="dxa"/>
            <w:vAlign w:val="bottom"/>
            <w:tcBorders>
              <w:bottom w:val="single" w:sz="8" w:color="auto"/>
            </w:tcBorders>
          </w:tcPr>
          <w:p>
            <w:pPr>
              <w:jc w:val="center"/>
              <w:ind w:left="685"/>
              <w:spacing w:after="0"/>
              <w:rPr>
                <w:sz w:val="20"/>
                <w:szCs w:val="20"/>
                <w:color w:val="auto"/>
              </w:rPr>
            </w:pPr>
            <w:r>
              <w:rPr>
                <w:rFonts w:ascii="Arial" w:cs="Arial" w:eastAsia="Arial" w:hAnsi="Arial"/>
                <w:sz w:val="14"/>
                <w:szCs w:val="14"/>
                <w:b w:val="1"/>
                <w:bCs w:val="1"/>
                <w:color w:val="auto"/>
              </w:rPr>
              <w:t>(dollars in millions)</w:t>
            </w:r>
          </w:p>
        </w:tc>
        <w:tc>
          <w:tcPr>
            <w:tcW w:w="740" w:type="dxa"/>
            <w:vAlign w:val="bottom"/>
            <w:tcBorders>
              <w:bottom w:val="single" w:sz="8" w:color="auto"/>
            </w:tcBorders>
          </w:tcPr>
          <w:p>
            <w:pPr>
              <w:spacing w:after="0"/>
              <w:rPr>
                <w:sz w:val="17"/>
                <w:szCs w:val="17"/>
                <w:color w:val="auto"/>
              </w:rPr>
            </w:pPr>
          </w:p>
        </w:tc>
      </w:tr>
      <w:tr>
        <w:trPr>
          <w:trHeight w:val="251"/>
        </w:trPr>
        <w:tc>
          <w:tcPr>
            <w:tcW w:w="1720" w:type="dxa"/>
            <w:vAlign w:val="bottom"/>
            <w:shd w:val="clear" w:color="auto" w:fill="D8D8D8"/>
          </w:tcPr>
          <w:p>
            <w:pPr>
              <w:ind w:left="40"/>
              <w:spacing w:after="0"/>
              <w:rPr>
                <w:sz w:val="20"/>
                <w:szCs w:val="20"/>
                <w:color w:val="auto"/>
              </w:rPr>
            </w:pPr>
            <w:r>
              <w:rPr>
                <w:rFonts w:ascii="Arial" w:cs="Arial" w:eastAsia="Arial" w:hAnsi="Arial"/>
                <w:sz w:val="18"/>
                <w:szCs w:val="18"/>
                <w:color w:val="auto"/>
              </w:rPr>
              <w:t>October 2015</w:t>
            </w:r>
          </w:p>
        </w:tc>
        <w:tc>
          <w:tcPr>
            <w:tcW w:w="1780" w:type="dxa"/>
            <w:vAlign w:val="bottom"/>
            <w:shd w:val="clear" w:color="auto" w:fill="D8D8D8"/>
          </w:tcPr>
          <w:p>
            <w:pPr>
              <w:jc w:val="right"/>
              <w:ind w:right="38"/>
              <w:spacing w:after="0"/>
              <w:rPr>
                <w:sz w:val="20"/>
                <w:szCs w:val="20"/>
                <w:color w:val="auto"/>
              </w:rPr>
            </w:pPr>
            <w:r>
              <w:rPr>
                <w:rFonts w:ascii="Arial" w:cs="Arial" w:eastAsia="Arial" w:hAnsi="Arial"/>
                <w:sz w:val="18"/>
                <w:szCs w:val="18"/>
                <w:color w:val="auto"/>
              </w:rPr>
              <w:t>1,207.5</w:t>
            </w:r>
          </w:p>
        </w:tc>
        <w:tc>
          <w:tcPr>
            <w:tcW w:w="580" w:type="dxa"/>
            <w:vAlign w:val="bottom"/>
            <w:shd w:val="clear" w:color="auto" w:fill="D8D8D8"/>
          </w:tcPr>
          <w:p>
            <w:pPr>
              <w:jc w:val="right"/>
              <w:ind w:right="59"/>
              <w:spacing w:after="0"/>
              <w:rPr>
                <w:sz w:val="20"/>
                <w:szCs w:val="20"/>
                <w:color w:val="auto"/>
              </w:rPr>
            </w:pPr>
            <w:r>
              <w:rPr>
                <w:rFonts w:ascii="Arial" w:cs="Arial" w:eastAsia="Arial" w:hAnsi="Arial"/>
                <w:sz w:val="18"/>
                <w:szCs w:val="18"/>
                <w:color w:val="auto"/>
              </w:rPr>
              <w:t>$</w:t>
            </w:r>
          </w:p>
        </w:tc>
        <w:tc>
          <w:tcPr>
            <w:tcW w:w="1560" w:type="dxa"/>
            <w:vAlign w:val="bottom"/>
            <w:shd w:val="clear" w:color="auto" w:fill="D8D8D8"/>
          </w:tcPr>
          <w:p>
            <w:pPr>
              <w:jc w:val="right"/>
              <w:ind w:right="14"/>
              <w:spacing w:after="0"/>
              <w:rPr>
                <w:sz w:val="20"/>
                <w:szCs w:val="20"/>
                <w:color w:val="auto"/>
              </w:rPr>
            </w:pPr>
            <w:r>
              <w:rPr>
                <w:rFonts w:ascii="Arial" w:cs="Arial" w:eastAsia="Arial" w:hAnsi="Arial"/>
                <w:sz w:val="18"/>
                <w:szCs w:val="18"/>
                <w:color w:val="auto"/>
              </w:rPr>
              <w:t>82.81</w:t>
            </w:r>
          </w:p>
        </w:tc>
        <w:tc>
          <w:tcPr>
            <w:tcW w:w="2380" w:type="dxa"/>
            <w:vAlign w:val="bottom"/>
            <w:shd w:val="clear" w:color="auto" w:fill="D8D8D8"/>
          </w:tcPr>
          <w:p>
            <w:pPr>
              <w:jc w:val="right"/>
              <w:ind w:right="40"/>
              <w:spacing w:after="0"/>
              <w:rPr>
                <w:sz w:val="20"/>
                <w:szCs w:val="20"/>
                <w:color w:val="auto"/>
              </w:rPr>
            </w:pPr>
            <w:r>
              <w:rPr>
                <w:rFonts w:ascii="Arial" w:cs="Arial" w:eastAsia="Arial" w:hAnsi="Arial"/>
                <w:sz w:val="18"/>
                <w:szCs w:val="18"/>
                <w:color w:val="auto"/>
              </w:rPr>
              <w:t>1,207.5</w:t>
            </w:r>
          </w:p>
        </w:tc>
        <w:tc>
          <w:tcPr>
            <w:tcW w:w="2600" w:type="dxa"/>
            <w:vAlign w:val="bottom"/>
            <w:shd w:val="clear" w:color="auto" w:fill="D8D8D8"/>
          </w:tcPr>
          <w:p>
            <w:pPr>
              <w:jc w:val="right"/>
              <w:ind w:right="1585"/>
              <w:spacing w:after="0"/>
              <w:rPr>
                <w:sz w:val="20"/>
                <w:szCs w:val="20"/>
                <w:color w:val="auto"/>
              </w:rPr>
            </w:pPr>
            <w:r>
              <w:rPr>
                <w:rFonts w:ascii="Arial" w:cs="Arial" w:eastAsia="Arial" w:hAnsi="Arial"/>
                <w:sz w:val="18"/>
                <w:szCs w:val="18"/>
                <w:color w:val="auto"/>
              </w:rPr>
              <w:t>$</w:t>
            </w:r>
          </w:p>
        </w:tc>
        <w:tc>
          <w:tcPr>
            <w:tcW w:w="740" w:type="dxa"/>
            <w:vAlign w:val="bottom"/>
            <w:shd w:val="clear" w:color="auto" w:fill="D8D8D8"/>
          </w:tcPr>
          <w:p>
            <w:pPr>
              <w:jc w:val="right"/>
              <w:spacing w:after="0"/>
              <w:rPr>
                <w:sz w:val="20"/>
                <w:szCs w:val="20"/>
                <w:color w:val="auto"/>
              </w:rPr>
            </w:pPr>
            <w:r>
              <w:rPr>
                <w:rFonts w:ascii="Arial" w:cs="Arial" w:eastAsia="Arial" w:hAnsi="Arial"/>
                <w:sz w:val="18"/>
                <w:szCs w:val="18"/>
                <w:color w:val="auto"/>
              </w:rPr>
              <w:t>3,103.4</w:t>
            </w:r>
          </w:p>
        </w:tc>
      </w:tr>
      <w:tr>
        <w:trPr>
          <w:trHeight w:val="252"/>
        </w:trPr>
        <w:tc>
          <w:tcPr>
            <w:tcW w:w="1720" w:type="dxa"/>
            <w:vAlign w:val="bottom"/>
          </w:tcPr>
          <w:p>
            <w:pPr>
              <w:ind w:left="40"/>
              <w:spacing w:after="0"/>
              <w:rPr>
                <w:sz w:val="20"/>
                <w:szCs w:val="20"/>
                <w:color w:val="auto"/>
              </w:rPr>
            </w:pPr>
            <w:r>
              <w:rPr>
                <w:rFonts w:ascii="Arial" w:cs="Arial" w:eastAsia="Arial" w:hAnsi="Arial"/>
                <w:sz w:val="18"/>
                <w:szCs w:val="18"/>
                <w:color w:val="auto"/>
              </w:rPr>
              <w:t>November 2015</w:t>
            </w:r>
          </w:p>
        </w:tc>
        <w:tc>
          <w:tcPr>
            <w:tcW w:w="1780" w:type="dxa"/>
            <w:vAlign w:val="bottom"/>
          </w:tcPr>
          <w:p>
            <w:pPr>
              <w:jc w:val="right"/>
              <w:ind w:right="38"/>
              <w:spacing w:after="0"/>
              <w:rPr>
                <w:sz w:val="20"/>
                <w:szCs w:val="20"/>
                <w:color w:val="auto"/>
              </w:rPr>
            </w:pPr>
            <w:r>
              <w:rPr>
                <w:rFonts w:ascii="Arial" w:cs="Arial" w:eastAsia="Arial" w:hAnsi="Arial"/>
                <w:sz w:val="18"/>
                <w:szCs w:val="18"/>
                <w:color w:val="auto"/>
              </w:rPr>
              <w:t>957.0</w:t>
            </w:r>
          </w:p>
        </w:tc>
        <w:tc>
          <w:tcPr>
            <w:tcW w:w="580" w:type="dxa"/>
            <w:vAlign w:val="bottom"/>
          </w:tcPr>
          <w:p>
            <w:pPr>
              <w:spacing w:after="0"/>
              <w:rPr>
                <w:sz w:val="21"/>
                <w:szCs w:val="21"/>
                <w:color w:val="auto"/>
              </w:rPr>
            </w:pPr>
          </w:p>
        </w:tc>
        <w:tc>
          <w:tcPr>
            <w:tcW w:w="1560" w:type="dxa"/>
            <w:vAlign w:val="bottom"/>
          </w:tcPr>
          <w:p>
            <w:pPr>
              <w:jc w:val="right"/>
              <w:ind w:right="14"/>
              <w:spacing w:after="0"/>
              <w:rPr>
                <w:sz w:val="20"/>
                <w:szCs w:val="20"/>
                <w:color w:val="auto"/>
              </w:rPr>
            </w:pPr>
            <w:r>
              <w:rPr>
                <w:rFonts w:ascii="Arial" w:cs="Arial" w:eastAsia="Arial" w:hAnsi="Arial"/>
                <w:sz w:val="18"/>
                <w:szCs w:val="18"/>
                <w:color w:val="auto"/>
              </w:rPr>
              <w:t>81.40</w:t>
            </w:r>
          </w:p>
        </w:tc>
        <w:tc>
          <w:tcPr>
            <w:tcW w:w="2380" w:type="dxa"/>
            <w:vAlign w:val="bottom"/>
          </w:tcPr>
          <w:p>
            <w:pPr>
              <w:jc w:val="right"/>
              <w:ind w:right="40"/>
              <w:spacing w:after="0"/>
              <w:rPr>
                <w:sz w:val="20"/>
                <w:szCs w:val="20"/>
                <w:color w:val="auto"/>
              </w:rPr>
            </w:pPr>
            <w:r>
              <w:rPr>
                <w:rFonts w:ascii="Arial" w:cs="Arial" w:eastAsia="Arial" w:hAnsi="Arial"/>
                <w:sz w:val="18"/>
                <w:szCs w:val="18"/>
                <w:color w:val="auto"/>
              </w:rPr>
              <w:t>957.0</w:t>
            </w:r>
          </w:p>
        </w:tc>
        <w:tc>
          <w:tcPr>
            <w:tcW w:w="26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3,025.5</w:t>
            </w:r>
          </w:p>
        </w:tc>
      </w:tr>
      <w:tr>
        <w:trPr>
          <w:trHeight w:val="261"/>
        </w:trPr>
        <w:tc>
          <w:tcPr>
            <w:tcW w:w="1720" w:type="dxa"/>
            <w:vAlign w:val="bottom"/>
            <w:shd w:val="clear" w:color="auto" w:fill="D8D8D8"/>
          </w:tcPr>
          <w:p>
            <w:pPr>
              <w:ind w:left="40"/>
              <w:spacing w:after="0"/>
              <w:rPr>
                <w:sz w:val="20"/>
                <w:szCs w:val="20"/>
                <w:color w:val="auto"/>
              </w:rPr>
            </w:pPr>
            <w:r>
              <w:rPr>
                <w:rFonts w:ascii="Arial" w:cs="Arial" w:eastAsia="Arial" w:hAnsi="Arial"/>
                <w:sz w:val="18"/>
                <w:szCs w:val="18"/>
                <w:color w:val="auto"/>
              </w:rPr>
              <w:t>December 2015</w:t>
            </w:r>
          </w:p>
        </w:tc>
        <w:tc>
          <w:tcPr>
            <w:tcW w:w="1780" w:type="dxa"/>
            <w:vAlign w:val="bottom"/>
            <w:tcBorders>
              <w:bottom w:val="single" w:sz="8" w:color="auto"/>
            </w:tcBorders>
            <w:shd w:val="clear" w:color="auto" w:fill="D8D8D8"/>
          </w:tcPr>
          <w:p>
            <w:pPr>
              <w:jc w:val="right"/>
              <w:ind w:right="38"/>
              <w:spacing w:after="0"/>
              <w:rPr>
                <w:sz w:val="20"/>
                <w:szCs w:val="20"/>
                <w:color w:val="auto"/>
              </w:rPr>
            </w:pPr>
            <w:r>
              <w:rPr>
                <w:rFonts w:ascii="Arial" w:cs="Arial" w:eastAsia="Arial" w:hAnsi="Arial"/>
                <w:sz w:val="18"/>
                <w:szCs w:val="18"/>
                <w:color w:val="auto"/>
              </w:rPr>
              <w:t>881.1</w:t>
            </w:r>
          </w:p>
        </w:tc>
        <w:tc>
          <w:tcPr>
            <w:tcW w:w="580" w:type="dxa"/>
            <w:vAlign w:val="bottom"/>
            <w:shd w:val="clear" w:color="auto" w:fill="D8D8D8"/>
          </w:tcPr>
          <w:p>
            <w:pPr>
              <w:spacing w:after="0"/>
              <w:rPr>
                <w:sz w:val="22"/>
                <w:szCs w:val="22"/>
                <w:color w:val="auto"/>
              </w:rPr>
            </w:pPr>
          </w:p>
        </w:tc>
        <w:tc>
          <w:tcPr>
            <w:tcW w:w="1560" w:type="dxa"/>
            <w:vAlign w:val="bottom"/>
            <w:shd w:val="clear" w:color="auto" w:fill="D8D8D8"/>
          </w:tcPr>
          <w:p>
            <w:pPr>
              <w:jc w:val="right"/>
              <w:ind w:right="14"/>
              <w:spacing w:after="0"/>
              <w:rPr>
                <w:sz w:val="20"/>
                <w:szCs w:val="20"/>
                <w:color w:val="auto"/>
              </w:rPr>
            </w:pPr>
            <w:r>
              <w:rPr>
                <w:rFonts w:ascii="Arial" w:cs="Arial" w:eastAsia="Arial" w:hAnsi="Arial"/>
                <w:sz w:val="18"/>
                <w:szCs w:val="18"/>
                <w:color w:val="auto"/>
              </w:rPr>
              <w:t>85.12</w:t>
            </w:r>
          </w:p>
        </w:tc>
        <w:tc>
          <w:tcPr>
            <w:tcW w:w="2380" w:type="dxa"/>
            <w:vAlign w:val="bottom"/>
            <w:tcBorders>
              <w:bottom w:val="single" w:sz="8" w:color="auto"/>
            </w:tcBorders>
            <w:shd w:val="clear" w:color="auto" w:fill="D8D8D8"/>
          </w:tcPr>
          <w:p>
            <w:pPr>
              <w:jc w:val="right"/>
              <w:ind w:right="40"/>
              <w:spacing w:after="0"/>
              <w:rPr>
                <w:sz w:val="20"/>
                <w:szCs w:val="20"/>
                <w:color w:val="auto"/>
              </w:rPr>
            </w:pPr>
            <w:r>
              <w:rPr>
                <w:rFonts w:ascii="Arial" w:cs="Arial" w:eastAsia="Arial" w:hAnsi="Arial"/>
                <w:sz w:val="18"/>
                <w:szCs w:val="18"/>
                <w:color w:val="auto"/>
              </w:rPr>
              <w:t>881.1</w:t>
            </w:r>
          </w:p>
        </w:tc>
        <w:tc>
          <w:tcPr>
            <w:tcW w:w="2600" w:type="dxa"/>
            <w:vAlign w:val="bottom"/>
            <w:shd w:val="clear" w:color="auto" w:fill="D8D8D8"/>
          </w:tcPr>
          <w:p>
            <w:pPr>
              <w:spacing w:after="0"/>
              <w:rPr>
                <w:sz w:val="22"/>
                <w:szCs w:val="22"/>
                <w:color w:val="auto"/>
              </w:rPr>
            </w:pPr>
          </w:p>
        </w:tc>
        <w:tc>
          <w:tcPr>
            <w:tcW w:w="740" w:type="dxa"/>
            <w:vAlign w:val="bottom"/>
            <w:shd w:val="clear" w:color="auto" w:fill="D8D8D8"/>
          </w:tcPr>
          <w:p>
            <w:pPr>
              <w:jc w:val="right"/>
              <w:spacing w:after="0"/>
              <w:rPr>
                <w:sz w:val="20"/>
                <w:szCs w:val="20"/>
                <w:color w:val="auto"/>
              </w:rPr>
            </w:pPr>
            <w:r>
              <w:rPr>
                <w:rFonts w:ascii="Arial" w:cs="Arial" w:eastAsia="Arial" w:hAnsi="Arial"/>
                <w:sz w:val="18"/>
                <w:szCs w:val="18"/>
                <w:color w:val="auto"/>
              </w:rPr>
              <w:t>2,950.5</w:t>
            </w:r>
          </w:p>
        </w:tc>
      </w:tr>
      <w:tr>
        <w:trPr>
          <w:trHeight w:val="257"/>
        </w:trPr>
        <w:tc>
          <w:tcPr>
            <w:tcW w:w="1720" w:type="dxa"/>
            <w:vAlign w:val="bottom"/>
          </w:tcPr>
          <w:p>
            <w:pPr>
              <w:ind w:left="40"/>
              <w:spacing w:after="0"/>
              <w:rPr>
                <w:sz w:val="20"/>
                <w:szCs w:val="20"/>
                <w:color w:val="auto"/>
              </w:rPr>
            </w:pPr>
            <w:r>
              <w:rPr>
                <w:rFonts w:ascii="Arial" w:cs="Arial" w:eastAsia="Arial" w:hAnsi="Arial"/>
                <w:sz w:val="18"/>
                <w:szCs w:val="18"/>
                <w:color w:val="auto"/>
              </w:rPr>
              <w:t>Total</w:t>
            </w:r>
          </w:p>
        </w:tc>
        <w:tc>
          <w:tcPr>
            <w:tcW w:w="178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color w:val="auto"/>
              </w:rPr>
              <w:t>3,045.6</w:t>
            </w:r>
          </w:p>
        </w:tc>
        <w:tc>
          <w:tcPr>
            <w:tcW w:w="580" w:type="dxa"/>
            <w:vAlign w:val="bottom"/>
          </w:tcPr>
          <w:p>
            <w:pPr>
              <w:spacing w:after="0"/>
              <w:rPr>
                <w:sz w:val="22"/>
                <w:szCs w:val="22"/>
                <w:color w:val="auto"/>
              </w:rPr>
            </w:pPr>
          </w:p>
        </w:tc>
        <w:tc>
          <w:tcPr>
            <w:tcW w:w="1560" w:type="dxa"/>
            <w:vAlign w:val="bottom"/>
          </w:tcPr>
          <w:p>
            <w:pPr>
              <w:jc w:val="right"/>
              <w:ind w:right="14"/>
              <w:spacing w:after="0"/>
              <w:rPr>
                <w:sz w:val="20"/>
                <w:szCs w:val="20"/>
                <w:color w:val="auto"/>
              </w:rPr>
            </w:pPr>
            <w:r>
              <w:rPr>
                <w:rFonts w:ascii="Arial" w:cs="Arial" w:eastAsia="Arial" w:hAnsi="Arial"/>
                <w:sz w:val="18"/>
                <w:szCs w:val="18"/>
                <w:color w:val="auto"/>
              </w:rPr>
              <w:t>83.04</w:t>
            </w:r>
          </w:p>
        </w:tc>
        <w:tc>
          <w:tcPr>
            <w:tcW w:w="2380" w:type="dxa"/>
            <w:vAlign w:val="bottom"/>
            <w:tcBorders>
              <w:bottom w:val="single" w:sz="8" w:color="auto"/>
            </w:tcBorders>
          </w:tcPr>
          <w:p>
            <w:pPr>
              <w:jc w:val="right"/>
              <w:ind w:right="40"/>
              <w:spacing w:after="0"/>
              <w:rPr>
                <w:sz w:val="20"/>
                <w:szCs w:val="20"/>
                <w:color w:val="auto"/>
              </w:rPr>
            </w:pPr>
            <w:r>
              <w:rPr>
                <w:rFonts w:ascii="Arial" w:cs="Arial" w:eastAsia="Arial" w:hAnsi="Arial"/>
                <w:sz w:val="18"/>
                <w:szCs w:val="18"/>
                <w:color w:val="auto"/>
              </w:rPr>
              <w:t>3,045.6</w:t>
            </w:r>
          </w:p>
        </w:tc>
        <w:tc>
          <w:tcPr>
            <w:tcW w:w="2600" w:type="dxa"/>
            <w:vAlign w:val="bottom"/>
          </w:tcPr>
          <w:p>
            <w:pPr>
              <w:spacing w:after="0"/>
              <w:rPr>
                <w:sz w:val="22"/>
                <w:szCs w:val="22"/>
                <w:color w:val="auto"/>
              </w:rPr>
            </w:pPr>
          </w:p>
        </w:tc>
        <w:tc>
          <w:tcPr>
            <w:tcW w:w="740" w:type="dxa"/>
            <w:vAlign w:val="bottom"/>
          </w:tcPr>
          <w:p>
            <w:pPr>
              <w:spacing w:after="0"/>
              <w:rPr>
                <w:sz w:val="22"/>
                <w:szCs w:val="22"/>
                <w:color w:val="auto"/>
              </w:rPr>
            </w:pPr>
          </w:p>
        </w:tc>
      </w:tr>
    </w:tbl>
    <w:p>
      <w:pPr>
        <w:spacing w:after="0" w:line="85" w:lineRule="exact"/>
        <w:rPr>
          <w:sz w:val="20"/>
          <w:szCs w:val="20"/>
          <w:color w:val="auto"/>
        </w:rPr>
      </w:pPr>
    </w:p>
    <w:p>
      <w:pPr>
        <w:ind w:right="700"/>
        <w:spacing w:after="0" w:line="292" w:lineRule="auto"/>
        <w:rPr>
          <w:sz w:val="20"/>
          <w:szCs w:val="20"/>
          <w:color w:val="auto"/>
        </w:rPr>
      </w:pPr>
      <w:r>
        <w:rPr>
          <w:rFonts w:ascii="Arial" w:cs="Arial" w:eastAsia="Arial" w:hAnsi="Arial"/>
          <w:sz w:val="18"/>
          <w:szCs w:val="18"/>
          <w:color w:val="auto"/>
        </w:rPr>
        <w:t>During the fourth quarter of 2015, we repurchased $252.9 million of shares associated with our $5.00 billion share repurchase program announced in October 2013.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27</w:t>
      </w:r>
    </w:p>
    <w:p>
      <w:pPr>
        <w:sectPr>
          <w:pgSz w:w="11900" w:h="16838" w:orient="portrait"/>
          <w:cols w:equalWidth="0" w:num="1">
            <w:col w:w="11420"/>
          </w:cols>
          <w:pgMar w:left="240" w:top="556"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CC0000"/>
        </w:rPr>
        <w:t>PERFORMANCE GRAPH</w:t>
      </w:r>
    </w:p>
    <w:p>
      <w:pPr>
        <w:spacing w:after="0" w:line="17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This graph compares the return on Lilly stock with that of the Standard &amp; Poor’s 500 Stock Index and our peer group for the years 2011 through 2015. The graph assumes that, on December 31, 2010, a person invested $ 100 each in Lilly stock, the S&amp;P 500 Stock Index, and the peer groups' common stock. The graph measures total shareholder return, which takes into account both stock price and dividends. It assumes that dividends paid by a company are reinvested in that company’s stock.</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b w:val="1"/>
          <w:bCs w:val="1"/>
          <w:color w:val="CC0000"/>
        </w:rPr>
        <w:t>Value of $100 Invested on Last Business Day of 2010</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b w:val="1"/>
          <w:bCs w:val="1"/>
          <w:color w:val="CC0000"/>
        </w:rPr>
        <w:t>Comparison of Five-Year Cumulative Total Return Among Lilly, S&amp;P 500 Stock Index, and Peer Group</w:t>
      </w:r>
      <w:r>
        <w:rPr>
          <w:rFonts w:ascii="Arial" w:cs="Arial" w:eastAsia="Arial" w:hAnsi="Arial"/>
          <w:sz w:val="21"/>
          <w:szCs w:val="21"/>
          <w:b w:val="1"/>
          <w:bCs w:val="1"/>
          <w:color w:val="CC0000"/>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974090</wp:posOffset>
            </wp:positionH>
            <wp:positionV relativeFrom="paragraph">
              <wp:posOffset>123190</wp:posOffset>
            </wp:positionV>
            <wp:extent cx="5316855" cy="33788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316855" cy="3378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3180" w:type="dxa"/>
        <w:tblCellMar>
          <w:top w:w="0" w:type="dxa"/>
          <w:left w:w="0" w:type="dxa"/>
          <w:bottom w:w="0" w:type="dxa"/>
          <w:right w:w="0" w:type="dxa"/>
        </w:tblCellMar>
      </w:tblPr>
      <w:tr>
        <w:trPr>
          <w:trHeight w:val="203"/>
        </w:trPr>
        <w:tc>
          <w:tcPr>
            <w:tcW w:w="8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Lilly</w:t>
            </w:r>
          </w:p>
        </w:tc>
        <w:tc>
          <w:tcPr>
            <w:tcW w:w="3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Peer Group</w:t>
            </w:r>
          </w:p>
        </w:tc>
        <w:tc>
          <w:tcPr>
            <w:tcW w:w="3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S&amp;P 500</w:t>
            </w:r>
          </w:p>
        </w:tc>
      </w:tr>
      <w:tr>
        <w:trPr>
          <w:trHeight w:val="265"/>
        </w:trPr>
        <w:tc>
          <w:tcPr>
            <w:tcW w:w="800" w:type="dxa"/>
            <w:vAlign w:val="bottom"/>
            <w:shd w:val="clear" w:color="auto" w:fill="D8D8D8"/>
          </w:tcPr>
          <w:p>
            <w:pPr>
              <w:ind w:left="20"/>
              <w:spacing w:after="0"/>
              <w:rPr>
                <w:sz w:val="20"/>
                <w:szCs w:val="20"/>
                <w:color w:val="auto"/>
              </w:rPr>
            </w:pPr>
            <w:r>
              <w:rPr>
                <w:rFonts w:ascii="Arial" w:cs="Arial" w:eastAsia="Arial" w:hAnsi="Arial"/>
                <w:sz w:val="18"/>
                <w:szCs w:val="18"/>
                <w:color w:val="auto"/>
              </w:rPr>
              <w:t>Dec-10</w:t>
            </w:r>
          </w:p>
        </w:tc>
        <w:tc>
          <w:tcPr>
            <w:tcW w:w="440" w:type="dxa"/>
            <w:vAlign w:val="bottom"/>
            <w:shd w:val="clear" w:color="auto" w:fill="D8D8D8"/>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shd w:val="clear" w:color="auto" w:fill="D8D8D8"/>
          </w:tcPr>
          <w:p>
            <w:pPr>
              <w:jc w:val="right"/>
              <w:ind w:right="53"/>
              <w:spacing w:after="0"/>
              <w:rPr>
                <w:sz w:val="20"/>
                <w:szCs w:val="20"/>
                <w:color w:val="auto"/>
              </w:rPr>
            </w:pPr>
            <w:r>
              <w:rPr>
                <w:rFonts w:ascii="Arial" w:cs="Arial" w:eastAsia="Arial" w:hAnsi="Arial"/>
                <w:sz w:val="18"/>
                <w:szCs w:val="18"/>
                <w:color w:val="auto"/>
              </w:rPr>
              <w:t>100.00</w:t>
            </w:r>
          </w:p>
        </w:tc>
        <w:tc>
          <w:tcPr>
            <w:tcW w:w="3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D8D8D8"/>
          </w:tcPr>
          <w:p>
            <w:pPr>
              <w:jc w:val="right"/>
              <w:ind w:right="53"/>
              <w:spacing w:after="0"/>
              <w:rPr>
                <w:sz w:val="20"/>
                <w:szCs w:val="20"/>
                <w:color w:val="auto"/>
              </w:rPr>
            </w:pPr>
            <w:r>
              <w:rPr>
                <w:rFonts w:ascii="Arial" w:cs="Arial" w:eastAsia="Arial" w:hAnsi="Arial"/>
                <w:sz w:val="18"/>
                <w:szCs w:val="18"/>
                <w:color w:val="auto"/>
              </w:rPr>
              <w:t>100.00</w:t>
            </w:r>
          </w:p>
        </w:tc>
        <w:tc>
          <w:tcPr>
            <w:tcW w:w="340" w:type="dxa"/>
            <w:vAlign w:val="bottom"/>
            <w:shd w:val="clear" w:color="auto" w:fill="D8D8D8"/>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100.00</w:t>
            </w:r>
          </w:p>
        </w:tc>
      </w:tr>
      <w:tr>
        <w:trPr>
          <w:trHeight w:val="265"/>
        </w:trPr>
        <w:tc>
          <w:tcPr>
            <w:tcW w:w="800" w:type="dxa"/>
            <w:vAlign w:val="bottom"/>
          </w:tcPr>
          <w:p>
            <w:pPr>
              <w:ind w:left="20"/>
              <w:spacing w:after="0"/>
              <w:rPr>
                <w:sz w:val="20"/>
                <w:szCs w:val="20"/>
                <w:color w:val="auto"/>
              </w:rPr>
            </w:pPr>
            <w:r>
              <w:rPr>
                <w:rFonts w:ascii="Arial" w:cs="Arial" w:eastAsia="Arial" w:hAnsi="Arial"/>
                <w:sz w:val="18"/>
                <w:szCs w:val="18"/>
                <w:color w:val="auto"/>
              </w:rPr>
              <w:t>Dec-11</w:t>
            </w:r>
          </w:p>
        </w:tc>
        <w:tc>
          <w:tcPr>
            <w:tcW w:w="4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3"/>
              <w:spacing w:after="0"/>
              <w:rPr>
                <w:sz w:val="20"/>
                <w:szCs w:val="20"/>
                <w:color w:val="auto"/>
              </w:rPr>
            </w:pPr>
            <w:r>
              <w:rPr>
                <w:rFonts w:ascii="Arial" w:cs="Arial" w:eastAsia="Arial" w:hAnsi="Arial"/>
                <w:sz w:val="18"/>
                <w:szCs w:val="18"/>
                <w:color w:val="auto"/>
              </w:rPr>
              <w:t>125.15</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53"/>
              <w:spacing w:after="0"/>
              <w:rPr>
                <w:sz w:val="20"/>
                <w:szCs w:val="20"/>
                <w:color w:val="auto"/>
              </w:rPr>
            </w:pPr>
            <w:r>
              <w:rPr>
                <w:rFonts w:ascii="Arial" w:cs="Arial" w:eastAsia="Arial" w:hAnsi="Arial"/>
                <w:sz w:val="18"/>
                <w:szCs w:val="18"/>
                <w:color w:val="auto"/>
              </w:rPr>
              <w:t>115.41</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102.11</w:t>
            </w:r>
          </w:p>
        </w:tc>
      </w:tr>
      <w:tr>
        <w:trPr>
          <w:trHeight w:val="275"/>
        </w:trPr>
        <w:tc>
          <w:tcPr>
            <w:tcW w:w="800" w:type="dxa"/>
            <w:vAlign w:val="bottom"/>
            <w:shd w:val="clear" w:color="auto" w:fill="D8D8D8"/>
          </w:tcPr>
          <w:p>
            <w:pPr>
              <w:ind w:left="20"/>
              <w:spacing w:after="0"/>
              <w:rPr>
                <w:sz w:val="20"/>
                <w:szCs w:val="20"/>
                <w:color w:val="auto"/>
              </w:rPr>
            </w:pPr>
            <w:r>
              <w:rPr>
                <w:rFonts w:ascii="Arial" w:cs="Arial" w:eastAsia="Arial" w:hAnsi="Arial"/>
                <w:sz w:val="18"/>
                <w:szCs w:val="18"/>
                <w:color w:val="auto"/>
              </w:rPr>
              <w:t>Dec-12</w:t>
            </w:r>
          </w:p>
        </w:tc>
        <w:tc>
          <w:tcPr>
            <w:tcW w:w="440" w:type="dxa"/>
            <w:vAlign w:val="bottom"/>
            <w:shd w:val="clear" w:color="auto" w:fill="D8D8D8"/>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shd w:val="clear" w:color="auto" w:fill="D8D8D8"/>
          </w:tcPr>
          <w:p>
            <w:pPr>
              <w:jc w:val="right"/>
              <w:ind w:right="53"/>
              <w:spacing w:after="0"/>
              <w:rPr>
                <w:sz w:val="20"/>
                <w:szCs w:val="20"/>
                <w:color w:val="auto"/>
              </w:rPr>
            </w:pPr>
            <w:r>
              <w:rPr>
                <w:rFonts w:ascii="Arial" w:cs="Arial" w:eastAsia="Arial" w:hAnsi="Arial"/>
                <w:sz w:val="18"/>
                <w:szCs w:val="18"/>
                <w:color w:val="auto"/>
              </w:rPr>
              <w:t>155.52</w:t>
            </w:r>
          </w:p>
        </w:tc>
        <w:tc>
          <w:tcPr>
            <w:tcW w:w="3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D8D8D8"/>
          </w:tcPr>
          <w:p>
            <w:pPr>
              <w:jc w:val="right"/>
              <w:ind w:right="53"/>
              <w:spacing w:after="0"/>
              <w:rPr>
                <w:sz w:val="20"/>
                <w:szCs w:val="20"/>
                <w:color w:val="auto"/>
              </w:rPr>
            </w:pPr>
            <w:r>
              <w:rPr>
                <w:rFonts w:ascii="Arial" w:cs="Arial" w:eastAsia="Arial" w:hAnsi="Arial"/>
                <w:sz w:val="18"/>
                <w:szCs w:val="18"/>
                <w:color w:val="auto"/>
              </w:rPr>
              <w:t>135.93</w:t>
            </w:r>
          </w:p>
        </w:tc>
        <w:tc>
          <w:tcPr>
            <w:tcW w:w="340" w:type="dxa"/>
            <w:vAlign w:val="bottom"/>
            <w:shd w:val="clear" w:color="auto" w:fill="D8D8D8"/>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118.45</w:t>
            </w:r>
          </w:p>
        </w:tc>
      </w:tr>
      <w:tr>
        <w:trPr>
          <w:trHeight w:val="265"/>
        </w:trPr>
        <w:tc>
          <w:tcPr>
            <w:tcW w:w="800" w:type="dxa"/>
            <w:vAlign w:val="bottom"/>
          </w:tcPr>
          <w:p>
            <w:pPr>
              <w:ind w:left="20"/>
              <w:spacing w:after="0"/>
              <w:rPr>
                <w:sz w:val="20"/>
                <w:szCs w:val="20"/>
                <w:color w:val="auto"/>
              </w:rPr>
            </w:pPr>
            <w:r>
              <w:rPr>
                <w:rFonts w:ascii="Arial" w:cs="Arial" w:eastAsia="Arial" w:hAnsi="Arial"/>
                <w:sz w:val="18"/>
                <w:szCs w:val="18"/>
                <w:color w:val="auto"/>
              </w:rPr>
              <w:t>Dec-13</w:t>
            </w:r>
          </w:p>
        </w:tc>
        <w:tc>
          <w:tcPr>
            <w:tcW w:w="4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3"/>
              <w:spacing w:after="0"/>
              <w:rPr>
                <w:sz w:val="20"/>
                <w:szCs w:val="20"/>
                <w:color w:val="auto"/>
              </w:rPr>
            </w:pPr>
            <w:r>
              <w:rPr>
                <w:rFonts w:ascii="Arial" w:cs="Arial" w:eastAsia="Arial" w:hAnsi="Arial"/>
                <w:sz w:val="18"/>
                <w:szCs w:val="18"/>
                <w:color w:val="auto"/>
              </w:rPr>
              <w:t>166.77</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53"/>
              <w:spacing w:after="0"/>
              <w:rPr>
                <w:sz w:val="20"/>
                <w:szCs w:val="20"/>
                <w:color w:val="auto"/>
              </w:rPr>
            </w:pPr>
            <w:r>
              <w:rPr>
                <w:rFonts w:ascii="Arial" w:cs="Arial" w:eastAsia="Arial" w:hAnsi="Arial"/>
                <w:sz w:val="18"/>
                <w:szCs w:val="18"/>
                <w:color w:val="auto"/>
              </w:rPr>
              <w:t>187.14</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156.82</w:t>
            </w:r>
          </w:p>
        </w:tc>
      </w:tr>
      <w:tr>
        <w:trPr>
          <w:trHeight w:val="275"/>
        </w:trPr>
        <w:tc>
          <w:tcPr>
            <w:tcW w:w="800" w:type="dxa"/>
            <w:vAlign w:val="bottom"/>
            <w:shd w:val="clear" w:color="auto" w:fill="D8D8D8"/>
          </w:tcPr>
          <w:p>
            <w:pPr>
              <w:ind w:left="20"/>
              <w:spacing w:after="0"/>
              <w:rPr>
                <w:sz w:val="20"/>
                <w:szCs w:val="20"/>
                <w:color w:val="auto"/>
              </w:rPr>
            </w:pPr>
            <w:r>
              <w:rPr>
                <w:rFonts w:ascii="Arial" w:cs="Arial" w:eastAsia="Arial" w:hAnsi="Arial"/>
                <w:sz w:val="18"/>
                <w:szCs w:val="18"/>
                <w:color w:val="auto"/>
              </w:rPr>
              <w:t>Dec-14</w:t>
            </w:r>
          </w:p>
        </w:tc>
        <w:tc>
          <w:tcPr>
            <w:tcW w:w="440" w:type="dxa"/>
            <w:vAlign w:val="bottom"/>
            <w:shd w:val="clear" w:color="auto" w:fill="D8D8D8"/>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shd w:val="clear" w:color="auto" w:fill="D8D8D8"/>
          </w:tcPr>
          <w:p>
            <w:pPr>
              <w:jc w:val="right"/>
              <w:ind w:right="53"/>
              <w:spacing w:after="0"/>
              <w:rPr>
                <w:sz w:val="20"/>
                <w:szCs w:val="20"/>
                <w:color w:val="auto"/>
              </w:rPr>
            </w:pPr>
            <w:r>
              <w:rPr>
                <w:rFonts w:ascii="Arial" w:cs="Arial" w:eastAsia="Arial" w:hAnsi="Arial"/>
                <w:sz w:val="18"/>
                <w:szCs w:val="18"/>
                <w:color w:val="auto"/>
              </w:rPr>
              <w:t>233.07</w:t>
            </w:r>
          </w:p>
        </w:tc>
        <w:tc>
          <w:tcPr>
            <w:tcW w:w="3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D8D8D8"/>
          </w:tcPr>
          <w:p>
            <w:pPr>
              <w:jc w:val="right"/>
              <w:ind w:right="53"/>
              <w:spacing w:after="0"/>
              <w:rPr>
                <w:sz w:val="20"/>
                <w:szCs w:val="20"/>
                <w:color w:val="auto"/>
              </w:rPr>
            </w:pPr>
            <w:r>
              <w:rPr>
                <w:rFonts w:ascii="Arial" w:cs="Arial" w:eastAsia="Arial" w:hAnsi="Arial"/>
                <w:sz w:val="18"/>
                <w:szCs w:val="18"/>
                <w:color w:val="auto"/>
              </w:rPr>
              <w:t>210.73</w:t>
            </w:r>
          </w:p>
        </w:tc>
        <w:tc>
          <w:tcPr>
            <w:tcW w:w="340" w:type="dxa"/>
            <w:vAlign w:val="bottom"/>
            <w:shd w:val="clear" w:color="auto" w:fill="D8D8D8"/>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178.28</w:t>
            </w:r>
          </w:p>
        </w:tc>
      </w:tr>
      <w:tr>
        <w:trPr>
          <w:trHeight w:val="261"/>
        </w:trPr>
        <w:tc>
          <w:tcPr>
            <w:tcW w:w="800" w:type="dxa"/>
            <w:vAlign w:val="bottom"/>
          </w:tcPr>
          <w:p>
            <w:pPr>
              <w:ind w:left="20"/>
              <w:spacing w:after="0"/>
              <w:rPr>
                <w:sz w:val="20"/>
                <w:szCs w:val="20"/>
                <w:color w:val="auto"/>
              </w:rPr>
            </w:pPr>
            <w:r>
              <w:rPr>
                <w:rFonts w:ascii="Arial" w:cs="Arial" w:eastAsia="Arial" w:hAnsi="Arial"/>
                <w:sz w:val="18"/>
                <w:szCs w:val="18"/>
                <w:color w:val="auto"/>
              </w:rPr>
              <w:t>Dec-15</w:t>
            </w:r>
          </w:p>
        </w:tc>
        <w:tc>
          <w:tcPr>
            <w:tcW w:w="4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3"/>
              <w:spacing w:after="0"/>
              <w:rPr>
                <w:sz w:val="20"/>
                <w:szCs w:val="20"/>
                <w:color w:val="auto"/>
              </w:rPr>
            </w:pPr>
            <w:r>
              <w:rPr>
                <w:rFonts w:ascii="Arial" w:cs="Arial" w:eastAsia="Arial" w:hAnsi="Arial"/>
                <w:sz w:val="18"/>
                <w:szCs w:val="18"/>
                <w:color w:val="auto"/>
              </w:rPr>
              <w:t>292.20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53"/>
              <w:spacing w:after="0"/>
              <w:rPr>
                <w:sz w:val="20"/>
                <w:szCs w:val="20"/>
                <w:color w:val="auto"/>
              </w:rPr>
            </w:pPr>
            <w:r>
              <w:rPr>
                <w:rFonts w:ascii="Arial" w:cs="Arial" w:eastAsia="Arial" w:hAnsi="Arial"/>
                <w:sz w:val="18"/>
                <w:szCs w:val="18"/>
                <w:color w:val="auto"/>
              </w:rPr>
              <w:t>218.03</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180.75</w:t>
            </w:r>
          </w:p>
        </w:tc>
      </w:tr>
    </w:tbl>
    <w:p>
      <w:pPr>
        <w:spacing w:after="0" w:line="212" w:lineRule="exact"/>
        <w:rPr>
          <w:sz w:val="20"/>
          <w:szCs w:val="20"/>
          <w:color w:val="auto"/>
        </w:rPr>
      </w:pPr>
    </w:p>
    <w:p>
      <w:pPr>
        <w:ind w:left="340" w:hanging="332"/>
        <w:spacing w:after="0" w:line="236" w:lineRule="auto"/>
        <w:tabs>
          <w:tab w:leader="none" w:pos="340" w:val="left"/>
        </w:tabs>
        <w:numPr>
          <w:ilvl w:val="0"/>
          <w:numId w:val="29"/>
        </w:numPr>
        <w:rPr>
          <w:rFonts w:ascii="Arial" w:cs="Arial" w:eastAsia="Arial" w:hAnsi="Arial"/>
          <w:sz w:val="18"/>
          <w:szCs w:val="18"/>
          <w:color w:val="auto"/>
          <w:vertAlign w:val="superscript"/>
        </w:rPr>
      </w:pPr>
      <w:r>
        <w:rPr>
          <w:rFonts w:ascii="Arial" w:cs="Arial" w:eastAsia="Arial" w:hAnsi="Arial"/>
          <w:sz w:val="14"/>
          <w:szCs w:val="14"/>
          <w:color w:val="auto"/>
        </w:rPr>
        <w:t>We constructed the peer group as the industry index for this graph. It comprises the public companies in the pharmaceutical and biotech industries that we used to benchmark the compensation of executive officers for 2015 (other than Allergan Inc.): Abbott Laboratories; AbbVie Inc.; Amgen Inc.; AstraZeneca PLC; Baxter International Inc.; Biogen Idec Inc.; Bristol-Myers Squibb Company; Celgene Corporation; Gilead Sciences Inc.; GlaxoSmithKline plc; Johnson &amp; Johnson; Medtronic plc; Merck &amp; Co., Inc.; Novartis AG.; Pfizer Inc.; and Sanofi. The peer group total shareholder return reflected above excludes Allergan Inc. as it was acquired in 2015.</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28</w:t>
      </w:r>
    </w:p>
    <w:p>
      <w:pPr>
        <w:sectPr>
          <w:pgSz w:w="11900" w:h="16838" w:orient="portrait"/>
          <w:cols w:equalWidth="0" w:num="1">
            <w:col w:w="11400"/>
          </w:cols>
          <w:pgMar w:left="240" w:top="574" w:right="259" w:bottom="1440" w:gutter="0" w:footer="0" w:header="0"/>
        </w:sectPr>
      </w:pPr>
    </w:p>
    <w:bookmarkStart w:id="28" w:name="page29"/>
    <w:bookmarkEnd w:id="28"/>
    <w:p>
      <w:pPr>
        <w:spacing w:after="0"/>
        <w:rPr>
          <w:sz w:val="20"/>
          <w:szCs w:val="20"/>
          <w:color w:val="auto"/>
        </w:rPr>
      </w:pPr>
      <w:r>
        <w:rPr>
          <w:rFonts w:ascii="Arial" w:cs="Arial" w:eastAsia="Arial" w:hAnsi="Arial"/>
          <w:sz w:val="32"/>
          <w:szCs w:val="32"/>
          <w:b w:val="1"/>
          <w:bCs w:val="1"/>
          <w:i w:val="1"/>
          <w:iCs w:val="1"/>
          <w:color w:val="CC0000"/>
        </w:rPr>
        <w:t>Item 6. Selected Financial Data (unaudited)</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60" w:type="dxa"/>
            <w:vAlign w:val="bottom"/>
          </w:tcPr>
          <w:p>
            <w:pPr>
              <w:ind w:left="40"/>
              <w:spacing w:after="0"/>
              <w:rPr>
                <w:sz w:val="20"/>
                <w:szCs w:val="20"/>
                <w:color w:val="auto"/>
              </w:rPr>
            </w:pPr>
            <w:r>
              <w:rPr>
                <w:rFonts w:ascii="Arial" w:cs="Arial" w:eastAsia="Arial" w:hAnsi="Arial"/>
                <w:sz w:val="14"/>
                <w:szCs w:val="14"/>
                <w:b w:val="1"/>
                <w:bCs w:val="1"/>
                <w:color w:val="auto"/>
              </w:rPr>
              <w:t>ELI LILLY AND COMPANY AND SUBSIDIARIES</w:t>
            </w:r>
          </w:p>
        </w:tc>
        <w:tc>
          <w:tcPr>
            <w:tcW w:w="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60" w:type="dxa"/>
            <w:vAlign w:val="bottom"/>
          </w:tcPr>
          <w:p>
            <w:pPr>
              <w:ind w:left="40"/>
              <w:spacing w:after="0"/>
              <w:rPr>
                <w:sz w:val="20"/>
                <w:szCs w:val="20"/>
                <w:color w:val="auto"/>
              </w:rPr>
            </w:pPr>
            <w:r>
              <w:rPr>
                <w:rFonts w:ascii="Arial" w:cs="Arial" w:eastAsia="Arial" w:hAnsi="Arial"/>
                <w:sz w:val="14"/>
                <w:szCs w:val="14"/>
                <w:b w:val="1"/>
                <w:bCs w:val="1"/>
                <w:color w:val="auto"/>
              </w:rPr>
              <w:t>(Dollars in millions, except revenue per</w:t>
            </w:r>
          </w:p>
        </w:tc>
        <w:tc>
          <w:tcPr>
            <w:tcW w:w="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3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employee and per-share data)</w:t>
            </w:r>
          </w:p>
        </w:tc>
        <w:tc>
          <w:tcPr>
            <w:tcW w:w="3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2015</w:t>
            </w: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2014</w:t>
            </w: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2013</w:t>
            </w: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2012</w:t>
            </w:r>
          </w:p>
        </w:tc>
        <w:tc>
          <w:tcPr>
            <w:tcW w:w="4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265"/>
        </w:trPr>
        <w:tc>
          <w:tcPr>
            <w:tcW w:w="3360" w:type="dxa"/>
            <w:vAlign w:val="bottom"/>
            <w:shd w:val="clear" w:color="auto" w:fill="D8D8D8"/>
          </w:tcPr>
          <w:p>
            <w:pPr>
              <w:ind w:left="40"/>
              <w:spacing w:after="0"/>
              <w:rPr>
                <w:sz w:val="20"/>
                <w:szCs w:val="20"/>
                <w:color w:val="auto"/>
              </w:rPr>
            </w:pPr>
            <w:r>
              <w:rPr>
                <w:rFonts w:ascii="Arial" w:cs="Arial" w:eastAsia="Arial" w:hAnsi="Arial"/>
                <w:sz w:val="18"/>
                <w:szCs w:val="18"/>
                <w:b w:val="1"/>
                <w:bCs w:val="1"/>
                <w:color w:val="auto"/>
              </w:rPr>
              <w:t>Operations</w:t>
            </w:r>
          </w:p>
        </w:tc>
        <w:tc>
          <w:tcPr>
            <w:tcW w:w="320" w:type="dxa"/>
            <w:vAlign w:val="bottom"/>
            <w:shd w:val="clear" w:color="auto" w:fill="D8D8D8"/>
          </w:tcPr>
          <w:p>
            <w:pPr>
              <w:spacing w:after="0"/>
              <w:rPr>
                <w:sz w:val="23"/>
                <w:szCs w:val="23"/>
                <w:color w:val="auto"/>
              </w:rPr>
            </w:pPr>
          </w:p>
        </w:tc>
        <w:tc>
          <w:tcPr>
            <w:tcW w:w="1260" w:type="dxa"/>
            <w:vAlign w:val="bottom"/>
            <w:shd w:val="clear" w:color="auto" w:fill="D8D8D8"/>
          </w:tcPr>
          <w:p>
            <w:pPr>
              <w:spacing w:after="0"/>
              <w:rPr>
                <w:sz w:val="23"/>
                <w:szCs w:val="23"/>
                <w:color w:val="auto"/>
              </w:rPr>
            </w:pPr>
          </w:p>
        </w:tc>
        <w:tc>
          <w:tcPr>
            <w:tcW w:w="380" w:type="dxa"/>
            <w:vAlign w:val="bottom"/>
            <w:shd w:val="clear" w:color="auto" w:fill="D8D8D8"/>
          </w:tcPr>
          <w:p>
            <w:pPr>
              <w:spacing w:after="0"/>
              <w:rPr>
                <w:sz w:val="23"/>
                <w:szCs w:val="23"/>
                <w:color w:val="auto"/>
              </w:rPr>
            </w:pPr>
          </w:p>
        </w:tc>
        <w:tc>
          <w:tcPr>
            <w:tcW w:w="1260" w:type="dxa"/>
            <w:vAlign w:val="bottom"/>
            <w:shd w:val="clear" w:color="auto" w:fill="D8D8D8"/>
          </w:tcPr>
          <w:p>
            <w:pPr>
              <w:spacing w:after="0"/>
              <w:rPr>
                <w:sz w:val="23"/>
                <w:szCs w:val="23"/>
                <w:color w:val="auto"/>
              </w:rPr>
            </w:pPr>
          </w:p>
        </w:tc>
        <w:tc>
          <w:tcPr>
            <w:tcW w:w="380" w:type="dxa"/>
            <w:vAlign w:val="bottom"/>
            <w:shd w:val="clear" w:color="auto" w:fill="D8D8D8"/>
          </w:tcPr>
          <w:p>
            <w:pPr>
              <w:spacing w:after="0"/>
              <w:rPr>
                <w:sz w:val="23"/>
                <w:szCs w:val="23"/>
                <w:color w:val="auto"/>
              </w:rPr>
            </w:pPr>
          </w:p>
        </w:tc>
        <w:tc>
          <w:tcPr>
            <w:tcW w:w="1240" w:type="dxa"/>
            <w:vAlign w:val="bottom"/>
            <w:shd w:val="clear" w:color="auto" w:fill="D8D8D8"/>
          </w:tcPr>
          <w:p>
            <w:pPr>
              <w:spacing w:after="0"/>
              <w:rPr>
                <w:sz w:val="23"/>
                <w:szCs w:val="23"/>
                <w:color w:val="auto"/>
              </w:rPr>
            </w:pPr>
          </w:p>
        </w:tc>
        <w:tc>
          <w:tcPr>
            <w:tcW w:w="400" w:type="dxa"/>
            <w:vAlign w:val="bottom"/>
            <w:shd w:val="clear" w:color="auto" w:fill="D8D8D8"/>
          </w:tcPr>
          <w:p>
            <w:pPr>
              <w:spacing w:after="0"/>
              <w:rPr>
                <w:sz w:val="23"/>
                <w:szCs w:val="23"/>
                <w:color w:val="auto"/>
              </w:rPr>
            </w:pPr>
          </w:p>
        </w:tc>
        <w:tc>
          <w:tcPr>
            <w:tcW w:w="1240" w:type="dxa"/>
            <w:vAlign w:val="bottom"/>
            <w:shd w:val="clear" w:color="auto" w:fill="D8D8D8"/>
          </w:tcPr>
          <w:p>
            <w:pPr>
              <w:spacing w:after="0"/>
              <w:rPr>
                <w:sz w:val="23"/>
                <w:szCs w:val="23"/>
                <w:color w:val="auto"/>
              </w:rPr>
            </w:pPr>
          </w:p>
        </w:tc>
        <w:tc>
          <w:tcPr>
            <w:tcW w:w="400" w:type="dxa"/>
            <w:vAlign w:val="bottom"/>
            <w:shd w:val="clear" w:color="auto" w:fill="D8D8D8"/>
          </w:tcPr>
          <w:p>
            <w:pPr>
              <w:spacing w:after="0"/>
              <w:rPr>
                <w:sz w:val="23"/>
                <w:szCs w:val="23"/>
                <w:color w:val="auto"/>
              </w:rPr>
            </w:pPr>
          </w:p>
        </w:tc>
        <w:tc>
          <w:tcPr>
            <w:tcW w:w="1180" w:type="dxa"/>
            <w:vAlign w:val="bottom"/>
            <w:shd w:val="clear" w:color="auto" w:fill="D8D8D8"/>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3360" w:type="dxa"/>
            <w:vAlign w:val="bottom"/>
          </w:tcPr>
          <w:p>
            <w:pPr>
              <w:ind w:left="40"/>
              <w:spacing w:after="0"/>
              <w:rPr>
                <w:sz w:val="20"/>
                <w:szCs w:val="20"/>
                <w:color w:val="auto"/>
              </w:rPr>
            </w:pPr>
            <w:r>
              <w:rPr>
                <w:rFonts w:ascii="Arial" w:cs="Arial" w:eastAsia="Arial" w:hAnsi="Arial"/>
                <w:sz w:val="18"/>
                <w:szCs w:val="18"/>
                <w:color w:val="auto"/>
              </w:rPr>
              <w:t>Revenue</w:t>
            </w: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Pr>
          <w:p>
            <w:pPr>
              <w:jc w:val="right"/>
              <w:ind w:right="151"/>
              <w:spacing w:after="0"/>
              <w:rPr>
                <w:sz w:val="20"/>
                <w:szCs w:val="20"/>
                <w:color w:val="auto"/>
              </w:rPr>
            </w:pPr>
            <w:r>
              <w:rPr>
                <w:rFonts w:ascii="Arial" w:cs="Arial" w:eastAsia="Arial" w:hAnsi="Arial"/>
                <w:sz w:val="18"/>
                <w:szCs w:val="18"/>
                <w:b w:val="1"/>
                <w:bCs w:val="1"/>
                <w:color w:val="auto"/>
              </w:rPr>
              <w:t>19,958.7</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71"/>
              <w:spacing w:after="0"/>
              <w:rPr>
                <w:sz w:val="20"/>
                <w:szCs w:val="20"/>
                <w:color w:val="auto"/>
              </w:rPr>
            </w:pPr>
            <w:r>
              <w:rPr>
                <w:rFonts w:ascii="Arial" w:cs="Arial" w:eastAsia="Arial" w:hAnsi="Arial"/>
                <w:sz w:val="18"/>
                <w:szCs w:val="18"/>
                <w:color w:val="auto"/>
              </w:rPr>
              <w:t>19,615.6</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51"/>
              <w:spacing w:after="0"/>
              <w:rPr>
                <w:sz w:val="20"/>
                <w:szCs w:val="20"/>
                <w:color w:val="auto"/>
              </w:rPr>
            </w:pPr>
            <w:r>
              <w:rPr>
                <w:rFonts w:ascii="Arial" w:cs="Arial" w:eastAsia="Arial" w:hAnsi="Arial"/>
                <w:sz w:val="18"/>
                <w:szCs w:val="18"/>
                <w:color w:val="auto"/>
              </w:rPr>
              <w:t>23,113.1</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51"/>
              <w:spacing w:after="0"/>
              <w:rPr>
                <w:sz w:val="20"/>
                <w:szCs w:val="20"/>
                <w:color w:val="auto"/>
              </w:rPr>
            </w:pPr>
            <w:r>
              <w:rPr>
                <w:rFonts w:ascii="Arial" w:cs="Arial" w:eastAsia="Arial" w:hAnsi="Arial"/>
                <w:sz w:val="18"/>
                <w:szCs w:val="18"/>
                <w:color w:val="auto"/>
              </w:rPr>
              <w:t>22,603.4</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91"/>
              <w:spacing w:after="0"/>
              <w:rPr>
                <w:sz w:val="20"/>
                <w:szCs w:val="20"/>
                <w:color w:val="auto"/>
              </w:rPr>
            </w:pPr>
            <w:r>
              <w:rPr>
                <w:rFonts w:ascii="Arial" w:cs="Arial" w:eastAsia="Arial" w:hAnsi="Arial"/>
                <w:sz w:val="18"/>
                <w:szCs w:val="18"/>
                <w:color w:val="auto"/>
              </w:rPr>
              <w:t>24,286.5</w:t>
            </w:r>
          </w:p>
        </w:tc>
        <w:tc>
          <w:tcPr>
            <w:tcW w:w="0" w:type="dxa"/>
            <w:vAlign w:val="bottom"/>
          </w:tcPr>
          <w:p>
            <w:pPr>
              <w:spacing w:after="0"/>
              <w:rPr>
                <w:sz w:val="1"/>
                <w:szCs w:val="1"/>
                <w:color w:val="auto"/>
              </w:rPr>
            </w:pPr>
          </w:p>
        </w:tc>
      </w:tr>
      <w:tr>
        <w:trPr>
          <w:trHeight w:val="271"/>
        </w:trPr>
        <w:tc>
          <w:tcPr>
            <w:tcW w:w="3360" w:type="dxa"/>
            <w:vAlign w:val="bottom"/>
            <w:shd w:val="clear" w:color="auto" w:fill="D8D8D8"/>
          </w:tcPr>
          <w:p>
            <w:pPr>
              <w:ind w:left="40"/>
              <w:spacing w:after="0"/>
              <w:rPr>
                <w:sz w:val="20"/>
                <w:szCs w:val="20"/>
                <w:color w:val="auto"/>
              </w:rPr>
            </w:pPr>
            <w:r>
              <w:rPr>
                <w:rFonts w:ascii="Arial" w:cs="Arial" w:eastAsia="Arial" w:hAnsi="Arial"/>
                <w:sz w:val="18"/>
                <w:szCs w:val="18"/>
                <w:color w:val="auto"/>
              </w:rPr>
              <w:t>Cost of sales</w:t>
            </w:r>
          </w:p>
        </w:tc>
        <w:tc>
          <w:tcPr>
            <w:tcW w:w="320" w:type="dxa"/>
            <w:vAlign w:val="bottom"/>
            <w:shd w:val="clear" w:color="auto" w:fill="D8D8D8"/>
          </w:tcPr>
          <w:p>
            <w:pPr>
              <w:spacing w:after="0"/>
              <w:rPr>
                <w:sz w:val="23"/>
                <w:szCs w:val="23"/>
                <w:color w:val="auto"/>
              </w:rPr>
            </w:pPr>
          </w:p>
        </w:tc>
        <w:tc>
          <w:tcPr>
            <w:tcW w:w="1260" w:type="dxa"/>
            <w:vAlign w:val="bottom"/>
            <w:shd w:val="clear" w:color="auto" w:fill="D8D8D8"/>
          </w:tcPr>
          <w:p>
            <w:pPr>
              <w:jc w:val="right"/>
              <w:ind w:right="151"/>
              <w:spacing w:after="0"/>
              <w:rPr>
                <w:sz w:val="20"/>
                <w:szCs w:val="20"/>
                <w:color w:val="auto"/>
              </w:rPr>
            </w:pPr>
            <w:r>
              <w:rPr>
                <w:rFonts w:ascii="Arial" w:cs="Arial" w:eastAsia="Arial" w:hAnsi="Arial"/>
                <w:sz w:val="18"/>
                <w:szCs w:val="18"/>
                <w:b w:val="1"/>
                <w:bCs w:val="1"/>
                <w:color w:val="auto"/>
              </w:rPr>
              <w:t>5,037.2</w:t>
            </w:r>
          </w:p>
        </w:tc>
        <w:tc>
          <w:tcPr>
            <w:tcW w:w="380" w:type="dxa"/>
            <w:vAlign w:val="bottom"/>
            <w:shd w:val="clear" w:color="auto" w:fill="D8D8D8"/>
          </w:tcPr>
          <w:p>
            <w:pPr>
              <w:spacing w:after="0"/>
              <w:rPr>
                <w:sz w:val="23"/>
                <w:szCs w:val="23"/>
                <w:color w:val="auto"/>
              </w:rPr>
            </w:pPr>
          </w:p>
        </w:tc>
        <w:tc>
          <w:tcPr>
            <w:tcW w:w="1260" w:type="dxa"/>
            <w:vAlign w:val="bottom"/>
            <w:shd w:val="clear" w:color="auto" w:fill="D8D8D8"/>
          </w:tcPr>
          <w:p>
            <w:pPr>
              <w:jc w:val="right"/>
              <w:ind w:right="171"/>
              <w:spacing w:after="0"/>
              <w:rPr>
                <w:sz w:val="20"/>
                <w:szCs w:val="20"/>
                <w:color w:val="auto"/>
              </w:rPr>
            </w:pPr>
            <w:r>
              <w:rPr>
                <w:rFonts w:ascii="Arial" w:cs="Arial" w:eastAsia="Arial" w:hAnsi="Arial"/>
                <w:sz w:val="18"/>
                <w:szCs w:val="18"/>
                <w:color w:val="auto"/>
              </w:rPr>
              <w:t>4,932.5</w:t>
            </w:r>
          </w:p>
        </w:tc>
        <w:tc>
          <w:tcPr>
            <w:tcW w:w="380" w:type="dxa"/>
            <w:vAlign w:val="bottom"/>
            <w:shd w:val="clear" w:color="auto" w:fill="D8D8D8"/>
          </w:tcPr>
          <w:p>
            <w:pPr>
              <w:spacing w:after="0"/>
              <w:rPr>
                <w:sz w:val="23"/>
                <w:szCs w:val="23"/>
                <w:color w:val="auto"/>
              </w:rPr>
            </w:pPr>
          </w:p>
        </w:tc>
        <w:tc>
          <w:tcPr>
            <w:tcW w:w="1240" w:type="dxa"/>
            <w:vAlign w:val="bottom"/>
            <w:shd w:val="clear" w:color="auto" w:fill="D8D8D8"/>
          </w:tcPr>
          <w:p>
            <w:pPr>
              <w:jc w:val="right"/>
              <w:ind w:right="151"/>
              <w:spacing w:after="0"/>
              <w:rPr>
                <w:sz w:val="20"/>
                <w:szCs w:val="20"/>
                <w:color w:val="auto"/>
              </w:rPr>
            </w:pPr>
            <w:r>
              <w:rPr>
                <w:rFonts w:ascii="Arial" w:cs="Arial" w:eastAsia="Arial" w:hAnsi="Arial"/>
                <w:sz w:val="18"/>
                <w:szCs w:val="18"/>
                <w:color w:val="auto"/>
              </w:rPr>
              <w:t>4,908.1</w:t>
            </w:r>
          </w:p>
        </w:tc>
        <w:tc>
          <w:tcPr>
            <w:tcW w:w="400" w:type="dxa"/>
            <w:vAlign w:val="bottom"/>
            <w:shd w:val="clear" w:color="auto" w:fill="D8D8D8"/>
          </w:tcPr>
          <w:p>
            <w:pPr>
              <w:spacing w:after="0"/>
              <w:rPr>
                <w:sz w:val="23"/>
                <w:szCs w:val="23"/>
                <w:color w:val="auto"/>
              </w:rPr>
            </w:pPr>
          </w:p>
        </w:tc>
        <w:tc>
          <w:tcPr>
            <w:tcW w:w="1240" w:type="dxa"/>
            <w:vAlign w:val="bottom"/>
            <w:shd w:val="clear" w:color="auto" w:fill="D8D8D8"/>
          </w:tcPr>
          <w:p>
            <w:pPr>
              <w:jc w:val="right"/>
              <w:ind w:right="151"/>
              <w:spacing w:after="0"/>
              <w:rPr>
                <w:sz w:val="20"/>
                <w:szCs w:val="20"/>
                <w:color w:val="auto"/>
              </w:rPr>
            </w:pPr>
            <w:r>
              <w:rPr>
                <w:rFonts w:ascii="Arial" w:cs="Arial" w:eastAsia="Arial" w:hAnsi="Arial"/>
                <w:sz w:val="18"/>
                <w:szCs w:val="18"/>
                <w:color w:val="auto"/>
              </w:rPr>
              <w:t>4,796.5</w:t>
            </w:r>
          </w:p>
        </w:tc>
        <w:tc>
          <w:tcPr>
            <w:tcW w:w="400" w:type="dxa"/>
            <w:vAlign w:val="bottom"/>
            <w:shd w:val="clear" w:color="auto" w:fill="D8D8D8"/>
          </w:tcPr>
          <w:p>
            <w:pPr>
              <w:spacing w:after="0"/>
              <w:rPr>
                <w:sz w:val="23"/>
                <w:szCs w:val="23"/>
                <w:color w:val="auto"/>
              </w:rPr>
            </w:pPr>
          </w:p>
        </w:tc>
        <w:tc>
          <w:tcPr>
            <w:tcW w:w="1180" w:type="dxa"/>
            <w:vAlign w:val="bottom"/>
            <w:shd w:val="clear" w:color="auto" w:fill="D8D8D8"/>
          </w:tcPr>
          <w:p>
            <w:pPr>
              <w:jc w:val="right"/>
              <w:ind w:right="91"/>
              <w:spacing w:after="0"/>
              <w:rPr>
                <w:sz w:val="20"/>
                <w:szCs w:val="20"/>
                <w:color w:val="auto"/>
              </w:rPr>
            </w:pPr>
            <w:r>
              <w:rPr>
                <w:rFonts w:ascii="Arial" w:cs="Arial" w:eastAsia="Arial" w:hAnsi="Arial"/>
                <w:sz w:val="18"/>
                <w:szCs w:val="18"/>
                <w:color w:val="auto"/>
              </w:rPr>
              <w:t>5,067.9</w:t>
            </w:r>
          </w:p>
        </w:tc>
        <w:tc>
          <w:tcPr>
            <w:tcW w:w="0" w:type="dxa"/>
            <w:vAlign w:val="bottom"/>
          </w:tcPr>
          <w:p>
            <w:pPr>
              <w:spacing w:after="0"/>
              <w:rPr>
                <w:sz w:val="1"/>
                <w:szCs w:val="1"/>
                <w:color w:val="auto"/>
              </w:rPr>
            </w:pPr>
          </w:p>
        </w:tc>
      </w:tr>
      <w:tr>
        <w:trPr>
          <w:trHeight w:val="269"/>
        </w:trPr>
        <w:tc>
          <w:tcPr>
            <w:tcW w:w="3360" w:type="dxa"/>
            <w:vAlign w:val="bottom"/>
          </w:tcPr>
          <w:p>
            <w:pPr>
              <w:ind w:left="40"/>
              <w:spacing w:after="0"/>
              <w:rPr>
                <w:sz w:val="20"/>
                <w:szCs w:val="20"/>
                <w:color w:val="auto"/>
              </w:rPr>
            </w:pPr>
            <w:r>
              <w:rPr>
                <w:rFonts w:ascii="Arial" w:cs="Arial" w:eastAsia="Arial" w:hAnsi="Arial"/>
                <w:sz w:val="18"/>
                <w:szCs w:val="18"/>
                <w:color w:val="auto"/>
              </w:rPr>
              <w:t>Research and development</w:t>
            </w:r>
          </w:p>
        </w:tc>
        <w:tc>
          <w:tcPr>
            <w:tcW w:w="320" w:type="dxa"/>
            <w:vAlign w:val="bottom"/>
          </w:tcPr>
          <w:p>
            <w:pPr>
              <w:spacing w:after="0"/>
              <w:rPr>
                <w:sz w:val="23"/>
                <w:szCs w:val="23"/>
                <w:color w:val="auto"/>
              </w:rPr>
            </w:pPr>
          </w:p>
        </w:tc>
        <w:tc>
          <w:tcPr>
            <w:tcW w:w="1260" w:type="dxa"/>
            <w:vAlign w:val="bottom"/>
          </w:tcPr>
          <w:p>
            <w:pPr>
              <w:jc w:val="right"/>
              <w:ind w:right="151"/>
              <w:spacing w:after="0"/>
              <w:rPr>
                <w:sz w:val="20"/>
                <w:szCs w:val="20"/>
                <w:color w:val="auto"/>
              </w:rPr>
            </w:pPr>
            <w:r>
              <w:rPr>
                <w:rFonts w:ascii="Arial" w:cs="Arial" w:eastAsia="Arial" w:hAnsi="Arial"/>
                <w:sz w:val="18"/>
                <w:szCs w:val="18"/>
                <w:b w:val="1"/>
                <w:bCs w:val="1"/>
                <w:color w:val="auto"/>
              </w:rPr>
              <w:t>4,796.4</w:t>
            </w:r>
          </w:p>
        </w:tc>
        <w:tc>
          <w:tcPr>
            <w:tcW w:w="380" w:type="dxa"/>
            <w:vAlign w:val="bottom"/>
          </w:tcPr>
          <w:p>
            <w:pPr>
              <w:spacing w:after="0"/>
              <w:rPr>
                <w:sz w:val="23"/>
                <w:szCs w:val="23"/>
                <w:color w:val="auto"/>
              </w:rPr>
            </w:pPr>
          </w:p>
        </w:tc>
        <w:tc>
          <w:tcPr>
            <w:tcW w:w="1260" w:type="dxa"/>
            <w:vAlign w:val="bottom"/>
          </w:tcPr>
          <w:p>
            <w:pPr>
              <w:jc w:val="right"/>
              <w:ind w:right="171"/>
              <w:spacing w:after="0"/>
              <w:rPr>
                <w:sz w:val="20"/>
                <w:szCs w:val="20"/>
                <w:color w:val="auto"/>
              </w:rPr>
            </w:pPr>
            <w:r>
              <w:rPr>
                <w:rFonts w:ascii="Arial" w:cs="Arial" w:eastAsia="Arial" w:hAnsi="Arial"/>
                <w:sz w:val="18"/>
                <w:szCs w:val="18"/>
                <w:color w:val="auto"/>
              </w:rPr>
              <w:t>4,733.6</w:t>
            </w:r>
          </w:p>
        </w:tc>
        <w:tc>
          <w:tcPr>
            <w:tcW w:w="380" w:type="dxa"/>
            <w:vAlign w:val="bottom"/>
          </w:tcPr>
          <w:p>
            <w:pPr>
              <w:spacing w:after="0"/>
              <w:rPr>
                <w:sz w:val="23"/>
                <w:szCs w:val="23"/>
                <w:color w:val="auto"/>
              </w:rPr>
            </w:pPr>
          </w:p>
        </w:tc>
        <w:tc>
          <w:tcPr>
            <w:tcW w:w="1240" w:type="dxa"/>
            <w:vAlign w:val="bottom"/>
          </w:tcPr>
          <w:p>
            <w:pPr>
              <w:jc w:val="right"/>
              <w:ind w:right="151"/>
              <w:spacing w:after="0"/>
              <w:rPr>
                <w:sz w:val="20"/>
                <w:szCs w:val="20"/>
                <w:color w:val="auto"/>
              </w:rPr>
            </w:pPr>
            <w:r>
              <w:rPr>
                <w:rFonts w:ascii="Arial" w:cs="Arial" w:eastAsia="Arial" w:hAnsi="Arial"/>
                <w:sz w:val="18"/>
                <w:szCs w:val="18"/>
                <w:color w:val="auto"/>
              </w:rPr>
              <w:t>5,531.3</w:t>
            </w:r>
          </w:p>
        </w:tc>
        <w:tc>
          <w:tcPr>
            <w:tcW w:w="400" w:type="dxa"/>
            <w:vAlign w:val="bottom"/>
          </w:tcPr>
          <w:p>
            <w:pPr>
              <w:spacing w:after="0"/>
              <w:rPr>
                <w:sz w:val="23"/>
                <w:szCs w:val="23"/>
                <w:color w:val="auto"/>
              </w:rPr>
            </w:pPr>
          </w:p>
        </w:tc>
        <w:tc>
          <w:tcPr>
            <w:tcW w:w="1240" w:type="dxa"/>
            <w:vAlign w:val="bottom"/>
          </w:tcPr>
          <w:p>
            <w:pPr>
              <w:jc w:val="right"/>
              <w:ind w:right="151"/>
              <w:spacing w:after="0"/>
              <w:rPr>
                <w:sz w:val="20"/>
                <w:szCs w:val="20"/>
                <w:color w:val="auto"/>
              </w:rPr>
            </w:pPr>
            <w:r>
              <w:rPr>
                <w:rFonts w:ascii="Arial" w:cs="Arial" w:eastAsia="Arial" w:hAnsi="Arial"/>
                <w:sz w:val="18"/>
                <w:szCs w:val="18"/>
                <w:color w:val="auto"/>
              </w:rPr>
              <w:t>5,278.1</w:t>
            </w:r>
          </w:p>
        </w:tc>
        <w:tc>
          <w:tcPr>
            <w:tcW w:w="400" w:type="dxa"/>
            <w:vAlign w:val="bottom"/>
          </w:tcPr>
          <w:p>
            <w:pPr>
              <w:spacing w:after="0"/>
              <w:rPr>
                <w:sz w:val="23"/>
                <w:szCs w:val="23"/>
                <w:color w:val="auto"/>
              </w:rPr>
            </w:pPr>
          </w:p>
        </w:tc>
        <w:tc>
          <w:tcPr>
            <w:tcW w:w="1180" w:type="dxa"/>
            <w:vAlign w:val="bottom"/>
          </w:tcPr>
          <w:p>
            <w:pPr>
              <w:jc w:val="right"/>
              <w:ind w:right="91"/>
              <w:spacing w:after="0"/>
              <w:rPr>
                <w:sz w:val="20"/>
                <w:szCs w:val="20"/>
                <w:color w:val="auto"/>
              </w:rPr>
            </w:pPr>
            <w:r>
              <w:rPr>
                <w:rFonts w:ascii="Arial" w:cs="Arial" w:eastAsia="Arial" w:hAnsi="Arial"/>
                <w:sz w:val="18"/>
                <w:szCs w:val="18"/>
                <w:color w:val="auto"/>
              </w:rPr>
              <w:t>5,020.8</w:t>
            </w:r>
          </w:p>
        </w:tc>
        <w:tc>
          <w:tcPr>
            <w:tcW w:w="0" w:type="dxa"/>
            <w:vAlign w:val="bottom"/>
          </w:tcPr>
          <w:p>
            <w:pPr>
              <w:spacing w:after="0"/>
              <w:rPr>
                <w:sz w:val="1"/>
                <w:szCs w:val="1"/>
                <w:color w:val="auto"/>
              </w:rPr>
            </w:pPr>
          </w:p>
        </w:tc>
      </w:tr>
      <w:tr>
        <w:trPr>
          <w:trHeight w:val="271"/>
        </w:trPr>
        <w:tc>
          <w:tcPr>
            <w:tcW w:w="3360" w:type="dxa"/>
            <w:vAlign w:val="bottom"/>
            <w:shd w:val="clear" w:color="auto" w:fill="D8D8D8"/>
          </w:tcPr>
          <w:p>
            <w:pPr>
              <w:ind w:left="40"/>
              <w:spacing w:after="0"/>
              <w:rPr>
                <w:sz w:val="20"/>
                <w:szCs w:val="20"/>
                <w:color w:val="auto"/>
              </w:rPr>
            </w:pPr>
            <w:r>
              <w:rPr>
                <w:rFonts w:ascii="Arial" w:cs="Arial" w:eastAsia="Arial" w:hAnsi="Arial"/>
                <w:sz w:val="18"/>
                <w:szCs w:val="18"/>
                <w:color w:val="auto"/>
              </w:rPr>
              <w:t>Marketing, selling, and administrative</w:t>
            </w:r>
          </w:p>
        </w:tc>
        <w:tc>
          <w:tcPr>
            <w:tcW w:w="320" w:type="dxa"/>
            <w:vAlign w:val="bottom"/>
            <w:shd w:val="clear" w:color="auto" w:fill="D8D8D8"/>
          </w:tcPr>
          <w:p>
            <w:pPr>
              <w:spacing w:after="0"/>
              <w:rPr>
                <w:sz w:val="23"/>
                <w:szCs w:val="23"/>
                <w:color w:val="auto"/>
              </w:rPr>
            </w:pPr>
          </w:p>
        </w:tc>
        <w:tc>
          <w:tcPr>
            <w:tcW w:w="1260" w:type="dxa"/>
            <w:vAlign w:val="bottom"/>
            <w:shd w:val="clear" w:color="auto" w:fill="D8D8D8"/>
          </w:tcPr>
          <w:p>
            <w:pPr>
              <w:jc w:val="right"/>
              <w:ind w:right="151"/>
              <w:spacing w:after="0"/>
              <w:rPr>
                <w:sz w:val="20"/>
                <w:szCs w:val="20"/>
                <w:color w:val="auto"/>
              </w:rPr>
            </w:pPr>
            <w:r>
              <w:rPr>
                <w:rFonts w:ascii="Arial" w:cs="Arial" w:eastAsia="Arial" w:hAnsi="Arial"/>
                <w:sz w:val="18"/>
                <w:szCs w:val="18"/>
                <w:b w:val="1"/>
                <w:bCs w:val="1"/>
                <w:color w:val="auto"/>
              </w:rPr>
              <w:t>6,533.0</w:t>
            </w:r>
          </w:p>
        </w:tc>
        <w:tc>
          <w:tcPr>
            <w:tcW w:w="380" w:type="dxa"/>
            <w:vAlign w:val="bottom"/>
            <w:shd w:val="clear" w:color="auto" w:fill="D8D8D8"/>
          </w:tcPr>
          <w:p>
            <w:pPr>
              <w:spacing w:after="0"/>
              <w:rPr>
                <w:sz w:val="23"/>
                <w:szCs w:val="23"/>
                <w:color w:val="auto"/>
              </w:rPr>
            </w:pPr>
          </w:p>
        </w:tc>
        <w:tc>
          <w:tcPr>
            <w:tcW w:w="1260" w:type="dxa"/>
            <w:vAlign w:val="bottom"/>
            <w:shd w:val="clear" w:color="auto" w:fill="D8D8D8"/>
          </w:tcPr>
          <w:p>
            <w:pPr>
              <w:jc w:val="right"/>
              <w:ind w:right="171"/>
              <w:spacing w:after="0"/>
              <w:rPr>
                <w:sz w:val="20"/>
                <w:szCs w:val="20"/>
                <w:color w:val="auto"/>
              </w:rPr>
            </w:pPr>
            <w:r>
              <w:rPr>
                <w:rFonts w:ascii="Arial" w:cs="Arial" w:eastAsia="Arial" w:hAnsi="Arial"/>
                <w:sz w:val="18"/>
                <w:szCs w:val="18"/>
                <w:color w:val="auto"/>
              </w:rPr>
              <w:t>6,620.8</w:t>
            </w:r>
          </w:p>
        </w:tc>
        <w:tc>
          <w:tcPr>
            <w:tcW w:w="380" w:type="dxa"/>
            <w:vAlign w:val="bottom"/>
            <w:shd w:val="clear" w:color="auto" w:fill="D8D8D8"/>
          </w:tcPr>
          <w:p>
            <w:pPr>
              <w:spacing w:after="0"/>
              <w:rPr>
                <w:sz w:val="23"/>
                <w:szCs w:val="23"/>
                <w:color w:val="auto"/>
              </w:rPr>
            </w:pPr>
          </w:p>
        </w:tc>
        <w:tc>
          <w:tcPr>
            <w:tcW w:w="1240" w:type="dxa"/>
            <w:vAlign w:val="bottom"/>
            <w:shd w:val="clear" w:color="auto" w:fill="D8D8D8"/>
          </w:tcPr>
          <w:p>
            <w:pPr>
              <w:jc w:val="right"/>
              <w:ind w:right="151"/>
              <w:spacing w:after="0"/>
              <w:rPr>
                <w:sz w:val="20"/>
                <w:szCs w:val="20"/>
                <w:color w:val="auto"/>
              </w:rPr>
            </w:pPr>
            <w:r>
              <w:rPr>
                <w:rFonts w:ascii="Arial" w:cs="Arial" w:eastAsia="Arial" w:hAnsi="Arial"/>
                <w:sz w:val="18"/>
                <w:szCs w:val="18"/>
                <w:color w:val="auto"/>
              </w:rPr>
              <w:t>7,125.6</w:t>
            </w:r>
          </w:p>
        </w:tc>
        <w:tc>
          <w:tcPr>
            <w:tcW w:w="400" w:type="dxa"/>
            <w:vAlign w:val="bottom"/>
            <w:shd w:val="clear" w:color="auto" w:fill="D8D8D8"/>
          </w:tcPr>
          <w:p>
            <w:pPr>
              <w:spacing w:after="0"/>
              <w:rPr>
                <w:sz w:val="23"/>
                <w:szCs w:val="23"/>
                <w:color w:val="auto"/>
              </w:rPr>
            </w:pPr>
          </w:p>
        </w:tc>
        <w:tc>
          <w:tcPr>
            <w:tcW w:w="1240" w:type="dxa"/>
            <w:vAlign w:val="bottom"/>
            <w:shd w:val="clear" w:color="auto" w:fill="D8D8D8"/>
          </w:tcPr>
          <w:p>
            <w:pPr>
              <w:jc w:val="right"/>
              <w:ind w:right="151"/>
              <w:spacing w:after="0"/>
              <w:rPr>
                <w:sz w:val="20"/>
                <w:szCs w:val="20"/>
                <w:color w:val="auto"/>
              </w:rPr>
            </w:pPr>
            <w:r>
              <w:rPr>
                <w:rFonts w:ascii="Arial" w:cs="Arial" w:eastAsia="Arial" w:hAnsi="Arial"/>
                <w:sz w:val="18"/>
                <w:szCs w:val="18"/>
                <w:color w:val="auto"/>
              </w:rPr>
              <w:t>7,513.5</w:t>
            </w:r>
          </w:p>
        </w:tc>
        <w:tc>
          <w:tcPr>
            <w:tcW w:w="400" w:type="dxa"/>
            <w:vAlign w:val="bottom"/>
            <w:shd w:val="clear" w:color="auto" w:fill="D8D8D8"/>
          </w:tcPr>
          <w:p>
            <w:pPr>
              <w:spacing w:after="0"/>
              <w:rPr>
                <w:sz w:val="23"/>
                <w:szCs w:val="23"/>
                <w:color w:val="auto"/>
              </w:rPr>
            </w:pPr>
          </w:p>
        </w:tc>
        <w:tc>
          <w:tcPr>
            <w:tcW w:w="1180" w:type="dxa"/>
            <w:vAlign w:val="bottom"/>
            <w:shd w:val="clear" w:color="auto" w:fill="D8D8D8"/>
          </w:tcPr>
          <w:p>
            <w:pPr>
              <w:jc w:val="right"/>
              <w:ind w:right="91"/>
              <w:spacing w:after="0"/>
              <w:rPr>
                <w:sz w:val="20"/>
                <w:szCs w:val="20"/>
                <w:color w:val="auto"/>
              </w:rPr>
            </w:pPr>
            <w:r>
              <w:rPr>
                <w:rFonts w:ascii="Arial" w:cs="Arial" w:eastAsia="Arial" w:hAnsi="Arial"/>
                <w:sz w:val="18"/>
                <w:szCs w:val="18"/>
                <w:color w:val="auto"/>
              </w:rPr>
              <w:t>7,879.9</w:t>
            </w:r>
          </w:p>
        </w:tc>
        <w:tc>
          <w:tcPr>
            <w:tcW w:w="0" w:type="dxa"/>
            <w:vAlign w:val="bottom"/>
          </w:tcPr>
          <w:p>
            <w:pPr>
              <w:spacing w:after="0"/>
              <w:rPr>
                <w:sz w:val="1"/>
                <w:szCs w:val="1"/>
                <w:color w:val="auto"/>
              </w:rPr>
            </w:pPr>
          </w:p>
        </w:tc>
      </w:tr>
      <w:tr>
        <w:trPr>
          <w:trHeight w:val="269"/>
        </w:trPr>
        <w:tc>
          <w:tcPr>
            <w:tcW w:w="3360" w:type="dxa"/>
            <w:vAlign w:val="bottom"/>
          </w:tcPr>
          <w:p>
            <w:pPr>
              <w:ind w:left="4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23"/>
                <w:szCs w:val="23"/>
                <w:color w:val="auto"/>
              </w:rPr>
            </w:pPr>
          </w:p>
        </w:tc>
        <w:tc>
          <w:tcPr>
            <w:tcW w:w="1260" w:type="dxa"/>
            <w:vAlign w:val="bottom"/>
          </w:tcPr>
          <w:p>
            <w:pPr>
              <w:jc w:val="right"/>
              <w:ind w:right="151"/>
              <w:spacing w:after="0"/>
              <w:rPr>
                <w:sz w:val="20"/>
                <w:szCs w:val="20"/>
                <w:color w:val="auto"/>
              </w:rPr>
            </w:pPr>
            <w:r>
              <w:rPr>
                <w:rFonts w:ascii="Arial" w:cs="Arial" w:eastAsia="Arial" w:hAnsi="Arial"/>
                <w:sz w:val="18"/>
                <w:szCs w:val="18"/>
                <w:b w:val="1"/>
                <w:bCs w:val="1"/>
                <w:color w:val="auto"/>
              </w:rPr>
              <w:t>802.1</w:t>
            </w:r>
          </w:p>
        </w:tc>
        <w:tc>
          <w:tcPr>
            <w:tcW w:w="380" w:type="dxa"/>
            <w:vAlign w:val="bottom"/>
          </w:tcPr>
          <w:p>
            <w:pPr>
              <w:spacing w:after="0"/>
              <w:rPr>
                <w:sz w:val="23"/>
                <w:szCs w:val="23"/>
                <w:color w:val="auto"/>
              </w:rPr>
            </w:pPr>
          </w:p>
        </w:tc>
        <w:tc>
          <w:tcPr>
            <w:tcW w:w="1260" w:type="dxa"/>
            <w:vAlign w:val="bottom"/>
          </w:tcPr>
          <w:p>
            <w:pPr>
              <w:jc w:val="right"/>
              <w:ind w:right="171"/>
              <w:spacing w:after="0"/>
              <w:rPr>
                <w:sz w:val="20"/>
                <w:szCs w:val="20"/>
                <w:color w:val="auto"/>
              </w:rPr>
            </w:pPr>
            <w:r>
              <w:rPr>
                <w:rFonts w:ascii="Arial" w:cs="Arial" w:eastAsia="Arial" w:hAnsi="Arial"/>
                <w:sz w:val="18"/>
                <w:szCs w:val="18"/>
                <w:color w:val="auto"/>
              </w:rPr>
              <w:t>328.4</w:t>
            </w:r>
          </w:p>
        </w:tc>
        <w:tc>
          <w:tcPr>
            <w:tcW w:w="380" w:type="dxa"/>
            <w:vAlign w:val="bottom"/>
          </w:tcPr>
          <w:p>
            <w:pPr>
              <w:spacing w:after="0"/>
              <w:rPr>
                <w:sz w:val="23"/>
                <w:szCs w:val="23"/>
                <w:color w:val="auto"/>
              </w:rPr>
            </w:pPr>
          </w:p>
        </w:tc>
        <w:tc>
          <w:tcPr>
            <w:tcW w:w="1240" w:type="dxa"/>
            <w:vAlign w:val="bottom"/>
          </w:tcPr>
          <w:p>
            <w:pPr>
              <w:jc w:val="right"/>
              <w:ind w:right="91"/>
              <w:spacing w:after="0"/>
              <w:rPr>
                <w:sz w:val="20"/>
                <w:szCs w:val="20"/>
                <w:color w:val="auto"/>
              </w:rPr>
            </w:pPr>
            <w:r>
              <w:rPr>
                <w:rFonts w:ascii="Arial" w:cs="Arial" w:eastAsia="Arial" w:hAnsi="Arial"/>
                <w:sz w:val="18"/>
                <w:szCs w:val="18"/>
                <w:color w:val="auto"/>
              </w:rPr>
              <w:t>(341.2)</w:t>
            </w:r>
          </w:p>
        </w:tc>
        <w:tc>
          <w:tcPr>
            <w:tcW w:w="400" w:type="dxa"/>
            <w:vAlign w:val="bottom"/>
          </w:tcPr>
          <w:p>
            <w:pPr>
              <w:spacing w:after="0"/>
              <w:rPr>
                <w:sz w:val="23"/>
                <w:szCs w:val="23"/>
                <w:color w:val="auto"/>
              </w:rPr>
            </w:pPr>
          </w:p>
        </w:tc>
        <w:tc>
          <w:tcPr>
            <w:tcW w:w="1240" w:type="dxa"/>
            <w:vAlign w:val="bottom"/>
          </w:tcPr>
          <w:p>
            <w:pPr>
              <w:jc w:val="right"/>
              <w:ind w:right="91"/>
              <w:spacing w:after="0"/>
              <w:rPr>
                <w:sz w:val="20"/>
                <w:szCs w:val="20"/>
                <w:color w:val="auto"/>
              </w:rPr>
            </w:pPr>
            <w:r>
              <w:rPr>
                <w:rFonts w:ascii="Arial" w:cs="Arial" w:eastAsia="Arial" w:hAnsi="Arial"/>
                <w:sz w:val="18"/>
                <w:szCs w:val="18"/>
                <w:color w:val="auto"/>
              </w:rPr>
              <w:t>(392.9)</w:t>
            </w:r>
          </w:p>
        </w:tc>
        <w:tc>
          <w:tcPr>
            <w:tcW w:w="400" w:type="dxa"/>
            <w:vAlign w:val="bottom"/>
          </w:tcPr>
          <w:p>
            <w:pPr>
              <w:spacing w:after="0"/>
              <w:rPr>
                <w:sz w:val="23"/>
                <w:szCs w:val="23"/>
                <w:color w:val="auto"/>
              </w:rPr>
            </w:pPr>
          </w:p>
        </w:tc>
        <w:tc>
          <w:tcPr>
            <w:tcW w:w="1180" w:type="dxa"/>
            <w:vAlign w:val="bottom"/>
          </w:tcPr>
          <w:p>
            <w:pPr>
              <w:jc w:val="right"/>
              <w:ind w:right="91"/>
              <w:spacing w:after="0"/>
              <w:rPr>
                <w:sz w:val="20"/>
                <w:szCs w:val="20"/>
                <w:color w:val="auto"/>
              </w:rPr>
            </w:pPr>
            <w:r>
              <w:rPr>
                <w:rFonts w:ascii="Arial" w:cs="Arial" w:eastAsia="Arial" w:hAnsi="Arial"/>
                <w:sz w:val="18"/>
                <w:szCs w:val="18"/>
                <w:color w:val="auto"/>
              </w:rPr>
              <w:t>968.4</w:t>
            </w:r>
          </w:p>
        </w:tc>
        <w:tc>
          <w:tcPr>
            <w:tcW w:w="0" w:type="dxa"/>
            <w:vAlign w:val="bottom"/>
          </w:tcPr>
          <w:p>
            <w:pPr>
              <w:spacing w:after="0"/>
              <w:rPr>
                <w:sz w:val="1"/>
                <w:szCs w:val="1"/>
                <w:color w:val="auto"/>
              </w:rPr>
            </w:pPr>
          </w:p>
        </w:tc>
      </w:tr>
      <w:tr>
        <w:trPr>
          <w:trHeight w:val="271"/>
        </w:trPr>
        <w:tc>
          <w:tcPr>
            <w:tcW w:w="3360" w:type="dxa"/>
            <w:vAlign w:val="bottom"/>
            <w:shd w:val="clear" w:color="auto" w:fill="D8D8D8"/>
          </w:tcPr>
          <w:p>
            <w:pPr>
              <w:ind w:left="40"/>
              <w:spacing w:after="0"/>
              <w:rPr>
                <w:sz w:val="20"/>
                <w:szCs w:val="20"/>
                <w:color w:val="auto"/>
              </w:rPr>
            </w:pPr>
            <w:r>
              <w:rPr>
                <w:rFonts w:ascii="Arial" w:cs="Arial" w:eastAsia="Arial" w:hAnsi="Arial"/>
                <w:sz w:val="18"/>
                <w:szCs w:val="18"/>
                <w:color w:val="auto"/>
              </w:rPr>
              <w:t>Income before income taxes</w:t>
            </w:r>
          </w:p>
        </w:tc>
        <w:tc>
          <w:tcPr>
            <w:tcW w:w="320" w:type="dxa"/>
            <w:vAlign w:val="bottom"/>
            <w:shd w:val="clear" w:color="auto" w:fill="D8D8D8"/>
          </w:tcPr>
          <w:p>
            <w:pPr>
              <w:spacing w:after="0"/>
              <w:rPr>
                <w:sz w:val="23"/>
                <w:szCs w:val="23"/>
                <w:color w:val="auto"/>
              </w:rPr>
            </w:pPr>
          </w:p>
        </w:tc>
        <w:tc>
          <w:tcPr>
            <w:tcW w:w="1260" w:type="dxa"/>
            <w:vAlign w:val="bottom"/>
            <w:shd w:val="clear" w:color="auto" w:fill="D8D8D8"/>
          </w:tcPr>
          <w:p>
            <w:pPr>
              <w:jc w:val="right"/>
              <w:ind w:right="151"/>
              <w:spacing w:after="0"/>
              <w:rPr>
                <w:sz w:val="20"/>
                <w:szCs w:val="20"/>
                <w:color w:val="auto"/>
              </w:rPr>
            </w:pPr>
            <w:r>
              <w:rPr>
                <w:rFonts w:ascii="Arial" w:cs="Arial" w:eastAsia="Arial" w:hAnsi="Arial"/>
                <w:sz w:val="18"/>
                <w:szCs w:val="18"/>
                <w:b w:val="1"/>
                <w:bCs w:val="1"/>
                <w:color w:val="auto"/>
              </w:rPr>
              <w:t>2,790.0</w:t>
            </w:r>
          </w:p>
        </w:tc>
        <w:tc>
          <w:tcPr>
            <w:tcW w:w="380" w:type="dxa"/>
            <w:vAlign w:val="bottom"/>
            <w:shd w:val="clear" w:color="auto" w:fill="D8D8D8"/>
          </w:tcPr>
          <w:p>
            <w:pPr>
              <w:spacing w:after="0"/>
              <w:rPr>
                <w:sz w:val="23"/>
                <w:szCs w:val="23"/>
                <w:color w:val="auto"/>
              </w:rPr>
            </w:pPr>
          </w:p>
        </w:tc>
        <w:tc>
          <w:tcPr>
            <w:tcW w:w="1260" w:type="dxa"/>
            <w:vAlign w:val="bottom"/>
            <w:shd w:val="clear" w:color="auto" w:fill="D8D8D8"/>
          </w:tcPr>
          <w:p>
            <w:pPr>
              <w:jc w:val="right"/>
              <w:ind w:right="171"/>
              <w:spacing w:after="0"/>
              <w:rPr>
                <w:sz w:val="20"/>
                <w:szCs w:val="20"/>
                <w:color w:val="auto"/>
              </w:rPr>
            </w:pPr>
            <w:r>
              <w:rPr>
                <w:rFonts w:ascii="Arial" w:cs="Arial" w:eastAsia="Arial" w:hAnsi="Arial"/>
                <w:sz w:val="18"/>
                <w:szCs w:val="18"/>
                <w:color w:val="auto"/>
              </w:rPr>
              <w:t>3,000.3</w:t>
            </w:r>
          </w:p>
        </w:tc>
        <w:tc>
          <w:tcPr>
            <w:tcW w:w="380" w:type="dxa"/>
            <w:vAlign w:val="bottom"/>
            <w:shd w:val="clear" w:color="auto" w:fill="D8D8D8"/>
          </w:tcPr>
          <w:p>
            <w:pPr>
              <w:spacing w:after="0"/>
              <w:rPr>
                <w:sz w:val="23"/>
                <w:szCs w:val="23"/>
                <w:color w:val="auto"/>
              </w:rPr>
            </w:pPr>
          </w:p>
        </w:tc>
        <w:tc>
          <w:tcPr>
            <w:tcW w:w="1240" w:type="dxa"/>
            <w:vAlign w:val="bottom"/>
            <w:shd w:val="clear" w:color="auto" w:fill="D8D8D8"/>
          </w:tcPr>
          <w:p>
            <w:pPr>
              <w:jc w:val="right"/>
              <w:ind w:right="151"/>
              <w:spacing w:after="0"/>
              <w:rPr>
                <w:sz w:val="20"/>
                <w:szCs w:val="20"/>
                <w:color w:val="auto"/>
              </w:rPr>
            </w:pPr>
            <w:r>
              <w:rPr>
                <w:rFonts w:ascii="Arial" w:cs="Arial" w:eastAsia="Arial" w:hAnsi="Arial"/>
                <w:sz w:val="18"/>
                <w:szCs w:val="18"/>
                <w:color w:val="auto"/>
              </w:rPr>
              <w:t>5,889.3</w:t>
            </w:r>
          </w:p>
        </w:tc>
        <w:tc>
          <w:tcPr>
            <w:tcW w:w="400" w:type="dxa"/>
            <w:vAlign w:val="bottom"/>
            <w:shd w:val="clear" w:color="auto" w:fill="D8D8D8"/>
          </w:tcPr>
          <w:p>
            <w:pPr>
              <w:spacing w:after="0"/>
              <w:rPr>
                <w:sz w:val="23"/>
                <w:szCs w:val="23"/>
                <w:color w:val="auto"/>
              </w:rPr>
            </w:pPr>
          </w:p>
        </w:tc>
        <w:tc>
          <w:tcPr>
            <w:tcW w:w="1240" w:type="dxa"/>
            <w:vAlign w:val="bottom"/>
            <w:shd w:val="clear" w:color="auto" w:fill="D8D8D8"/>
          </w:tcPr>
          <w:p>
            <w:pPr>
              <w:jc w:val="right"/>
              <w:ind w:right="151"/>
              <w:spacing w:after="0"/>
              <w:rPr>
                <w:sz w:val="20"/>
                <w:szCs w:val="20"/>
                <w:color w:val="auto"/>
              </w:rPr>
            </w:pPr>
            <w:r>
              <w:rPr>
                <w:rFonts w:ascii="Arial" w:cs="Arial" w:eastAsia="Arial" w:hAnsi="Arial"/>
                <w:sz w:val="18"/>
                <w:szCs w:val="18"/>
                <w:color w:val="auto"/>
              </w:rPr>
              <w:t>5,408.2</w:t>
            </w:r>
          </w:p>
        </w:tc>
        <w:tc>
          <w:tcPr>
            <w:tcW w:w="400" w:type="dxa"/>
            <w:vAlign w:val="bottom"/>
            <w:shd w:val="clear" w:color="auto" w:fill="D8D8D8"/>
          </w:tcPr>
          <w:p>
            <w:pPr>
              <w:spacing w:after="0"/>
              <w:rPr>
                <w:sz w:val="23"/>
                <w:szCs w:val="23"/>
                <w:color w:val="auto"/>
              </w:rPr>
            </w:pPr>
          </w:p>
        </w:tc>
        <w:tc>
          <w:tcPr>
            <w:tcW w:w="1180" w:type="dxa"/>
            <w:vAlign w:val="bottom"/>
            <w:shd w:val="clear" w:color="auto" w:fill="D8D8D8"/>
          </w:tcPr>
          <w:p>
            <w:pPr>
              <w:jc w:val="right"/>
              <w:ind w:right="91"/>
              <w:spacing w:after="0"/>
              <w:rPr>
                <w:sz w:val="20"/>
                <w:szCs w:val="20"/>
                <w:color w:val="auto"/>
              </w:rPr>
            </w:pPr>
            <w:r>
              <w:rPr>
                <w:rFonts w:ascii="Arial" w:cs="Arial" w:eastAsia="Arial" w:hAnsi="Arial"/>
                <w:sz w:val="18"/>
                <w:szCs w:val="18"/>
                <w:color w:val="auto"/>
              </w:rPr>
              <w:t>5,349.5</w:t>
            </w:r>
          </w:p>
        </w:tc>
        <w:tc>
          <w:tcPr>
            <w:tcW w:w="0" w:type="dxa"/>
            <w:vAlign w:val="bottom"/>
          </w:tcPr>
          <w:p>
            <w:pPr>
              <w:spacing w:after="0"/>
              <w:rPr>
                <w:sz w:val="1"/>
                <w:szCs w:val="1"/>
                <w:color w:val="auto"/>
              </w:rPr>
            </w:pPr>
          </w:p>
        </w:tc>
      </w:tr>
      <w:tr>
        <w:trPr>
          <w:trHeight w:val="269"/>
        </w:trPr>
        <w:tc>
          <w:tcPr>
            <w:tcW w:w="3360" w:type="dxa"/>
            <w:vAlign w:val="bottom"/>
          </w:tcPr>
          <w:p>
            <w:pPr>
              <w:ind w:left="40"/>
              <w:spacing w:after="0"/>
              <w:rPr>
                <w:sz w:val="20"/>
                <w:szCs w:val="20"/>
                <w:color w:val="auto"/>
              </w:rPr>
            </w:pPr>
            <w:r>
              <w:rPr>
                <w:rFonts w:ascii="Arial" w:cs="Arial" w:eastAsia="Arial" w:hAnsi="Arial"/>
                <w:sz w:val="18"/>
                <w:szCs w:val="18"/>
                <w:color w:val="auto"/>
              </w:rPr>
              <w:t>Income taxes</w:t>
            </w:r>
          </w:p>
        </w:tc>
        <w:tc>
          <w:tcPr>
            <w:tcW w:w="320" w:type="dxa"/>
            <w:vAlign w:val="bottom"/>
          </w:tcPr>
          <w:p>
            <w:pPr>
              <w:spacing w:after="0"/>
              <w:rPr>
                <w:sz w:val="23"/>
                <w:szCs w:val="23"/>
                <w:color w:val="auto"/>
              </w:rPr>
            </w:pPr>
          </w:p>
        </w:tc>
        <w:tc>
          <w:tcPr>
            <w:tcW w:w="1260" w:type="dxa"/>
            <w:vAlign w:val="bottom"/>
          </w:tcPr>
          <w:p>
            <w:pPr>
              <w:jc w:val="right"/>
              <w:ind w:right="151"/>
              <w:spacing w:after="0"/>
              <w:rPr>
                <w:sz w:val="20"/>
                <w:szCs w:val="20"/>
                <w:color w:val="auto"/>
              </w:rPr>
            </w:pPr>
            <w:r>
              <w:rPr>
                <w:rFonts w:ascii="Arial" w:cs="Arial" w:eastAsia="Arial" w:hAnsi="Arial"/>
                <w:sz w:val="18"/>
                <w:szCs w:val="18"/>
                <w:b w:val="1"/>
                <w:bCs w:val="1"/>
                <w:color w:val="auto"/>
              </w:rPr>
              <w:t>381.6</w:t>
            </w:r>
          </w:p>
        </w:tc>
        <w:tc>
          <w:tcPr>
            <w:tcW w:w="380" w:type="dxa"/>
            <w:vAlign w:val="bottom"/>
          </w:tcPr>
          <w:p>
            <w:pPr>
              <w:spacing w:after="0"/>
              <w:rPr>
                <w:sz w:val="23"/>
                <w:szCs w:val="23"/>
                <w:color w:val="auto"/>
              </w:rPr>
            </w:pPr>
          </w:p>
        </w:tc>
        <w:tc>
          <w:tcPr>
            <w:tcW w:w="1260" w:type="dxa"/>
            <w:vAlign w:val="bottom"/>
          </w:tcPr>
          <w:p>
            <w:pPr>
              <w:jc w:val="right"/>
              <w:ind w:right="171"/>
              <w:spacing w:after="0"/>
              <w:rPr>
                <w:sz w:val="20"/>
                <w:szCs w:val="20"/>
                <w:color w:val="auto"/>
              </w:rPr>
            </w:pPr>
            <w:r>
              <w:rPr>
                <w:rFonts w:ascii="Arial" w:cs="Arial" w:eastAsia="Arial" w:hAnsi="Arial"/>
                <w:sz w:val="18"/>
                <w:szCs w:val="18"/>
                <w:color w:val="auto"/>
              </w:rPr>
              <w:t>609.8</w:t>
            </w:r>
          </w:p>
        </w:tc>
        <w:tc>
          <w:tcPr>
            <w:tcW w:w="380" w:type="dxa"/>
            <w:vAlign w:val="bottom"/>
          </w:tcPr>
          <w:p>
            <w:pPr>
              <w:spacing w:after="0"/>
              <w:rPr>
                <w:sz w:val="23"/>
                <w:szCs w:val="23"/>
                <w:color w:val="auto"/>
              </w:rPr>
            </w:pPr>
          </w:p>
        </w:tc>
        <w:tc>
          <w:tcPr>
            <w:tcW w:w="1240" w:type="dxa"/>
            <w:vAlign w:val="bottom"/>
          </w:tcPr>
          <w:p>
            <w:pPr>
              <w:jc w:val="right"/>
              <w:ind w:right="151"/>
              <w:spacing w:after="0"/>
              <w:rPr>
                <w:sz w:val="20"/>
                <w:szCs w:val="20"/>
                <w:color w:val="auto"/>
              </w:rPr>
            </w:pPr>
            <w:r>
              <w:rPr>
                <w:rFonts w:ascii="Arial" w:cs="Arial" w:eastAsia="Arial" w:hAnsi="Arial"/>
                <w:sz w:val="18"/>
                <w:szCs w:val="18"/>
                <w:color w:val="auto"/>
              </w:rPr>
              <w:t>1,204.5</w:t>
            </w:r>
          </w:p>
        </w:tc>
        <w:tc>
          <w:tcPr>
            <w:tcW w:w="400" w:type="dxa"/>
            <w:vAlign w:val="bottom"/>
          </w:tcPr>
          <w:p>
            <w:pPr>
              <w:spacing w:after="0"/>
              <w:rPr>
                <w:sz w:val="23"/>
                <w:szCs w:val="23"/>
                <w:color w:val="auto"/>
              </w:rPr>
            </w:pPr>
          </w:p>
        </w:tc>
        <w:tc>
          <w:tcPr>
            <w:tcW w:w="1240" w:type="dxa"/>
            <w:vAlign w:val="bottom"/>
          </w:tcPr>
          <w:p>
            <w:pPr>
              <w:jc w:val="right"/>
              <w:ind w:right="151"/>
              <w:spacing w:after="0"/>
              <w:rPr>
                <w:sz w:val="20"/>
                <w:szCs w:val="20"/>
                <w:color w:val="auto"/>
              </w:rPr>
            </w:pPr>
            <w:r>
              <w:rPr>
                <w:rFonts w:ascii="Arial" w:cs="Arial" w:eastAsia="Arial" w:hAnsi="Arial"/>
                <w:sz w:val="18"/>
                <w:szCs w:val="18"/>
                <w:color w:val="auto"/>
              </w:rPr>
              <w:t>1,319.6</w:t>
            </w:r>
          </w:p>
        </w:tc>
        <w:tc>
          <w:tcPr>
            <w:tcW w:w="400" w:type="dxa"/>
            <w:vAlign w:val="bottom"/>
          </w:tcPr>
          <w:p>
            <w:pPr>
              <w:spacing w:after="0"/>
              <w:rPr>
                <w:sz w:val="23"/>
                <w:szCs w:val="23"/>
                <w:color w:val="auto"/>
              </w:rPr>
            </w:pPr>
          </w:p>
        </w:tc>
        <w:tc>
          <w:tcPr>
            <w:tcW w:w="1180" w:type="dxa"/>
            <w:vAlign w:val="bottom"/>
          </w:tcPr>
          <w:p>
            <w:pPr>
              <w:jc w:val="right"/>
              <w:ind w:right="91"/>
              <w:spacing w:after="0"/>
              <w:rPr>
                <w:sz w:val="20"/>
                <w:szCs w:val="20"/>
                <w:color w:val="auto"/>
              </w:rPr>
            </w:pPr>
            <w:r>
              <w:rPr>
                <w:rFonts w:ascii="Arial" w:cs="Arial" w:eastAsia="Arial" w:hAnsi="Arial"/>
                <w:sz w:val="18"/>
                <w:szCs w:val="18"/>
                <w:color w:val="auto"/>
              </w:rPr>
              <w:t>1,001.8</w:t>
            </w:r>
          </w:p>
        </w:tc>
        <w:tc>
          <w:tcPr>
            <w:tcW w:w="0" w:type="dxa"/>
            <w:vAlign w:val="bottom"/>
          </w:tcPr>
          <w:p>
            <w:pPr>
              <w:spacing w:after="0"/>
              <w:rPr>
                <w:sz w:val="1"/>
                <w:szCs w:val="1"/>
                <w:color w:val="auto"/>
              </w:rPr>
            </w:pPr>
          </w:p>
        </w:tc>
      </w:tr>
      <w:tr>
        <w:trPr>
          <w:trHeight w:val="271"/>
        </w:trPr>
        <w:tc>
          <w:tcPr>
            <w:tcW w:w="3360" w:type="dxa"/>
            <w:vAlign w:val="bottom"/>
            <w:shd w:val="clear" w:color="auto" w:fill="D8D8D8"/>
          </w:tcPr>
          <w:p>
            <w:pPr>
              <w:ind w:left="40"/>
              <w:spacing w:after="0"/>
              <w:rPr>
                <w:sz w:val="20"/>
                <w:szCs w:val="20"/>
                <w:color w:val="auto"/>
              </w:rPr>
            </w:pPr>
            <w:r>
              <w:rPr>
                <w:rFonts w:ascii="Arial" w:cs="Arial" w:eastAsia="Arial" w:hAnsi="Arial"/>
                <w:sz w:val="18"/>
                <w:szCs w:val="18"/>
                <w:color w:val="auto"/>
              </w:rPr>
              <w:t>Net income</w:t>
            </w:r>
          </w:p>
        </w:tc>
        <w:tc>
          <w:tcPr>
            <w:tcW w:w="320" w:type="dxa"/>
            <w:vAlign w:val="bottom"/>
            <w:shd w:val="clear" w:color="auto" w:fill="D8D8D8"/>
          </w:tcPr>
          <w:p>
            <w:pPr>
              <w:spacing w:after="0"/>
              <w:rPr>
                <w:sz w:val="23"/>
                <w:szCs w:val="23"/>
                <w:color w:val="auto"/>
              </w:rPr>
            </w:pPr>
          </w:p>
        </w:tc>
        <w:tc>
          <w:tcPr>
            <w:tcW w:w="1260" w:type="dxa"/>
            <w:vAlign w:val="bottom"/>
            <w:shd w:val="clear" w:color="auto" w:fill="D8D8D8"/>
          </w:tcPr>
          <w:p>
            <w:pPr>
              <w:jc w:val="right"/>
              <w:ind w:right="151"/>
              <w:spacing w:after="0"/>
              <w:rPr>
                <w:sz w:val="20"/>
                <w:szCs w:val="20"/>
                <w:color w:val="auto"/>
              </w:rPr>
            </w:pPr>
            <w:r>
              <w:rPr>
                <w:rFonts w:ascii="Arial" w:cs="Arial" w:eastAsia="Arial" w:hAnsi="Arial"/>
                <w:sz w:val="18"/>
                <w:szCs w:val="18"/>
                <w:b w:val="1"/>
                <w:bCs w:val="1"/>
                <w:color w:val="auto"/>
              </w:rPr>
              <w:t>2,408.4</w:t>
            </w:r>
          </w:p>
        </w:tc>
        <w:tc>
          <w:tcPr>
            <w:tcW w:w="380" w:type="dxa"/>
            <w:vAlign w:val="bottom"/>
            <w:shd w:val="clear" w:color="auto" w:fill="D8D8D8"/>
          </w:tcPr>
          <w:p>
            <w:pPr>
              <w:spacing w:after="0"/>
              <w:rPr>
                <w:sz w:val="23"/>
                <w:szCs w:val="23"/>
                <w:color w:val="auto"/>
              </w:rPr>
            </w:pPr>
          </w:p>
        </w:tc>
        <w:tc>
          <w:tcPr>
            <w:tcW w:w="1260" w:type="dxa"/>
            <w:vAlign w:val="bottom"/>
            <w:shd w:val="clear" w:color="auto" w:fill="D8D8D8"/>
          </w:tcPr>
          <w:p>
            <w:pPr>
              <w:jc w:val="right"/>
              <w:ind w:right="171"/>
              <w:spacing w:after="0"/>
              <w:rPr>
                <w:sz w:val="20"/>
                <w:szCs w:val="20"/>
                <w:color w:val="auto"/>
              </w:rPr>
            </w:pPr>
            <w:r>
              <w:rPr>
                <w:rFonts w:ascii="Arial" w:cs="Arial" w:eastAsia="Arial" w:hAnsi="Arial"/>
                <w:sz w:val="18"/>
                <w:szCs w:val="18"/>
                <w:color w:val="auto"/>
              </w:rPr>
              <w:t>2,390.5</w:t>
            </w:r>
          </w:p>
        </w:tc>
        <w:tc>
          <w:tcPr>
            <w:tcW w:w="380" w:type="dxa"/>
            <w:vAlign w:val="bottom"/>
            <w:shd w:val="clear" w:color="auto" w:fill="D8D8D8"/>
          </w:tcPr>
          <w:p>
            <w:pPr>
              <w:spacing w:after="0"/>
              <w:rPr>
                <w:sz w:val="23"/>
                <w:szCs w:val="23"/>
                <w:color w:val="auto"/>
              </w:rPr>
            </w:pPr>
          </w:p>
        </w:tc>
        <w:tc>
          <w:tcPr>
            <w:tcW w:w="1240" w:type="dxa"/>
            <w:vAlign w:val="bottom"/>
            <w:shd w:val="clear" w:color="auto" w:fill="D8D8D8"/>
          </w:tcPr>
          <w:p>
            <w:pPr>
              <w:jc w:val="right"/>
              <w:ind w:right="151"/>
              <w:spacing w:after="0"/>
              <w:rPr>
                <w:sz w:val="20"/>
                <w:szCs w:val="20"/>
                <w:color w:val="auto"/>
              </w:rPr>
            </w:pPr>
            <w:r>
              <w:rPr>
                <w:rFonts w:ascii="Arial" w:cs="Arial" w:eastAsia="Arial" w:hAnsi="Arial"/>
                <w:sz w:val="18"/>
                <w:szCs w:val="18"/>
                <w:color w:val="auto"/>
              </w:rPr>
              <w:t>4,684.8</w:t>
            </w:r>
          </w:p>
        </w:tc>
        <w:tc>
          <w:tcPr>
            <w:tcW w:w="400" w:type="dxa"/>
            <w:vAlign w:val="bottom"/>
            <w:shd w:val="clear" w:color="auto" w:fill="D8D8D8"/>
          </w:tcPr>
          <w:p>
            <w:pPr>
              <w:spacing w:after="0"/>
              <w:rPr>
                <w:sz w:val="23"/>
                <w:szCs w:val="23"/>
                <w:color w:val="auto"/>
              </w:rPr>
            </w:pPr>
          </w:p>
        </w:tc>
        <w:tc>
          <w:tcPr>
            <w:tcW w:w="1240" w:type="dxa"/>
            <w:vAlign w:val="bottom"/>
            <w:shd w:val="clear" w:color="auto" w:fill="D8D8D8"/>
          </w:tcPr>
          <w:p>
            <w:pPr>
              <w:jc w:val="right"/>
              <w:ind w:right="151"/>
              <w:spacing w:after="0"/>
              <w:rPr>
                <w:sz w:val="20"/>
                <w:szCs w:val="20"/>
                <w:color w:val="auto"/>
              </w:rPr>
            </w:pPr>
            <w:r>
              <w:rPr>
                <w:rFonts w:ascii="Arial" w:cs="Arial" w:eastAsia="Arial" w:hAnsi="Arial"/>
                <w:sz w:val="18"/>
                <w:szCs w:val="18"/>
                <w:color w:val="auto"/>
              </w:rPr>
              <w:t>4,088.6</w:t>
            </w:r>
          </w:p>
        </w:tc>
        <w:tc>
          <w:tcPr>
            <w:tcW w:w="400" w:type="dxa"/>
            <w:vAlign w:val="bottom"/>
            <w:shd w:val="clear" w:color="auto" w:fill="D8D8D8"/>
          </w:tcPr>
          <w:p>
            <w:pPr>
              <w:spacing w:after="0"/>
              <w:rPr>
                <w:sz w:val="23"/>
                <w:szCs w:val="23"/>
                <w:color w:val="auto"/>
              </w:rPr>
            </w:pPr>
          </w:p>
        </w:tc>
        <w:tc>
          <w:tcPr>
            <w:tcW w:w="1180" w:type="dxa"/>
            <w:vAlign w:val="bottom"/>
            <w:shd w:val="clear" w:color="auto" w:fill="D8D8D8"/>
          </w:tcPr>
          <w:p>
            <w:pPr>
              <w:jc w:val="right"/>
              <w:ind w:right="91"/>
              <w:spacing w:after="0"/>
              <w:rPr>
                <w:sz w:val="20"/>
                <w:szCs w:val="20"/>
                <w:color w:val="auto"/>
              </w:rPr>
            </w:pPr>
            <w:r>
              <w:rPr>
                <w:rFonts w:ascii="Arial" w:cs="Arial" w:eastAsia="Arial" w:hAnsi="Arial"/>
                <w:sz w:val="18"/>
                <w:szCs w:val="18"/>
                <w:color w:val="auto"/>
              </w:rPr>
              <w:t>4,347.7</w:t>
            </w:r>
          </w:p>
        </w:tc>
        <w:tc>
          <w:tcPr>
            <w:tcW w:w="0" w:type="dxa"/>
            <w:vAlign w:val="bottom"/>
          </w:tcPr>
          <w:p>
            <w:pPr>
              <w:spacing w:after="0"/>
              <w:rPr>
                <w:sz w:val="1"/>
                <w:szCs w:val="1"/>
                <w:color w:val="auto"/>
              </w:rPr>
            </w:pPr>
          </w:p>
        </w:tc>
      </w:tr>
      <w:tr>
        <w:trPr>
          <w:trHeight w:val="269"/>
        </w:trPr>
        <w:tc>
          <w:tcPr>
            <w:tcW w:w="3360" w:type="dxa"/>
            <w:vAlign w:val="bottom"/>
          </w:tcPr>
          <w:p>
            <w:pPr>
              <w:ind w:left="40"/>
              <w:spacing w:after="0"/>
              <w:rPr>
                <w:sz w:val="20"/>
                <w:szCs w:val="20"/>
                <w:color w:val="auto"/>
              </w:rPr>
            </w:pPr>
            <w:r>
              <w:rPr>
                <w:rFonts w:ascii="Arial" w:cs="Arial" w:eastAsia="Arial" w:hAnsi="Arial"/>
                <w:sz w:val="18"/>
                <w:szCs w:val="18"/>
                <w:color w:val="auto"/>
              </w:rPr>
              <w:t>Net income as a percent of revenue</w:t>
            </w:r>
          </w:p>
        </w:tc>
        <w:tc>
          <w:tcPr>
            <w:tcW w:w="3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12.1%</w:t>
            </w:r>
          </w:p>
        </w:tc>
        <w:tc>
          <w:tcPr>
            <w:tcW w:w="38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12.2%</w:t>
            </w:r>
          </w:p>
        </w:tc>
        <w:tc>
          <w:tcPr>
            <w:tcW w:w="38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20.3%</w:t>
            </w:r>
          </w:p>
        </w:tc>
        <w:tc>
          <w:tcPr>
            <w:tcW w:w="40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18.1%</w:t>
            </w:r>
          </w:p>
        </w:tc>
        <w:tc>
          <w:tcPr>
            <w:tcW w:w="4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71"/>
        </w:trPr>
        <w:tc>
          <w:tcPr>
            <w:tcW w:w="3360" w:type="dxa"/>
            <w:vAlign w:val="bottom"/>
            <w:shd w:val="clear" w:color="auto" w:fill="D8D8D8"/>
          </w:tcPr>
          <w:p>
            <w:pPr>
              <w:ind w:left="40"/>
              <w:spacing w:after="0"/>
              <w:rPr>
                <w:sz w:val="20"/>
                <w:szCs w:val="20"/>
                <w:color w:val="auto"/>
              </w:rPr>
            </w:pPr>
            <w:r>
              <w:rPr>
                <w:rFonts w:ascii="Arial" w:cs="Arial" w:eastAsia="Arial" w:hAnsi="Arial"/>
                <w:sz w:val="18"/>
                <w:szCs w:val="18"/>
                <w:color w:val="auto"/>
              </w:rPr>
              <w:t>Net income per share—diluted</w:t>
            </w:r>
          </w:p>
        </w:tc>
        <w:tc>
          <w:tcPr>
            <w:tcW w:w="320" w:type="dxa"/>
            <w:vAlign w:val="bottom"/>
            <w:shd w:val="clear" w:color="auto" w:fill="D8D8D8"/>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260" w:type="dxa"/>
            <w:vAlign w:val="bottom"/>
            <w:shd w:val="clear" w:color="auto" w:fill="D8D8D8"/>
          </w:tcPr>
          <w:p>
            <w:pPr>
              <w:jc w:val="right"/>
              <w:ind w:right="151"/>
              <w:spacing w:after="0"/>
              <w:rPr>
                <w:sz w:val="20"/>
                <w:szCs w:val="20"/>
                <w:color w:val="auto"/>
              </w:rPr>
            </w:pPr>
            <w:r>
              <w:rPr>
                <w:rFonts w:ascii="Arial" w:cs="Arial" w:eastAsia="Arial" w:hAnsi="Arial"/>
                <w:sz w:val="18"/>
                <w:szCs w:val="18"/>
                <w:b w:val="1"/>
                <w:bCs w:val="1"/>
                <w:color w:val="auto"/>
              </w:rPr>
              <w:t>2.26</w:t>
            </w:r>
          </w:p>
        </w:tc>
        <w:tc>
          <w:tcPr>
            <w:tcW w:w="380" w:type="dxa"/>
            <w:vAlign w:val="bottom"/>
            <w:shd w:val="clear" w:color="auto" w:fill="D8D8D8"/>
          </w:tcPr>
          <w:p>
            <w:pPr>
              <w:jc w:val="right"/>
              <w:ind w:right="110"/>
              <w:spacing w:after="0"/>
              <w:rPr>
                <w:sz w:val="20"/>
                <w:szCs w:val="20"/>
                <w:color w:val="auto"/>
              </w:rPr>
            </w:pPr>
            <w:r>
              <w:rPr>
                <w:rFonts w:ascii="Arial" w:cs="Arial" w:eastAsia="Arial" w:hAnsi="Arial"/>
                <w:sz w:val="18"/>
                <w:szCs w:val="18"/>
                <w:color w:val="auto"/>
              </w:rPr>
              <w:t>$</w:t>
            </w:r>
          </w:p>
        </w:tc>
        <w:tc>
          <w:tcPr>
            <w:tcW w:w="1260" w:type="dxa"/>
            <w:vAlign w:val="bottom"/>
            <w:shd w:val="clear" w:color="auto" w:fill="D8D8D8"/>
          </w:tcPr>
          <w:p>
            <w:pPr>
              <w:jc w:val="right"/>
              <w:ind w:right="171"/>
              <w:spacing w:after="0"/>
              <w:rPr>
                <w:sz w:val="20"/>
                <w:szCs w:val="20"/>
                <w:color w:val="auto"/>
              </w:rPr>
            </w:pPr>
            <w:r>
              <w:rPr>
                <w:rFonts w:ascii="Arial" w:cs="Arial" w:eastAsia="Arial" w:hAnsi="Arial"/>
                <w:sz w:val="18"/>
                <w:szCs w:val="18"/>
                <w:color w:val="auto"/>
              </w:rPr>
              <w:t>2.23</w:t>
            </w:r>
          </w:p>
        </w:tc>
        <w:tc>
          <w:tcPr>
            <w:tcW w:w="380" w:type="dxa"/>
            <w:vAlign w:val="bottom"/>
            <w:shd w:val="clear" w:color="auto" w:fill="D8D8D8"/>
          </w:tcPr>
          <w:p>
            <w:pPr>
              <w:jc w:val="right"/>
              <w:ind w:right="110"/>
              <w:spacing w:after="0"/>
              <w:rPr>
                <w:sz w:val="20"/>
                <w:szCs w:val="20"/>
                <w:color w:val="auto"/>
              </w:rPr>
            </w:pPr>
            <w:r>
              <w:rPr>
                <w:rFonts w:ascii="Arial" w:cs="Arial" w:eastAsia="Arial" w:hAnsi="Arial"/>
                <w:sz w:val="18"/>
                <w:szCs w:val="18"/>
                <w:color w:val="auto"/>
              </w:rPr>
              <w:t>$</w:t>
            </w:r>
          </w:p>
        </w:tc>
        <w:tc>
          <w:tcPr>
            <w:tcW w:w="1240" w:type="dxa"/>
            <w:vAlign w:val="bottom"/>
            <w:shd w:val="clear" w:color="auto" w:fill="D8D8D8"/>
          </w:tcPr>
          <w:p>
            <w:pPr>
              <w:jc w:val="right"/>
              <w:ind w:right="151"/>
              <w:spacing w:after="0"/>
              <w:rPr>
                <w:sz w:val="20"/>
                <w:szCs w:val="20"/>
                <w:color w:val="auto"/>
              </w:rPr>
            </w:pPr>
            <w:r>
              <w:rPr>
                <w:rFonts w:ascii="Arial" w:cs="Arial" w:eastAsia="Arial" w:hAnsi="Arial"/>
                <w:sz w:val="18"/>
                <w:szCs w:val="18"/>
                <w:color w:val="auto"/>
              </w:rPr>
              <w:t>4.32</w:t>
            </w:r>
          </w:p>
        </w:tc>
        <w:tc>
          <w:tcPr>
            <w:tcW w:w="400" w:type="dxa"/>
            <w:vAlign w:val="bottom"/>
            <w:shd w:val="clear" w:color="auto" w:fill="D8D8D8"/>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shd w:val="clear" w:color="auto" w:fill="D8D8D8"/>
          </w:tcPr>
          <w:p>
            <w:pPr>
              <w:jc w:val="right"/>
              <w:ind w:right="151"/>
              <w:spacing w:after="0"/>
              <w:rPr>
                <w:sz w:val="20"/>
                <w:szCs w:val="20"/>
                <w:color w:val="auto"/>
              </w:rPr>
            </w:pPr>
            <w:r>
              <w:rPr>
                <w:rFonts w:ascii="Arial" w:cs="Arial" w:eastAsia="Arial" w:hAnsi="Arial"/>
                <w:sz w:val="18"/>
                <w:szCs w:val="18"/>
                <w:color w:val="auto"/>
              </w:rPr>
              <w:t>3.66</w:t>
            </w:r>
          </w:p>
        </w:tc>
        <w:tc>
          <w:tcPr>
            <w:tcW w:w="400" w:type="dxa"/>
            <w:vAlign w:val="bottom"/>
            <w:shd w:val="clear" w:color="auto" w:fill="D8D8D8"/>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shd w:val="clear" w:color="auto" w:fill="D8D8D8"/>
          </w:tcPr>
          <w:p>
            <w:pPr>
              <w:jc w:val="right"/>
              <w:ind w:right="91"/>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269"/>
        </w:trPr>
        <w:tc>
          <w:tcPr>
            <w:tcW w:w="3360" w:type="dxa"/>
            <w:vAlign w:val="bottom"/>
          </w:tcPr>
          <w:p>
            <w:pPr>
              <w:ind w:left="40"/>
              <w:spacing w:after="0"/>
              <w:rPr>
                <w:sz w:val="20"/>
                <w:szCs w:val="20"/>
                <w:color w:val="auto"/>
              </w:rPr>
            </w:pPr>
            <w:r>
              <w:rPr>
                <w:rFonts w:ascii="Arial" w:cs="Arial" w:eastAsia="Arial" w:hAnsi="Arial"/>
                <w:sz w:val="18"/>
                <w:szCs w:val="18"/>
                <w:color w:val="auto"/>
              </w:rPr>
              <w:t>Dividends declared per share</w:t>
            </w:r>
          </w:p>
        </w:tc>
        <w:tc>
          <w:tcPr>
            <w:tcW w:w="320" w:type="dxa"/>
            <w:vAlign w:val="bottom"/>
          </w:tcPr>
          <w:p>
            <w:pPr>
              <w:spacing w:after="0"/>
              <w:rPr>
                <w:sz w:val="23"/>
                <w:szCs w:val="23"/>
                <w:color w:val="auto"/>
              </w:rPr>
            </w:pPr>
          </w:p>
        </w:tc>
        <w:tc>
          <w:tcPr>
            <w:tcW w:w="1260" w:type="dxa"/>
            <w:vAlign w:val="bottom"/>
          </w:tcPr>
          <w:p>
            <w:pPr>
              <w:jc w:val="right"/>
              <w:ind w:right="151"/>
              <w:spacing w:after="0"/>
              <w:rPr>
                <w:sz w:val="20"/>
                <w:szCs w:val="20"/>
                <w:color w:val="auto"/>
              </w:rPr>
            </w:pPr>
            <w:r>
              <w:rPr>
                <w:rFonts w:ascii="Arial" w:cs="Arial" w:eastAsia="Arial" w:hAnsi="Arial"/>
                <w:sz w:val="18"/>
                <w:szCs w:val="18"/>
                <w:b w:val="1"/>
                <w:bCs w:val="1"/>
                <w:color w:val="auto"/>
              </w:rPr>
              <w:t>2.01</w:t>
            </w:r>
          </w:p>
        </w:tc>
        <w:tc>
          <w:tcPr>
            <w:tcW w:w="380" w:type="dxa"/>
            <w:vAlign w:val="bottom"/>
          </w:tcPr>
          <w:p>
            <w:pPr>
              <w:spacing w:after="0"/>
              <w:rPr>
                <w:sz w:val="23"/>
                <w:szCs w:val="23"/>
                <w:color w:val="auto"/>
              </w:rPr>
            </w:pPr>
          </w:p>
        </w:tc>
        <w:tc>
          <w:tcPr>
            <w:tcW w:w="1260" w:type="dxa"/>
            <w:vAlign w:val="bottom"/>
          </w:tcPr>
          <w:p>
            <w:pPr>
              <w:jc w:val="right"/>
              <w:ind w:right="171"/>
              <w:spacing w:after="0"/>
              <w:rPr>
                <w:sz w:val="20"/>
                <w:szCs w:val="20"/>
                <w:color w:val="auto"/>
              </w:rPr>
            </w:pPr>
            <w:r>
              <w:rPr>
                <w:rFonts w:ascii="Arial" w:cs="Arial" w:eastAsia="Arial" w:hAnsi="Arial"/>
                <w:sz w:val="18"/>
                <w:szCs w:val="18"/>
                <w:color w:val="auto"/>
              </w:rPr>
              <w:t>1.97</w:t>
            </w:r>
          </w:p>
        </w:tc>
        <w:tc>
          <w:tcPr>
            <w:tcW w:w="380" w:type="dxa"/>
            <w:vAlign w:val="bottom"/>
          </w:tcPr>
          <w:p>
            <w:pPr>
              <w:spacing w:after="0"/>
              <w:rPr>
                <w:sz w:val="23"/>
                <w:szCs w:val="23"/>
                <w:color w:val="auto"/>
              </w:rPr>
            </w:pPr>
          </w:p>
        </w:tc>
        <w:tc>
          <w:tcPr>
            <w:tcW w:w="1240" w:type="dxa"/>
            <w:vAlign w:val="bottom"/>
          </w:tcPr>
          <w:p>
            <w:pPr>
              <w:jc w:val="right"/>
              <w:ind w:right="151"/>
              <w:spacing w:after="0"/>
              <w:rPr>
                <w:sz w:val="20"/>
                <w:szCs w:val="20"/>
                <w:color w:val="auto"/>
              </w:rPr>
            </w:pPr>
            <w:r>
              <w:rPr>
                <w:rFonts w:ascii="Arial" w:cs="Arial" w:eastAsia="Arial" w:hAnsi="Arial"/>
                <w:sz w:val="18"/>
                <w:szCs w:val="18"/>
                <w:color w:val="auto"/>
              </w:rPr>
              <w:t>1.96</w:t>
            </w:r>
          </w:p>
        </w:tc>
        <w:tc>
          <w:tcPr>
            <w:tcW w:w="400" w:type="dxa"/>
            <w:vAlign w:val="bottom"/>
          </w:tcPr>
          <w:p>
            <w:pPr>
              <w:spacing w:after="0"/>
              <w:rPr>
                <w:sz w:val="23"/>
                <w:szCs w:val="23"/>
                <w:color w:val="auto"/>
              </w:rPr>
            </w:pPr>
          </w:p>
        </w:tc>
        <w:tc>
          <w:tcPr>
            <w:tcW w:w="1240" w:type="dxa"/>
            <w:vAlign w:val="bottom"/>
          </w:tcPr>
          <w:p>
            <w:pPr>
              <w:jc w:val="right"/>
              <w:ind w:right="151"/>
              <w:spacing w:after="0"/>
              <w:rPr>
                <w:sz w:val="20"/>
                <w:szCs w:val="20"/>
                <w:color w:val="auto"/>
              </w:rPr>
            </w:pPr>
            <w:r>
              <w:rPr>
                <w:rFonts w:ascii="Arial" w:cs="Arial" w:eastAsia="Arial" w:hAnsi="Arial"/>
                <w:sz w:val="18"/>
                <w:szCs w:val="18"/>
                <w:color w:val="auto"/>
              </w:rPr>
              <w:t>1.96</w:t>
            </w:r>
          </w:p>
        </w:tc>
        <w:tc>
          <w:tcPr>
            <w:tcW w:w="400" w:type="dxa"/>
            <w:vAlign w:val="bottom"/>
          </w:tcPr>
          <w:p>
            <w:pPr>
              <w:spacing w:after="0"/>
              <w:rPr>
                <w:sz w:val="23"/>
                <w:szCs w:val="23"/>
                <w:color w:val="auto"/>
              </w:rPr>
            </w:pPr>
          </w:p>
        </w:tc>
        <w:tc>
          <w:tcPr>
            <w:tcW w:w="1180" w:type="dxa"/>
            <w:vAlign w:val="bottom"/>
          </w:tcPr>
          <w:p>
            <w:pPr>
              <w:jc w:val="right"/>
              <w:ind w:right="91"/>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07"/>
        </w:trPr>
        <w:tc>
          <w:tcPr>
            <w:tcW w:w="3360" w:type="dxa"/>
            <w:vAlign w:val="bottom"/>
            <w:shd w:val="clear" w:color="auto" w:fill="D8D8D8"/>
          </w:tcPr>
          <w:p>
            <w:pPr>
              <w:ind w:left="40"/>
              <w:spacing w:after="0"/>
              <w:rPr>
                <w:sz w:val="20"/>
                <w:szCs w:val="20"/>
                <w:color w:val="auto"/>
              </w:rPr>
            </w:pPr>
            <w:r>
              <w:rPr>
                <w:rFonts w:ascii="Arial" w:cs="Arial" w:eastAsia="Arial" w:hAnsi="Arial"/>
                <w:sz w:val="18"/>
                <w:szCs w:val="18"/>
                <w:color w:val="auto"/>
              </w:rPr>
              <w:t>Weighted-average number of shares</w:t>
            </w:r>
          </w:p>
        </w:tc>
        <w:tc>
          <w:tcPr>
            <w:tcW w:w="320" w:type="dxa"/>
            <w:vAlign w:val="bottom"/>
            <w:shd w:val="clear" w:color="auto" w:fill="D8D8D8"/>
          </w:tcPr>
          <w:p>
            <w:pPr>
              <w:spacing w:after="0"/>
              <w:rPr>
                <w:sz w:val="18"/>
                <w:szCs w:val="18"/>
                <w:color w:val="auto"/>
              </w:rPr>
            </w:pPr>
          </w:p>
        </w:tc>
        <w:tc>
          <w:tcPr>
            <w:tcW w:w="1260" w:type="dxa"/>
            <w:vAlign w:val="bottom"/>
            <w:vMerge w:val="restart"/>
            <w:shd w:val="clear" w:color="auto" w:fill="D8D8D8"/>
          </w:tcPr>
          <w:p>
            <w:pPr>
              <w:jc w:val="right"/>
              <w:ind w:right="151"/>
              <w:spacing w:after="0"/>
              <w:rPr>
                <w:sz w:val="20"/>
                <w:szCs w:val="20"/>
                <w:color w:val="auto"/>
              </w:rPr>
            </w:pPr>
            <w:r>
              <w:rPr>
                <w:rFonts w:ascii="Arial" w:cs="Arial" w:eastAsia="Arial" w:hAnsi="Arial"/>
                <w:sz w:val="18"/>
                <w:szCs w:val="18"/>
                <w:b w:val="1"/>
                <w:bCs w:val="1"/>
                <w:color w:val="auto"/>
              </w:rPr>
              <w:t>1,065,720</w:t>
            </w:r>
          </w:p>
        </w:tc>
        <w:tc>
          <w:tcPr>
            <w:tcW w:w="380" w:type="dxa"/>
            <w:vAlign w:val="bottom"/>
            <w:shd w:val="clear" w:color="auto" w:fill="D8D8D8"/>
          </w:tcPr>
          <w:p>
            <w:pPr>
              <w:spacing w:after="0"/>
              <w:rPr>
                <w:sz w:val="18"/>
                <w:szCs w:val="18"/>
                <w:color w:val="auto"/>
              </w:rPr>
            </w:pPr>
          </w:p>
        </w:tc>
        <w:tc>
          <w:tcPr>
            <w:tcW w:w="1260" w:type="dxa"/>
            <w:vAlign w:val="bottom"/>
            <w:shd w:val="clear" w:color="auto" w:fill="D8D8D8"/>
          </w:tcPr>
          <w:p>
            <w:pPr>
              <w:spacing w:after="0"/>
              <w:rPr>
                <w:sz w:val="18"/>
                <w:szCs w:val="18"/>
                <w:color w:val="auto"/>
              </w:rPr>
            </w:pPr>
          </w:p>
        </w:tc>
        <w:tc>
          <w:tcPr>
            <w:tcW w:w="380" w:type="dxa"/>
            <w:vAlign w:val="bottom"/>
            <w:shd w:val="clear" w:color="auto" w:fill="D8D8D8"/>
          </w:tcPr>
          <w:p>
            <w:pPr>
              <w:spacing w:after="0"/>
              <w:rPr>
                <w:sz w:val="18"/>
                <w:szCs w:val="18"/>
                <w:color w:val="auto"/>
              </w:rPr>
            </w:pPr>
          </w:p>
        </w:tc>
        <w:tc>
          <w:tcPr>
            <w:tcW w:w="1240" w:type="dxa"/>
            <w:vAlign w:val="bottom"/>
            <w:shd w:val="clear" w:color="auto" w:fill="D8D8D8"/>
          </w:tcPr>
          <w:p>
            <w:pPr>
              <w:spacing w:after="0"/>
              <w:rPr>
                <w:sz w:val="18"/>
                <w:szCs w:val="18"/>
                <w:color w:val="auto"/>
              </w:rPr>
            </w:pPr>
          </w:p>
        </w:tc>
        <w:tc>
          <w:tcPr>
            <w:tcW w:w="400" w:type="dxa"/>
            <w:vAlign w:val="bottom"/>
            <w:shd w:val="clear" w:color="auto" w:fill="D8D8D8"/>
          </w:tcPr>
          <w:p>
            <w:pPr>
              <w:spacing w:after="0"/>
              <w:rPr>
                <w:sz w:val="18"/>
                <w:szCs w:val="18"/>
                <w:color w:val="auto"/>
              </w:rPr>
            </w:pPr>
          </w:p>
        </w:tc>
        <w:tc>
          <w:tcPr>
            <w:tcW w:w="1240" w:type="dxa"/>
            <w:vAlign w:val="bottom"/>
            <w:shd w:val="clear" w:color="auto" w:fill="D8D8D8"/>
          </w:tcPr>
          <w:p>
            <w:pPr>
              <w:spacing w:after="0"/>
              <w:rPr>
                <w:sz w:val="18"/>
                <w:szCs w:val="18"/>
                <w:color w:val="auto"/>
              </w:rPr>
            </w:pPr>
          </w:p>
        </w:tc>
        <w:tc>
          <w:tcPr>
            <w:tcW w:w="400" w:type="dxa"/>
            <w:vAlign w:val="bottom"/>
            <w:shd w:val="clear" w:color="auto" w:fill="D8D8D8"/>
          </w:tcPr>
          <w:p>
            <w:pPr>
              <w:spacing w:after="0"/>
              <w:rPr>
                <w:sz w:val="18"/>
                <w:szCs w:val="18"/>
                <w:color w:val="auto"/>
              </w:rPr>
            </w:pPr>
          </w:p>
        </w:tc>
        <w:tc>
          <w:tcPr>
            <w:tcW w:w="1180" w:type="dxa"/>
            <w:vAlign w:val="bottom"/>
            <w:shd w:val="clear" w:color="auto" w:fill="D8D8D8"/>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3360" w:type="dxa"/>
            <w:vAlign w:val="bottom"/>
            <w:shd w:val="clear" w:color="auto" w:fill="D8D8D8"/>
          </w:tcPr>
          <w:p>
            <w:pPr>
              <w:ind w:left="200"/>
              <w:spacing w:after="0"/>
              <w:rPr>
                <w:sz w:val="20"/>
                <w:szCs w:val="20"/>
                <w:color w:val="auto"/>
              </w:rPr>
            </w:pPr>
            <w:r>
              <w:rPr>
                <w:rFonts w:ascii="Arial" w:cs="Arial" w:eastAsia="Arial" w:hAnsi="Arial"/>
                <w:sz w:val="18"/>
                <w:szCs w:val="18"/>
                <w:color w:val="auto"/>
              </w:rPr>
              <w:t>outstanding—diluted (thousands)</w:t>
            </w:r>
          </w:p>
        </w:tc>
        <w:tc>
          <w:tcPr>
            <w:tcW w:w="320" w:type="dxa"/>
            <w:vAlign w:val="bottom"/>
            <w:tcBorders>
              <w:bottom w:val="single" w:sz="8" w:color="auto"/>
            </w:tcBorders>
            <w:shd w:val="clear" w:color="auto" w:fill="D8D8D8"/>
          </w:tcPr>
          <w:p>
            <w:pPr>
              <w:spacing w:after="0"/>
              <w:rPr>
                <w:sz w:val="21"/>
                <w:szCs w:val="21"/>
                <w:color w:val="auto"/>
              </w:rPr>
            </w:pPr>
          </w:p>
        </w:tc>
        <w:tc>
          <w:tcPr>
            <w:tcW w:w="1260" w:type="dxa"/>
            <w:vAlign w:val="bottom"/>
            <w:tcBorders>
              <w:bottom w:val="single" w:sz="8" w:color="auto"/>
            </w:tcBorders>
            <w:vMerge w:val="continue"/>
            <w:shd w:val="clear" w:color="auto" w:fill="D8D8D8"/>
          </w:tcPr>
          <w:p>
            <w:pPr>
              <w:spacing w:after="0"/>
              <w:rPr>
                <w:sz w:val="21"/>
                <w:szCs w:val="21"/>
                <w:color w:val="auto"/>
              </w:rPr>
            </w:pPr>
          </w:p>
        </w:tc>
        <w:tc>
          <w:tcPr>
            <w:tcW w:w="380" w:type="dxa"/>
            <w:vAlign w:val="bottom"/>
            <w:tcBorders>
              <w:bottom w:val="single" w:sz="8" w:color="auto"/>
            </w:tcBorders>
            <w:shd w:val="clear" w:color="auto" w:fill="D8D8D8"/>
          </w:tcPr>
          <w:p>
            <w:pPr>
              <w:spacing w:after="0"/>
              <w:rPr>
                <w:sz w:val="21"/>
                <w:szCs w:val="21"/>
                <w:color w:val="auto"/>
              </w:rPr>
            </w:pPr>
          </w:p>
        </w:tc>
        <w:tc>
          <w:tcPr>
            <w:tcW w:w="1260" w:type="dxa"/>
            <w:vAlign w:val="bottom"/>
            <w:tcBorders>
              <w:bottom w:val="single" w:sz="8" w:color="auto"/>
            </w:tcBorders>
            <w:shd w:val="clear" w:color="auto" w:fill="D8D8D8"/>
          </w:tcPr>
          <w:p>
            <w:pPr>
              <w:jc w:val="right"/>
              <w:ind w:right="171"/>
              <w:spacing w:after="0"/>
              <w:rPr>
                <w:sz w:val="20"/>
                <w:szCs w:val="20"/>
                <w:color w:val="auto"/>
              </w:rPr>
            </w:pPr>
            <w:r>
              <w:rPr>
                <w:rFonts w:ascii="Arial" w:cs="Arial" w:eastAsia="Arial" w:hAnsi="Arial"/>
                <w:sz w:val="18"/>
                <w:szCs w:val="18"/>
                <w:color w:val="auto"/>
              </w:rPr>
              <w:t>1,074,286</w:t>
            </w:r>
          </w:p>
        </w:tc>
        <w:tc>
          <w:tcPr>
            <w:tcW w:w="380" w:type="dxa"/>
            <w:vAlign w:val="bottom"/>
            <w:tcBorders>
              <w:bottom w:val="single" w:sz="8" w:color="auto"/>
            </w:tcBorders>
            <w:shd w:val="clear" w:color="auto" w:fill="D8D8D8"/>
          </w:tcPr>
          <w:p>
            <w:pPr>
              <w:spacing w:after="0"/>
              <w:rPr>
                <w:sz w:val="21"/>
                <w:szCs w:val="21"/>
                <w:color w:val="auto"/>
              </w:rPr>
            </w:pPr>
          </w:p>
        </w:tc>
        <w:tc>
          <w:tcPr>
            <w:tcW w:w="1240" w:type="dxa"/>
            <w:vAlign w:val="bottom"/>
            <w:tcBorders>
              <w:bottom w:val="single" w:sz="8" w:color="auto"/>
            </w:tcBorders>
            <w:shd w:val="clear" w:color="auto" w:fill="D8D8D8"/>
          </w:tcPr>
          <w:p>
            <w:pPr>
              <w:jc w:val="right"/>
              <w:ind w:right="151"/>
              <w:spacing w:after="0"/>
              <w:rPr>
                <w:sz w:val="20"/>
                <w:szCs w:val="20"/>
                <w:color w:val="auto"/>
              </w:rPr>
            </w:pPr>
            <w:r>
              <w:rPr>
                <w:rFonts w:ascii="Arial" w:cs="Arial" w:eastAsia="Arial" w:hAnsi="Arial"/>
                <w:sz w:val="18"/>
                <w:szCs w:val="18"/>
                <w:color w:val="auto"/>
              </w:rPr>
              <w:t>1,084,766</w:t>
            </w:r>
          </w:p>
        </w:tc>
        <w:tc>
          <w:tcPr>
            <w:tcW w:w="400" w:type="dxa"/>
            <w:vAlign w:val="bottom"/>
            <w:tcBorders>
              <w:bottom w:val="single" w:sz="8" w:color="auto"/>
            </w:tcBorders>
            <w:shd w:val="clear" w:color="auto" w:fill="D8D8D8"/>
          </w:tcPr>
          <w:p>
            <w:pPr>
              <w:spacing w:after="0"/>
              <w:rPr>
                <w:sz w:val="21"/>
                <w:szCs w:val="21"/>
                <w:color w:val="auto"/>
              </w:rPr>
            </w:pPr>
          </w:p>
        </w:tc>
        <w:tc>
          <w:tcPr>
            <w:tcW w:w="1240" w:type="dxa"/>
            <w:vAlign w:val="bottom"/>
            <w:tcBorders>
              <w:bottom w:val="single" w:sz="8" w:color="auto"/>
            </w:tcBorders>
            <w:shd w:val="clear" w:color="auto" w:fill="D8D8D8"/>
          </w:tcPr>
          <w:p>
            <w:pPr>
              <w:jc w:val="right"/>
              <w:ind w:right="151"/>
              <w:spacing w:after="0"/>
              <w:rPr>
                <w:sz w:val="20"/>
                <w:szCs w:val="20"/>
                <w:color w:val="auto"/>
              </w:rPr>
            </w:pPr>
            <w:r>
              <w:rPr>
                <w:rFonts w:ascii="Arial" w:cs="Arial" w:eastAsia="Arial" w:hAnsi="Arial"/>
                <w:sz w:val="18"/>
                <w:szCs w:val="18"/>
                <w:color w:val="auto"/>
              </w:rPr>
              <w:t>1,117,294</w:t>
            </w:r>
          </w:p>
        </w:tc>
        <w:tc>
          <w:tcPr>
            <w:tcW w:w="400" w:type="dxa"/>
            <w:vAlign w:val="bottom"/>
            <w:tcBorders>
              <w:bottom w:val="single" w:sz="8" w:color="auto"/>
            </w:tcBorders>
            <w:shd w:val="clear" w:color="auto" w:fill="D8D8D8"/>
          </w:tcPr>
          <w:p>
            <w:pPr>
              <w:spacing w:after="0"/>
              <w:rPr>
                <w:sz w:val="21"/>
                <w:szCs w:val="21"/>
                <w:color w:val="auto"/>
              </w:rPr>
            </w:pPr>
          </w:p>
        </w:tc>
        <w:tc>
          <w:tcPr>
            <w:tcW w:w="1180" w:type="dxa"/>
            <w:vAlign w:val="bottom"/>
            <w:tcBorders>
              <w:bottom w:val="single" w:sz="8" w:color="auto"/>
            </w:tcBorders>
            <w:shd w:val="clear" w:color="auto" w:fill="D8D8D8"/>
          </w:tcPr>
          <w:p>
            <w:pPr>
              <w:jc w:val="right"/>
              <w:ind w:right="91"/>
              <w:spacing w:after="0"/>
              <w:rPr>
                <w:sz w:val="20"/>
                <w:szCs w:val="20"/>
                <w:color w:val="auto"/>
              </w:rPr>
            </w:pPr>
            <w:r>
              <w:rPr>
                <w:rFonts w:ascii="Arial" w:cs="Arial" w:eastAsia="Arial" w:hAnsi="Arial"/>
                <w:sz w:val="18"/>
                <w:szCs w:val="18"/>
                <w:color w:val="auto"/>
              </w:rPr>
              <w:t>1,113,967</w:t>
            </w:r>
          </w:p>
        </w:tc>
        <w:tc>
          <w:tcPr>
            <w:tcW w:w="0" w:type="dxa"/>
            <w:vAlign w:val="bottom"/>
          </w:tcPr>
          <w:p>
            <w:pPr>
              <w:spacing w:after="0"/>
              <w:rPr>
                <w:sz w:val="1"/>
                <w:szCs w:val="1"/>
                <w:color w:val="auto"/>
              </w:rPr>
            </w:pPr>
          </w:p>
        </w:tc>
      </w:tr>
      <w:tr>
        <w:trPr>
          <w:trHeight w:val="183"/>
        </w:trPr>
        <w:tc>
          <w:tcPr>
            <w:tcW w:w="3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3360" w:type="dxa"/>
            <w:vAlign w:val="bottom"/>
            <w:shd w:val="clear" w:color="auto" w:fill="D8D8D8"/>
          </w:tcPr>
          <w:p>
            <w:pPr>
              <w:ind w:left="40"/>
              <w:spacing w:after="0"/>
              <w:rPr>
                <w:sz w:val="20"/>
                <w:szCs w:val="20"/>
                <w:color w:val="auto"/>
              </w:rPr>
            </w:pPr>
            <w:r>
              <w:rPr>
                <w:rFonts w:ascii="Arial" w:cs="Arial" w:eastAsia="Arial" w:hAnsi="Arial"/>
                <w:sz w:val="18"/>
                <w:szCs w:val="18"/>
                <w:b w:val="1"/>
                <w:bCs w:val="1"/>
                <w:color w:val="auto"/>
              </w:rPr>
              <w:t>Financial Position</w:t>
            </w:r>
          </w:p>
        </w:tc>
        <w:tc>
          <w:tcPr>
            <w:tcW w:w="320" w:type="dxa"/>
            <w:vAlign w:val="bottom"/>
            <w:shd w:val="clear" w:color="auto" w:fill="D8D8D8"/>
          </w:tcPr>
          <w:p>
            <w:pPr>
              <w:spacing w:after="0"/>
              <w:rPr>
                <w:sz w:val="23"/>
                <w:szCs w:val="23"/>
                <w:color w:val="auto"/>
              </w:rPr>
            </w:pPr>
          </w:p>
        </w:tc>
        <w:tc>
          <w:tcPr>
            <w:tcW w:w="1260" w:type="dxa"/>
            <w:vAlign w:val="bottom"/>
            <w:shd w:val="clear" w:color="auto" w:fill="D8D8D8"/>
          </w:tcPr>
          <w:p>
            <w:pPr>
              <w:spacing w:after="0"/>
              <w:rPr>
                <w:sz w:val="23"/>
                <w:szCs w:val="23"/>
                <w:color w:val="auto"/>
              </w:rPr>
            </w:pPr>
          </w:p>
        </w:tc>
        <w:tc>
          <w:tcPr>
            <w:tcW w:w="380" w:type="dxa"/>
            <w:vAlign w:val="bottom"/>
            <w:shd w:val="clear" w:color="auto" w:fill="D8D8D8"/>
          </w:tcPr>
          <w:p>
            <w:pPr>
              <w:spacing w:after="0"/>
              <w:rPr>
                <w:sz w:val="23"/>
                <w:szCs w:val="23"/>
                <w:color w:val="auto"/>
              </w:rPr>
            </w:pPr>
          </w:p>
        </w:tc>
        <w:tc>
          <w:tcPr>
            <w:tcW w:w="1260" w:type="dxa"/>
            <w:vAlign w:val="bottom"/>
            <w:shd w:val="clear" w:color="auto" w:fill="D8D8D8"/>
          </w:tcPr>
          <w:p>
            <w:pPr>
              <w:spacing w:after="0"/>
              <w:rPr>
                <w:sz w:val="23"/>
                <w:szCs w:val="23"/>
                <w:color w:val="auto"/>
              </w:rPr>
            </w:pPr>
          </w:p>
        </w:tc>
        <w:tc>
          <w:tcPr>
            <w:tcW w:w="380" w:type="dxa"/>
            <w:vAlign w:val="bottom"/>
            <w:shd w:val="clear" w:color="auto" w:fill="D8D8D8"/>
          </w:tcPr>
          <w:p>
            <w:pPr>
              <w:spacing w:after="0"/>
              <w:rPr>
                <w:sz w:val="23"/>
                <w:szCs w:val="23"/>
                <w:color w:val="auto"/>
              </w:rPr>
            </w:pPr>
          </w:p>
        </w:tc>
        <w:tc>
          <w:tcPr>
            <w:tcW w:w="1240" w:type="dxa"/>
            <w:vAlign w:val="bottom"/>
            <w:shd w:val="clear" w:color="auto" w:fill="D8D8D8"/>
          </w:tcPr>
          <w:p>
            <w:pPr>
              <w:spacing w:after="0"/>
              <w:rPr>
                <w:sz w:val="23"/>
                <w:szCs w:val="23"/>
                <w:color w:val="auto"/>
              </w:rPr>
            </w:pPr>
          </w:p>
        </w:tc>
        <w:tc>
          <w:tcPr>
            <w:tcW w:w="400" w:type="dxa"/>
            <w:vAlign w:val="bottom"/>
            <w:shd w:val="clear" w:color="auto" w:fill="D8D8D8"/>
          </w:tcPr>
          <w:p>
            <w:pPr>
              <w:spacing w:after="0"/>
              <w:rPr>
                <w:sz w:val="23"/>
                <w:szCs w:val="23"/>
                <w:color w:val="auto"/>
              </w:rPr>
            </w:pPr>
          </w:p>
        </w:tc>
        <w:tc>
          <w:tcPr>
            <w:tcW w:w="1240" w:type="dxa"/>
            <w:vAlign w:val="bottom"/>
            <w:shd w:val="clear" w:color="auto" w:fill="D8D8D8"/>
          </w:tcPr>
          <w:p>
            <w:pPr>
              <w:spacing w:after="0"/>
              <w:rPr>
                <w:sz w:val="23"/>
                <w:szCs w:val="23"/>
                <w:color w:val="auto"/>
              </w:rPr>
            </w:pPr>
          </w:p>
        </w:tc>
        <w:tc>
          <w:tcPr>
            <w:tcW w:w="400" w:type="dxa"/>
            <w:vAlign w:val="bottom"/>
            <w:shd w:val="clear" w:color="auto" w:fill="D8D8D8"/>
          </w:tcPr>
          <w:p>
            <w:pPr>
              <w:spacing w:after="0"/>
              <w:rPr>
                <w:sz w:val="23"/>
                <w:szCs w:val="23"/>
                <w:color w:val="auto"/>
              </w:rPr>
            </w:pPr>
          </w:p>
        </w:tc>
        <w:tc>
          <w:tcPr>
            <w:tcW w:w="1180" w:type="dxa"/>
            <w:vAlign w:val="bottom"/>
            <w:shd w:val="clear" w:color="auto" w:fill="D8D8D8"/>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360" w:type="dxa"/>
            <w:vAlign w:val="bottom"/>
          </w:tcPr>
          <w:p>
            <w:pPr>
              <w:ind w:left="40"/>
              <w:spacing w:after="0"/>
              <w:rPr>
                <w:sz w:val="20"/>
                <w:szCs w:val="20"/>
                <w:color w:val="auto"/>
              </w:rPr>
            </w:pPr>
            <w:r>
              <w:rPr>
                <w:rFonts w:ascii="Arial" w:cs="Arial" w:eastAsia="Arial" w:hAnsi="Arial"/>
                <w:sz w:val="18"/>
                <w:szCs w:val="18"/>
                <w:color w:val="auto"/>
              </w:rPr>
              <w:t>Current assets</w:t>
            </w:r>
            <w:r>
              <w:rPr>
                <w:rFonts w:ascii="Arial" w:cs="Arial" w:eastAsia="Arial" w:hAnsi="Arial"/>
                <w:sz w:val="21"/>
                <w:szCs w:val="21"/>
                <w:color w:val="auto"/>
                <w:vertAlign w:val="superscript"/>
              </w:rPr>
              <w:t>(1)</w:t>
            </w: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Pr>
          <w:p>
            <w:pPr>
              <w:jc w:val="right"/>
              <w:ind w:right="151"/>
              <w:spacing w:after="0"/>
              <w:rPr>
                <w:sz w:val="20"/>
                <w:szCs w:val="20"/>
                <w:color w:val="auto"/>
              </w:rPr>
            </w:pPr>
            <w:r>
              <w:rPr>
                <w:rFonts w:ascii="Arial" w:cs="Arial" w:eastAsia="Arial" w:hAnsi="Arial"/>
                <w:sz w:val="18"/>
                <w:szCs w:val="18"/>
                <w:b w:val="1"/>
                <w:bCs w:val="1"/>
                <w:color w:val="auto"/>
              </w:rPr>
              <w:t>12,573.6</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71"/>
              <w:spacing w:after="0"/>
              <w:rPr>
                <w:sz w:val="20"/>
                <w:szCs w:val="20"/>
                <w:color w:val="auto"/>
              </w:rPr>
            </w:pPr>
            <w:r>
              <w:rPr>
                <w:rFonts w:ascii="Arial" w:cs="Arial" w:eastAsia="Arial" w:hAnsi="Arial"/>
                <w:sz w:val="18"/>
                <w:szCs w:val="18"/>
                <w:color w:val="auto"/>
              </w:rPr>
              <w:t>11,928.3</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51"/>
              <w:spacing w:after="0"/>
              <w:rPr>
                <w:sz w:val="20"/>
                <w:szCs w:val="20"/>
                <w:color w:val="auto"/>
              </w:rPr>
            </w:pPr>
            <w:r>
              <w:rPr>
                <w:rFonts w:ascii="Arial" w:cs="Arial" w:eastAsia="Arial" w:hAnsi="Arial"/>
                <w:sz w:val="18"/>
                <w:szCs w:val="18"/>
                <w:color w:val="auto"/>
              </w:rPr>
              <w:t>12,820.4</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51"/>
              <w:spacing w:after="0"/>
              <w:rPr>
                <w:sz w:val="20"/>
                <w:szCs w:val="20"/>
                <w:color w:val="auto"/>
              </w:rPr>
            </w:pPr>
            <w:r>
              <w:rPr>
                <w:rFonts w:ascii="Arial" w:cs="Arial" w:eastAsia="Arial" w:hAnsi="Arial"/>
                <w:sz w:val="18"/>
                <w:szCs w:val="18"/>
                <w:color w:val="auto"/>
              </w:rPr>
              <w:t>12,790.3</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91"/>
              <w:spacing w:after="0"/>
              <w:rPr>
                <w:sz w:val="20"/>
                <w:szCs w:val="20"/>
                <w:color w:val="auto"/>
              </w:rPr>
            </w:pPr>
            <w:r>
              <w:rPr>
                <w:rFonts w:ascii="Arial" w:cs="Arial" w:eastAsia="Arial" w:hAnsi="Arial"/>
                <w:sz w:val="18"/>
                <w:szCs w:val="18"/>
                <w:color w:val="auto"/>
              </w:rPr>
              <w:t>13,884.6</w:t>
            </w:r>
          </w:p>
        </w:tc>
        <w:tc>
          <w:tcPr>
            <w:tcW w:w="0" w:type="dxa"/>
            <w:vAlign w:val="bottom"/>
          </w:tcPr>
          <w:p>
            <w:pPr>
              <w:spacing w:after="0"/>
              <w:rPr>
                <w:sz w:val="1"/>
                <w:szCs w:val="1"/>
                <w:color w:val="auto"/>
              </w:rPr>
            </w:pPr>
          </w:p>
        </w:tc>
      </w:tr>
      <w:tr>
        <w:trPr>
          <w:trHeight w:val="270"/>
        </w:trPr>
        <w:tc>
          <w:tcPr>
            <w:tcW w:w="3360" w:type="dxa"/>
            <w:vAlign w:val="bottom"/>
            <w:shd w:val="clear" w:color="auto" w:fill="D8D8D8"/>
          </w:tcPr>
          <w:p>
            <w:pPr>
              <w:ind w:left="40"/>
              <w:spacing w:after="0"/>
              <w:rPr>
                <w:sz w:val="20"/>
                <w:szCs w:val="20"/>
                <w:color w:val="auto"/>
              </w:rPr>
            </w:pPr>
            <w:r>
              <w:rPr>
                <w:rFonts w:ascii="Arial" w:cs="Arial" w:eastAsia="Arial" w:hAnsi="Arial"/>
                <w:sz w:val="18"/>
                <w:szCs w:val="18"/>
                <w:color w:val="auto"/>
              </w:rPr>
              <w:t>Current liabilities</w:t>
            </w:r>
            <w:r>
              <w:rPr>
                <w:rFonts w:ascii="Arial" w:cs="Arial" w:eastAsia="Arial" w:hAnsi="Arial"/>
                <w:sz w:val="21"/>
                <w:szCs w:val="21"/>
                <w:color w:val="auto"/>
                <w:vertAlign w:val="superscript"/>
              </w:rPr>
              <w:t>(1)</w:t>
            </w:r>
          </w:p>
        </w:tc>
        <w:tc>
          <w:tcPr>
            <w:tcW w:w="320" w:type="dxa"/>
            <w:vAlign w:val="bottom"/>
            <w:shd w:val="clear" w:color="auto" w:fill="D8D8D8"/>
          </w:tcPr>
          <w:p>
            <w:pPr>
              <w:spacing w:after="0"/>
              <w:rPr>
                <w:sz w:val="23"/>
                <w:szCs w:val="23"/>
                <w:color w:val="auto"/>
              </w:rPr>
            </w:pPr>
          </w:p>
        </w:tc>
        <w:tc>
          <w:tcPr>
            <w:tcW w:w="1260" w:type="dxa"/>
            <w:vAlign w:val="bottom"/>
            <w:shd w:val="clear" w:color="auto" w:fill="D8D8D8"/>
          </w:tcPr>
          <w:p>
            <w:pPr>
              <w:jc w:val="right"/>
              <w:ind w:right="151"/>
              <w:spacing w:after="0"/>
              <w:rPr>
                <w:sz w:val="20"/>
                <w:szCs w:val="20"/>
                <w:color w:val="auto"/>
              </w:rPr>
            </w:pPr>
            <w:r>
              <w:rPr>
                <w:rFonts w:ascii="Arial" w:cs="Arial" w:eastAsia="Arial" w:hAnsi="Arial"/>
                <w:sz w:val="18"/>
                <w:szCs w:val="18"/>
                <w:b w:val="1"/>
                <w:bCs w:val="1"/>
                <w:color w:val="auto"/>
              </w:rPr>
              <w:t>8,229.6</w:t>
            </w:r>
          </w:p>
        </w:tc>
        <w:tc>
          <w:tcPr>
            <w:tcW w:w="380" w:type="dxa"/>
            <w:vAlign w:val="bottom"/>
            <w:shd w:val="clear" w:color="auto" w:fill="D8D8D8"/>
          </w:tcPr>
          <w:p>
            <w:pPr>
              <w:spacing w:after="0"/>
              <w:rPr>
                <w:sz w:val="23"/>
                <w:szCs w:val="23"/>
                <w:color w:val="auto"/>
              </w:rPr>
            </w:pPr>
          </w:p>
        </w:tc>
        <w:tc>
          <w:tcPr>
            <w:tcW w:w="1260" w:type="dxa"/>
            <w:vAlign w:val="bottom"/>
            <w:shd w:val="clear" w:color="auto" w:fill="D8D8D8"/>
          </w:tcPr>
          <w:p>
            <w:pPr>
              <w:jc w:val="right"/>
              <w:ind w:right="171"/>
              <w:spacing w:after="0"/>
              <w:rPr>
                <w:sz w:val="20"/>
                <w:szCs w:val="20"/>
                <w:color w:val="auto"/>
              </w:rPr>
            </w:pPr>
            <w:r>
              <w:rPr>
                <w:rFonts w:ascii="Arial" w:cs="Arial" w:eastAsia="Arial" w:hAnsi="Arial"/>
                <w:sz w:val="18"/>
                <w:szCs w:val="18"/>
                <w:color w:val="auto"/>
              </w:rPr>
              <w:t>9,741.0</w:t>
            </w:r>
          </w:p>
        </w:tc>
        <w:tc>
          <w:tcPr>
            <w:tcW w:w="380" w:type="dxa"/>
            <w:vAlign w:val="bottom"/>
            <w:shd w:val="clear" w:color="auto" w:fill="D8D8D8"/>
          </w:tcPr>
          <w:p>
            <w:pPr>
              <w:spacing w:after="0"/>
              <w:rPr>
                <w:sz w:val="23"/>
                <w:szCs w:val="23"/>
                <w:color w:val="auto"/>
              </w:rPr>
            </w:pPr>
          </w:p>
        </w:tc>
        <w:tc>
          <w:tcPr>
            <w:tcW w:w="1240" w:type="dxa"/>
            <w:vAlign w:val="bottom"/>
            <w:shd w:val="clear" w:color="auto" w:fill="D8D8D8"/>
          </w:tcPr>
          <w:p>
            <w:pPr>
              <w:jc w:val="right"/>
              <w:ind w:right="151"/>
              <w:spacing w:after="0"/>
              <w:rPr>
                <w:sz w:val="20"/>
                <w:szCs w:val="20"/>
                <w:color w:val="auto"/>
              </w:rPr>
            </w:pPr>
            <w:r>
              <w:rPr>
                <w:rFonts w:ascii="Arial" w:cs="Arial" w:eastAsia="Arial" w:hAnsi="Arial"/>
                <w:sz w:val="18"/>
                <w:szCs w:val="18"/>
                <w:color w:val="auto"/>
              </w:rPr>
              <w:t>8,123.8</w:t>
            </w:r>
          </w:p>
        </w:tc>
        <w:tc>
          <w:tcPr>
            <w:tcW w:w="400" w:type="dxa"/>
            <w:vAlign w:val="bottom"/>
            <w:shd w:val="clear" w:color="auto" w:fill="D8D8D8"/>
          </w:tcPr>
          <w:p>
            <w:pPr>
              <w:spacing w:after="0"/>
              <w:rPr>
                <w:sz w:val="23"/>
                <w:szCs w:val="23"/>
                <w:color w:val="auto"/>
              </w:rPr>
            </w:pPr>
          </w:p>
        </w:tc>
        <w:tc>
          <w:tcPr>
            <w:tcW w:w="1240" w:type="dxa"/>
            <w:vAlign w:val="bottom"/>
            <w:shd w:val="clear" w:color="auto" w:fill="D8D8D8"/>
          </w:tcPr>
          <w:p>
            <w:pPr>
              <w:jc w:val="right"/>
              <w:ind w:right="151"/>
              <w:spacing w:after="0"/>
              <w:rPr>
                <w:sz w:val="20"/>
                <w:szCs w:val="20"/>
                <w:color w:val="auto"/>
              </w:rPr>
            </w:pPr>
            <w:r>
              <w:rPr>
                <w:rFonts w:ascii="Arial" w:cs="Arial" w:eastAsia="Arial" w:hAnsi="Arial"/>
                <w:sz w:val="18"/>
                <w:szCs w:val="18"/>
                <w:color w:val="auto"/>
              </w:rPr>
              <w:t>7,341.5</w:t>
            </w:r>
          </w:p>
        </w:tc>
        <w:tc>
          <w:tcPr>
            <w:tcW w:w="400" w:type="dxa"/>
            <w:vAlign w:val="bottom"/>
            <w:shd w:val="clear" w:color="auto" w:fill="D8D8D8"/>
          </w:tcPr>
          <w:p>
            <w:pPr>
              <w:spacing w:after="0"/>
              <w:rPr>
                <w:sz w:val="23"/>
                <w:szCs w:val="23"/>
                <w:color w:val="auto"/>
              </w:rPr>
            </w:pPr>
          </w:p>
        </w:tc>
        <w:tc>
          <w:tcPr>
            <w:tcW w:w="1180" w:type="dxa"/>
            <w:vAlign w:val="bottom"/>
            <w:shd w:val="clear" w:color="auto" w:fill="D8D8D8"/>
          </w:tcPr>
          <w:p>
            <w:pPr>
              <w:jc w:val="right"/>
              <w:ind w:right="91"/>
              <w:spacing w:after="0"/>
              <w:rPr>
                <w:sz w:val="20"/>
                <w:szCs w:val="20"/>
                <w:color w:val="auto"/>
              </w:rPr>
            </w:pPr>
            <w:r>
              <w:rPr>
                <w:rFonts w:ascii="Arial" w:cs="Arial" w:eastAsia="Arial" w:hAnsi="Arial"/>
                <w:sz w:val="18"/>
                <w:szCs w:val="18"/>
                <w:color w:val="auto"/>
              </w:rPr>
              <w:t>8,508.6</w:t>
            </w:r>
          </w:p>
        </w:tc>
        <w:tc>
          <w:tcPr>
            <w:tcW w:w="0" w:type="dxa"/>
            <w:vAlign w:val="bottom"/>
          </w:tcPr>
          <w:p>
            <w:pPr>
              <w:spacing w:after="0"/>
              <w:rPr>
                <w:sz w:val="1"/>
                <w:szCs w:val="1"/>
                <w:color w:val="auto"/>
              </w:rPr>
            </w:pPr>
          </w:p>
        </w:tc>
      </w:tr>
      <w:tr>
        <w:trPr>
          <w:trHeight w:val="269"/>
        </w:trPr>
        <w:tc>
          <w:tcPr>
            <w:tcW w:w="3360" w:type="dxa"/>
            <w:vAlign w:val="bottom"/>
          </w:tcPr>
          <w:p>
            <w:pPr>
              <w:ind w:left="40"/>
              <w:spacing w:after="0"/>
              <w:rPr>
                <w:sz w:val="20"/>
                <w:szCs w:val="20"/>
                <w:color w:val="auto"/>
              </w:rPr>
            </w:pPr>
            <w:r>
              <w:rPr>
                <w:rFonts w:ascii="Arial" w:cs="Arial" w:eastAsia="Arial" w:hAnsi="Arial"/>
                <w:sz w:val="18"/>
                <w:szCs w:val="18"/>
                <w:color w:val="auto"/>
              </w:rPr>
              <w:t>Property and equipment—net</w:t>
            </w:r>
          </w:p>
        </w:tc>
        <w:tc>
          <w:tcPr>
            <w:tcW w:w="320" w:type="dxa"/>
            <w:vAlign w:val="bottom"/>
          </w:tcPr>
          <w:p>
            <w:pPr>
              <w:spacing w:after="0"/>
              <w:rPr>
                <w:sz w:val="23"/>
                <w:szCs w:val="23"/>
                <w:color w:val="auto"/>
              </w:rPr>
            </w:pPr>
          </w:p>
        </w:tc>
        <w:tc>
          <w:tcPr>
            <w:tcW w:w="1260" w:type="dxa"/>
            <w:vAlign w:val="bottom"/>
          </w:tcPr>
          <w:p>
            <w:pPr>
              <w:jc w:val="right"/>
              <w:ind w:right="151"/>
              <w:spacing w:after="0"/>
              <w:rPr>
                <w:sz w:val="20"/>
                <w:szCs w:val="20"/>
                <w:color w:val="auto"/>
              </w:rPr>
            </w:pPr>
            <w:r>
              <w:rPr>
                <w:rFonts w:ascii="Arial" w:cs="Arial" w:eastAsia="Arial" w:hAnsi="Arial"/>
                <w:sz w:val="18"/>
                <w:szCs w:val="18"/>
                <w:b w:val="1"/>
                <w:bCs w:val="1"/>
                <w:color w:val="auto"/>
              </w:rPr>
              <w:t>8,053.5</w:t>
            </w:r>
          </w:p>
        </w:tc>
        <w:tc>
          <w:tcPr>
            <w:tcW w:w="380" w:type="dxa"/>
            <w:vAlign w:val="bottom"/>
          </w:tcPr>
          <w:p>
            <w:pPr>
              <w:spacing w:after="0"/>
              <w:rPr>
                <w:sz w:val="23"/>
                <w:szCs w:val="23"/>
                <w:color w:val="auto"/>
              </w:rPr>
            </w:pPr>
          </w:p>
        </w:tc>
        <w:tc>
          <w:tcPr>
            <w:tcW w:w="1260" w:type="dxa"/>
            <w:vAlign w:val="bottom"/>
          </w:tcPr>
          <w:p>
            <w:pPr>
              <w:jc w:val="right"/>
              <w:ind w:right="171"/>
              <w:spacing w:after="0"/>
              <w:rPr>
                <w:sz w:val="20"/>
                <w:szCs w:val="20"/>
                <w:color w:val="auto"/>
              </w:rPr>
            </w:pPr>
            <w:r>
              <w:rPr>
                <w:rFonts w:ascii="Arial" w:cs="Arial" w:eastAsia="Arial" w:hAnsi="Arial"/>
                <w:sz w:val="18"/>
                <w:szCs w:val="18"/>
                <w:color w:val="auto"/>
              </w:rPr>
              <w:t>7,963.9</w:t>
            </w:r>
          </w:p>
        </w:tc>
        <w:tc>
          <w:tcPr>
            <w:tcW w:w="380" w:type="dxa"/>
            <w:vAlign w:val="bottom"/>
          </w:tcPr>
          <w:p>
            <w:pPr>
              <w:spacing w:after="0"/>
              <w:rPr>
                <w:sz w:val="23"/>
                <w:szCs w:val="23"/>
                <w:color w:val="auto"/>
              </w:rPr>
            </w:pPr>
          </w:p>
        </w:tc>
        <w:tc>
          <w:tcPr>
            <w:tcW w:w="1240" w:type="dxa"/>
            <w:vAlign w:val="bottom"/>
          </w:tcPr>
          <w:p>
            <w:pPr>
              <w:jc w:val="right"/>
              <w:ind w:right="151"/>
              <w:spacing w:after="0"/>
              <w:rPr>
                <w:sz w:val="20"/>
                <w:szCs w:val="20"/>
                <w:color w:val="auto"/>
              </w:rPr>
            </w:pPr>
            <w:r>
              <w:rPr>
                <w:rFonts w:ascii="Arial" w:cs="Arial" w:eastAsia="Arial" w:hAnsi="Arial"/>
                <w:sz w:val="18"/>
                <w:szCs w:val="18"/>
                <w:color w:val="auto"/>
              </w:rPr>
              <w:t>7,975.5</w:t>
            </w:r>
          </w:p>
        </w:tc>
        <w:tc>
          <w:tcPr>
            <w:tcW w:w="400" w:type="dxa"/>
            <w:vAlign w:val="bottom"/>
          </w:tcPr>
          <w:p>
            <w:pPr>
              <w:spacing w:after="0"/>
              <w:rPr>
                <w:sz w:val="23"/>
                <w:szCs w:val="23"/>
                <w:color w:val="auto"/>
              </w:rPr>
            </w:pPr>
          </w:p>
        </w:tc>
        <w:tc>
          <w:tcPr>
            <w:tcW w:w="1240" w:type="dxa"/>
            <w:vAlign w:val="bottom"/>
          </w:tcPr>
          <w:p>
            <w:pPr>
              <w:jc w:val="right"/>
              <w:ind w:right="151"/>
              <w:spacing w:after="0"/>
              <w:rPr>
                <w:sz w:val="20"/>
                <w:szCs w:val="20"/>
                <w:color w:val="auto"/>
              </w:rPr>
            </w:pPr>
            <w:r>
              <w:rPr>
                <w:rFonts w:ascii="Arial" w:cs="Arial" w:eastAsia="Arial" w:hAnsi="Arial"/>
                <w:sz w:val="18"/>
                <w:szCs w:val="18"/>
                <w:color w:val="auto"/>
              </w:rPr>
              <w:t>7,760.2</w:t>
            </w:r>
          </w:p>
        </w:tc>
        <w:tc>
          <w:tcPr>
            <w:tcW w:w="400" w:type="dxa"/>
            <w:vAlign w:val="bottom"/>
          </w:tcPr>
          <w:p>
            <w:pPr>
              <w:spacing w:after="0"/>
              <w:rPr>
                <w:sz w:val="23"/>
                <w:szCs w:val="23"/>
                <w:color w:val="auto"/>
              </w:rPr>
            </w:pPr>
          </w:p>
        </w:tc>
        <w:tc>
          <w:tcPr>
            <w:tcW w:w="1180" w:type="dxa"/>
            <w:vAlign w:val="bottom"/>
          </w:tcPr>
          <w:p>
            <w:pPr>
              <w:jc w:val="right"/>
              <w:ind w:right="91"/>
              <w:spacing w:after="0"/>
              <w:rPr>
                <w:sz w:val="20"/>
                <w:szCs w:val="20"/>
                <w:color w:val="auto"/>
              </w:rPr>
            </w:pPr>
            <w:r>
              <w:rPr>
                <w:rFonts w:ascii="Arial" w:cs="Arial" w:eastAsia="Arial" w:hAnsi="Arial"/>
                <w:sz w:val="18"/>
                <w:szCs w:val="18"/>
                <w:color w:val="auto"/>
              </w:rPr>
              <w:t>7,760.3</w:t>
            </w:r>
          </w:p>
        </w:tc>
        <w:tc>
          <w:tcPr>
            <w:tcW w:w="0" w:type="dxa"/>
            <w:vAlign w:val="bottom"/>
          </w:tcPr>
          <w:p>
            <w:pPr>
              <w:spacing w:after="0"/>
              <w:rPr>
                <w:sz w:val="1"/>
                <w:szCs w:val="1"/>
                <w:color w:val="auto"/>
              </w:rPr>
            </w:pPr>
          </w:p>
        </w:tc>
      </w:tr>
      <w:tr>
        <w:trPr>
          <w:trHeight w:val="271"/>
        </w:trPr>
        <w:tc>
          <w:tcPr>
            <w:tcW w:w="3360" w:type="dxa"/>
            <w:vAlign w:val="bottom"/>
            <w:shd w:val="clear" w:color="auto" w:fill="D8D8D8"/>
          </w:tcPr>
          <w:p>
            <w:pPr>
              <w:ind w:left="40"/>
              <w:spacing w:after="0"/>
              <w:rPr>
                <w:sz w:val="20"/>
                <w:szCs w:val="20"/>
                <w:color w:val="auto"/>
              </w:rPr>
            </w:pPr>
            <w:r>
              <w:rPr>
                <w:rFonts w:ascii="Arial" w:cs="Arial" w:eastAsia="Arial" w:hAnsi="Arial"/>
                <w:sz w:val="18"/>
                <w:szCs w:val="18"/>
                <w:color w:val="auto"/>
              </w:rPr>
              <w:t>Total assets</w:t>
            </w:r>
            <w:r>
              <w:rPr>
                <w:rFonts w:ascii="Arial" w:cs="Arial" w:eastAsia="Arial" w:hAnsi="Arial"/>
                <w:sz w:val="21"/>
                <w:szCs w:val="21"/>
                <w:color w:val="auto"/>
                <w:vertAlign w:val="superscript"/>
              </w:rPr>
              <w:t>(1)</w:t>
            </w:r>
          </w:p>
        </w:tc>
        <w:tc>
          <w:tcPr>
            <w:tcW w:w="320" w:type="dxa"/>
            <w:vAlign w:val="bottom"/>
            <w:shd w:val="clear" w:color="auto" w:fill="D8D8D8"/>
          </w:tcPr>
          <w:p>
            <w:pPr>
              <w:spacing w:after="0"/>
              <w:rPr>
                <w:sz w:val="23"/>
                <w:szCs w:val="23"/>
                <w:color w:val="auto"/>
              </w:rPr>
            </w:pPr>
          </w:p>
        </w:tc>
        <w:tc>
          <w:tcPr>
            <w:tcW w:w="1260" w:type="dxa"/>
            <w:vAlign w:val="bottom"/>
            <w:shd w:val="clear" w:color="auto" w:fill="D8D8D8"/>
          </w:tcPr>
          <w:p>
            <w:pPr>
              <w:jc w:val="right"/>
              <w:ind w:right="151"/>
              <w:spacing w:after="0"/>
              <w:rPr>
                <w:sz w:val="20"/>
                <w:szCs w:val="20"/>
                <w:color w:val="auto"/>
              </w:rPr>
            </w:pPr>
            <w:r>
              <w:rPr>
                <w:rFonts w:ascii="Arial" w:cs="Arial" w:eastAsia="Arial" w:hAnsi="Arial"/>
                <w:sz w:val="18"/>
                <w:szCs w:val="18"/>
                <w:b w:val="1"/>
                <w:bCs w:val="1"/>
                <w:color w:val="auto"/>
              </w:rPr>
              <w:t>35,568.9</w:t>
            </w:r>
          </w:p>
        </w:tc>
        <w:tc>
          <w:tcPr>
            <w:tcW w:w="380" w:type="dxa"/>
            <w:vAlign w:val="bottom"/>
            <w:shd w:val="clear" w:color="auto" w:fill="D8D8D8"/>
          </w:tcPr>
          <w:p>
            <w:pPr>
              <w:spacing w:after="0"/>
              <w:rPr>
                <w:sz w:val="23"/>
                <w:szCs w:val="23"/>
                <w:color w:val="auto"/>
              </w:rPr>
            </w:pPr>
          </w:p>
        </w:tc>
        <w:tc>
          <w:tcPr>
            <w:tcW w:w="1260" w:type="dxa"/>
            <w:vAlign w:val="bottom"/>
            <w:shd w:val="clear" w:color="auto" w:fill="D8D8D8"/>
          </w:tcPr>
          <w:p>
            <w:pPr>
              <w:jc w:val="right"/>
              <w:ind w:right="171"/>
              <w:spacing w:after="0"/>
              <w:rPr>
                <w:sz w:val="20"/>
                <w:szCs w:val="20"/>
                <w:color w:val="auto"/>
              </w:rPr>
            </w:pPr>
            <w:r>
              <w:rPr>
                <w:rFonts w:ascii="Arial" w:cs="Arial" w:eastAsia="Arial" w:hAnsi="Arial"/>
                <w:sz w:val="18"/>
                <w:szCs w:val="18"/>
                <w:color w:val="auto"/>
              </w:rPr>
              <w:t>36,307.6</w:t>
            </w:r>
          </w:p>
        </w:tc>
        <w:tc>
          <w:tcPr>
            <w:tcW w:w="380" w:type="dxa"/>
            <w:vAlign w:val="bottom"/>
            <w:shd w:val="clear" w:color="auto" w:fill="D8D8D8"/>
          </w:tcPr>
          <w:p>
            <w:pPr>
              <w:spacing w:after="0"/>
              <w:rPr>
                <w:sz w:val="23"/>
                <w:szCs w:val="23"/>
                <w:color w:val="auto"/>
              </w:rPr>
            </w:pPr>
          </w:p>
        </w:tc>
        <w:tc>
          <w:tcPr>
            <w:tcW w:w="1240" w:type="dxa"/>
            <w:vAlign w:val="bottom"/>
            <w:shd w:val="clear" w:color="auto" w:fill="D8D8D8"/>
          </w:tcPr>
          <w:p>
            <w:pPr>
              <w:jc w:val="right"/>
              <w:ind w:right="151"/>
              <w:spacing w:after="0"/>
              <w:rPr>
                <w:sz w:val="20"/>
                <w:szCs w:val="20"/>
                <w:color w:val="auto"/>
              </w:rPr>
            </w:pPr>
            <w:r>
              <w:rPr>
                <w:rFonts w:ascii="Arial" w:cs="Arial" w:eastAsia="Arial" w:hAnsi="Arial"/>
                <w:sz w:val="18"/>
                <w:szCs w:val="18"/>
                <w:color w:val="auto"/>
              </w:rPr>
              <w:t>35,210.8</w:t>
            </w:r>
          </w:p>
        </w:tc>
        <w:tc>
          <w:tcPr>
            <w:tcW w:w="400" w:type="dxa"/>
            <w:vAlign w:val="bottom"/>
            <w:shd w:val="clear" w:color="auto" w:fill="D8D8D8"/>
          </w:tcPr>
          <w:p>
            <w:pPr>
              <w:spacing w:after="0"/>
              <w:rPr>
                <w:sz w:val="23"/>
                <w:szCs w:val="23"/>
                <w:color w:val="auto"/>
              </w:rPr>
            </w:pPr>
          </w:p>
        </w:tc>
        <w:tc>
          <w:tcPr>
            <w:tcW w:w="1240" w:type="dxa"/>
            <w:vAlign w:val="bottom"/>
            <w:shd w:val="clear" w:color="auto" w:fill="D8D8D8"/>
          </w:tcPr>
          <w:p>
            <w:pPr>
              <w:jc w:val="right"/>
              <w:ind w:right="151"/>
              <w:spacing w:after="0"/>
              <w:rPr>
                <w:sz w:val="20"/>
                <w:szCs w:val="20"/>
                <w:color w:val="auto"/>
              </w:rPr>
            </w:pPr>
            <w:r>
              <w:rPr>
                <w:rFonts w:ascii="Arial" w:cs="Arial" w:eastAsia="Arial" w:hAnsi="Arial"/>
                <w:sz w:val="18"/>
                <w:szCs w:val="18"/>
                <w:color w:val="auto"/>
              </w:rPr>
              <w:t>33,316.1</w:t>
            </w:r>
          </w:p>
        </w:tc>
        <w:tc>
          <w:tcPr>
            <w:tcW w:w="400" w:type="dxa"/>
            <w:vAlign w:val="bottom"/>
            <w:shd w:val="clear" w:color="auto" w:fill="D8D8D8"/>
          </w:tcPr>
          <w:p>
            <w:pPr>
              <w:spacing w:after="0"/>
              <w:rPr>
                <w:sz w:val="23"/>
                <w:szCs w:val="23"/>
                <w:color w:val="auto"/>
              </w:rPr>
            </w:pPr>
          </w:p>
        </w:tc>
        <w:tc>
          <w:tcPr>
            <w:tcW w:w="1180" w:type="dxa"/>
            <w:vAlign w:val="bottom"/>
            <w:shd w:val="clear" w:color="auto" w:fill="D8D8D8"/>
          </w:tcPr>
          <w:p>
            <w:pPr>
              <w:jc w:val="right"/>
              <w:ind w:right="91"/>
              <w:spacing w:after="0"/>
              <w:rPr>
                <w:sz w:val="20"/>
                <w:szCs w:val="20"/>
                <w:color w:val="auto"/>
              </w:rPr>
            </w:pPr>
            <w:r>
              <w:rPr>
                <w:rFonts w:ascii="Arial" w:cs="Arial" w:eastAsia="Arial" w:hAnsi="Arial"/>
                <w:sz w:val="18"/>
                <w:szCs w:val="18"/>
                <w:color w:val="auto"/>
              </w:rPr>
              <w:t>33,216.5</w:t>
            </w:r>
          </w:p>
        </w:tc>
        <w:tc>
          <w:tcPr>
            <w:tcW w:w="0" w:type="dxa"/>
            <w:vAlign w:val="bottom"/>
          </w:tcPr>
          <w:p>
            <w:pPr>
              <w:spacing w:after="0"/>
              <w:rPr>
                <w:sz w:val="1"/>
                <w:szCs w:val="1"/>
                <w:color w:val="auto"/>
              </w:rPr>
            </w:pPr>
          </w:p>
        </w:tc>
      </w:tr>
      <w:tr>
        <w:trPr>
          <w:trHeight w:val="269"/>
        </w:trPr>
        <w:tc>
          <w:tcPr>
            <w:tcW w:w="336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320" w:type="dxa"/>
            <w:vAlign w:val="bottom"/>
          </w:tcPr>
          <w:p>
            <w:pPr>
              <w:spacing w:after="0"/>
              <w:rPr>
                <w:sz w:val="23"/>
                <w:szCs w:val="23"/>
                <w:color w:val="auto"/>
              </w:rPr>
            </w:pPr>
          </w:p>
        </w:tc>
        <w:tc>
          <w:tcPr>
            <w:tcW w:w="1260" w:type="dxa"/>
            <w:vAlign w:val="bottom"/>
          </w:tcPr>
          <w:p>
            <w:pPr>
              <w:jc w:val="right"/>
              <w:ind w:right="151"/>
              <w:spacing w:after="0"/>
              <w:rPr>
                <w:sz w:val="20"/>
                <w:szCs w:val="20"/>
                <w:color w:val="auto"/>
              </w:rPr>
            </w:pPr>
            <w:r>
              <w:rPr>
                <w:rFonts w:ascii="Arial" w:cs="Arial" w:eastAsia="Arial" w:hAnsi="Arial"/>
                <w:sz w:val="18"/>
                <w:szCs w:val="18"/>
                <w:b w:val="1"/>
                <w:bCs w:val="1"/>
                <w:color w:val="auto"/>
              </w:rPr>
              <w:t>7,972.4</w:t>
            </w:r>
          </w:p>
        </w:tc>
        <w:tc>
          <w:tcPr>
            <w:tcW w:w="380" w:type="dxa"/>
            <w:vAlign w:val="bottom"/>
          </w:tcPr>
          <w:p>
            <w:pPr>
              <w:spacing w:after="0"/>
              <w:rPr>
                <w:sz w:val="23"/>
                <w:szCs w:val="23"/>
                <w:color w:val="auto"/>
              </w:rPr>
            </w:pPr>
          </w:p>
        </w:tc>
        <w:tc>
          <w:tcPr>
            <w:tcW w:w="1260" w:type="dxa"/>
            <w:vAlign w:val="bottom"/>
          </w:tcPr>
          <w:p>
            <w:pPr>
              <w:jc w:val="right"/>
              <w:ind w:right="171"/>
              <w:spacing w:after="0"/>
              <w:rPr>
                <w:sz w:val="20"/>
                <w:szCs w:val="20"/>
                <w:color w:val="auto"/>
              </w:rPr>
            </w:pPr>
            <w:r>
              <w:rPr>
                <w:rFonts w:ascii="Arial" w:cs="Arial" w:eastAsia="Arial" w:hAnsi="Arial"/>
                <w:sz w:val="18"/>
                <w:szCs w:val="18"/>
                <w:color w:val="auto"/>
              </w:rPr>
              <w:t>5,332.8</w:t>
            </w:r>
          </w:p>
        </w:tc>
        <w:tc>
          <w:tcPr>
            <w:tcW w:w="380" w:type="dxa"/>
            <w:vAlign w:val="bottom"/>
          </w:tcPr>
          <w:p>
            <w:pPr>
              <w:spacing w:after="0"/>
              <w:rPr>
                <w:sz w:val="23"/>
                <w:szCs w:val="23"/>
                <w:color w:val="auto"/>
              </w:rPr>
            </w:pPr>
          </w:p>
        </w:tc>
        <w:tc>
          <w:tcPr>
            <w:tcW w:w="1240" w:type="dxa"/>
            <w:vAlign w:val="bottom"/>
          </w:tcPr>
          <w:p>
            <w:pPr>
              <w:jc w:val="right"/>
              <w:ind w:right="151"/>
              <w:spacing w:after="0"/>
              <w:rPr>
                <w:sz w:val="20"/>
                <w:szCs w:val="20"/>
                <w:color w:val="auto"/>
              </w:rPr>
            </w:pPr>
            <w:r>
              <w:rPr>
                <w:rFonts w:ascii="Arial" w:cs="Arial" w:eastAsia="Arial" w:hAnsi="Arial"/>
                <w:sz w:val="18"/>
                <w:szCs w:val="18"/>
                <w:color w:val="auto"/>
              </w:rPr>
              <w:t>4,200.3</w:t>
            </w:r>
          </w:p>
        </w:tc>
        <w:tc>
          <w:tcPr>
            <w:tcW w:w="400" w:type="dxa"/>
            <w:vAlign w:val="bottom"/>
          </w:tcPr>
          <w:p>
            <w:pPr>
              <w:spacing w:after="0"/>
              <w:rPr>
                <w:sz w:val="23"/>
                <w:szCs w:val="23"/>
                <w:color w:val="auto"/>
              </w:rPr>
            </w:pPr>
          </w:p>
        </w:tc>
        <w:tc>
          <w:tcPr>
            <w:tcW w:w="1240" w:type="dxa"/>
            <w:vAlign w:val="bottom"/>
          </w:tcPr>
          <w:p>
            <w:pPr>
              <w:jc w:val="right"/>
              <w:ind w:right="151"/>
              <w:spacing w:after="0"/>
              <w:rPr>
                <w:sz w:val="20"/>
                <w:szCs w:val="20"/>
                <w:color w:val="auto"/>
              </w:rPr>
            </w:pPr>
            <w:r>
              <w:rPr>
                <w:rFonts w:ascii="Arial" w:cs="Arial" w:eastAsia="Arial" w:hAnsi="Arial"/>
                <w:sz w:val="18"/>
                <w:szCs w:val="18"/>
                <w:color w:val="auto"/>
              </w:rPr>
              <w:t>5,519.4</w:t>
            </w:r>
          </w:p>
        </w:tc>
        <w:tc>
          <w:tcPr>
            <w:tcW w:w="400" w:type="dxa"/>
            <w:vAlign w:val="bottom"/>
          </w:tcPr>
          <w:p>
            <w:pPr>
              <w:spacing w:after="0"/>
              <w:rPr>
                <w:sz w:val="23"/>
                <w:szCs w:val="23"/>
                <w:color w:val="auto"/>
              </w:rPr>
            </w:pPr>
          </w:p>
        </w:tc>
        <w:tc>
          <w:tcPr>
            <w:tcW w:w="1180" w:type="dxa"/>
            <w:vAlign w:val="bottom"/>
          </w:tcPr>
          <w:p>
            <w:pPr>
              <w:jc w:val="right"/>
              <w:ind w:right="91"/>
              <w:spacing w:after="0"/>
              <w:rPr>
                <w:sz w:val="20"/>
                <w:szCs w:val="20"/>
                <w:color w:val="auto"/>
              </w:rPr>
            </w:pPr>
            <w:r>
              <w:rPr>
                <w:rFonts w:ascii="Arial" w:cs="Arial" w:eastAsia="Arial" w:hAnsi="Arial"/>
                <w:sz w:val="18"/>
                <w:szCs w:val="18"/>
                <w:color w:val="auto"/>
              </w:rPr>
              <w:t>5,464.7</w:t>
            </w:r>
          </w:p>
        </w:tc>
        <w:tc>
          <w:tcPr>
            <w:tcW w:w="0" w:type="dxa"/>
            <w:vAlign w:val="bottom"/>
          </w:tcPr>
          <w:p>
            <w:pPr>
              <w:spacing w:after="0"/>
              <w:rPr>
                <w:sz w:val="1"/>
                <w:szCs w:val="1"/>
                <w:color w:val="auto"/>
              </w:rPr>
            </w:pPr>
          </w:p>
        </w:tc>
      </w:tr>
      <w:tr>
        <w:trPr>
          <w:trHeight w:val="270"/>
        </w:trPr>
        <w:tc>
          <w:tcPr>
            <w:tcW w:w="3360" w:type="dxa"/>
            <w:vAlign w:val="bottom"/>
            <w:shd w:val="clear" w:color="auto" w:fill="D8D8D8"/>
          </w:tcPr>
          <w:p>
            <w:pPr>
              <w:ind w:left="40"/>
              <w:spacing w:after="0"/>
              <w:rPr>
                <w:sz w:val="20"/>
                <w:szCs w:val="20"/>
                <w:color w:val="auto"/>
              </w:rPr>
            </w:pPr>
            <w:r>
              <w:rPr>
                <w:rFonts w:ascii="Arial" w:cs="Arial" w:eastAsia="Arial" w:hAnsi="Arial"/>
                <w:sz w:val="18"/>
                <w:szCs w:val="18"/>
                <w:color w:val="auto"/>
              </w:rPr>
              <w:t>Total equity</w:t>
            </w:r>
          </w:p>
        </w:tc>
        <w:tc>
          <w:tcPr>
            <w:tcW w:w="320" w:type="dxa"/>
            <w:vAlign w:val="bottom"/>
            <w:tcBorders>
              <w:bottom w:val="single" w:sz="8" w:color="auto"/>
            </w:tcBorders>
            <w:shd w:val="clear" w:color="auto" w:fill="D8D8D8"/>
          </w:tcPr>
          <w:p>
            <w:pPr>
              <w:spacing w:after="0"/>
              <w:rPr>
                <w:sz w:val="23"/>
                <w:szCs w:val="23"/>
                <w:color w:val="auto"/>
              </w:rPr>
            </w:pPr>
          </w:p>
        </w:tc>
        <w:tc>
          <w:tcPr>
            <w:tcW w:w="1260" w:type="dxa"/>
            <w:vAlign w:val="bottom"/>
            <w:tcBorders>
              <w:bottom w:val="single" w:sz="8" w:color="auto"/>
            </w:tcBorders>
            <w:shd w:val="clear" w:color="auto" w:fill="D8D8D8"/>
          </w:tcPr>
          <w:p>
            <w:pPr>
              <w:jc w:val="right"/>
              <w:ind w:right="151"/>
              <w:spacing w:after="0"/>
              <w:rPr>
                <w:sz w:val="20"/>
                <w:szCs w:val="20"/>
                <w:color w:val="auto"/>
              </w:rPr>
            </w:pPr>
            <w:r>
              <w:rPr>
                <w:rFonts w:ascii="Arial" w:cs="Arial" w:eastAsia="Arial" w:hAnsi="Arial"/>
                <w:sz w:val="18"/>
                <w:szCs w:val="18"/>
                <w:b w:val="1"/>
                <w:bCs w:val="1"/>
                <w:color w:val="auto"/>
              </w:rPr>
              <w:t>14,590.3</w:t>
            </w:r>
          </w:p>
        </w:tc>
        <w:tc>
          <w:tcPr>
            <w:tcW w:w="380" w:type="dxa"/>
            <w:vAlign w:val="bottom"/>
            <w:tcBorders>
              <w:bottom w:val="single" w:sz="8" w:color="auto"/>
            </w:tcBorders>
            <w:shd w:val="clear" w:color="auto" w:fill="D8D8D8"/>
          </w:tcPr>
          <w:p>
            <w:pPr>
              <w:spacing w:after="0"/>
              <w:rPr>
                <w:sz w:val="23"/>
                <w:szCs w:val="23"/>
                <w:color w:val="auto"/>
              </w:rPr>
            </w:pPr>
          </w:p>
        </w:tc>
        <w:tc>
          <w:tcPr>
            <w:tcW w:w="1260" w:type="dxa"/>
            <w:vAlign w:val="bottom"/>
            <w:tcBorders>
              <w:bottom w:val="single" w:sz="8" w:color="auto"/>
            </w:tcBorders>
            <w:shd w:val="clear" w:color="auto" w:fill="D8D8D8"/>
          </w:tcPr>
          <w:p>
            <w:pPr>
              <w:jc w:val="right"/>
              <w:ind w:right="171"/>
              <w:spacing w:after="0"/>
              <w:rPr>
                <w:sz w:val="20"/>
                <w:szCs w:val="20"/>
                <w:color w:val="auto"/>
              </w:rPr>
            </w:pPr>
            <w:r>
              <w:rPr>
                <w:rFonts w:ascii="Arial" w:cs="Arial" w:eastAsia="Arial" w:hAnsi="Arial"/>
                <w:sz w:val="18"/>
                <w:szCs w:val="18"/>
                <w:color w:val="auto"/>
              </w:rPr>
              <w:t>15,388.1</w:t>
            </w:r>
          </w:p>
        </w:tc>
        <w:tc>
          <w:tcPr>
            <w:tcW w:w="380" w:type="dxa"/>
            <w:vAlign w:val="bottom"/>
            <w:tcBorders>
              <w:bottom w:val="single" w:sz="8" w:color="auto"/>
            </w:tcBorders>
            <w:shd w:val="clear" w:color="auto" w:fill="D8D8D8"/>
          </w:tcPr>
          <w:p>
            <w:pPr>
              <w:spacing w:after="0"/>
              <w:rPr>
                <w:sz w:val="23"/>
                <w:szCs w:val="23"/>
                <w:color w:val="auto"/>
              </w:rPr>
            </w:pPr>
          </w:p>
        </w:tc>
        <w:tc>
          <w:tcPr>
            <w:tcW w:w="1240" w:type="dxa"/>
            <w:vAlign w:val="bottom"/>
            <w:tcBorders>
              <w:bottom w:val="single" w:sz="8" w:color="auto"/>
            </w:tcBorders>
            <w:shd w:val="clear" w:color="auto" w:fill="D8D8D8"/>
          </w:tcPr>
          <w:p>
            <w:pPr>
              <w:jc w:val="right"/>
              <w:ind w:right="151"/>
              <w:spacing w:after="0"/>
              <w:rPr>
                <w:sz w:val="20"/>
                <w:szCs w:val="20"/>
                <w:color w:val="auto"/>
              </w:rPr>
            </w:pPr>
            <w:r>
              <w:rPr>
                <w:rFonts w:ascii="Arial" w:cs="Arial" w:eastAsia="Arial" w:hAnsi="Arial"/>
                <w:sz w:val="18"/>
                <w:szCs w:val="18"/>
                <w:color w:val="auto"/>
              </w:rPr>
              <w:t>17,640.7</w:t>
            </w:r>
          </w:p>
        </w:tc>
        <w:tc>
          <w:tcPr>
            <w:tcW w:w="400" w:type="dxa"/>
            <w:vAlign w:val="bottom"/>
            <w:tcBorders>
              <w:bottom w:val="single" w:sz="8" w:color="auto"/>
            </w:tcBorders>
            <w:shd w:val="clear" w:color="auto" w:fill="D8D8D8"/>
          </w:tcPr>
          <w:p>
            <w:pPr>
              <w:spacing w:after="0"/>
              <w:rPr>
                <w:sz w:val="23"/>
                <w:szCs w:val="23"/>
                <w:color w:val="auto"/>
              </w:rPr>
            </w:pPr>
          </w:p>
        </w:tc>
        <w:tc>
          <w:tcPr>
            <w:tcW w:w="1240" w:type="dxa"/>
            <w:vAlign w:val="bottom"/>
            <w:tcBorders>
              <w:bottom w:val="single" w:sz="8" w:color="auto"/>
            </w:tcBorders>
            <w:shd w:val="clear" w:color="auto" w:fill="D8D8D8"/>
          </w:tcPr>
          <w:p>
            <w:pPr>
              <w:jc w:val="right"/>
              <w:ind w:right="151"/>
              <w:spacing w:after="0"/>
              <w:rPr>
                <w:sz w:val="20"/>
                <w:szCs w:val="20"/>
                <w:color w:val="auto"/>
              </w:rPr>
            </w:pPr>
            <w:r>
              <w:rPr>
                <w:rFonts w:ascii="Arial" w:cs="Arial" w:eastAsia="Arial" w:hAnsi="Arial"/>
                <w:sz w:val="18"/>
                <w:szCs w:val="18"/>
                <w:color w:val="auto"/>
              </w:rPr>
              <w:t>14,773.9</w:t>
            </w:r>
          </w:p>
        </w:tc>
        <w:tc>
          <w:tcPr>
            <w:tcW w:w="400" w:type="dxa"/>
            <w:vAlign w:val="bottom"/>
            <w:tcBorders>
              <w:bottom w:val="single" w:sz="8" w:color="auto"/>
            </w:tcBorders>
            <w:shd w:val="clear" w:color="auto" w:fill="D8D8D8"/>
          </w:tcPr>
          <w:p>
            <w:pPr>
              <w:spacing w:after="0"/>
              <w:rPr>
                <w:sz w:val="23"/>
                <w:szCs w:val="23"/>
                <w:color w:val="auto"/>
              </w:rPr>
            </w:pPr>
          </w:p>
        </w:tc>
        <w:tc>
          <w:tcPr>
            <w:tcW w:w="1180" w:type="dxa"/>
            <w:vAlign w:val="bottom"/>
            <w:tcBorders>
              <w:bottom w:val="single" w:sz="8" w:color="auto"/>
            </w:tcBorders>
            <w:shd w:val="clear" w:color="auto" w:fill="D8D8D8"/>
          </w:tcPr>
          <w:p>
            <w:pPr>
              <w:jc w:val="right"/>
              <w:ind w:right="91"/>
              <w:spacing w:after="0"/>
              <w:rPr>
                <w:sz w:val="20"/>
                <w:szCs w:val="20"/>
                <w:color w:val="auto"/>
              </w:rPr>
            </w:pPr>
            <w:r>
              <w:rPr>
                <w:rFonts w:ascii="Arial" w:cs="Arial" w:eastAsia="Arial" w:hAnsi="Arial"/>
                <w:sz w:val="18"/>
                <w:szCs w:val="18"/>
                <w:color w:val="auto"/>
              </w:rPr>
              <w:t>13,535.6</w:t>
            </w:r>
          </w:p>
        </w:tc>
        <w:tc>
          <w:tcPr>
            <w:tcW w:w="0" w:type="dxa"/>
            <w:vAlign w:val="bottom"/>
          </w:tcPr>
          <w:p>
            <w:pPr>
              <w:spacing w:after="0"/>
              <w:rPr>
                <w:sz w:val="1"/>
                <w:szCs w:val="1"/>
                <w:color w:val="auto"/>
              </w:rPr>
            </w:pPr>
          </w:p>
        </w:tc>
      </w:tr>
      <w:tr>
        <w:trPr>
          <w:trHeight w:val="183"/>
        </w:trPr>
        <w:tc>
          <w:tcPr>
            <w:tcW w:w="3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3360" w:type="dxa"/>
            <w:vAlign w:val="bottom"/>
            <w:shd w:val="clear" w:color="auto" w:fill="D8D8D8"/>
          </w:tcPr>
          <w:p>
            <w:pPr>
              <w:ind w:left="40"/>
              <w:spacing w:after="0"/>
              <w:rPr>
                <w:sz w:val="20"/>
                <w:szCs w:val="20"/>
                <w:color w:val="auto"/>
              </w:rPr>
            </w:pPr>
            <w:r>
              <w:rPr>
                <w:rFonts w:ascii="Arial" w:cs="Arial" w:eastAsia="Arial" w:hAnsi="Arial"/>
                <w:sz w:val="18"/>
                <w:szCs w:val="18"/>
                <w:b w:val="1"/>
                <w:bCs w:val="1"/>
                <w:color w:val="auto"/>
              </w:rPr>
              <w:t>Supplementary Data</w:t>
            </w:r>
          </w:p>
        </w:tc>
        <w:tc>
          <w:tcPr>
            <w:tcW w:w="320" w:type="dxa"/>
            <w:vAlign w:val="bottom"/>
            <w:shd w:val="clear" w:color="auto" w:fill="D8D8D8"/>
          </w:tcPr>
          <w:p>
            <w:pPr>
              <w:spacing w:after="0"/>
              <w:rPr>
                <w:sz w:val="23"/>
                <w:szCs w:val="23"/>
                <w:color w:val="auto"/>
              </w:rPr>
            </w:pPr>
          </w:p>
        </w:tc>
        <w:tc>
          <w:tcPr>
            <w:tcW w:w="1260" w:type="dxa"/>
            <w:vAlign w:val="bottom"/>
            <w:shd w:val="clear" w:color="auto" w:fill="D8D8D8"/>
          </w:tcPr>
          <w:p>
            <w:pPr>
              <w:spacing w:after="0"/>
              <w:rPr>
                <w:sz w:val="23"/>
                <w:szCs w:val="23"/>
                <w:color w:val="auto"/>
              </w:rPr>
            </w:pPr>
          </w:p>
        </w:tc>
        <w:tc>
          <w:tcPr>
            <w:tcW w:w="380" w:type="dxa"/>
            <w:vAlign w:val="bottom"/>
            <w:shd w:val="clear" w:color="auto" w:fill="D8D8D8"/>
          </w:tcPr>
          <w:p>
            <w:pPr>
              <w:spacing w:after="0"/>
              <w:rPr>
                <w:sz w:val="23"/>
                <w:szCs w:val="23"/>
                <w:color w:val="auto"/>
              </w:rPr>
            </w:pPr>
          </w:p>
        </w:tc>
        <w:tc>
          <w:tcPr>
            <w:tcW w:w="1260" w:type="dxa"/>
            <w:vAlign w:val="bottom"/>
            <w:shd w:val="clear" w:color="auto" w:fill="D8D8D8"/>
          </w:tcPr>
          <w:p>
            <w:pPr>
              <w:spacing w:after="0"/>
              <w:rPr>
                <w:sz w:val="23"/>
                <w:szCs w:val="23"/>
                <w:color w:val="auto"/>
              </w:rPr>
            </w:pPr>
          </w:p>
        </w:tc>
        <w:tc>
          <w:tcPr>
            <w:tcW w:w="380" w:type="dxa"/>
            <w:vAlign w:val="bottom"/>
            <w:shd w:val="clear" w:color="auto" w:fill="D8D8D8"/>
          </w:tcPr>
          <w:p>
            <w:pPr>
              <w:spacing w:after="0"/>
              <w:rPr>
                <w:sz w:val="23"/>
                <w:szCs w:val="23"/>
                <w:color w:val="auto"/>
              </w:rPr>
            </w:pPr>
          </w:p>
        </w:tc>
        <w:tc>
          <w:tcPr>
            <w:tcW w:w="1240" w:type="dxa"/>
            <w:vAlign w:val="bottom"/>
            <w:shd w:val="clear" w:color="auto" w:fill="D8D8D8"/>
          </w:tcPr>
          <w:p>
            <w:pPr>
              <w:spacing w:after="0"/>
              <w:rPr>
                <w:sz w:val="23"/>
                <w:szCs w:val="23"/>
                <w:color w:val="auto"/>
              </w:rPr>
            </w:pPr>
          </w:p>
        </w:tc>
        <w:tc>
          <w:tcPr>
            <w:tcW w:w="400" w:type="dxa"/>
            <w:vAlign w:val="bottom"/>
            <w:shd w:val="clear" w:color="auto" w:fill="D8D8D8"/>
          </w:tcPr>
          <w:p>
            <w:pPr>
              <w:spacing w:after="0"/>
              <w:rPr>
                <w:sz w:val="23"/>
                <w:szCs w:val="23"/>
                <w:color w:val="auto"/>
              </w:rPr>
            </w:pPr>
          </w:p>
        </w:tc>
        <w:tc>
          <w:tcPr>
            <w:tcW w:w="1240" w:type="dxa"/>
            <w:vAlign w:val="bottom"/>
            <w:shd w:val="clear" w:color="auto" w:fill="D8D8D8"/>
          </w:tcPr>
          <w:p>
            <w:pPr>
              <w:spacing w:after="0"/>
              <w:rPr>
                <w:sz w:val="23"/>
                <w:szCs w:val="23"/>
                <w:color w:val="auto"/>
              </w:rPr>
            </w:pPr>
          </w:p>
        </w:tc>
        <w:tc>
          <w:tcPr>
            <w:tcW w:w="400" w:type="dxa"/>
            <w:vAlign w:val="bottom"/>
            <w:shd w:val="clear" w:color="auto" w:fill="D8D8D8"/>
          </w:tcPr>
          <w:p>
            <w:pPr>
              <w:spacing w:after="0"/>
              <w:rPr>
                <w:sz w:val="23"/>
                <w:szCs w:val="23"/>
                <w:color w:val="auto"/>
              </w:rPr>
            </w:pPr>
          </w:p>
        </w:tc>
        <w:tc>
          <w:tcPr>
            <w:tcW w:w="1180" w:type="dxa"/>
            <w:vAlign w:val="bottom"/>
            <w:shd w:val="clear" w:color="auto" w:fill="D8D8D8"/>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3360" w:type="dxa"/>
            <w:vAlign w:val="bottom"/>
          </w:tcPr>
          <w:p>
            <w:pPr>
              <w:ind w:left="40"/>
              <w:spacing w:after="0"/>
              <w:rPr>
                <w:sz w:val="20"/>
                <w:szCs w:val="20"/>
                <w:color w:val="auto"/>
              </w:rPr>
            </w:pPr>
            <w:r>
              <w:rPr>
                <w:rFonts w:ascii="Arial" w:cs="Arial" w:eastAsia="Arial" w:hAnsi="Arial"/>
                <w:sz w:val="18"/>
                <w:szCs w:val="18"/>
                <w:color w:val="auto"/>
              </w:rPr>
              <w:t>Return on total equity</w:t>
            </w:r>
          </w:p>
        </w:tc>
        <w:tc>
          <w:tcPr>
            <w:tcW w:w="3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16.1%</w:t>
            </w:r>
          </w:p>
        </w:tc>
        <w:tc>
          <w:tcPr>
            <w:tcW w:w="38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13.7%</w:t>
            </w:r>
          </w:p>
        </w:tc>
        <w:tc>
          <w:tcPr>
            <w:tcW w:w="38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29.5%</w:t>
            </w:r>
          </w:p>
        </w:tc>
        <w:tc>
          <w:tcPr>
            <w:tcW w:w="40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27.8%</w:t>
            </w:r>
          </w:p>
        </w:tc>
        <w:tc>
          <w:tcPr>
            <w:tcW w:w="4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71"/>
        </w:trPr>
        <w:tc>
          <w:tcPr>
            <w:tcW w:w="3360" w:type="dxa"/>
            <w:vAlign w:val="bottom"/>
            <w:shd w:val="clear" w:color="auto" w:fill="D8D8D8"/>
          </w:tcPr>
          <w:p>
            <w:pPr>
              <w:ind w:left="40"/>
              <w:spacing w:after="0"/>
              <w:rPr>
                <w:sz w:val="20"/>
                <w:szCs w:val="20"/>
                <w:color w:val="auto"/>
              </w:rPr>
            </w:pPr>
            <w:r>
              <w:rPr>
                <w:rFonts w:ascii="Arial" w:cs="Arial" w:eastAsia="Arial" w:hAnsi="Arial"/>
                <w:sz w:val="18"/>
                <w:szCs w:val="18"/>
                <w:color w:val="auto"/>
              </w:rPr>
              <w:t>Return on assets</w:t>
            </w:r>
            <w:r>
              <w:rPr>
                <w:rFonts w:ascii="Arial" w:cs="Arial" w:eastAsia="Arial" w:hAnsi="Arial"/>
                <w:sz w:val="21"/>
                <w:szCs w:val="21"/>
                <w:color w:val="auto"/>
                <w:vertAlign w:val="superscript"/>
              </w:rPr>
              <w:t>(1)</w:t>
            </w:r>
          </w:p>
        </w:tc>
        <w:tc>
          <w:tcPr>
            <w:tcW w:w="320" w:type="dxa"/>
            <w:vAlign w:val="bottom"/>
            <w:shd w:val="clear" w:color="auto" w:fill="D8D8D8"/>
          </w:tcPr>
          <w:p>
            <w:pPr>
              <w:spacing w:after="0"/>
              <w:rPr>
                <w:sz w:val="23"/>
                <w:szCs w:val="23"/>
                <w:color w:val="auto"/>
              </w:rPr>
            </w:pPr>
          </w:p>
        </w:tc>
        <w:tc>
          <w:tcPr>
            <w:tcW w:w="1260" w:type="dxa"/>
            <w:vAlign w:val="bottom"/>
            <w:shd w:val="clear" w:color="auto" w:fill="D8D8D8"/>
          </w:tcPr>
          <w:p>
            <w:pPr>
              <w:jc w:val="right"/>
              <w:spacing w:after="0"/>
              <w:rPr>
                <w:sz w:val="20"/>
                <w:szCs w:val="20"/>
                <w:color w:val="auto"/>
              </w:rPr>
            </w:pPr>
            <w:r>
              <w:rPr>
                <w:rFonts w:ascii="Arial" w:cs="Arial" w:eastAsia="Arial" w:hAnsi="Arial"/>
                <w:sz w:val="18"/>
                <w:szCs w:val="18"/>
                <w:b w:val="1"/>
                <w:bCs w:val="1"/>
                <w:color w:val="auto"/>
              </w:rPr>
              <w:t>6.8%</w:t>
            </w:r>
          </w:p>
        </w:tc>
        <w:tc>
          <w:tcPr>
            <w:tcW w:w="380" w:type="dxa"/>
            <w:vAlign w:val="bottom"/>
            <w:shd w:val="clear" w:color="auto" w:fill="D8D8D8"/>
          </w:tcPr>
          <w:p>
            <w:pPr>
              <w:spacing w:after="0"/>
              <w:rPr>
                <w:sz w:val="23"/>
                <w:szCs w:val="23"/>
                <w:color w:val="auto"/>
              </w:rPr>
            </w:pPr>
          </w:p>
        </w:tc>
        <w:tc>
          <w:tcPr>
            <w:tcW w:w="1260" w:type="dxa"/>
            <w:vAlign w:val="bottom"/>
            <w:shd w:val="clear" w:color="auto" w:fill="D8D8D8"/>
          </w:tcPr>
          <w:p>
            <w:pPr>
              <w:jc w:val="right"/>
              <w:ind w:right="11"/>
              <w:spacing w:after="0"/>
              <w:rPr>
                <w:sz w:val="20"/>
                <w:szCs w:val="20"/>
                <w:color w:val="auto"/>
              </w:rPr>
            </w:pPr>
            <w:r>
              <w:rPr>
                <w:rFonts w:ascii="Arial" w:cs="Arial" w:eastAsia="Arial" w:hAnsi="Arial"/>
                <w:sz w:val="18"/>
                <w:szCs w:val="18"/>
                <w:color w:val="auto"/>
              </w:rPr>
              <w:t>6.8%</w:t>
            </w:r>
          </w:p>
        </w:tc>
        <w:tc>
          <w:tcPr>
            <w:tcW w:w="380" w:type="dxa"/>
            <w:vAlign w:val="bottom"/>
            <w:shd w:val="clear" w:color="auto" w:fill="D8D8D8"/>
          </w:tcPr>
          <w:p>
            <w:pPr>
              <w:spacing w:after="0"/>
              <w:rPr>
                <w:sz w:val="23"/>
                <w:szCs w:val="23"/>
                <w:color w:val="auto"/>
              </w:rPr>
            </w:pPr>
          </w:p>
        </w:tc>
        <w:tc>
          <w:tcPr>
            <w:tcW w:w="1240" w:type="dxa"/>
            <w:vAlign w:val="bottom"/>
            <w:shd w:val="clear" w:color="auto" w:fill="D8D8D8"/>
          </w:tcPr>
          <w:p>
            <w:pPr>
              <w:jc w:val="right"/>
              <w:spacing w:after="0"/>
              <w:rPr>
                <w:sz w:val="20"/>
                <w:szCs w:val="20"/>
                <w:color w:val="auto"/>
              </w:rPr>
            </w:pPr>
            <w:r>
              <w:rPr>
                <w:rFonts w:ascii="Arial" w:cs="Arial" w:eastAsia="Arial" w:hAnsi="Arial"/>
                <w:sz w:val="18"/>
                <w:szCs w:val="18"/>
                <w:color w:val="auto"/>
              </w:rPr>
              <w:t>14.1%</w:t>
            </w:r>
          </w:p>
        </w:tc>
        <w:tc>
          <w:tcPr>
            <w:tcW w:w="400" w:type="dxa"/>
            <w:vAlign w:val="bottom"/>
            <w:shd w:val="clear" w:color="auto" w:fill="D8D8D8"/>
          </w:tcPr>
          <w:p>
            <w:pPr>
              <w:spacing w:after="0"/>
              <w:rPr>
                <w:sz w:val="23"/>
                <w:szCs w:val="23"/>
                <w:color w:val="auto"/>
              </w:rPr>
            </w:pPr>
          </w:p>
        </w:tc>
        <w:tc>
          <w:tcPr>
            <w:tcW w:w="1240" w:type="dxa"/>
            <w:vAlign w:val="bottom"/>
            <w:shd w:val="clear" w:color="auto" w:fill="D8D8D8"/>
          </w:tcPr>
          <w:p>
            <w:pPr>
              <w:jc w:val="right"/>
              <w:spacing w:after="0"/>
              <w:rPr>
                <w:sz w:val="20"/>
                <w:szCs w:val="20"/>
                <w:color w:val="auto"/>
              </w:rPr>
            </w:pPr>
            <w:r>
              <w:rPr>
                <w:rFonts w:ascii="Arial" w:cs="Arial" w:eastAsia="Arial" w:hAnsi="Arial"/>
                <w:sz w:val="18"/>
                <w:szCs w:val="18"/>
                <w:color w:val="auto"/>
              </w:rPr>
              <w:t>12.5%</w:t>
            </w:r>
          </w:p>
        </w:tc>
        <w:tc>
          <w:tcPr>
            <w:tcW w:w="400" w:type="dxa"/>
            <w:vAlign w:val="bottom"/>
            <w:shd w:val="clear" w:color="auto" w:fill="D8D8D8"/>
          </w:tcPr>
          <w:p>
            <w:pPr>
              <w:spacing w:after="0"/>
              <w:rPr>
                <w:sz w:val="23"/>
                <w:szCs w:val="23"/>
                <w:color w:val="auto"/>
              </w:rPr>
            </w:pPr>
          </w:p>
        </w:tc>
        <w:tc>
          <w:tcPr>
            <w:tcW w:w="11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69"/>
        </w:trPr>
        <w:tc>
          <w:tcPr>
            <w:tcW w:w="3360" w:type="dxa"/>
            <w:vAlign w:val="bottom"/>
          </w:tcPr>
          <w:p>
            <w:pPr>
              <w:ind w:left="40"/>
              <w:spacing w:after="0"/>
              <w:rPr>
                <w:sz w:val="20"/>
                <w:szCs w:val="20"/>
                <w:color w:val="auto"/>
              </w:rPr>
            </w:pPr>
            <w:r>
              <w:rPr>
                <w:rFonts w:ascii="Arial" w:cs="Arial" w:eastAsia="Arial" w:hAnsi="Arial"/>
                <w:sz w:val="18"/>
                <w:szCs w:val="18"/>
                <w:color w:val="auto"/>
              </w:rPr>
              <w:t>Capital expenditures</w:t>
            </w: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Pr>
          <w:p>
            <w:pPr>
              <w:jc w:val="right"/>
              <w:ind w:right="151"/>
              <w:spacing w:after="0"/>
              <w:rPr>
                <w:sz w:val="20"/>
                <w:szCs w:val="20"/>
                <w:color w:val="auto"/>
              </w:rPr>
            </w:pPr>
            <w:r>
              <w:rPr>
                <w:rFonts w:ascii="Arial" w:cs="Arial" w:eastAsia="Arial" w:hAnsi="Arial"/>
                <w:sz w:val="18"/>
                <w:szCs w:val="18"/>
                <w:b w:val="1"/>
                <w:bCs w:val="1"/>
                <w:color w:val="auto"/>
              </w:rPr>
              <w:t>1,066.2</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71"/>
              <w:spacing w:after="0"/>
              <w:rPr>
                <w:sz w:val="20"/>
                <w:szCs w:val="20"/>
                <w:color w:val="auto"/>
              </w:rPr>
            </w:pPr>
            <w:r>
              <w:rPr>
                <w:rFonts w:ascii="Arial" w:cs="Arial" w:eastAsia="Arial" w:hAnsi="Arial"/>
                <w:sz w:val="18"/>
                <w:szCs w:val="18"/>
                <w:color w:val="auto"/>
              </w:rPr>
              <w:t>1,162.6</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51"/>
              <w:spacing w:after="0"/>
              <w:rPr>
                <w:sz w:val="20"/>
                <w:szCs w:val="20"/>
                <w:color w:val="auto"/>
              </w:rPr>
            </w:pPr>
            <w:r>
              <w:rPr>
                <w:rFonts w:ascii="Arial" w:cs="Arial" w:eastAsia="Arial" w:hAnsi="Arial"/>
                <w:sz w:val="18"/>
                <w:szCs w:val="18"/>
                <w:color w:val="auto"/>
              </w:rPr>
              <w:t>1,012.1</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51"/>
              <w:spacing w:after="0"/>
              <w:rPr>
                <w:sz w:val="20"/>
                <w:szCs w:val="20"/>
                <w:color w:val="auto"/>
              </w:rPr>
            </w:pPr>
            <w:r>
              <w:rPr>
                <w:rFonts w:ascii="Arial" w:cs="Arial" w:eastAsia="Arial" w:hAnsi="Arial"/>
                <w:sz w:val="18"/>
                <w:szCs w:val="18"/>
                <w:color w:val="auto"/>
              </w:rPr>
              <w:t>905.4</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91"/>
              <w:spacing w:after="0"/>
              <w:rPr>
                <w:sz w:val="20"/>
                <w:szCs w:val="20"/>
                <w:color w:val="auto"/>
              </w:rPr>
            </w:pPr>
            <w:r>
              <w:rPr>
                <w:rFonts w:ascii="Arial" w:cs="Arial" w:eastAsia="Arial" w:hAnsi="Arial"/>
                <w:sz w:val="18"/>
                <w:szCs w:val="18"/>
                <w:color w:val="auto"/>
              </w:rPr>
              <w:t>672.0</w:t>
            </w:r>
          </w:p>
        </w:tc>
        <w:tc>
          <w:tcPr>
            <w:tcW w:w="0" w:type="dxa"/>
            <w:vAlign w:val="bottom"/>
          </w:tcPr>
          <w:p>
            <w:pPr>
              <w:spacing w:after="0"/>
              <w:rPr>
                <w:sz w:val="1"/>
                <w:szCs w:val="1"/>
                <w:color w:val="auto"/>
              </w:rPr>
            </w:pPr>
          </w:p>
        </w:tc>
      </w:tr>
      <w:tr>
        <w:trPr>
          <w:trHeight w:val="271"/>
        </w:trPr>
        <w:tc>
          <w:tcPr>
            <w:tcW w:w="3360" w:type="dxa"/>
            <w:vAlign w:val="bottom"/>
            <w:shd w:val="clear" w:color="auto" w:fill="D8D8D8"/>
          </w:tcPr>
          <w:p>
            <w:pPr>
              <w:ind w:left="40"/>
              <w:spacing w:after="0"/>
              <w:rPr>
                <w:sz w:val="20"/>
                <w:szCs w:val="20"/>
                <w:color w:val="auto"/>
              </w:rPr>
            </w:pPr>
            <w:r>
              <w:rPr>
                <w:rFonts w:ascii="Arial" w:cs="Arial" w:eastAsia="Arial" w:hAnsi="Arial"/>
                <w:sz w:val="18"/>
                <w:szCs w:val="18"/>
                <w:color w:val="auto"/>
              </w:rPr>
              <w:t>Depreciation and amortization</w:t>
            </w:r>
          </w:p>
        </w:tc>
        <w:tc>
          <w:tcPr>
            <w:tcW w:w="320" w:type="dxa"/>
            <w:vAlign w:val="bottom"/>
            <w:shd w:val="clear" w:color="auto" w:fill="D8D8D8"/>
          </w:tcPr>
          <w:p>
            <w:pPr>
              <w:spacing w:after="0"/>
              <w:rPr>
                <w:sz w:val="23"/>
                <w:szCs w:val="23"/>
                <w:color w:val="auto"/>
              </w:rPr>
            </w:pPr>
          </w:p>
        </w:tc>
        <w:tc>
          <w:tcPr>
            <w:tcW w:w="1260" w:type="dxa"/>
            <w:vAlign w:val="bottom"/>
            <w:shd w:val="clear" w:color="auto" w:fill="D8D8D8"/>
          </w:tcPr>
          <w:p>
            <w:pPr>
              <w:jc w:val="right"/>
              <w:ind w:right="151"/>
              <w:spacing w:after="0"/>
              <w:rPr>
                <w:sz w:val="20"/>
                <w:szCs w:val="20"/>
                <w:color w:val="auto"/>
              </w:rPr>
            </w:pPr>
            <w:r>
              <w:rPr>
                <w:rFonts w:ascii="Arial" w:cs="Arial" w:eastAsia="Arial" w:hAnsi="Arial"/>
                <w:sz w:val="18"/>
                <w:szCs w:val="18"/>
                <w:b w:val="1"/>
                <w:bCs w:val="1"/>
                <w:color w:val="auto"/>
              </w:rPr>
              <w:t>1,427.7</w:t>
            </w:r>
          </w:p>
        </w:tc>
        <w:tc>
          <w:tcPr>
            <w:tcW w:w="380" w:type="dxa"/>
            <w:vAlign w:val="bottom"/>
            <w:shd w:val="clear" w:color="auto" w:fill="D8D8D8"/>
          </w:tcPr>
          <w:p>
            <w:pPr>
              <w:spacing w:after="0"/>
              <w:rPr>
                <w:sz w:val="23"/>
                <w:szCs w:val="23"/>
                <w:color w:val="auto"/>
              </w:rPr>
            </w:pPr>
          </w:p>
        </w:tc>
        <w:tc>
          <w:tcPr>
            <w:tcW w:w="1260" w:type="dxa"/>
            <w:vAlign w:val="bottom"/>
            <w:shd w:val="clear" w:color="auto" w:fill="D8D8D8"/>
          </w:tcPr>
          <w:p>
            <w:pPr>
              <w:jc w:val="right"/>
              <w:ind w:right="171"/>
              <w:spacing w:after="0"/>
              <w:rPr>
                <w:sz w:val="20"/>
                <w:szCs w:val="20"/>
                <w:color w:val="auto"/>
              </w:rPr>
            </w:pPr>
            <w:r>
              <w:rPr>
                <w:rFonts w:ascii="Arial" w:cs="Arial" w:eastAsia="Arial" w:hAnsi="Arial"/>
                <w:sz w:val="18"/>
                <w:szCs w:val="18"/>
                <w:color w:val="auto"/>
              </w:rPr>
              <w:t>1,379.0</w:t>
            </w:r>
          </w:p>
        </w:tc>
        <w:tc>
          <w:tcPr>
            <w:tcW w:w="380" w:type="dxa"/>
            <w:vAlign w:val="bottom"/>
            <w:shd w:val="clear" w:color="auto" w:fill="D8D8D8"/>
          </w:tcPr>
          <w:p>
            <w:pPr>
              <w:spacing w:after="0"/>
              <w:rPr>
                <w:sz w:val="23"/>
                <w:szCs w:val="23"/>
                <w:color w:val="auto"/>
              </w:rPr>
            </w:pPr>
          </w:p>
        </w:tc>
        <w:tc>
          <w:tcPr>
            <w:tcW w:w="1240" w:type="dxa"/>
            <w:vAlign w:val="bottom"/>
            <w:shd w:val="clear" w:color="auto" w:fill="D8D8D8"/>
          </w:tcPr>
          <w:p>
            <w:pPr>
              <w:jc w:val="right"/>
              <w:ind w:right="151"/>
              <w:spacing w:after="0"/>
              <w:rPr>
                <w:sz w:val="20"/>
                <w:szCs w:val="20"/>
                <w:color w:val="auto"/>
              </w:rPr>
            </w:pPr>
            <w:r>
              <w:rPr>
                <w:rFonts w:ascii="Arial" w:cs="Arial" w:eastAsia="Arial" w:hAnsi="Arial"/>
                <w:sz w:val="18"/>
                <w:szCs w:val="18"/>
                <w:color w:val="auto"/>
              </w:rPr>
              <w:t>1,445.6</w:t>
            </w:r>
          </w:p>
        </w:tc>
        <w:tc>
          <w:tcPr>
            <w:tcW w:w="400" w:type="dxa"/>
            <w:vAlign w:val="bottom"/>
            <w:shd w:val="clear" w:color="auto" w:fill="D8D8D8"/>
          </w:tcPr>
          <w:p>
            <w:pPr>
              <w:spacing w:after="0"/>
              <w:rPr>
                <w:sz w:val="23"/>
                <w:szCs w:val="23"/>
                <w:color w:val="auto"/>
              </w:rPr>
            </w:pPr>
          </w:p>
        </w:tc>
        <w:tc>
          <w:tcPr>
            <w:tcW w:w="1240" w:type="dxa"/>
            <w:vAlign w:val="bottom"/>
            <w:shd w:val="clear" w:color="auto" w:fill="D8D8D8"/>
          </w:tcPr>
          <w:p>
            <w:pPr>
              <w:jc w:val="right"/>
              <w:ind w:right="151"/>
              <w:spacing w:after="0"/>
              <w:rPr>
                <w:sz w:val="20"/>
                <w:szCs w:val="20"/>
                <w:color w:val="auto"/>
              </w:rPr>
            </w:pPr>
            <w:r>
              <w:rPr>
                <w:rFonts w:ascii="Arial" w:cs="Arial" w:eastAsia="Arial" w:hAnsi="Arial"/>
                <w:sz w:val="18"/>
                <w:szCs w:val="18"/>
                <w:color w:val="auto"/>
              </w:rPr>
              <w:t>1,462.2</w:t>
            </w:r>
          </w:p>
        </w:tc>
        <w:tc>
          <w:tcPr>
            <w:tcW w:w="400" w:type="dxa"/>
            <w:vAlign w:val="bottom"/>
            <w:shd w:val="clear" w:color="auto" w:fill="D8D8D8"/>
          </w:tcPr>
          <w:p>
            <w:pPr>
              <w:spacing w:after="0"/>
              <w:rPr>
                <w:sz w:val="23"/>
                <w:szCs w:val="23"/>
                <w:color w:val="auto"/>
              </w:rPr>
            </w:pPr>
          </w:p>
        </w:tc>
        <w:tc>
          <w:tcPr>
            <w:tcW w:w="1180" w:type="dxa"/>
            <w:vAlign w:val="bottom"/>
            <w:shd w:val="clear" w:color="auto" w:fill="D8D8D8"/>
          </w:tcPr>
          <w:p>
            <w:pPr>
              <w:jc w:val="right"/>
              <w:ind w:right="91"/>
              <w:spacing w:after="0"/>
              <w:rPr>
                <w:sz w:val="20"/>
                <w:szCs w:val="20"/>
                <w:color w:val="auto"/>
              </w:rPr>
            </w:pPr>
            <w:r>
              <w:rPr>
                <w:rFonts w:ascii="Arial" w:cs="Arial" w:eastAsia="Arial" w:hAnsi="Arial"/>
                <w:sz w:val="18"/>
                <w:szCs w:val="18"/>
                <w:color w:val="auto"/>
              </w:rPr>
              <w:t>1,373.6</w:t>
            </w:r>
          </w:p>
        </w:tc>
        <w:tc>
          <w:tcPr>
            <w:tcW w:w="0" w:type="dxa"/>
            <w:vAlign w:val="bottom"/>
          </w:tcPr>
          <w:p>
            <w:pPr>
              <w:spacing w:after="0"/>
              <w:rPr>
                <w:sz w:val="1"/>
                <w:szCs w:val="1"/>
                <w:color w:val="auto"/>
              </w:rPr>
            </w:pPr>
          </w:p>
        </w:tc>
      </w:tr>
      <w:tr>
        <w:trPr>
          <w:trHeight w:val="269"/>
        </w:trPr>
        <w:tc>
          <w:tcPr>
            <w:tcW w:w="3360" w:type="dxa"/>
            <w:vAlign w:val="bottom"/>
          </w:tcPr>
          <w:p>
            <w:pPr>
              <w:ind w:left="40"/>
              <w:spacing w:after="0"/>
              <w:rPr>
                <w:sz w:val="20"/>
                <w:szCs w:val="20"/>
                <w:color w:val="auto"/>
              </w:rPr>
            </w:pPr>
            <w:r>
              <w:rPr>
                <w:rFonts w:ascii="Arial" w:cs="Arial" w:eastAsia="Arial" w:hAnsi="Arial"/>
                <w:sz w:val="18"/>
                <w:szCs w:val="18"/>
                <w:color w:val="auto"/>
              </w:rPr>
              <w:t>Effective tax rate</w:t>
            </w:r>
          </w:p>
        </w:tc>
        <w:tc>
          <w:tcPr>
            <w:tcW w:w="3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13.7%</w:t>
            </w:r>
          </w:p>
        </w:tc>
        <w:tc>
          <w:tcPr>
            <w:tcW w:w="38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20.3%</w:t>
            </w:r>
          </w:p>
        </w:tc>
        <w:tc>
          <w:tcPr>
            <w:tcW w:w="38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20.5%</w:t>
            </w:r>
          </w:p>
        </w:tc>
        <w:tc>
          <w:tcPr>
            <w:tcW w:w="40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24.4%</w:t>
            </w:r>
          </w:p>
        </w:tc>
        <w:tc>
          <w:tcPr>
            <w:tcW w:w="4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71"/>
        </w:trPr>
        <w:tc>
          <w:tcPr>
            <w:tcW w:w="3360" w:type="dxa"/>
            <w:vAlign w:val="bottom"/>
            <w:shd w:val="clear" w:color="auto" w:fill="D8D8D8"/>
          </w:tcPr>
          <w:p>
            <w:pPr>
              <w:ind w:left="40"/>
              <w:spacing w:after="0"/>
              <w:rPr>
                <w:sz w:val="20"/>
                <w:szCs w:val="20"/>
                <w:color w:val="auto"/>
              </w:rPr>
            </w:pPr>
            <w:r>
              <w:rPr>
                <w:rFonts w:ascii="Arial" w:cs="Arial" w:eastAsia="Arial" w:hAnsi="Arial"/>
                <w:sz w:val="18"/>
                <w:szCs w:val="18"/>
                <w:color w:val="auto"/>
              </w:rPr>
              <w:t>Revenue per employee</w:t>
            </w:r>
          </w:p>
        </w:tc>
        <w:tc>
          <w:tcPr>
            <w:tcW w:w="320" w:type="dxa"/>
            <w:vAlign w:val="bottom"/>
            <w:shd w:val="clear" w:color="auto" w:fill="D8D8D8"/>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260" w:type="dxa"/>
            <w:vAlign w:val="bottom"/>
            <w:shd w:val="clear" w:color="auto" w:fill="D8D8D8"/>
          </w:tcPr>
          <w:p>
            <w:pPr>
              <w:jc w:val="right"/>
              <w:ind w:right="151"/>
              <w:spacing w:after="0"/>
              <w:rPr>
                <w:sz w:val="20"/>
                <w:szCs w:val="20"/>
                <w:color w:val="auto"/>
              </w:rPr>
            </w:pPr>
            <w:r>
              <w:rPr>
                <w:rFonts w:ascii="Arial" w:cs="Arial" w:eastAsia="Arial" w:hAnsi="Arial"/>
                <w:sz w:val="18"/>
                <w:szCs w:val="18"/>
                <w:b w:val="1"/>
                <w:bCs w:val="1"/>
                <w:color w:val="auto"/>
              </w:rPr>
              <w:t>484,000</w:t>
            </w:r>
          </w:p>
        </w:tc>
        <w:tc>
          <w:tcPr>
            <w:tcW w:w="380" w:type="dxa"/>
            <w:vAlign w:val="bottom"/>
            <w:shd w:val="clear" w:color="auto" w:fill="D8D8D8"/>
          </w:tcPr>
          <w:p>
            <w:pPr>
              <w:jc w:val="right"/>
              <w:ind w:right="110"/>
              <w:spacing w:after="0"/>
              <w:rPr>
                <w:sz w:val="20"/>
                <w:szCs w:val="20"/>
                <w:color w:val="auto"/>
              </w:rPr>
            </w:pPr>
            <w:r>
              <w:rPr>
                <w:rFonts w:ascii="Arial" w:cs="Arial" w:eastAsia="Arial" w:hAnsi="Arial"/>
                <w:sz w:val="18"/>
                <w:szCs w:val="18"/>
                <w:color w:val="auto"/>
              </w:rPr>
              <w:t>$</w:t>
            </w:r>
          </w:p>
        </w:tc>
        <w:tc>
          <w:tcPr>
            <w:tcW w:w="1260" w:type="dxa"/>
            <w:vAlign w:val="bottom"/>
            <w:shd w:val="clear" w:color="auto" w:fill="D8D8D8"/>
          </w:tcPr>
          <w:p>
            <w:pPr>
              <w:jc w:val="right"/>
              <w:ind w:right="171"/>
              <w:spacing w:after="0"/>
              <w:rPr>
                <w:sz w:val="20"/>
                <w:szCs w:val="20"/>
                <w:color w:val="auto"/>
              </w:rPr>
            </w:pPr>
            <w:r>
              <w:rPr>
                <w:rFonts w:ascii="Arial" w:cs="Arial" w:eastAsia="Arial" w:hAnsi="Arial"/>
                <w:sz w:val="18"/>
                <w:szCs w:val="18"/>
                <w:color w:val="auto"/>
              </w:rPr>
              <w:t>501,000</w:t>
            </w:r>
          </w:p>
        </w:tc>
        <w:tc>
          <w:tcPr>
            <w:tcW w:w="380" w:type="dxa"/>
            <w:vAlign w:val="bottom"/>
            <w:shd w:val="clear" w:color="auto" w:fill="D8D8D8"/>
          </w:tcPr>
          <w:p>
            <w:pPr>
              <w:jc w:val="right"/>
              <w:ind w:right="110"/>
              <w:spacing w:after="0"/>
              <w:rPr>
                <w:sz w:val="20"/>
                <w:szCs w:val="20"/>
                <w:color w:val="auto"/>
              </w:rPr>
            </w:pPr>
            <w:r>
              <w:rPr>
                <w:rFonts w:ascii="Arial" w:cs="Arial" w:eastAsia="Arial" w:hAnsi="Arial"/>
                <w:sz w:val="18"/>
                <w:szCs w:val="18"/>
                <w:color w:val="auto"/>
              </w:rPr>
              <w:t>$</w:t>
            </w:r>
          </w:p>
        </w:tc>
        <w:tc>
          <w:tcPr>
            <w:tcW w:w="1240" w:type="dxa"/>
            <w:vAlign w:val="bottom"/>
            <w:shd w:val="clear" w:color="auto" w:fill="D8D8D8"/>
          </w:tcPr>
          <w:p>
            <w:pPr>
              <w:jc w:val="right"/>
              <w:ind w:right="151"/>
              <w:spacing w:after="0"/>
              <w:rPr>
                <w:sz w:val="20"/>
                <w:szCs w:val="20"/>
                <w:color w:val="auto"/>
              </w:rPr>
            </w:pPr>
            <w:r>
              <w:rPr>
                <w:rFonts w:ascii="Arial" w:cs="Arial" w:eastAsia="Arial" w:hAnsi="Arial"/>
                <w:sz w:val="18"/>
                <w:szCs w:val="18"/>
                <w:color w:val="auto"/>
              </w:rPr>
              <w:t>609,000</w:t>
            </w:r>
          </w:p>
        </w:tc>
        <w:tc>
          <w:tcPr>
            <w:tcW w:w="400" w:type="dxa"/>
            <w:vAlign w:val="bottom"/>
            <w:shd w:val="clear" w:color="auto" w:fill="D8D8D8"/>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shd w:val="clear" w:color="auto" w:fill="D8D8D8"/>
          </w:tcPr>
          <w:p>
            <w:pPr>
              <w:jc w:val="right"/>
              <w:ind w:right="151"/>
              <w:spacing w:after="0"/>
              <w:rPr>
                <w:sz w:val="20"/>
                <w:szCs w:val="20"/>
                <w:color w:val="auto"/>
              </w:rPr>
            </w:pPr>
            <w:r>
              <w:rPr>
                <w:rFonts w:ascii="Arial" w:cs="Arial" w:eastAsia="Arial" w:hAnsi="Arial"/>
                <w:sz w:val="18"/>
                <w:szCs w:val="18"/>
                <w:color w:val="auto"/>
              </w:rPr>
              <w:t>590,000</w:t>
            </w:r>
          </w:p>
        </w:tc>
        <w:tc>
          <w:tcPr>
            <w:tcW w:w="400" w:type="dxa"/>
            <w:vAlign w:val="bottom"/>
            <w:shd w:val="clear" w:color="auto" w:fill="D8D8D8"/>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shd w:val="clear" w:color="auto" w:fill="D8D8D8"/>
          </w:tcPr>
          <w:p>
            <w:pPr>
              <w:jc w:val="right"/>
              <w:ind w:right="91"/>
              <w:spacing w:after="0"/>
              <w:rPr>
                <w:sz w:val="20"/>
                <w:szCs w:val="20"/>
                <w:color w:val="auto"/>
              </w:rPr>
            </w:pPr>
            <w:r>
              <w:rPr>
                <w:rFonts w:ascii="Arial" w:cs="Arial" w:eastAsia="Arial" w:hAnsi="Arial"/>
                <w:sz w:val="18"/>
                <w:szCs w:val="18"/>
                <w:color w:val="auto"/>
              </w:rPr>
              <w:t>638,000</w:t>
            </w:r>
          </w:p>
        </w:tc>
        <w:tc>
          <w:tcPr>
            <w:tcW w:w="0" w:type="dxa"/>
            <w:vAlign w:val="bottom"/>
          </w:tcPr>
          <w:p>
            <w:pPr>
              <w:spacing w:after="0"/>
              <w:rPr>
                <w:sz w:val="1"/>
                <w:szCs w:val="1"/>
                <w:color w:val="auto"/>
              </w:rPr>
            </w:pPr>
          </w:p>
        </w:tc>
      </w:tr>
      <w:tr>
        <w:trPr>
          <w:trHeight w:val="269"/>
        </w:trPr>
        <w:tc>
          <w:tcPr>
            <w:tcW w:w="3360" w:type="dxa"/>
            <w:vAlign w:val="bottom"/>
          </w:tcPr>
          <w:p>
            <w:pPr>
              <w:ind w:left="40"/>
              <w:spacing w:after="0"/>
              <w:rPr>
                <w:sz w:val="20"/>
                <w:szCs w:val="20"/>
                <w:color w:val="auto"/>
              </w:rPr>
            </w:pPr>
            <w:r>
              <w:rPr>
                <w:rFonts w:ascii="Arial" w:cs="Arial" w:eastAsia="Arial" w:hAnsi="Arial"/>
                <w:sz w:val="18"/>
                <w:szCs w:val="18"/>
                <w:color w:val="auto"/>
              </w:rPr>
              <w:t>Number of employees</w:t>
            </w:r>
          </w:p>
        </w:tc>
        <w:tc>
          <w:tcPr>
            <w:tcW w:w="320" w:type="dxa"/>
            <w:vAlign w:val="bottom"/>
          </w:tcPr>
          <w:p>
            <w:pPr>
              <w:spacing w:after="0"/>
              <w:rPr>
                <w:sz w:val="23"/>
                <w:szCs w:val="23"/>
                <w:color w:val="auto"/>
              </w:rPr>
            </w:pPr>
          </w:p>
        </w:tc>
        <w:tc>
          <w:tcPr>
            <w:tcW w:w="1260" w:type="dxa"/>
            <w:vAlign w:val="bottom"/>
          </w:tcPr>
          <w:p>
            <w:pPr>
              <w:jc w:val="right"/>
              <w:ind w:right="151"/>
              <w:spacing w:after="0"/>
              <w:rPr>
                <w:sz w:val="20"/>
                <w:szCs w:val="20"/>
                <w:color w:val="auto"/>
              </w:rPr>
            </w:pPr>
            <w:r>
              <w:rPr>
                <w:rFonts w:ascii="Arial" w:cs="Arial" w:eastAsia="Arial" w:hAnsi="Arial"/>
                <w:sz w:val="18"/>
                <w:szCs w:val="18"/>
                <w:b w:val="1"/>
                <w:bCs w:val="1"/>
                <w:color w:val="auto"/>
              </w:rPr>
              <w:t>41,275</w:t>
            </w:r>
          </w:p>
        </w:tc>
        <w:tc>
          <w:tcPr>
            <w:tcW w:w="380" w:type="dxa"/>
            <w:vAlign w:val="bottom"/>
          </w:tcPr>
          <w:p>
            <w:pPr>
              <w:spacing w:after="0"/>
              <w:rPr>
                <w:sz w:val="23"/>
                <w:szCs w:val="23"/>
                <w:color w:val="auto"/>
              </w:rPr>
            </w:pPr>
          </w:p>
        </w:tc>
        <w:tc>
          <w:tcPr>
            <w:tcW w:w="1260" w:type="dxa"/>
            <w:vAlign w:val="bottom"/>
          </w:tcPr>
          <w:p>
            <w:pPr>
              <w:jc w:val="right"/>
              <w:ind w:right="171"/>
              <w:spacing w:after="0"/>
              <w:rPr>
                <w:sz w:val="20"/>
                <w:szCs w:val="20"/>
                <w:color w:val="auto"/>
              </w:rPr>
            </w:pPr>
            <w:r>
              <w:rPr>
                <w:rFonts w:ascii="Arial" w:cs="Arial" w:eastAsia="Arial" w:hAnsi="Arial"/>
                <w:sz w:val="18"/>
                <w:szCs w:val="18"/>
                <w:color w:val="auto"/>
              </w:rPr>
              <w:t>39,135</w:t>
            </w:r>
          </w:p>
        </w:tc>
        <w:tc>
          <w:tcPr>
            <w:tcW w:w="380" w:type="dxa"/>
            <w:vAlign w:val="bottom"/>
          </w:tcPr>
          <w:p>
            <w:pPr>
              <w:spacing w:after="0"/>
              <w:rPr>
                <w:sz w:val="23"/>
                <w:szCs w:val="23"/>
                <w:color w:val="auto"/>
              </w:rPr>
            </w:pPr>
          </w:p>
        </w:tc>
        <w:tc>
          <w:tcPr>
            <w:tcW w:w="1240" w:type="dxa"/>
            <w:vAlign w:val="bottom"/>
          </w:tcPr>
          <w:p>
            <w:pPr>
              <w:jc w:val="right"/>
              <w:ind w:right="151"/>
              <w:spacing w:after="0"/>
              <w:rPr>
                <w:sz w:val="20"/>
                <w:szCs w:val="20"/>
                <w:color w:val="auto"/>
              </w:rPr>
            </w:pPr>
            <w:r>
              <w:rPr>
                <w:rFonts w:ascii="Arial" w:cs="Arial" w:eastAsia="Arial" w:hAnsi="Arial"/>
                <w:sz w:val="18"/>
                <w:szCs w:val="18"/>
                <w:color w:val="auto"/>
              </w:rPr>
              <w:t>37,925</w:t>
            </w:r>
          </w:p>
        </w:tc>
        <w:tc>
          <w:tcPr>
            <w:tcW w:w="400" w:type="dxa"/>
            <w:vAlign w:val="bottom"/>
          </w:tcPr>
          <w:p>
            <w:pPr>
              <w:spacing w:after="0"/>
              <w:rPr>
                <w:sz w:val="23"/>
                <w:szCs w:val="23"/>
                <w:color w:val="auto"/>
              </w:rPr>
            </w:pPr>
          </w:p>
        </w:tc>
        <w:tc>
          <w:tcPr>
            <w:tcW w:w="1240" w:type="dxa"/>
            <w:vAlign w:val="bottom"/>
          </w:tcPr>
          <w:p>
            <w:pPr>
              <w:jc w:val="right"/>
              <w:ind w:right="151"/>
              <w:spacing w:after="0"/>
              <w:rPr>
                <w:sz w:val="20"/>
                <w:szCs w:val="20"/>
                <w:color w:val="auto"/>
              </w:rPr>
            </w:pPr>
            <w:r>
              <w:rPr>
                <w:rFonts w:ascii="Arial" w:cs="Arial" w:eastAsia="Arial" w:hAnsi="Arial"/>
                <w:sz w:val="18"/>
                <w:szCs w:val="18"/>
                <w:color w:val="auto"/>
              </w:rPr>
              <w:t>38,350</w:t>
            </w:r>
          </w:p>
        </w:tc>
        <w:tc>
          <w:tcPr>
            <w:tcW w:w="400" w:type="dxa"/>
            <w:vAlign w:val="bottom"/>
          </w:tcPr>
          <w:p>
            <w:pPr>
              <w:spacing w:after="0"/>
              <w:rPr>
                <w:sz w:val="23"/>
                <w:szCs w:val="23"/>
                <w:color w:val="auto"/>
              </w:rPr>
            </w:pPr>
          </w:p>
        </w:tc>
        <w:tc>
          <w:tcPr>
            <w:tcW w:w="1180" w:type="dxa"/>
            <w:vAlign w:val="bottom"/>
          </w:tcPr>
          <w:p>
            <w:pPr>
              <w:jc w:val="right"/>
              <w:ind w:right="91"/>
              <w:spacing w:after="0"/>
              <w:rPr>
                <w:sz w:val="20"/>
                <w:szCs w:val="20"/>
                <w:color w:val="auto"/>
              </w:rPr>
            </w:pPr>
            <w:r>
              <w:rPr>
                <w:rFonts w:ascii="Arial" w:cs="Arial" w:eastAsia="Arial" w:hAnsi="Arial"/>
                <w:sz w:val="18"/>
                <w:szCs w:val="18"/>
                <w:color w:val="auto"/>
              </w:rPr>
              <w:t>38,080</w:t>
            </w:r>
          </w:p>
        </w:tc>
        <w:tc>
          <w:tcPr>
            <w:tcW w:w="0" w:type="dxa"/>
            <w:vAlign w:val="bottom"/>
          </w:tcPr>
          <w:p>
            <w:pPr>
              <w:spacing w:after="0"/>
              <w:rPr>
                <w:sz w:val="1"/>
                <w:szCs w:val="1"/>
                <w:color w:val="auto"/>
              </w:rPr>
            </w:pPr>
          </w:p>
        </w:tc>
      </w:tr>
      <w:tr>
        <w:trPr>
          <w:trHeight w:val="270"/>
        </w:trPr>
        <w:tc>
          <w:tcPr>
            <w:tcW w:w="3360" w:type="dxa"/>
            <w:vAlign w:val="bottom"/>
            <w:shd w:val="clear" w:color="auto" w:fill="D8D8D8"/>
          </w:tcPr>
          <w:p>
            <w:pPr>
              <w:ind w:left="40"/>
              <w:spacing w:after="0"/>
              <w:rPr>
                <w:sz w:val="20"/>
                <w:szCs w:val="20"/>
                <w:color w:val="auto"/>
              </w:rPr>
            </w:pPr>
            <w:r>
              <w:rPr>
                <w:rFonts w:ascii="Arial" w:cs="Arial" w:eastAsia="Arial" w:hAnsi="Arial"/>
                <w:sz w:val="18"/>
                <w:szCs w:val="18"/>
                <w:color w:val="auto"/>
              </w:rPr>
              <w:t>Number of shareholders of record</w:t>
            </w:r>
          </w:p>
        </w:tc>
        <w:tc>
          <w:tcPr>
            <w:tcW w:w="320" w:type="dxa"/>
            <w:vAlign w:val="bottom"/>
            <w:tcBorders>
              <w:bottom w:val="single" w:sz="8" w:color="auto"/>
            </w:tcBorders>
            <w:shd w:val="clear" w:color="auto" w:fill="D8D8D8"/>
          </w:tcPr>
          <w:p>
            <w:pPr>
              <w:spacing w:after="0"/>
              <w:rPr>
                <w:sz w:val="23"/>
                <w:szCs w:val="23"/>
                <w:color w:val="auto"/>
              </w:rPr>
            </w:pPr>
          </w:p>
        </w:tc>
        <w:tc>
          <w:tcPr>
            <w:tcW w:w="1260" w:type="dxa"/>
            <w:vAlign w:val="bottom"/>
            <w:tcBorders>
              <w:bottom w:val="single" w:sz="8" w:color="auto"/>
            </w:tcBorders>
            <w:shd w:val="clear" w:color="auto" w:fill="D8D8D8"/>
          </w:tcPr>
          <w:p>
            <w:pPr>
              <w:jc w:val="right"/>
              <w:ind w:right="151"/>
              <w:spacing w:after="0"/>
              <w:rPr>
                <w:sz w:val="20"/>
                <w:szCs w:val="20"/>
                <w:color w:val="auto"/>
              </w:rPr>
            </w:pPr>
            <w:r>
              <w:rPr>
                <w:rFonts w:ascii="Arial" w:cs="Arial" w:eastAsia="Arial" w:hAnsi="Arial"/>
                <w:sz w:val="18"/>
                <w:szCs w:val="18"/>
                <w:b w:val="1"/>
                <w:bCs w:val="1"/>
                <w:color w:val="auto"/>
              </w:rPr>
              <w:t>28,000</w:t>
            </w:r>
          </w:p>
        </w:tc>
        <w:tc>
          <w:tcPr>
            <w:tcW w:w="380" w:type="dxa"/>
            <w:vAlign w:val="bottom"/>
            <w:tcBorders>
              <w:bottom w:val="single" w:sz="8" w:color="auto"/>
            </w:tcBorders>
            <w:shd w:val="clear" w:color="auto" w:fill="D8D8D8"/>
          </w:tcPr>
          <w:p>
            <w:pPr>
              <w:spacing w:after="0"/>
              <w:rPr>
                <w:sz w:val="23"/>
                <w:szCs w:val="23"/>
                <w:color w:val="auto"/>
              </w:rPr>
            </w:pPr>
          </w:p>
        </w:tc>
        <w:tc>
          <w:tcPr>
            <w:tcW w:w="1260" w:type="dxa"/>
            <w:vAlign w:val="bottom"/>
            <w:tcBorders>
              <w:bottom w:val="single" w:sz="8" w:color="auto"/>
            </w:tcBorders>
            <w:shd w:val="clear" w:color="auto" w:fill="D8D8D8"/>
          </w:tcPr>
          <w:p>
            <w:pPr>
              <w:jc w:val="right"/>
              <w:ind w:right="171"/>
              <w:spacing w:after="0"/>
              <w:rPr>
                <w:sz w:val="20"/>
                <w:szCs w:val="20"/>
                <w:color w:val="auto"/>
              </w:rPr>
            </w:pPr>
            <w:r>
              <w:rPr>
                <w:rFonts w:ascii="Arial" w:cs="Arial" w:eastAsia="Arial" w:hAnsi="Arial"/>
                <w:sz w:val="18"/>
                <w:szCs w:val="18"/>
                <w:color w:val="auto"/>
              </w:rPr>
              <w:t>29,300</w:t>
            </w:r>
          </w:p>
        </w:tc>
        <w:tc>
          <w:tcPr>
            <w:tcW w:w="380" w:type="dxa"/>
            <w:vAlign w:val="bottom"/>
            <w:tcBorders>
              <w:bottom w:val="single" w:sz="8" w:color="auto"/>
            </w:tcBorders>
            <w:shd w:val="clear" w:color="auto" w:fill="D8D8D8"/>
          </w:tcPr>
          <w:p>
            <w:pPr>
              <w:spacing w:after="0"/>
              <w:rPr>
                <w:sz w:val="23"/>
                <w:szCs w:val="23"/>
                <w:color w:val="auto"/>
              </w:rPr>
            </w:pPr>
          </w:p>
        </w:tc>
        <w:tc>
          <w:tcPr>
            <w:tcW w:w="1240" w:type="dxa"/>
            <w:vAlign w:val="bottom"/>
            <w:tcBorders>
              <w:bottom w:val="single" w:sz="8" w:color="auto"/>
            </w:tcBorders>
            <w:shd w:val="clear" w:color="auto" w:fill="D8D8D8"/>
          </w:tcPr>
          <w:p>
            <w:pPr>
              <w:jc w:val="right"/>
              <w:ind w:right="151"/>
              <w:spacing w:after="0"/>
              <w:rPr>
                <w:sz w:val="20"/>
                <w:szCs w:val="20"/>
                <w:color w:val="auto"/>
              </w:rPr>
            </w:pPr>
            <w:r>
              <w:rPr>
                <w:rFonts w:ascii="Arial" w:cs="Arial" w:eastAsia="Arial" w:hAnsi="Arial"/>
                <w:sz w:val="18"/>
                <w:szCs w:val="18"/>
                <w:color w:val="auto"/>
              </w:rPr>
              <w:t>31,900</w:t>
            </w:r>
          </w:p>
        </w:tc>
        <w:tc>
          <w:tcPr>
            <w:tcW w:w="400" w:type="dxa"/>
            <w:vAlign w:val="bottom"/>
            <w:tcBorders>
              <w:bottom w:val="single" w:sz="8" w:color="auto"/>
            </w:tcBorders>
            <w:shd w:val="clear" w:color="auto" w:fill="D8D8D8"/>
          </w:tcPr>
          <w:p>
            <w:pPr>
              <w:spacing w:after="0"/>
              <w:rPr>
                <w:sz w:val="23"/>
                <w:szCs w:val="23"/>
                <w:color w:val="auto"/>
              </w:rPr>
            </w:pPr>
          </w:p>
        </w:tc>
        <w:tc>
          <w:tcPr>
            <w:tcW w:w="1240" w:type="dxa"/>
            <w:vAlign w:val="bottom"/>
            <w:tcBorders>
              <w:bottom w:val="single" w:sz="8" w:color="auto"/>
            </w:tcBorders>
            <w:shd w:val="clear" w:color="auto" w:fill="D8D8D8"/>
          </w:tcPr>
          <w:p>
            <w:pPr>
              <w:jc w:val="right"/>
              <w:ind w:right="151"/>
              <w:spacing w:after="0"/>
              <w:rPr>
                <w:sz w:val="20"/>
                <w:szCs w:val="20"/>
                <w:color w:val="auto"/>
              </w:rPr>
            </w:pPr>
            <w:r>
              <w:rPr>
                <w:rFonts w:ascii="Arial" w:cs="Arial" w:eastAsia="Arial" w:hAnsi="Arial"/>
                <w:sz w:val="18"/>
                <w:szCs w:val="18"/>
                <w:color w:val="auto"/>
              </w:rPr>
              <w:t>33,600</w:t>
            </w:r>
          </w:p>
        </w:tc>
        <w:tc>
          <w:tcPr>
            <w:tcW w:w="400" w:type="dxa"/>
            <w:vAlign w:val="bottom"/>
            <w:tcBorders>
              <w:bottom w:val="single" w:sz="8" w:color="auto"/>
            </w:tcBorders>
            <w:shd w:val="clear" w:color="auto" w:fill="D8D8D8"/>
          </w:tcPr>
          <w:p>
            <w:pPr>
              <w:spacing w:after="0"/>
              <w:rPr>
                <w:sz w:val="23"/>
                <w:szCs w:val="23"/>
                <w:color w:val="auto"/>
              </w:rPr>
            </w:pPr>
          </w:p>
        </w:tc>
        <w:tc>
          <w:tcPr>
            <w:tcW w:w="1180" w:type="dxa"/>
            <w:vAlign w:val="bottom"/>
            <w:tcBorders>
              <w:bottom w:val="single" w:sz="8" w:color="auto"/>
            </w:tcBorders>
            <w:shd w:val="clear" w:color="auto" w:fill="D8D8D8"/>
          </w:tcPr>
          <w:p>
            <w:pPr>
              <w:jc w:val="right"/>
              <w:ind w:right="91"/>
              <w:spacing w:after="0"/>
              <w:rPr>
                <w:sz w:val="20"/>
                <w:szCs w:val="20"/>
                <w:color w:val="auto"/>
              </w:rPr>
            </w:pPr>
            <w:r>
              <w:rPr>
                <w:rFonts w:ascii="Arial" w:cs="Arial" w:eastAsia="Arial" w:hAnsi="Arial"/>
                <w:sz w:val="18"/>
                <w:szCs w:val="18"/>
                <w:color w:val="auto"/>
              </w:rPr>
              <w:t>35,200</w:t>
            </w:r>
          </w:p>
        </w:tc>
        <w:tc>
          <w:tcPr>
            <w:tcW w:w="0" w:type="dxa"/>
            <w:vAlign w:val="bottom"/>
          </w:tcPr>
          <w:p>
            <w:pPr>
              <w:spacing w:after="0"/>
              <w:rPr>
                <w:sz w:val="1"/>
                <w:szCs w:val="1"/>
                <w:color w:val="auto"/>
              </w:rPr>
            </w:pPr>
          </w:p>
        </w:tc>
      </w:tr>
    </w:tbl>
    <w:p>
      <w:pPr>
        <w:spacing w:after="0" w:line="149" w:lineRule="exact"/>
        <w:rPr>
          <w:sz w:val="20"/>
          <w:szCs w:val="20"/>
          <w:color w:val="auto"/>
        </w:rPr>
      </w:pPr>
    </w:p>
    <w:p>
      <w:pPr>
        <w:ind w:left="180" w:right="260" w:hanging="172"/>
        <w:spacing w:after="0" w:line="239" w:lineRule="auto"/>
        <w:tabs>
          <w:tab w:leader="none" w:pos="153" w:val="left"/>
        </w:tabs>
        <w:numPr>
          <w:ilvl w:val="0"/>
          <w:numId w:val="30"/>
        </w:numPr>
        <w:rPr>
          <w:rFonts w:ascii="Arial" w:cs="Arial" w:eastAsia="Arial" w:hAnsi="Arial"/>
          <w:sz w:val="17"/>
          <w:szCs w:val="17"/>
          <w:color w:val="auto"/>
          <w:vertAlign w:val="superscript"/>
        </w:rPr>
      </w:pPr>
      <w:r>
        <w:rPr>
          <w:rFonts w:ascii="Arial" w:cs="Arial" w:eastAsia="Arial" w:hAnsi="Arial"/>
          <w:sz w:val="14"/>
          <w:szCs w:val="14"/>
          <w:color w:val="auto"/>
        </w:rPr>
        <w:t xml:space="preserve">Amounts have been adjusted to reflect the retrospective application of Accounting Standards Update 2015-17 </w:t>
      </w:r>
      <w:r>
        <w:rPr>
          <w:rFonts w:ascii="Arial" w:cs="Arial" w:eastAsia="Arial" w:hAnsi="Arial"/>
          <w:sz w:val="14"/>
          <w:szCs w:val="14"/>
          <w:i w:val="1"/>
          <w:iCs w:val="1"/>
          <w:color w:val="auto"/>
        </w:rPr>
        <w:t>Income Taxes: Balance Sheet Classification of Deferred Taxes</w:t>
      </w:r>
      <w:r>
        <w:rPr>
          <w:rFonts w:ascii="Arial" w:cs="Arial" w:eastAsia="Arial" w:hAnsi="Arial"/>
          <w:sz w:val="14"/>
          <w:szCs w:val="14"/>
          <w:color w:val="auto"/>
        </w:rPr>
        <w:t>. See Note 2 to consolidated financial statements.</w:t>
      </w:r>
    </w:p>
    <w:p>
      <w:pPr>
        <w:spacing w:after="0" w:line="20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29</w:t>
      </w:r>
    </w:p>
    <w:p>
      <w:pPr>
        <w:sectPr>
          <w:pgSz w:w="11900" w:h="16838" w:orient="portrait"/>
          <w:cols w:equalWidth="0" w:num="1">
            <w:col w:w="11420"/>
          </w:cols>
          <w:pgMar w:left="240" w:top="562" w:right="239" w:bottom="1440" w:gutter="0" w:footer="0" w:header="0"/>
        </w:sectPr>
      </w:pPr>
    </w:p>
    <w:bookmarkStart w:id="29" w:name="page30"/>
    <w:bookmarkEnd w:id="29"/>
    <w:p>
      <w:pPr>
        <w:ind w:left="2600" w:right="100" w:hanging="2592"/>
        <w:spacing w:after="0" w:line="302" w:lineRule="auto"/>
        <w:rPr>
          <w:sz w:val="20"/>
          <w:szCs w:val="20"/>
          <w:color w:val="auto"/>
        </w:rPr>
      </w:pPr>
      <w:r>
        <w:rPr>
          <w:rFonts w:ascii="Arial" w:cs="Arial" w:eastAsia="Arial" w:hAnsi="Arial"/>
          <w:sz w:val="32"/>
          <w:szCs w:val="32"/>
          <w:b w:val="1"/>
          <w:bCs w:val="1"/>
          <w:i w:val="1"/>
          <w:iCs w:val="1"/>
          <w:color w:val="CC0000"/>
        </w:rPr>
        <w:t>Item 7. Management’s Discussion and Analysis of Results of Operations and Financial Condition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RESULTS OF OPERATIONS</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CC0000"/>
        </w:rPr>
        <w:t>(Tables present dollars in millions, except per-share data)</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Executive Overview</w:t>
      </w:r>
    </w:p>
    <w:p>
      <w:pPr>
        <w:spacing w:after="0" w:line="173" w:lineRule="exact"/>
        <w:rPr>
          <w:sz w:val="20"/>
          <w:szCs w:val="20"/>
          <w:color w:val="auto"/>
        </w:rPr>
      </w:pPr>
    </w:p>
    <w:p>
      <w:pPr>
        <w:ind w:right="80"/>
        <w:spacing w:after="0" w:line="292" w:lineRule="auto"/>
        <w:rPr>
          <w:sz w:val="20"/>
          <w:szCs w:val="20"/>
          <w:color w:val="auto"/>
        </w:rPr>
      </w:pPr>
      <w:r>
        <w:rPr>
          <w:rFonts w:ascii="Arial" w:cs="Arial" w:eastAsia="Arial" w:hAnsi="Arial"/>
          <w:sz w:val="18"/>
          <w:szCs w:val="18"/>
          <w:color w:val="auto"/>
        </w:rPr>
        <w:t>This section provides an overview of our financial results, recent product and late-stage pipeline developments, and other matters affecting our company and the pharmaceutical industry. Earnings per share (EPS) data is presented on a diluted basis.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Results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key operating results: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2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rPr>
              <w:t>Year Ended,</w:t>
            </w:r>
          </w:p>
        </w:tc>
        <w:tc>
          <w:tcPr>
            <w:tcW w:w="940" w:type="dxa"/>
            <w:vAlign w:val="bottom"/>
          </w:tcPr>
          <w:p>
            <w:pPr>
              <w:spacing w:after="0"/>
              <w:rPr>
                <w:sz w:val="14"/>
                <w:szCs w:val="14"/>
                <w:color w:val="auto"/>
              </w:rPr>
            </w:pPr>
          </w:p>
        </w:tc>
        <w:tc>
          <w:tcPr>
            <w:tcW w:w="1600" w:type="dxa"/>
            <w:vAlign w:val="bottom"/>
          </w:tcPr>
          <w:p>
            <w:pPr>
              <w:jc w:val="right"/>
              <w:ind w:right="115"/>
              <w:spacing w:after="0"/>
              <w:rPr>
                <w:sz w:val="20"/>
                <w:szCs w:val="20"/>
                <w:color w:val="auto"/>
              </w:rPr>
            </w:pPr>
            <w:r>
              <w:rPr>
                <w:rFonts w:ascii="Arial" w:cs="Arial" w:eastAsia="Arial" w:hAnsi="Arial"/>
                <w:sz w:val="14"/>
                <w:szCs w:val="14"/>
                <w:b w:val="1"/>
                <w:bCs w:val="1"/>
                <w:color w:val="auto"/>
              </w:rPr>
              <w:t>Percent Change</w:t>
            </w:r>
          </w:p>
        </w:tc>
      </w:tr>
      <w:tr>
        <w:trPr>
          <w:trHeight w:val="203"/>
        </w:trPr>
        <w:tc>
          <w:tcPr>
            <w:tcW w:w="68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December 31,</w:t>
            </w:r>
          </w:p>
        </w:tc>
        <w:tc>
          <w:tcPr>
            <w:tcW w:w="940" w:type="dxa"/>
            <w:vAlign w:val="bottom"/>
            <w:tcBorders>
              <w:bottom w:val="single" w:sz="8" w:color="auto"/>
            </w:tcBorders>
          </w:tcPr>
          <w:p>
            <w:pPr>
              <w:spacing w:after="0"/>
              <w:rPr>
                <w:sz w:val="17"/>
                <w:szCs w:val="17"/>
                <w:color w:val="auto"/>
              </w:rPr>
            </w:pPr>
          </w:p>
        </w:tc>
        <w:tc>
          <w:tcPr>
            <w:tcW w:w="1600" w:type="dxa"/>
            <w:vAlign w:val="bottom"/>
          </w:tcPr>
          <w:p>
            <w:pPr>
              <w:jc w:val="right"/>
              <w:ind w:right="495"/>
              <w:spacing w:after="0"/>
              <w:rPr>
                <w:sz w:val="20"/>
                <w:szCs w:val="20"/>
                <w:color w:val="auto"/>
              </w:rPr>
            </w:pPr>
            <w:r>
              <w:rPr>
                <w:rFonts w:ascii="Arial" w:cs="Arial" w:eastAsia="Arial" w:hAnsi="Arial"/>
                <w:sz w:val="14"/>
                <w:szCs w:val="14"/>
                <w:b w:val="1"/>
                <w:bCs w:val="1"/>
                <w:color w:val="auto"/>
              </w:rPr>
              <w:t>from</w:t>
            </w:r>
          </w:p>
        </w:tc>
      </w:tr>
      <w:tr>
        <w:trPr>
          <w:trHeight w:val="264"/>
        </w:trPr>
        <w:tc>
          <w:tcPr>
            <w:tcW w:w="6820" w:type="dxa"/>
            <w:vAlign w:val="bottom"/>
            <w:tcBorders>
              <w:bottom w:val="single" w:sz="8" w:color="D8D8D8"/>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2015</w:t>
            </w:r>
          </w:p>
        </w:tc>
        <w:tc>
          <w:tcPr>
            <w:tcW w:w="5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2014</w:t>
            </w:r>
          </w:p>
        </w:tc>
        <w:tc>
          <w:tcPr>
            <w:tcW w:w="16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2014</w:t>
            </w:r>
          </w:p>
        </w:tc>
      </w:tr>
      <w:tr>
        <w:trPr>
          <w:trHeight w:val="265"/>
        </w:trPr>
        <w:tc>
          <w:tcPr>
            <w:tcW w:w="6820" w:type="dxa"/>
            <w:vAlign w:val="bottom"/>
            <w:shd w:val="clear" w:color="auto" w:fill="D8D8D8"/>
          </w:tcPr>
          <w:p>
            <w:pPr>
              <w:ind w:left="40"/>
              <w:spacing w:after="0"/>
              <w:rPr>
                <w:sz w:val="20"/>
                <w:szCs w:val="20"/>
                <w:color w:val="auto"/>
              </w:rPr>
            </w:pPr>
            <w:r>
              <w:rPr>
                <w:rFonts w:ascii="Arial" w:cs="Arial" w:eastAsia="Arial" w:hAnsi="Arial"/>
                <w:sz w:val="18"/>
                <w:szCs w:val="18"/>
                <w:color w:val="auto"/>
              </w:rPr>
              <w:t>Revenue</w:t>
            </w:r>
          </w:p>
        </w:tc>
        <w:tc>
          <w:tcPr>
            <w:tcW w:w="340" w:type="dxa"/>
            <w:vAlign w:val="bottom"/>
            <w:shd w:val="clear" w:color="auto" w:fill="D8D8D8"/>
          </w:tcPr>
          <w:p>
            <w:pPr>
              <w:jc w:val="right"/>
              <w:ind w:right="110"/>
              <w:spacing w:after="0"/>
              <w:rPr>
                <w:sz w:val="20"/>
                <w:szCs w:val="20"/>
                <w:color w:val="auto"/>
              </w:rPr>
            </w:pPr>
            <w:r>
              <w:rPr>
                <w:rFonts w:ascii="Arial" w:cs="Arial" w:eastAsia="Arial" w:hAnsi="Arial"/>
                <w:sz w:val="18"/>
                <w:szCs w:val="18"/>
                <w:b w:val="1"/>
                <w:bCs w:val="1"/>
                <w:color w:val="auto"/>
              </w:rPr>
              <w:t>$</w:t>
            </w:r>
          </w:p>
        </w:tc>
        <w:tc>
          <w:tcPr>
            <w:tcW w:w="1160" w:type="dxa"/>
            <w:vAlign w:val="bottom"/>
            <w:shd w:val="clear" w:color="auto" w:fill="D8D8D8"/>
          </w:tcPr>
          <w:p>
            <w:pPr>
              <w:jc w:val="right"/>
              <w:ind w:right="155"/>
              <w:spacing w:after="0"/>
              <w:rPr>
                <w:sz w:val="20"/>
                <w:szCs w:val="20"/>
                <w:color w:val="auto"/>
              </w:rPr>
            </w:pPr>
            <w:r>
              <w:rPr>
                <w:rFonts w:ascii="Arial" w:cs="Arial" w:eastAsia="Arial" w:hAnsi="Arial"/>
                <w:sz w:val="18"/>
                <w:szCs w:val="18"/>
                <w:b w:val="1"/>
                <w:bCs w:val="1"/>
                <w:color w:val="auto"/>
              </w:rPr>
              <w:t>19,958.7</w:t>
            </w:r>
          </w:p>
        </w:tc>
        <w:tc>
          <w:tcPr>
            <w:tcW w:w="560" w:type="dxa"/>
            <w:vAlign w:val="bottom"/>
            <w:shd w:val="clear" w:color="auto" w:fill="D8D8D8"/>
          </w:tcPr>
          <w:p>
            <w:pPr>
              <w:jc w:val="right"/>
              <w:ind w:right="290"/>
              <w:spacing w:after="0"/>
              <w:rPr>
                <w:sz w:val="20"/>
                <w:szCs w:val="20"/>
                <w:color w:val="auto"/>
              </w:rPr>
            </w:pPr>
            <w:r>
              <w:rPr>
                <w:rFonts w:ascii="Arial" w:cs="Arial" w:eastAsia="Arial" w:hAnsi="Arial"/>
                <w:sz w:val="18"/>
                <w:szCs w:val="18"/>
                <w:color w:val="auto"/>
              </w:rPr>
              <w:t>$</w:t>
            </w:r>
          </w:p>
        </w:tc>
        <w:tc>
          <w:tcPr>
            <w:tcW w:w="940" w:type="dxa"/>
            <w:vAlign w:val="bottom"/>
            <w:shd w:val="clear" w:color="auto" w:fill="D8D8D8"/>
          </w:tcPr>
          <w:p>
            <w:pPr>
              <w:jc w:val="right"/>
              <w:ind w:right="92"/>
              <w:spacing w:after="0"/>
              <w:rPr>
                <w:sz w:val="20"/>
                <w:szCs w:val="20"/>
                <w:color w:val="auto"/>
              </w:rPr>
            </w:pPr>
            <w:r>
              <w:rPr>
                <w:rFonts w:ascii="Arial" w:cs="Arial" w:eastAsia="Arial" w:hAnsi="Arial"/>
                <w:sz w:val="18"/>
                <w:szCs w:val="18"/>
                <w:color w:val="auto"/>
              </w:rPr>
              <w:t>19,615.6</w:t>
            </w:r>
          </w:p>
        </w:tc>
        <w:tc>
          <w:tcPr>
            <w:tcW w:w="16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2 %</w:t>
            </w:r>
          </w:p>
        </w:tc>
      </w:tr>
      <w:tr>
        <w:trPr>
          <w:trHeight w:val="269"/>
        </w:trPr>
        <w:tc>
          <w:tcPr>
            <w:tcW w:w="6820" w:type="dxa"/>
            <w:vAlign w:val="bottom"/>
          </w:tcPr>
          <w:p>
            <w:pPr>
              <w:ind w:left="40"/>
              <w:spacing w:after="0"/>
              <w:rPr>
                <w:sz w:val="20"/>
                <w:szCs w:val="20"/>
                <w:color w:val="auto"/>
              </w:rPr>
            </w:pPr>
            <w:r>
              <w:rPr>
                <w:rFonts w:ascii="Arial" w:cs="Arial" w:eastAsia="Arial" w:hAnsi="Arial"/>
                <w:sz w:val="18"/>
                <w:szCs w:val="18"/>
                <w:color w:val="auto"/>
              </w:rPr>
              <w:t>Gross margin</w:t>
            </w:r>
          </w:p>
        </w:tc>
        <w:tc>
          <w:tcPr>
            <w:tcW w:w="340" w:type="dxa"/>
            <w:vAlign w:val="bottom"/>
          </w:tcPr>
          <w:p>
            <w:pPr>
              <w:spacing w:after="0"/>
              <w:rPr>
                <w:sz w:val="23"/>
                <w:szCs w:val="23"/>
                <w:color w:val="auto"/>
              </w:rPr>
            </w:pPr>
          </w:p>
        </w:tc>
        <w:tc>
          <w:tcPr>
            <w:tcW w:w="1160" w:type="dxa"/>
            <w:vAlign w:val="bottom"/>
          </w:tcPr>
          <w:p>
            <w:pPr>
              <w:jc w:val="right"/>
              <w:ind w:right="155"/>
              <w:spacing w:after="0"/>
              <w:rPr>
                <w:sz w:val="20"/>
                <w:szCs w:val="20"/>
                <w:color w:val="auto"/>
              </w:rPr>
            </w:pPr>
            <w:r>
              <w:rPr>
                <w:rFonts w:ascii="Arial" w:cs="Arial" w:eastAsia="Arial" w:hAnsi="Arial"/>
                <w:sz w:val="18"/>
                <w:szCs w:val="18"/>
                <w:b w:val="1"/>
                <w:bCs w:val="1"/>
                <w:color w:val="auto"/>
              </w:rPr>
              <w:t>14,921.5</w:t>
            </w:r>
          </w:p>
        </w:tc>
        <w:tc>
          <w:tcPr>
            <w:tcW w:w="560" w:type="dxa"/>
            <w:vAlign w:val="bottom"/>
          </w:tcPr>
          <w:p>
            <w:pPr>
              <w:spacing w:after="0"/>
              <w:rPr>
                <w:sz w:val="23"/>
                <w:szCs w:val="23"/>
                <w:color w:val="auto"/>
              </w:rPr>
            </w:pPr>
          </w:p>
        </w:tc>
        <w:tc>
          <w:tcPr>
            <w:tcW w:w="940" w:type="dxa"/>
            <w:vAlign w:val="bottom"/>
          </w:tcPr>
          <w:p>
            <w:pPr>
              <w:jc w:val="right"/>
              <w:ind w:right="92"/>
              <w:spacing w:after="0"/>
              <w:rPr>
                <w:sz w:val="20"/>
                <w:szCs w:val="20"/>
                <w:color w:val="auto"/>
              </w:rPr>
            </w:pPr>
            <w:r>
              <w:rPr>
                <w:rFonts w:ascii="Arial" w:cs="Arial" w:eastAsia="Arial" w:hAnsi="Arial"/>
                <w:sz w:val="18"/>
                <w:szCs w:val="18"/>
                <w:color w:val="auto"/>
              </w:rPr>
              <w:t>14,683.1</w:t>
            </w:r>
          </w:p>
        </w:tc>
        <w:tc>
          <w:tcPr>
            <w:tcW w:w="1600" w:type="dxa"/>
            <w:vAlign w:val="bottom"/>
          </w:tcPr>
          <w:p>
            <w:pPr>
              <w:jc w:val="right"/>
              <w:spacing w:after="0"/>
              <w:rPr>
                <w:sz w:val="20"/>
                <w:szCs w:val="20"/>
                <w:color w:val="auto"/>
              </w:rPr>
            </w:pPr>
            <w:r>
              <w:rPr>
                <w:rFonts w:ascii="Arial" w:cs="Arial" w:eastAsia="Arial" w:hAnsi="Arial"/>
                <w:sz w:val="18"/>
                <w:szCs w:val="18"/>
                <w:color w:val="auto"/>
              </w:rPr>
              <w:t>2 %</w:t>
            </w:r>
          </w:p>
        </w:tc>
      </w:tr>
      <w:tr>
        <w:trPr>
          <w:trHeight w:val="271"/>
        </w:trPr>
        <w:tc>
          <w:tcPr>
            <w:tcW w:w="6820" w:type="dxa"/>
            <w:vAlign w:val="bottom"/>
            <w:shd w:val="clear" w:color="auto" w:fill="D8D8D8"/>
          </w:tcPr>
          <w:p>
            <w:pPr>
              <w:ind w:left="40"/>
              <w:spacing w:after="0"/>
              <w:rPr>
                <w:sz w:val="20"/>
                <w:szCs w:val="20"/>
                <w:color w:val="auto"/>
              </w:rPr>
            </w:pPr>
            <w:r>
              <w:rPr>
                <w:rFonts w:ascii="Arial" w:cs="Arial" w:eastAsia="Arial" w:hAnsi="Arial"/>
                <w:sz w:val="18"/>
                <w:szCs w:val="18"/>
                <w:color w:val="auto"/>
              </w:rPr>
              <w:t>Gross margin as a percent of revenue</w:t>
            </w:r>
          </w:p>
        </w:tc>
        <w:tc>
          <w:tcPr>
            <w:tcW w:w="340" w:type="dxa"/>
            <w:vAlign w:val="bottom"/>
            <w:shd w:val="clear" w:color="auto" w:fill="D8D8D8"/>
          </w:tcPr>
          <w:p>
            <w:pPr>
              <w:spacing w:after="0"/>
              <w:rPr>
                <w:sz w:val="23"/>
                <w:szCs w:val="23"/>
                <w:color w:val="auto"/>
              </w:rPr>
            </w:pPr>
          </w:p>
        </w:tc>
        <w:tc>
          <w:tcPr>
            <w:tcW w:w="1160" w:type="dxa"/>
            <w:vAlign w:val="bottom"/>
            <w:shd w:val="clear" w:color="auto" w:fill="D8D8D8"/>
          </w:tcPr>
          <w:p>
            <w:pPr>
              <w:jc w:val="right"/>
              <w:spacing w:after="0"/>
              <w:rPr>
                <w:sz w:val="20"/>
                <w:szCs w:val="20"/>
                <w:color w:val="auto"/>
              </w:rPr>
            </w:pPr>
            <w:r>
              <w:rPr>
                <w:rFonts w:ascii="Arial" w:cs="Arial" w:eastAsia="Arial" w:hAnsi="Arial"/>
                <w:sz w:val="18"/>
                <w:szCs w:val="18"/>
                <w:b w:val="1"/>
                <w:bCs w:val="1"/>
                <w:color w:val="auto"/>
              </w:rPr>
              <w:t>74.8%</w:t>
            </w:r>
          </w:p>
        </w:tc>
        <w:tc>
          <w:tcPr>
            <w:tcW w:w="560" w:type="dxa"/>
            <w:vAlign w:val="bottom"/>
            <w:shd w:val="clear" w:color="auto" w:fill="D8D8D8"/>
          </w:tcPr>
          <w:p>
            <w:pPr>
              <w:spacing w:after="0"/>
              <w:rPr>
                <w:sz w:val="23"/>
                <w:szCs w:val="23"/>
                <w:color w:val="auto"/>
              </w:rPr>
            </w:pPr>
          </w:p>
        </w:tc>
        <w:tc>
          <w:tcPr>
            <w:tcW w:w="940" w:type="dxa"/>
            <w:vAlign w:val="bottom"/>
            <w:shd w:val="clear" w:color="auto" w:fill="D8D8D8"/>
          </w:tcPr>
          <w:p>
            <w:pPr>
              <w:jc w:val="right"/>
              <w:spacing w:after="0"/>
              <w:rPr>
                <w:sz w:val="20"/>
                <w:szCs w:val="20"/>
                <w:color w:val="auto"/>
              </w:rPr>
            </w:pPr>
            <w:r>
              <w:rPr>
                <w:rFonts w:ascii="Arial" w:cs="Arial" w:eastAsia="Arial" w:hAnsi="Arial"/>
                <w:sz w:val="18"/>
                <w:szCs w:val="18"/>
                <w:color w:val="auto"/>
              </w:rPr>
              <w:t>74.9%</w:t>
            </w:r>
          </w:p>
        </w:tc>
        <w:tc>
          <w:tcPr>
            <w:tcW w:w="1600" w:type="dxa"/>
            <w:vAlign w:val="bottom"/>
            <w:shd w:val="clear" w:color="auto" w:fill="D8D8D8"/>
          </w:tcPr>
          <w:p>
            <w:pPr>
              <w:spacing w:after="0"/>
              <w:rPr>
                <w:sz w:val="23"/>
                <w:szCs w:val="23"/>
                <w:color w:val="auto"/>
              </w:rPr>
            </w:pPr>
          </w:p>
        </w:tc>
      </w:tr>
      <w:tr>
        <w:trPr>
          <w:trHeight w:val="270"/>
        </w:trPr>
        <w:tc>
          <w:tcPr>
            <w:tcW w:w="6820" w:type="dxa"/>
            <w:vAlign w:val="bottom"/>
          </w:tcPr>
          <w:p>
            <w:pPr>
              <w:ind w:left="40"/>
              <w:spacing w:after="0"/>
              <w:rPr>
                <w:sz w:val="20"/>
                <w:szCs w:val="20"/>
                <w:color w:val="auto"/>
              </w:rPr>
            </w:pPr>
            <w:r>
              <w:rPr>
                <w:rFonts w:ascii="Arial" w:cs="Arial" w:eastAsia="Arial" w:hAnsi="Arial"/>
                <w:sz w:val="18"/>
                <w:szCs w:val="18"/>
                <w:color w:val="auto"/>
              </w:rPr>
              <w:t xml:space="preserve">Operating expense </w:t>
            </w:r>
            <w:r>
              <w:rPr>
                <w:rFonts w:ascii="Arial" w:cs="Arial" w:eastAsia="Arial" w:hAnsi="Arial"/>
                <w:sz w:val="21"/>
                <w:szCs w:val="21"/>
                <w:color w:val="auto"/>
                <w:vertAlign w:val="superscript"/>
              </w:rPr>
              <w:t>(1)</w:t>
            </w:r>
          </w:p>
        </w:tc>
        <w:tc>
          <w:tcPr>
            <w:tcW w:w="34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1160" w:type="dxa"/>
            <w:vAlign w:val="bottom"/>
          </w:tcPr>
          <w:p>
            <w:pPr>
              <w:jc w:val="right"/>
              <w:ind w:right="155"/>
              <w:spacing w:after="0"/>
              <w:rPr>
                <w:sz w:val="20"/>
                <w:szCs w:val="20"/>
                <w:color w:val="auto"/>
              </w:rPr>
            </w:pPr>
            <w:r>
              <w:rPr>
                <w:rFonts w:ascii="Arial" w:cs="Arial" w:eastAsia="Arial" w:hAnsi="Arial"/>
                <w:sz w:val="18"/>
                <w:szCs w:val="18"/>
                <w:b w:val="1"/>
                <w:bCs w:val="1"/>
                <w:color w:val="auto"/>
              </w:rPr>
              <w:t>11,329.4</w:t>
            </w:r>
          </w:p>
        </w:tc>
        <w:tc>
          <w:tcPr>
            <w:tcW w:w="56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92"/>
              <w:spacing w:after="0"/>
              <w:rPr>
                <w:sz w:val="20"/>
                <w:szCs w:val="20"/>
                <w:color w:val="auto"/>
              </w:rPr>
            </w:pPr>
            <w:r>
              <w:rPr>
                <w:rFonts w:ascii="Arial" w:cs="Arial" w:eastAsia="Arial" w:hAnsi="Arial"/>
                <w:sz w:val="18"/>
                <w:szCs w:val="18"/>
                <w:color w:val="auto"/>
              </w:rPr>
              <w:t>11,354.4</w:t>
            </w:r>
          </w:p>
        </w:tc>
        <w:tc>
          <w:tcPr>
            <w:tcW w:w="160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70"/>
        </w:trPr>
        <w:tc>
          <w:tcPr>
            <w:tcW w:w="6820" w:type="dxa"/>
            <w:vAlign w:val="bottom"/>
            <w:shd w:val="clear" w:color="auto" w:fill="D8D8D8"/>
          </w:tcPr>
          <w:p>
            <w:pPr>
              <w:ind w:left="40"/>
              <w:spacing w:after="0"/>
              <w:rPr>
                <w:sz w:val="20"/>
                <w:szCs w:val="20"/>
                <w:color w:val="auto"/>
              </w:rPr>
            </w:pPr>
            <w:r>
              <w:rPr>
                <w:rFonts w:ascii="Arial" w:cs="Arial" w:eastAsia="Arial" w:hAnsi="Arial"/>
                <w:sz w:val="18"/>
                <w:szCs w:val="18"/>
                <w:color w:val="auto"/>
              </w:rPr>
              <w:t>Acquired in-process research and development</w:t>
            </w:r>
          </w:p>
        </w:tc>
        <w:tc>
          <w:tcPr>
            <w:tcW w:w="340" w:type="dxa"/>
            <w:vAlign w:val="bottom"/>
            <w:shd w:val="clear" w:color="auto" w:fill="D8D8D8"/>
          </w:tcPr>
          <w:p>
            <w:pPr>
              <w:spacing w:after="0"/>
              <w:rPr>
                <w:sz w:val="23"/>
                <w:szCs w:val="23"/>
                <w:color w:val="auto"/>
              </w:rPr>
            </w:pPr>
          </w:p>
        </w:tc>
        <w:tc>
          <w:tcPr>
            <w:tcW w:w="1160" w:type="dxa"/>
            <w:vAlign w:val="bottom"/>
            <w:shd w:val="clear" w:color="auto" w:fill="D8D8D8"/>
          </w:tcPr>
          <w:p>
            <w:pPr>
              <w:jc w:val="right"/>
              <w:ind w:right="155"/>
              <w:spacing w:after="0"/>
              <w:rPr>
                <w:sz w:val="20"/>
                <w:szCs w:val="20"/>
                <w:color w:val="auto"/>
              </w:rPr>
            </w:pPr>
            <w:r>
              <w:rPr>
                <w:rFonts w:ascii="Arial" w:cs="Arial" w:eastAsia="Arial" w:hAnsi="Arial"/>
                <w:sz w:val="18"/>
                <w:szCs w:val="18"/>
                <w:b w:val="1"/>
                <w:bCs w:val="1"/>
                <w:color w:val="auto"/>
              </w:rPr>
              <w:t>535.0</w:t>
            </w:r>
          </w:p>
        </w:tc>
        <w:tc>
          <w:tcPr>
            <w:tcW w:w="560" w:type="dxa"/>
            <w:vAlign w:val="bottom"/>
            <w:shd w:val="clear" w:color="auto" w:fill="D8D8D8"/>
          </w:tcPr>
          <w:p>
            <w:pPr>
              <w:spacing w:after="0"/>
              <w:rPr>
                <w:sz w:val="23"/>
                <w:szCs w:val="23"/>
                <w:color w:val="auto"/>
              </w:rPr>
            </w:pPr>
          </w:p>
        </w:tc>
        <w:tc>
          <w:tcPr>
            <w:tcW w:w="940" w:type="dxa"/>
            <w:vAlign w:val="bottom"/>
            <w:shd w:val="clear" w:color="auto" w:fill="D8D8D8"/>
          </w:tcPr>
          <w:p>
            <w:pPr>
              <w:jc w:val="right"/>
              <w:ind w:right="92"/>
              <w:spacing w:after="0"/>
              <w:rPr>
                <w:sz w:val="20"/>
                <w:szCs w:val="20"/>
                <w:color w:val="auto"/>
              </w:rPr>
            </w:pPr>
            <w:r>
              <w:rPr>
                <w:rFonts w:ascii="Arial" w:cs="Arial" w:eastAsia="Arial" w:hAnsi="Arial"/>
                <w:sz w:val="18"/>
                <w:szCs w:val="18"/>
                <w:color w:val="auto"/>
              </w:rPr>
              <w:t>200.2</w:t>
            </w:r>
          </w:p>
        </w:tc>
        <w:tc>
          <w:tcPr>
            <w:tcW w:w="1600" w:type="dxa"/>
            <w:vAlign w:val="bottom"/>
            <w:shd w:val="clear" w:color="auto" w:fill="D8D8D8"/>
          </w:tcPr>
          <w:p>
            <w:pPr>
              <w:jc w:val="right"/>
              <w:ind w:right="175"/>
              <w:spacing w:after="0"/>
              <w:rPr>
                <w:sz w:val="20"/>
                <w:szCs w:val="20"/>
                <w:color w:val="auto"/>
              </w:rPr>
            </w:pPr>
            <w:r>
              <w:rPr>
                <w:rFonts w:ascii="Arial" w:cs="Arial" w:eastAsia="Arial" w:hAnsi="Arial"/>
                <w:sz w:val="18"/>
                <w:szCs w:val="18"/>
                <w:color w:val="auto"/>
              </w:rPr>
              <w:t>NM</w:t>
            </w:r>
          </w:p>
        </w:tc>
      </w:tr>
      <w:tr>
        <w:trPr>
          <w:trHeight w:val="269"/>
        </w:trPr>
        <w:tc>
          <w:tcPr>
            <w:tcW w:w="6820" w:type="dxa"/>
            <w:vAlign w:val="bottom"/>
          </w:tcPr>
          <w:p>
            <w:pPr>
              <w:ind w:left="40"/>
              <w:spacing w:after="0"/>
              <w:rPr>
                <w:sz w:val="20"/>
                <w:szCs w:val="20"/>
                <w:color w:val="auto"/>
              </w:rPr>
            </w:pPr>
            <w:r>
              <w:rPr>
                <w:rFonts w:ascii="Arial" w:cs="Arial" w:eastAsia="Arial" w:hAnsi="Arial"/>
                <w:sz w:val="18"/>
                <w:szCs w:val="18"/>
                <w:color w:val="auto"/>
              </w:rPr>
              <w:t>Asset impairment, restructuring, and other special charges</w:t>
            </w:r>
          </w:p>
        </w:tc>
        <w:tc>
          <w:tcPr>
            <w:tcW w:w="340" w:type="dxa"/>
            <w:vAlign w:val="bottom"/>
          </w:tcPr>
          <w:p>
            <w:pPr>
              <w:spacing w:after="0"/>
              <w:rPr>
                <w:sz w:val="23"/>
                <w:szCs w:val="23"/>
                <w:color w:val="auto"/>
              </w:rPr>
            </w:pPr>
          </w:p>
        </w:tc>
        <w:tc>
          <w:tcPr>
            <w:tcW w:w="1160" w:type="dxa"/>
            <w:vAlign w:val="bottom"/>
          </w:tcPr>
          <w:p>
            <w:pPr>
              <w:jc w:val="right"/>
              <w:ind w:right="155"/>
              <w:spacing w:after="0"/>
              <w:rPr>
                <w:sz w:val="20"/>
                <w:szCs w:val="20"/>
                <w:color w:val="auto"/>
              </w:rPr>
            </w:pPr>
            <w:r>
              <w:rPr>
                <w:rFonts w:ascii="Arial" w:cs="Arial" w:eastAsia="Arial" w:hAnsi="Arial"/>
                <w:sz w:val="18"/>
                <w:szCs w:val="18"/>
                <w:b w:val="1"/>
                <w:bCs w:val="1"/>
                <w:color w:val="auto"/>
              </w:rPr>
              <w:t>367.7</w:t>
            </w:r>
          </w:p>
        </w:tc>
        <w:tc>
          <w:tcPr>
            <w:tcW w:w="560" w:type="dxa"/>
            <w:vAlign w:val="bottom"/>
          </w:tcPr>
          <w:p>
            <w:pPr>
              <w:spacing w:after="0"/>
              <w:rPr>
                <w:sz w:val="23"/>
                <w:szCs w:val="23"/>
                <w:color w:val="auto"/>
              </w:rPr>
            </w:pPr>
          </w:p>
        </w:tc>
        <w:tc>
          <w:tcPr>
            <w:tcW w:w="940" w:type="dxa"/>
            <w:vAlign w:val="bottom"/>
          </w:tcPr>
          <w:p>
            <w:pPr>
              <w:jc w:val="right"/>
              <w:ind w:right="92"/>
              <w:spacing w:after="0"/>
              <w:rPr>
                <w:sz w:val="20"/>
                <w:szCs w:val="20"/>
                <w:color w:val="auto"/>
              </w:rPr>
            </w:pPr>
            <w:r>
              <w:rPr>
                <w:rFonts w:ascii="Arial" w:cs="Arial" w:eastAsia="Arial" w:hAnsi="Arial"/>
                <w:sz w:val="18"/>
                <w:szCs w:val="18"/>
                <w:color w:val="auto"/>
              </w:rPr>
              <w:t>468.7</w:t>
            </w:r>
          </w:p>
        </w:tc>
        <w:tc>
          <w:tcPr>
            <w:tcW w:w="16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71"/>
        </w:trPr>
        <w:tc>
          <w:tcPr>
            <w:tcW w:w="6820" w:type="dxa"/>
            <w:vAlign w:val="bottom"/>
            <w:shd w:val="clear" w:color="auto" w:fill="D8D8D8"/>
          </w:tcPr>
          <w:p>
            <w:pPr>
              <w:ind w:left="40"/>
              <w:spacing w:after="0"/>
              <w:rPr>
                <w:sz w:val="20"/>
                <w:szCs w:val="20"/>
                <w:color w:val="auto"/>
              </w:rPr>
            </w:pPr>
            <w:r>
              <w:rPr>
                <w:rFonts w:ascii="Arial" w:cs="Arial" w:eastAsia="Arial" w:hAnsi="Arial"/>
                <w:sz w:val="18"/>
                <w:szCs w:val="18"/>
                <w:color w:val="auto"/>
              </w:rPr>
              <w:t>Net income</w:t>
            </w:r>
          </w:p>
        </w:tc>
        <w:tc>
          <w:tcPr>
            <w:tcW w:w="340" w:type="dxa"/>
            <w:vAlign w:val="bottom"/>
            <w:shd w:val="clear" w:color="auto" w:fill="D8D8D8"/>
          </w:tcPr>
          <w:p>
            <w:pPr>
              <w:spacing w:after="0"/>
              <w:rPr>
                <w:sz w:val="23"/>
                <w:szCs w:val="23"/>
                <w:color w:val="auto"/>
              </w:rPr>
            </w:pPr>
          </w:p>
        </w:tc>
        <w:tc>
          <w:tcPr>
            <w:tcW w:w="1160" w:type="dxa"/>
            <w:vAlign w:val="bottom"/>
            <w:shd w:val="clear" w:color="auto" w:fill="D8D8D8"/>
          </w:tcPr>
          <w:p>
            <w:pPr>
              <w:jc w:val="right"/>
              <w:ind w:right="155"/>
              <w:spacing w:after="0"/>
              <w:rPr>
                <w:sz w:val="20"/>
                <w:szCs w:val="20"/>
                <w:color w:val="auto"/>
              </w:rPr>
            </w:pPr>
            <w:r>
              <w:rPr>
                <w:rFonts w:ascii="Arial" w:cs="Arial" w:eastAsia="Arial" w:hAnsi="Arial"/>
                <w:sz w:val="18"/>
                <w:szCs w:val="18"/>
                <w:b w:val="1"/>
                <w:bCs w:val="1"/>
                <w:color w:val="auto"/>
              </w:rPr>
              <w:t>2,408.4</w:t>
            </w:r>
          </w:p>
        </w:tc>
        <w:tc>
          <w:tcPr>
            <w:tcW w:w="560" w:type="dxa"/>
            <w:vAlign w:val="bottom"/>
            <w:shd w:val="clear" w:color="auto" w:fill="D8D8D8"/>
          </w:tcPr>
          <w:p>
            <w:pPr>
              <w:spacing w:after="0"/>
              <w:rPr>
                <w:sz w:val="23"/>
                <w:szCs w:val="23"/>
                <w:color w:val="auto"/>
              </w:rPr>
            </w:pPr>
          </w:p>
        </w:tc>
        <w:tc>
          <w:tcPr>
            <w:tcW w:w="940" w:type="dxa"/>
            <w:vAlign w:val="bottom"/>
            <w:shd w:val="clear" w:color="auto" w:fill="D8D8D8"/>
          </w:tcPr>
          <w:p>
            <w:pPr>
              <w:jc w:val="right"/>
              <w:ind w:right="92"/>
              <w:spacing w:after="0"/>
              <w:rPr>
                <w:sz w:val="20"/>
                <w:szCs w:val="20"/>
                <w:color w:val="auto"/>
              </w:rPr>
            </w:pPr>
            <w:r>
              <w:rPr>
                <w:rFonts w:ascii="Arial" w:cs="Arial" w:eastAsia="Arial" w:hAnsi="Arial"/>
                <w:sz w:val="18"/>
                <w:szCs w:val="18"/>
                <w:color w:val="auto"/>
              </w:rPr>
              <w:t>2,390.5</w:t>
            </w:r>
          </w:p>
        </w:tc>
        <w:tc>
          <w:tcPr>
            <w:tcW w:w="16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1 %</w:t>
            </w:r>
          </w:p>
        </w:tc>
      </w:tr>
      <w:tr>
        <w:trPr>
          <w:trHeight w:val="269"/>
        </w:trPr>
        <w:tc>
          <w:tcPr>
            <w:tcW w:w="6820" w:type="dxa"/>
            <w:vAlign w:val="bottom"/>
          </w:tcPr>
          <w:p>
            <w:pPr>
              <w:ind w:left="40"/>
              <w:spacing w:after="0"/>
              <w:rPr>
                <w:sz w:val="20"/>
                <w:szCs w:val="20"/>
                <w:color w:val="auto"/>
              </w:rPr>
            </w:pPr>
            <w:r>
              <w:rPr>
                <w:rFonts w:ascii="Arial" w:cs="Arial" w:eastAsia="Arial" w:hAnsi="Arial"/>
                <w:sz w:val="18"/>
                <w:szCs w:val="18"/>
                <w:color w:val="auto"/>
              </w:rPr>
              <w:t>Earnings per share</w:t>
            </w:r>
          </w:p>
        </w:tc>
        <w:tc>
          <w:tcPr>
            <w:tcW w:w="340" w:type="dxa"/>
            <w:vAlign w:val="bottom"/>
          </w:tcPr>
          <w:p>
            <w:pPr>
              <w:spacing w:after="0"/>
              <w:rPr>
                <w:sz w:val="23"/>
                <w:szCs w:val="23"/>
                <w:color w:val="auto"/>
              </w:rPr>
            </w:pPr>
          </w:p>
        </w:tc>
        <w:tc>
          <w:tcPr>
            <w:tcW w:w="1160" w:type="dxa"/>
            <w:vAlign w:val="bottom"/>
          </w:tcPr>
          <w:p>
            <w:pPr>
              <w:jc w:val="right"/>
              <w:ind w:right="155"/>
              <w:spacing w:after="0"/>
              <w:rPr>
                <w:sz w:val="20"/>
                <w:szCs w:val="20"/>
                <w:color w:val="auto"/>
              </w:rPr>
            </w:pPr>
            <w:r>
              <w:rPr>
                <w:rFonts w:ascii="Arial" w:cs="Arial" w:eastAsia="Arial" w:hAnsi="Arial"/>
                <w:sz w:val="18"/>
                <w:szCs w:val="18"/>
                <w:b w:val="1"/>
                <w:bCs w:val="1"/>
                <w:color w:val="auto"/>
              </w:rPr>
              <w:t>2.26</w:t>
            </w:r>
          </w:p>
        </w:tc>
        <w:tc>
          <w:tcPr>
            <w:tcW w:w="560" w:type="dxa"/>
            <w:vAlign w:val="bottom"/>
          </w:tcPr>
          <w:p>
            <w:pPr>
              <w:spacing w:after="0"/>
              <w:rPr>
                <w:sz w:val="23"/>
                <w:szCs w:val="23"/>
                <w:color w:val="auto"/>
              </w:rPr>
            </w:pPr>
          </w:p>
        </w:tc>
        <w:tc>
          <w:tcPr>
            <w:tcW w:w="940" w:type="dxa"/>
            <w:vAlign w:val="bottom"/>
          </w:tcPr>
          <w:p>
            <w:pPr>
              <w:jc w:val="right"/>
              <w:ind w:right="92"/>
              <w:spacing w:after="0"/>
              <w:rPr>
                <w:sz w:val="20"/>
                <w:szCs w:val="20"/>
                <w:color w:val="auto"/>
              </w:rPr>
            </w:pPr>
            <w:r>
              <w:rPr>
                <w:rFonts w:ascii="Arial" w:cs="Arial" w:eastAsia="Arial" w:hAnsi="Arial"/>
                <w:sz w:val="18"/>
                <w:szCs w:val="18"/>
                <w:color w:val="auto"/>
              </w:rPr>
              <w:t>2.23</w:t>
            </w:r>
          </w:p>
        </w:tc>
        <w:tc>
          <w:tcPr>
            <w:tcW w:w="1600" w:type="dxa"/>
            <w:vAlign w:val="bottom"/>
          </w:tcPr>
          <w:p>
            <w:pPr>
              <w:jc w:val="right"/>
              <w:spacing w:after="0"/>
              <w:rPr>
                <w:sz w:val="20"/>
                <w:szCs w:val="20"/>
                <w:color w:val="auto"/>
              </w:rPr>
            </w:pPr>
            <w:r>
              <w:rPr>
                <w:rFonts w:ascii="Arial" w:cs="Arial" w:eastAsia="Arial" w:hAnsi="Arial"/>
                <w:sz w:val="18"/>
                <w:szCs w:val="18"/>
                <w:color w:val="auto"/>
              </w:rPr>
              <w:t>1 %</w:t>
            </w:r>
          </w:p>
        </w:tc>
      </w:tr>
    </w:tbl>
    <w:p>
      <w:pPr>
        <w:spacing w:after="0" w:line="96" w:lineRule="exact"/>
        <w:rPr>
          <w:sz w:val="20"/>
          <w:szCs w:val="20"/>
          <w:color w:val="auto"/>
        </w:rPr>
      </w:pPr>
    </w:p>
    <w:p>
      <w:pPr>
        <w:ind w:right="4220" w:firstLine="8"/>
        <w:spacing w:after="0" w:line="323" w:lineRule="auto"/>
        <w:tabs>
          <w:tab w:leader="none" w:pos="135" w:val="left"/>
        </w:tabs>
        <w:numPr>
          <w:ilvl w:val="0"/>
          <w:numId w:val="31"/>
        </w:numPr>
        <w:rPr>
          <w:rFonts w:ascii="Arial" w:cs="Arial" w:eastAsia="Arial" w:hAnsi="Arial"/>
          <w:sz w:val="15"/>
          <w:szCs w:val="15"/>
          <w:color w:val="auto"/>
          <w:vertAlign w:val="superscript"/>
        </w:rPr>
      </w:pPr>
      <w:r>
        <w:rPr>
          <w:rFonts w:ascii="Arial" w:cs="Arial" w:eastAsia="Arial" w:hAnsi="Arial"/>
          <w:sz w:val="12"/>
          <w:szCs w:val="12"/>
          <w:color w:val="auto"/>
        </w:rPr>
        <w:t>Operating expense consists of research and development and marketing, selling, and administrative expenses. NM - not meaningful</w:t>
      </w:r>
    </w:p>
    <w:p>
      <w:pPr>
        <w:spacing w:after="0" w:line="298"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Revenue and gross margin increased slightly in 2015. Operating expense in 2015 remained essentially flat as a decrease in marketing, selling, and administrative expense was largely offset by increased research and development expense. Net income and EPS increased slightly in 2015 as a higher gross margin, lower income taxes, and decreased asset impairment, restructuring, and other special charges were largely offset by increased acquired in-process research and development (IPR&amp;D) charges and lower other income.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highlighted items affect comparisons of our 2015 and 2014 financial results: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2015</w:t>
      </w:r>
    </w:p>
    <w:p>
      <w:pPr>
        <w:spacing w:after="0" w:line="11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Acquisitions (Note 3 to the consolidated financial statements)</w:t>
      </w:r>
    </w:p>
    <w:p>
      <w:pPr>
        <w:spacing w:after="0" w:line="117" w:lineRule="exact"/>
        <w:rPr>
          <w:sz w:val="20"/>
          <w:szCs w:val="20"/>
          <w:color w:val="auto"/>
        </w:rPr>
      </w:pPr>
    </w:p>
    <w:p>
      <w:pPr>
        <w:ind w:left="660" w:right="20" w:hanging="328"/>
        <w:spacing w:after="0" w:line="292"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recognized expense of $153.0 million (pretax), or $0.10 per share, related to the fair value adjustments to Novartis Animal Health (Novartis AH) acquisition date inventory that has been sold.</w:t>
      </w:r>
    </w:p>
    <w:p>
      <w:pPr>
        <w:spacing w:after="0" w:line="3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Acquired IPR&amp;D (Notes 3 and 4 to the consolidated financial statements)</w:t>
      </w:r>
    </w:p>
    <w:p>
      <w:pPr>
        <w:spacing w:after="0" w:line="117" w:lineRule="exact"/>
        <w:rPr>
          <w:sz w:val="20"/>
          <w:szCs w:val="20"/>
          <w:color w:val="auto"/>
        </w:rPr>
      </w:pPr>
    </w:p>
    <w:p>
      <w:pPr>
        <w:jc w:val="both"/>
        <w:ind w:left="660" w:hanging="328"/>
        <w:spacing w:after="0" w:line="271"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recognized acquired IPR&amp;D charges of $535.0 million (pretax), or $0.33 per share, related to upfront fees paid in connection with various collaboration agreements primarily with Pfizer, Inc. (Pfizer), as well as the consideration paid to acquire the worldwide rights to Locemia Solutions' (Locemia) intranasal glucagon.</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30</w:t>
      </w:r>
    </w:p>
    <w:p>
      <w:pPr>
        <w:sectPr>
          <w:pgSz w:w="11900" w:h="16838" w:orient="portrait"/>
          <w:cols w:equalWidth="0" w:num="1">
            <w:col w:w="11420"/>
          </w:cols>
          <w:pgMar w:left="240" w:top="562" w:right="239" w:bottom="1440" w:gutter="0" w:footer="0" w:header="0"/>
        </w:sectPr>
      </w:pPr>
    </w:p>
    <w:bookmarkStart w:id="30" w:name="page31"/>
    <w:bookmarkEnd w:id="30"/>
    <w:p>
      <w:pPr>
        <w:ind w:left="340"/>
        <w:spacing w:after="0"/>
        <w:rPr>
          <w:sz w:val="20"/>
          <w:szCs w:val="20"/>
          <w:color w:val="auto"/>
        </w:rPr>
      </w:pPr>
      <w:r>
        <w:rPr>
          <w:rFonts w:ascii="Arial" w:cs="Arial" w:eastAsia="Arial" w:hAnsi="Arial"/>
          <w:sz w:val="18"/>
          <w:szCs w:val="18"/>
          <w:color w:val="auto"/>
        </w:rPr>
        <w:t>Asset Impairment, Restructuring, and Other Special Charges (Note 5 to the consolidated financial statements)</w:t>
      </w:r>
    </w:p>
    <w:p>
      <w:pPr>
        <w:spacing w:after="0" w:line="117" w:lineRule="exact"/>
        <w:rPr>
          <w:sz w:val="20"/>
          <w:szCs w:val="20"/>
          <w:color w:val="auto"/>
        </w:rPr>
      </w:pPr>
    </w:p>
    <w:p>
      <w:pPr>
        <w:ind w:left="660" w:hanging="328"/>
        <w:spacing w:after="0" w:line="292"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recognized charges of $367.7 million (pretax), or $0.25 per share, related to severance costs, integration costs, and intangible asset impairments.</w:t>
      </w:r>
    </w:p>
    <w:p>
      <w:pPr>
        <w:spacing w:after="0" w:line="3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Debt Repurchase (Notes 7 and 10 to the consolidated financial statements)</w:t>
      </w:r>
    </w:p>
    <w:p>
      <w:pPr>
        <w:spacing w:after="0" w:line="117" w:lineRule="exact"/>
        <w:rPr>
          <w:sz w:val="20"/>
          <w:szCs w:val="20"/>
          <w:color w:val="auto"/>
        </w:rPr>
      </w:pPr>
    </w:p>
    <w:p>
      <w:pPr>
        <w:jc w:val="both"/>
        <w:ind w:left="660" w:hanging="328"/>
        <w:spacing w:after="0" w:line="271"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recognized net charges of $152.7 million (pretax), or $0.09 per share, attributable to the debt extinguishment loss of $166.7 million from the purchase and redemption of certain fixed-rate notes, partially offset by net gains from non-hedging interest rate swaps and foreign currency transactions associated with the related issuance of lower interest rate euro-denominated notes.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2014</w:t>
      </w:r>
    </w:p>
    <w:p>
      <w:pPr>
        <w:spacing w:after="0" w:line="11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Acquired IPR&amp;D (Notes 3 and 4 to the consolidated financial statements)</w:t>
      </w:r>
    </w:p>
    <w:p>
      <w:pPr>
        <w:spacing w:after="0" w:line="117" w:lineRule="exact"/>
        <w:rPr>
          <w:sz w:val="20"/>
          <w:szCs w:val="20"/>
          <w:color w:val="auto"/>
        </w:rPr>
      </w:pPr>
    </w:p>
    <w:p>
      <w:pPr>
        <w:ind w:left="660" w:right="700" w:hanging="328"/>
        <w:spacing w:after="0" w:line="292"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recognized acquired IPR&amp;D charges of $200.2 million (pretax), or $0.12 per share, related to acquired IPR&amp;D from various collaboration agreements.</w:t>
      </w:r>
    </w:p>
    <w:p>
      <w:pPr>
        <w:spacing w:after="0" w:line="3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Collaborations (Note 4 to the consolidated financial statements)</w:t>
      </w:r>
    </w:p>
    <w:p>
      <w:pPr>
        <w:spacing w:after="0" w:line="117" w:lineRule="exact"/>
        <w:rPr>
          <w:sz w:val="20"/>
          <w:szCs w:val="20"/>
          <w:color w:val="auto"/>
        </w:rPr>
      </w:pPr>
    </w:p>
    <w:p>
      <w:pPr>
        <w:ind w:left="660" w:right="860" w:hanging="328"/>
        <w:spacing w:after="0" w:line="292"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recognized income of $92.0 million (pretax), or $0.06 per share, related to the transfer of our linagliptin and empagliflozin commercial rights in certain countries to Boehringer Ingelheim.</w:t>
      </w:r>
    </w:p>
    <w:p>
      <w:pPr>
        <w:spacing w:after="0" w:line="3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Asset Impairment, Restructuring, and Other Special Charges (Note 5 to the consolidated financial statements)</w:t>
      </w:r>
    </w:p>
    <w:p>
      <w:pPr>
        <w:spacing w:after="0" w:line="117" w:lineRule="exact"/>
        <w:rPr>
          <w:sz w:val="20"/>
          <w:szCs w:val="20"/>
          <w:color w:val="auto"/>
        </w:rPr>
      </w:pPr>
    </w:p>
    <w:p>
      <w:pPr>
        <w:ind w:left="660" w:right="80" w:hanging="328"/>
        <w:spacing w:after="0" w:line="271"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recognized charges of $468.7 million (pretax), or $0.38 per share, related to severance costs associated with our ongoing cost containment efforts to reduce our cost structure and global workforce, and asset impairments primarily associated with the closure of a manufacturing site in Puerto Rico.</w:t>
      </w:r>
    </w:p>
    <w:p>
      <w:pPr>
        <w:spacing w:after="0" w:line="5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Other</w:t>
      </w:r>
    </w:p>
    <w:p>
      <w:pPr>
        <w:spacing w:after="0" w:line="117" w:lineRule="exact"/>
        <w:rPr>
          <w:sz w:val="20"/>
          <w:szCs w:val="20"/>
          <w:color w:val="auto"/>
        </w:rPr>
      </w:pPr>
    </w:p>
    <w:p>
      <w:pPr>
        <w:ind w:left="660" w:right="120" w:hanging="328"/>
        <w:spacing w:after="0" w:line="271"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recognized a marketing, selling, and administrative expense of $119.0 million (non-tax deductible), or $0.11 per share, for an extra year of the United States Branded Prescription Drug Fee (U.S. Drug Fee) due to final regulations issued by the Internal Revenue Service (IRS) which required us to accelerate into 2014 the recording of an expense for the 2015 fee.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Late-Stage Pipeline</w:t>
      </w:r>
    </w:p>
    <w:p>
      <w:pPr>
        <w:spacing w:after="0" w:line="119" w:lineRule="exact"/>
        <w:rPr>
          <w:sz w:val="20"/>
          <w:szCs w:val="20"/>
          <w:color w:val="auto"/>
        </w:rPr>
      </w:pPr>
    </w:p>
    <w:p>
      <w:pPr>
        <w:ind w:right="340"/>
        <w:spacing w:after="0" w:line="271" w:lineRule="auto"/>
        <w:rPr>
          <w:sz w:val="20"/>
          <w:szCs w:val="20"/>
          <w:color w:val="auto"/>
        </w:rPr>
      </w:pPr>
      <w:r>
        <w:rPr>
          <w:rFonts w:ascii="Arial" w:cs="Arial" w:eastAsia="Arial" w:hAnsi="Arial"/>
          <w:sz w:val="18"/>
          <w:szCs w:val="18"/>
          <w:color w:val="auto"/>
        </w:rPr>
        <w:t>Our long-term success depends to a great extent on our ability to continue to discover and develop innovative pharmaceutical products and acquire or collaborate on molecules currently in development by other biotechnology or pharmaceutical companies. We currently have approximately 50 potential new drugs in human testing or under regulatory review, and a larger number of projects in preclinical research.</w:t>
      </w:r>
    </w:p>
    <w:p>
      <w:pPr>
        <w:spacing w:after="0" w:line="55" w:lineRule="exact"/>
        <w:rPr>
          <w:sz w:val="20"/>
          <w:szCs w:val="20"/>
          <w:color w:val="auto"/>
        </w:rPr>
      </w:pPr>
    </w:p>
    <w:p>
      <w:pPr>
        <w:ind w:right="640"/>
        <w:spacing w:after="0" w:line="292" w:lineRule="auto"/>
        <w:rPr>
          <w:sz w:val="20"/>
          <w:szCs w:val="20"/>
          <w:color w:val="auto"/>
        </w:rPr>
      </w:pPr>
      <w:r>
        <w:rPr>
          <w:rFonts w:ascii="Arial" w:cs="Arial" w:eastAsia="Arial" w:hAnsi="Arial"/>
          <w:sz w:val="18"/>
          <w:szCs w:val="18"/>
          <w:color w:val="auto"/>
        </w:rPr>
        <w:t>The following new molecular entity (NME) was approved by regulatory authorities in at least one of the major geographies for use in the disease described. The quarter in which the NME initially was approved in any major geography is shown in parentheses:</w:t>
      </w:r>
    </w:p>
    <w:p>
      <w:pPr>
        <w:spacing w:after="0" w:line="35" w:lineRule="exact"/>
        <w:rPr>
          <w:sz w:val="20"/>
          <w:szCs w:val="20"/>
          <w:color w:val="auto"/>
        </w:rPr>
      </w:pPr>
    </w:p>
    <w:p>
      <w:pPr>
        <w:ind w:left="660" w:right="40"/>
        <w:spacing w:after="0" w:line="254" w:lineRule="auto"/>
        <w:rPr>
          <w:sz w:val="20"/>
          <w:szCs w:val="20"/>
          <w:color w:val="auto"/>
        </w:rPr>
      </w:pPr>
      <w:r>
        <w:rPr>
          <w:rFonts w:ascii="Arial" w:cs="Arial" w:eastAsia="Arial" w:hAnsi="Arial"/>
          <w:sz w:val="18"/>
          <w:szCs w:val="18"/>
          <w:b w:val="1"/>
          <w:bCs w:val="1"/>
          <w:color w:val="auto"/>
        </w:rPr>
        <w:t>Necitumumab* (Portrazza</w:t>
      </w:r>
      <w:r>
        <w:rPr>
          <w:rFonts w:ascii="Arial" w:cs="Arial" w:eastAsia="Arial" w:hAnsi="Arial"/>
          <w:sz w:val="21"/>
          <w:szCs w:val="21"/>
          <w:b w:val="1"/>
          <w:bCs w:val="1"/>
          <w:color w:val="auto"/>
          <w:vertAlign w:val="superscript"/>
        </w:rPr>
        <w:t>™</w:t>
      </w:r>
      <w:r>
        <w:rPr>
          <w:rFonts w:ascii="Arial" w:cs="Arial" w:eastAsia="Arial" w:hAnsi="Arial"/>
          <w:sz w:val="18"/>
          <w:szCs w:val="18"/>
          <w:b w:val="1"/>
          <w:bCs w:val="1"/>
          <w:color w:val="auto"/>
        </w:rPr>
        <w:t>) (Q4 2015)</w:t>
      </w:r>
      <w:r>
        <w:rPr>
          <w:rFonts w:ascii="Arial" w:cs="Arial" w:eastAsia="Arial" w:hAnsi="Arial"/>
          <w:sz w:val="18"/>
          <w:szCs w:val="18"/>
          <w:color w:val="auto"/>
        </w:rPr>
        <w:t>—an anti-epidermal growth factor receptor monoclonal antibody for the treatment of metastatic</w:t>
      </w:r>
      <w:r>
        <w:rPr>
          <w:rFonts w:ascii="Arial" w:cs="Arial" w:eastAsia="Arial" w:hAnsi="Arial"/>
          <w:sz w:val="18"/>
          <w:szCs w:val="18"/>
          <w:b w:val="1"/>
          <w:bCs w:val="1"/>
          <w:color w:val="auto"/>
        </w:rPr>
        <w:t xml:space="preserve"> </w:t>
      </w:r>
      <w:r>
        <w:rPr>
          <w:rFonts w:ascii="Arial" w:cs="Arial" w:eastAsia="Arial" w:hAnsi="Arial"/>
          <w:sz w:val="18"/>
          <w:szCs w:val="18"/>
          <w:color w:val="auto"/>
        </w:rPr>
        <w:t>squamous non-small cell lung cancer (NSCLC).</w:t>
      </w:r>
    </w:p>
    <w:p>
      <w:pPr>
        <w:spacing w:after="0" w:line="68" w:lineRule="exact"/>
        <w:rPr>
          <w:sz w:val="20"/>
          <w:szCs w:val="20"/>
          <w:color w:val="auto"/>
        </w:rPr>
      </w:pPr>
    </w:p>
    <w:p>
      <w:pPr>
        <w:ind w:right="620"/>
        <w:spacing w:after="0" w:line="292" w:lineRule="auto"/>
        <w:rPr>
          <w:sz w:val="20"/>
          <w:szCs w:val="20"/>
          <w:color w:val="auto"/>
        </w:rPr>
      </w:pPr>
      <w:r>
        <w:rPr>
          <w:rFonts w:ascii="Arial" w:cs="Arial" w:eastAsia="Arial" w:hAnsi="Arial"/>
          <w:sz w:val="18"/>
          <w:szCs w:val="18"/>
          <w:color w:val="auto"/>
        </w:rPr>
        <w:t>The following NMEs have been submitted for regulatory review in at least one of the major geographies for potential use in the diseases described. The quarter in which each NME initially was submitted for any indication is shown in parentheses:</w:t>
      </w:r>
    </w:p>
    <w:p>
      <w:pPr>
        <w:spacing w:after="0" w:line="3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Ixekizumab* (Q1 2015)</w:t>
      </w:r>
      <w:r>
        <w:rPr>
          <w:rFonts w:ascii="Arial" w:cs="Arial" w:eastAsia="Arial" w:hAnsi="Arial"/>
          <w:sz w:val="18"/>
          <w:szCs w:val="18"/>
          <w:color w:val="auto"/>
        </w:rPr>
        <w:t>—a neutralizing monoclonal antibody to interleukin-17A for the treatment of psoriasis and psoriatic arthritis.</w:t>
      </w:r>
    </w:p>
    <w:p>
      <w:pPr>
        <w:spacing w:after="0" w:line="117" w:lineRule="exact"/>
        <w:rPr>
          <w:sz w:val="20"/>
          <w:szCs w:val="20"/>
          <w:color w:val="auto"/>
        </w:rPr>
      </w:pPr>
    </w:p>
    <w:p>
      <w:pPr>
        <w:ind w:left="660" w:right="460"/>
        <w:spacing w:after="0" w:line="294" w:lineRule="auto"/>
        <w:rPr>
          <w:sz w:val="20"/>
          <w:szCs w:val="20"/>
          <w:color w:val="auto"/>
        </w:rPr>
      </w:pPr>
      <w:r>
        <w:rPr>
          <w:rFonts w:ascii="Arial" w:cs="Arial" w:eastAsia="Arial" w:hAnsi="Arial"/>
          <w:sz w:val="18"/>
          <w:szCs w:val="18"/>
          <w:b w:val="1"/>
          <w:bCs w:val="1"/>
          <w:color w:val="auto"/>
        </w:rPr>
        <w:t>Baricitinib (Q1 2016)</w:t>
      </w:r>
      <w:r>
        <w:rPr>
          <w:rFonts w:ascii="Arial" w:cs="Arial" w:eastAsia="Arial" w:hAnsi="Arial"/>
          <w:sz w:val="18"/>
          <w:szCs w:val="18"/>
          <w:color w:val="auto"/>
        </w:rPr>
        <w:t>—a Janus tyrosine kinase inhibitor for the treatment of moderately-to-severely active rheumatoid arthritis (in</w:t>
      </w:r>
      <w:r>
        <w:rPr>
          <w:rFonts w:ascii="Arial" w:cs="Arial" w:eastAsia="Arial" w:hAnsi="Arial"/>
          <w:sz w:val="18"/>
          <w:szCs w:val="18"/>
          <w:b w:val="1"/>
          <w:bCs w:val="1"/>
          <w:color w:val="auto"/>
        </w:rPr>
        <w:t xml:space="preserve"> </w:t>
      </w:r>
      <w:r>
        <w:rPr>
          <w:rFonts w:ascii="Arial" w:cs="Arial" w:eastAsia="Arial" w:hAnsi="Arial"/>
          <w:sz w:val="18"/>
          <w:szCs w:val="18"/>
          <w:color w:val="auto"/>
        </w:rPr>
        <w:t>collaboration with Incyte Corporation).</w:t>
      </w:r>
    </w:p>
    <w:p>
      <w:pPr>
        <w:spacing w:after="0" w:line="200" w:lineRule="exact"/>
        <w:rPr>
          <w:sz w:val="20"/>
          <w:szCs w:val="20"/>
          <w:color w:val="auto"/>
        </w:rPr>
      </w:pPr>
    </w:p>
    <w:p>
      <w:pPr>
        <w:spacing w:after="0" w:line="29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31</w:t>
      </w:r>
    </w:p>
    <w:p>
      <w:pPr>
        <w:sectPr>
          <w:pgSz w:w="11900" w:h="16838" w:orient="portrait"/>
          <w:cols w:equalWidth="0" w:num="1">
            <w:col w:w="11420"/>
          </w:cols>
          <w:pgMar w:left="240" w:top="684" w:right="239" w:bottom="1440" w:gutter="0" w:footer="0" w:header="0"/>
        </w:sectPr>
      </w:pPr>
    </w:p>
    <w:bookmarkStart w:id="31" w:name="page32"/>
    <w:bookmarkEnd w:id="31"/>
    <w:p>
      <w:pPr>
        <w:ind w:right="160"/>
        <w:spacing w:after="0" w:line="292" w:lineRule="auto"/>
        <w:rPr>
          <w:sz w:val="20"/>
          <w:szCs w:val="20"/>
          <w:color w:val="auto"/>
        </w:rPr>
      </w:pPr>
      <w:r>
        <w:rPr>
          <w:rFonts w:ascii="Arial" w:cs="Arial" w:eastAsia="Arial" w:hAnsi="Arial"/>
          <w:sz w:val="18"/>
          <w:szCs w:val="18"/>
          <w:color w:val="auto"/>
        </w:rPr>
        <w:t>The following NMEs and diagnostic agent are currently in Phase III clinical trial testing for potential use in the diseases described. The quarter in which each NME and diagnostic agent initially entered Phase III for any indication is shown in parentheses:</w:t>
      </w:r>
    </w:p>
    <w:p>
      <w:pPr>
        <w:spacing w:after="0" w:line="35" w:lineRule="exact"/>
        <w:rPr>
          <w:sz w:val="20"/>
          <w:szCs w:val="20"/>
          <w:color w:val="auto"/>
        </w:rPr>
      </w:pPr>
    </w:p>
    <w:p>
      <w:pPr>
        <w:ind w:left="660" w:right="520"/>
        <w:spacing w:after="0" w:line="294" w:lineRule="auto"/>
        <w:rPr>
          <w:sz w:val="20"/>
          <w:szCs w:val="20"/>
          <w:color w:val="auto"/>
        </w:rPr>
      </w:pPr>
      <w:r>
        <w:rPr>
          <w:rFonts w:ascii="Arial" w:cs="Arial" w:eastAsia="Arial" w:hAnsi="Arial"/>
          <w:sz w:val="18"/>
          <w:szCs w:val="18"/>
          <w:b w:val="1"/>
          <w:bCs w:val="1"/>
          <w:color w:val="auto"/>
        </w:rPr>
        <w:t>Abemaciclib (Q3 2014)</w:t>
      </w:r>
      <w:r>
        <w:rPr>
          <w:rFonts w:ascii="Arial" w:cs="Arial" w:eastAsia="Arial" w:hAnsi="Arial"/>
          <w:sz w:val="18"/>
          <w:szCs w:val="18"/>
          <w:color w:val="auto"/>
        </w:rPr>
        <w:t>—a small molecule cell-cycle inhibitor, selective for cyclin-dependent kinases 4 and 6 for the treatment of</w:t>
      </w:r>
      <w:r>
        <w:rPr>
          <w:rFonts w:ascii="Arial" w:cs="Arial" w:eastAsia="Arial" w:hAnsi="Arial"/>
          <w:sz w:val="18"/>
          <w:szCs w:val="18"/>
          <w:b w:val="1"/>
          <w:bCs w:val="1"/>
          <w:color w:val="auto"/>
        </w:rPr>
        <w:t xml:space="preserve"> </w:t>
      </w:r>
      <w:r>
        <w:rPr>
          <w:rFonts w:ascii="Arial" w:cs="Arial" w:eastAsia="Arial" w:hAnsi="Arial"/>
          <w:sz w:val="18"/>
          <w:szCs w:val="18"/>
          <w:color w:val="auto"/>
        </w:rPr>
        <w:t>metastatic breast cancer and NSCLC.</w:t>
      </w:r>
    </w:p>
    <w:p>
      <w:pPr>
        <w:spacing w:after="0" w:line="33" w:lineRule="exact"/>
        <w:rPr>
          <w:sz w:val="20"/>
          <w:szCs w:val="20"/>
          <w:color w:val="auto"/>
        </w:rPr>
      </w:pPr>
    </w:p>
    <w:p>
      <w:pPr>
        <w:ind w:left="660" w:right="160"/>
        <w:spacing w:after="0" w:line="294" w:lineRule="auto"/>
        <w:rPr>
          <w:sz w:val="20"/>
          <w:szCs w:val="20"/>
          <w:color w:val="auto"/>
        </w:rPr>
      </w:pPr>
      <w:r>
        <w:rPr>
          <w:rFonts w:ascii="Arial" w:cs="Arial" w:eastAsia="Arial" w:hAnsi="Arial"/>
          <w:sz w:val="18"/>
          <w:szCs w:val="18"/>
          <w:b w:val="1"/>
          <w:bCs w:val="1"/>
          <w:color w:val="auto"/>
        </w:rPr>
        <w:t>CGRP monoclonal antibody* (Q2 2015)</w:t>
      </w:r>
      <w:r>
        <w:rPr>
          <w:rFonts w:ascii="Arial" w:cs="Arial" w:eastAsia="Arial" w:hAnsi="Arial"/>
          <w:sz w:val="18"/>
          <w:szCs w:val="18"/>
          <w:color w:val="auto"/>
        </w:rPr>
        <w:t>—a once-monthly subcutaneously injected calcitonin gene-related peptide (CGRP) antibody</w:t>
      </w:r>
      <w:r>
        <w:rPr>
          <w:rFonts w:ascii="Arial" w:cs="Arial" w:eastAsia="Arial" w:hAnsi="Arial"/>
          <w:sz w:val="18"/>
          <w:szCs w:val="18"/>
          <w:b w:val="1"/>
          <w:bCs w:val="1"/>
          <w:color w:val="auto"/>
        </w:rPr>
        <w:t xml:space="preserve"> </w:t>
      </w:r>
      <w:r>
        <w:rPr>
          <w:rFonts w:ascii="Arial" w:cs="Arial" w:eastAsia="Arial" w:hAnsi="Arial"/>
          <w:sz w:val="18"/>
          <w:szCs w:val="18"/>
          <w:color w:val="auto"/>
        </w:rPr>
        <w:t>for the treatment of cluster headache and migraine prevention.</w:t>
      </w:r>
    </w:p>
    <w:p>
      <w:pPr>
        <w:spacing w:after="0" w:line="33" w:lineRule="exact"/>
        <w:rPr>
          <w:sz w:val="20"/>
          <w:szCs w:val="20"/>
          <w:color w:val="auto"/>
        </w:rPr>
      </w:pPr>
    </w:p>
    <w:p>
      <w:pPr>
        <w:ind w:left="660" w:right="480"/>
        <w:spacing w:after="0" w:line="294" w:lineRule="auto"/>
        <w:rPr>
          <w:sz w:val="20"/>
          <w:szCs w:val="20"/>
          <w:color w:val="auto"/>
        </w:rPr>
      </w:pPr>
      <w:r>
        <w:rPr>
          <w:rFonts w:ascii="Arial" w:cs="Arial" w:eastAsia="Arial" w:hAnsi="Arial"/>
          <w:sz w:val="18"/>
          <w:szCs w:val="18"/>
          <w:b w:val="1"/>
          <w:bCs w:val="1"/>
          <w:color w:val="auto"/>
        </w:rPr>
        <w:t>Intranasal glucagon* (Q3 2013)</w:t>
      </w:r>
      <w:r>
        <w:rPr>
          <w:rFonts w:ascii="Arial" w:cs="Arial" w:eastAsia="Arial" w:hAnsi="Arial"/>
          <w:sz w:val="18"/>
          <w:szCs w:val="18"/>
          <w:color w:val="auto"/>
        </w:rPr>
        <w:t>—a glucagon nasal powder formulation for the treatment of severe hypoglycemia in patients with</w:t>
      </w:r>
      <w:r>
        <w:rPr>
          <w:rFonts w:ascii="Arial" w:cs="Arial" w:eastAsia="Arial" w:hAnsi="Arial"/>
          <w:sz w:val="18"/>
          <w:szCs w:val="18"/>
          <w:b w:val="1"/>
          <w:bCs w:val="1"/>
          <w:color w:val="auto"/>
        </w:rPr>
        <w:t xml:space="preserve"> </w:t>
      </w:r>
      <w:r>
        <w:rPr>
          <w:rFonts w:ascii="Arial" w:cs="Arial" w:eastAsia="Arial" w:hAnsi="Arial"/>
          <w:sz w:val="18"/>
          <w:szCs w:val="18"/>
          <w:color w:val="auto"/>
        </w:rPr>
        <w:t>diabetes treated with insulin.</w:t>
      </w:r>
    </w:p>
    <w:p>
      <w:pPr>
        <w:spacing w:after="0" w:line="3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Olaratumab* (Q3 2015)</w:t>
      </w:r>
      <w:r>
        <w:rPr>
          <w:rFonts w:ascii="Arial" w:cs="Arial" w:eastAsia="Arial" w:hAnsi="Arial"/>
          <w:sz w:val="18"/>
          <w:szCs w:val="18"/>
          <w:color w:val="auto"/>
        </w:rPr>
        <w:t>—a human lgG1 monoclonal antibody for the treatment of advanced soft tissue sarcoma.</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Solanezumab* (Q2 2009)</w:t>
      </w:r>
      <w:r>
        <w:rPr>
          <w:rFonts w:ascii="Arial" w:cs="Arial" w:eastAsia="Arial" w:hAnsi="Arial"/>
          <w:sz w:val="18"/>
          <w:szCs w:val="18"/>
          <w:color w:val="auto"/>
        </w:rPr>
        <w:t>—an anti-amyloid beta monoclonal antibody for the treatment of preclinical and mild Alzheimer’s disease.</w:t>
      </w:r>
    </w:p>
    <w:p>
      <w:pPr>
        <w:spacing w:after="0" w:line="117" w:lineRule="exact"/>
        <w:rPr>
          <w:sz w:val="20"/>
          <w:szCs w:val="20"/>
          <w:color w:val="auto"/>
        </w:rPr>
      </w:pPr>
    </w:p>
    <w:p>
      <w:pPr>
        <w:ind w:left="660" w:right="380"/>
        <w:spacing w:after="0" w:line="294" w:lineRule="auto"/>
        <w:rPr>
          <w:sz w:val="20"/>
          <w:szCs w:val="20"/>
          <w:color w:val="auto"/>
        </w:rPr>
      </w:pPr>
      <w:r>
        <w:rPr>
          <w:rFonts w:ascii="Arial" w:cs="Arial" w:eastAsia="Arial" w:hAnsi="Arial"/>
          <w:sz w:val="18"/>
          <w:szCs w:val="18"/>
          <w:b w:val="1"/>
          <w:bCs w:val="1"/>
          <w:color w:val="auto"/>
        </w:rPr>
        <w:t>Tanezumab* (Q3 2008)</w:t>
      </w:r>
      <w:r>
        <w:rPr>
          <w:rFonts w:ascii="Arial" w:cs="Arial" w:eastAsia="Arial" w:hAnsi="Arial"/>
          <w:sz w:val="18"/>
          <w:szCs w:val="18"/>
          <w:color w:val="auto"/>
        </w:rPr>
        <w:t>—an anti-nerve growth factor monoclonal antibody for the treatment of osteoarthritis pain, chronic low back</w:t>
      </w:r>
      <w:r>
        <w:rPr>
          <w:rFonts w:ascii="Arial" w:cs="Arial" w:eastAsia="Arial" w:hAnsi="Arial"/>
          <w:sz w:val="18"/>
          <w:szCs w:val="18"/>
          <w:b w:val="1"/>
          <w:bCs w:val="1"/>
          <w:color w:val="auto"/>
        </w:rPr>
        <w:t xml:space="preserve"> </w:t>
      </w:r>
      <w:r>
        <w:rPr>
          <w:rFonts w:ascii="Arial" w:cs="Arial" w:eastAsia="Arial" w:hAnsi="Arial"/>
          <w:sz w:val="18"/>
          <w:szCs w:val="18"/>
          <w:color w:val="auto"/>
        </w:rPr>
        <w:t>pain, and cancer pain (in collaboration with Pfizer).</w:t>
      </w:r>
    </w:p>
    <w:p>
      <w:pPr>
        <w:spacing w:after="0" w:line="33" w:lineRule="exact"/>
        <w:rPr>
          <w:sz w:val="20"/>
          <w:szCs w:val="20"/>
          <w:color w:val="auto"/>
        </w:rPr>
      </w:pPr>
    </w:p>
    <w:p>
      <w:pPr>
        <w:ind w:left="660" w:right="60"/>
        <w:spacing w:after="0" w:line="294" w:lineRule="auto"/>
        <w:rPr>
          <w:sz w:val="20"/>
          <w:szCs w:val="20"/>
          <w:color w:val="auto"/>
        </w:rPr>
      </w:pPr>
      <w:r>
        <w:rPr>
          <w:rFonts w:ascii="Arial" w:cs="Arial" w:eastAsia="Arial" w:hAnsi="Arial"/>
          <w:sz w:val="18"/>
          <w:szCs w:val="18"/>
          <w:b w:val="1"/>
          <w:bCs w:val="1"/>
          <w:color w:val="auto"/>
        </w:rPr>
        <w:t>Tau Imaging Agent** (Q3 2015)</w:t>
      </w:r>
      <w:r>
        <w:rPr>
          <w:rFonts w:ascii="Arial" w:cs="Arial" w:eastAsia="Arial" w:hAnsi="Arial"/>
          <w:sz w:val="18"/>
          <w:szCs w:val="18"/>
          <w:color w:val="auto"/>
        </w:rPr>
        <w:t>—a positron emission tomography (PET) tracer intended to image tau (or neurofibrillary) tangles in the</w:t>
      </w:r>
      <w:r>
        <w:rPr>
          <w:rFonts w:ascii="Arial" w:cs="Arial" w:eastAsia="Arial" w:hAnsi="Arial"/>
          <w:sz w:val="18"/>
          <w:szCs w:val="18"/>
          <w:b w:val="1"/>
          <w:bCs w:val="1"/>
          <w:color w:val="auto"/>
        </w:rPr>
        <w:t xml:space="preserve"> </w:t>
      </w:r>
      <w:r>
        <w:rPr>
          <w:rFonts w:ascii="Arial" w:cs="Arial" w:eastAsia="Arial" w:hAnsi="Arial"/>
          <w:sz w:val="18"/>
          <w:szCs w:val="18"/>
          <w:color w:val="auto"/>
        </w:rPr>
        <w:t>brain, which are an indicator of Alzheimer's disease.</w:t>
      </w:r>
    </w:p>
    <w:p>
      <w:pPr>
        <w:spacing w:after="0" w:line="35" w:lineRule="exact"/>
        <w:rPr>
          <w:sz w:val="20"/>
          <w:szCs w:val="20"/>
          <w:color w:val="auto"/>
        </w:rPr>
      </w:pPr>
    </w:p>
    <w:p>
      <w:pPr>
        <w:ind w:left="340" w:right="2820" w:hanging="8"/>
        <w:spacing w:after="0" w:line="375" w:lineRule="auto"/>
        <w:tabs>
          <w:tab w:leader="none" w:pos="664" w:val="left"/>
        </w:tabs>
        <w:numPr>
          <w:ilvl w:val="0"/>
          <w:numId w:val="40"/>
        </w:numPr>
        <w:rPr>
          <w:rFonts w:ascii="Arial" w:cs="Arial" w:eastAsia="Arial" w:hAnsi="Arial"/>
          <w:sz w:val="18"/>
          <w:szCs w:val="18"/>
          <w:color w:val="auto"/>
        </w:rPr>
      </w:pPr>
      <w:r>
        <w:rPr>
          <w:rFonts w:ascii="Arial" w:cs="Arial" w:eastAsia="Arial" w:hAnsi="Arial"/>
          <w:sz w:val="18"/>
          <w:szCs w:val="18"/>
          <w:color w:val="auto"/>
        </w:rPr>
        <w:t>Biologic molecule subject to the United States (U.S.) Biologics Price Competition and Innovation Act ** Diagnostic agent</w:t>
      </w:r>
    </w:p>
    <w:p>
      <w:pPr>
        <w:spacing w:after="0" w:line="1" w:lineRule="exact"/>
        <w:rPr>
          <w:sz w:val="20"/>
          <w:szCs w:val="20"/>
          <w:color w:val="auto"/>
        </w:rPr>
      </w:pPr>
    </w:p>
    <w:p>
      <w:pPr>
        <w:ind w:right="40"/>
        <w:spacing w:after="0" w:line="292" w:lineRule="auto"/>
        <w:rPr>
          <w:sz w:val="20"/>
          <w:szCs w:val="20"/>
          <w:color w:val="auto"/>
        </w:rPr>
      </w:pPr>
      <w:r>
        <w:rPr>
          <w:rFonts w:ascii="Arial" w:cs="Arial" w:eastAsia="Arial" w:hAnsi="Arial"/>
          <w:sz w:val="18"/>
          <w:szCs w:val="18"/>
          <w:color w:val="auto"/>
        </w:rPr>
        <w:t>The following table reflects the status of each NME and diagnostic agent within our late-stage pipeline including developments since January 1, 2015:</w:t>
      </w:r>
    </w:p>
    <w:p>
      <w:pPr>
        <w:spacing w:after="0" w:line="66" w:lineRule="exact"/>
        <w:rPr>
          <w:sz w:val="20"/>
          <w:szCs w:val="20"/>
          <w:color w:val="auto"/>
        </w:rPr>
      </w:pPr>
    </w:p>
    <w:tbl>
      <w:tblPr>
        <w:tblLayout w:type="fixed"/>
        <w:tblInd w:w="10" w:type="dxa"/>
        <w:tblCellMar>
          <w:top w:w="0" w:type="dxa"/>
          <w:left w:w="0" w:type="dxa"/>
          <w:bottom w:w="0" w:type="dxa"/>
          <w:right w:w="0" w:type="dxa"/>
        </w:tblCellMar>
      </w:tblPr>
      <w:tr>
        <w:trPr>
          <w:trHeight w:val="269"/>
        </w:trPr>
        <w:tc>
          <w:tcPr>
            <w:tcW w:w="1640" w:type="dxa"/>
            <w:vAlign w:val="bottom"/>
            <w:tcBorders>
              <w:top w:val="single" w:sz="8" w:color="auto"/>
              <w:left w:val="single" w:sz="8" w:color="auto"/>
              <w:bottom w:val="single" w:sz="8" w:color="auto"/>
              <w:right w:val="single" w:sz="8" w:color="auto"/>
            </w:tcBorders>
            <w:shd w:val="clear" w:color="auto" w:fill="D8D8D8"/>
          </w:tcPr>
          <w:p>
            <w:pPr>
              <w:ind w:left="40"/>
              <w:spacing w:after="0"/>
              <w:rPr>
                <w:sz w:val="20"/>
                <w:szCs w:val="20"/>
                <w:color w:val="auto"/>
              </w:rPr>
            </w:pPr>
            <w:r>
              <w:rPr>
                <w:rFonts w:ascii="Arial" w:cs="Arial" w:eastAsia="Arial" w:hAnsi="Arial"/>
                <w:sz w:val="18"/>
                <w:szCs w:val="18"/>
                <w:b w:val="1"/>
                <w:bCs w:val="1"/>
                <w:color w:val="auto"/>
              </w:rPr>
              <w:t>Compound</w:t>
            </w:r>
          </w:p>
        </w:tc>
        <w:tc>
          <w:tcPr>
            <w:tcW w:w="1720" w:type="dxa"/>
            <w:vAlign w:val="bottom"/>
            <w:tcBorders>
              <w:top w:val="single" w:sz="8" w:color="auto"/>
              <w:bottom w:val="single" w:sz="8" w:color="auto"/>
              <w:right w:val="single" w:sz="8" w:color="auto"/>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Indication</w:t>
            </w:r>
          </w:p>
        </w:tc>
        <w:tc>
          <w:tcPr>
            <w:tcW w:w="1240" w:type="dxa"/>
            <w:vAlign w:val="bottom"/>
            <w:tcBorders>
              <w:top w:val="single" w:sz="8" w:color="auto"/>
              <w:bottom w:val="single" w:sz="8" w:color="auto"/>
              <w:right w:val="single" w:sz="8" w:color="auto"/>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U.S.</w:t>
            </w:r>
          </w:p>
        </w:tc>
        <w:tc>
          <w:tcPr>
            <w:tcW w:w="1260" w:type="dxa"/>
            <w:vAlign w:val="bottom"/>
            <w:tcBorders>
              <w:top w:val="single" w:sz="8" w:color="auto"/>
              <w:bottom w:val="single" w:sz="8" w:color="auto"/>
              <w:right w:val="single" w:sz="8" w:color="auto"/>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Europe</w:t>
            </w:r>
          </w:p>
        </w:tc>
        <w:tc>
          <w:tcPr>
            <w:tcW w:w="1240" w:type="dxa"/>
            <w:vAlign w:val="bottom"/>
            <w:tcBorders>
              <w:top w:val="single" w:sz="8" w:color="auto"/>
              <w:bottom w:val="single" w:sz="8" w:color="auto"/>
              <w:right w:val="single" w:sz="8" w:color="auto"/>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Japan</w:t>
            </w:r>
          </w:p>
        </w:tc>
        <w:tc>
          <w:tcPr>
            <w:tcW w:w="4340" w:type="dxa"/>
            <w:vAlign w:val="bottom"/>
            <w:tcBorders>
              <w:top w:val="single" w:sz="8" w:color="auto"/>
              <w:bottom w:val="single" w:sz="8" w:color="auto"/>
              <w:right w:val="single" w:sz="8" w:color="auto"/>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Developments</w:t>
            </w:r>
          </w:p>
        </w:tc>
        <w:tc>
          <w:tcPr>
            <w:tcW w:w="0" w:type="dxa"/>
            <w:vAlign w:val="bottom"/>
          </w:tcPr>
          <w:p>
            <w:pPr>
              <w:spacing w:after="0"/>
              <w:rPr>
                <w:sz w:val="1"/>
                <w:szCs w:val="1"/>
                <w:color w:val="auto"/>
              </w:rPr>
            </w:pPr>
          </w:p>
        </w:tc>
      </w:tr>
      <w:tr>
        <w:trPr>
          <w:trHeight w:val="250"/>
        </w:trPr>
        <w:tc>
          <w:tcPr>
            <w:tcW w:w="16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rPr>
              <w:t>Cardiovascular</w:t>
            </w:r>
          </w:p>
        </w:tc>
        <w:tc>
          <w:tcPr>
            <w:tcW w:w="17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434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1"/>
        </w:trPr>
        <w:tc>
          <w:tcPr>
            <w:tcW w:w="16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Evacetrapib</w:t>
            </w:r>
          </w:p>
        </w:tc>
        <w:tc>
          <w:tcPr>
            <w:tcW w:w="1720" w:type="dxa"/>
            <w:vAlign w:val="bottom"/>
            <w:tcBorders>
              <w:right w:val="single" w:sz="8" w:color="auto"/>
            </w:tcBorders>
          </w:tcPr>
          <w:p>
            <w:pPr>
              <w:ind w:left="20"/>
              <w:spacing w:after="0" w:line="201" w:lineRule="exact"/>
              <w:rPr>
                <w:sz w:val="20"/>
                <w:szCs w:val="20"/>
                <w:color w:val="auto"/>
              </w:rPr>
            </w:pPr>
            <w:r>
              <w:rPr>
                <w:rFonts w:ascii="Arial" w:cs="Arial" w:eastAsia="Arial" w:hAnsi="Arial"/>
                <w:sz w:val="18"/>
                <w:szCs w:val="18"/>
                <w:color w:val="auto"/>
              </w:rPr>
              <w:t>High-risk vascular</w:t>
            </w:r>
          </w:p>
        </w:tc>
        <w:tc>
          <w:tcPr>
            <w:tcW w:w="1240" w:type="dxa"/>
            <w:vAlign w:val="bottom"/>
          </w:tcPr>
          <w:p>
            <w:pPr>
              <w:spacing w:after="0"/>
              <w:rPr>
                <w:sz w:val="17"/>
                <w:szCs w:val="17"/>
                <w:color w:val="auto"/>
              </w:rPr>
            </w:pPr>
          </w:p>
        </w:tc>
        <w:tc>
          <w:tcPr>
            <w:tcW w:w="1260" w:type="dxa"/>
            <w:vAlign w:val="bottom"/>
            <w:vMerge w:val="restart"/>
          </w:tcPr>
          <w:p>
            <w:pPr>
              <w:ind w:left="160"/>
              <w:spacing w:after="0"/>
              <w:rPr>
                <w:sz w:val="20"/>
                <w:szCs w:val="20"/>
                <w:color w:val="auto"/>
              </w:rPr>
            </w:pPr>
            <w:r>
              <w:rPr>
                <w:rFonts w:ascii="Arial" w:cs="Arial" w:eastAsia="Arial" w:hAnsi="Arial"/>
                <w:sz w:val="18"/>
                <w:szCs w:val="18"/>
                <w:color w:val="auto"/>
              </w:rPr>
              <w:t>Terminated</w:t>
            </w:r>
          </w:p>
        </w:tc>
        <w:tc>
          <w:tcPr>
            <w:tcW w:w="1240" w:type="dxa"/>
            <w:vAlign w:val="bottom"/>
            <w:tcBorders>
              <w:right w:val="single" w:sz="8" w:color="auto"/>
            </w:tcBorders>
          </w:tcPr>
          <w:p>
            <w:pPr>
              <w:spacing w:after="0"/>
              <w:rPr>
                <w:sz w:val="17"/>
                <w:szCs w:val="17"/>
                <w:color w:val="auto"/>
              </w:rPr>
            </w:pPr>
          </w:p>
        </w:tc>
        <w:tc>
          <w:tcPr>
            <w:tcW w:w="4340" w:type="dxa"/>
            <w:vAlign w:val="bottom"/>
            <w:tcBorders>
              <w:right w:val="single" w:sz="8" w:color="auto"/>
            </w:tcBorders>
          </w:tcPr>
          <w:p>
            <w:pPr>
              <w:ind w:left="20"/>
              <w:spacing w:after="0" w:line="201" w:lineRule="exact"/>
              <w:rPr>
                <w:sz w:val="20"/>
                <w:szCs w:val="20"/>
                <w:color w:val="auto"/>
              </w:rPr>
            </w:pPr>
            <w:r>
              <w:rPr>
                <w:rFonts w:ascii="Arial" w:cs="Arial" w:eastAsia="Arial" w:hAnsi="Arial"/>
                <w:sz w:val="18"/>
                <w:szCs w:val="18"/>
                <w:color w:val="auto"/>
              </w:rPr>
              <w:t>Announced decision to discontinue further</w:t>
            </w:r>
          </w:p>
        </w:tc>
        <w:tc>
          <w:tcPr>
            <w:tcW w:w="0" w:type="dxa"/>
            <w:vAlign w:val="bottom"/>
          </w:tcPr>
          <w:p>
            <w:pPr>
              <w:spacing w:after="0"/>
              <w:rPr>
                <w:sz w:val="1"/>
                <w:szCs w:val="1"/>
                <w:color w:val="auto"/>
              </w:rPr>
            </w:pPr>
          </w:p>
        </w:tc>
      </w:tr>
      <w:tr>
        <w:trPr>
          <w:trHeight w:val="135"/>
        </w:trPr>
        <w:tc>
          <w:tcPr>
            <w:tcW w:w="1640" w:type="dxa"/>
            <w:vAlign w:val="bottom"/>
            <w:tcBorders>
              <w:left w:val="single" w:sz="8" w:color="auto"/>
              <w:right w:val="single" w:sz="8" w:color="auto"/>
            </w:tcBorders>
            <w:vMerge w:val="continue"/>
          </w:tcPr>
          <w:p>
            <w:pPr>
              <w:spacing w:after="0"/>
              <w:rPr>
                <w:sz w:val="11"/>
                <w:szCs w:val="11"/>
                <w:color w:val="auto"/>
              </w:rPr>
            </w:pP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disease</w:t>
            </w:r>
          </w:p>
        </w:tc>
        <w:tc>
          <w:tcPr>
            <w:tcW w:w="12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1240" w:type="dxa"/>
            <w:vAlign w:val="bottom"/>
            <w:tcBorders>
              <w:right w:val="single" w:sz="8" w:color="auto"/>
            </w:tcBorders>
          </w:tcPr>
          <w:p>
            <w:pPr>
              <w:spacing w:after="0"/>
              <w:rPr>
                <w:sz w:val="11"/>
                <w:szCs w:val="11"/>
                <w:color w:val="auto"/>
              </w:rPr>
            </w:pPr>
          </w:p>
        </w:tc>
        <w:tc>
          <w:tcPr>
            <w:tcW w:w="434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development in October 2015.</w:t>
            </w:r>
          </w:p>
        </w:tc>
        <w:tc>
          <w:tcPr>
            <w:tcW w:w="0" w:type="dxa"/>
            <w:vAlign w:val="bottom"/>
          </w:tcPr>
          <w:p>
            <w:pPr>
              <w:spacing w:after="0"/>
              <w:rPr>
                <w:sz w:val="1"/>
                <w:szCs w:val="1"/>
                <w:color w:val="auto"/>
              </w:rPr>
            </w:pPr>
          </w:p>
        </w:tc>
      </w:tr>
      <w:tr>
        <w:trPr>
          <w:trHeight w:val="113"/>
        </w:trPr>
        <w:tc>
          <w:tcPr>
            <w:tcW w:w="1640" w:type="dxa"/>
            <w:vAlign w:val="bottom"/>
            <w:tcBorders>
              <w:left w:val="single" w:sz="8" w:color="auto"/>
              <w:bottom w:val="single" w:sz="8" w:color="auto"/>
              <w:right w:val="single" w:sz="8" w:color="auto"/>
            </w:tcBorders>
          </w:tcPr>
          <w:p>
            <w:pPr>
              <w:spacing w:after="0"/>
              <w:rPr>
                <w:sz w:val="9"/>
                <w:szCs w:val="9"/>
                <w:color w:val="auto"/>
              </w:rPr>
            </w:pPr>
          </w:p>
        </w:tc>
        <w:tc>
          <w:tcPr>
            <w:tcW w:w="1720" w:type="dxa"/>
            <w:vAlign w:val="bottom"/>
            <w:tcBorders>
              <w:bottom w:val="single" w:sz="8" w:color="auto"/>
              <w:right w:val="single" w:sz="8" w:color="auto"/>
            </w:tcBorders>
            <w:vMerge w:val="continue"/>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1240" w:type="dxa"/>
            <w:vAlign w:val="bottom"/>
            <w:tcBorders>
              <w:bottom w:val="single" w:sz="8" w:color="auto"/>
              <w:right w:val="single" w:sz="8" w:color="auto"/>
            </w:tcBorders>
          </w:tcPr>
          <w:p>
            <w:pPr>
              <w:spacing w:after="0"/>
              <w:rPr>
                <w:sz w:val="9"/>
                <w:szCs w:val="9"/>
                <w:color w:val="auto"/>
              </w:rPr>
            </w:pPr>
          </w:p>
        </w:tc>
        <w:tc>
          <w:tcPr>
            <w:tcW w:w="434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57"/>
        </w:trPr>
        <w:tc>
          <w:tcPr>
            <w:tcW w:w="1640" w:type="dxa"/>
            <w:vAlign w:val="bottom"/>
          </w:tcPr>
          <w:p>
            <w:pPr>
              <w:jc w:val="right"/>
              <w:ind w:right="1370"/>
              <w:spacing w:after="0"/>
              <w:rPr>
                <w:sz w:val="20"/>
                <w:szCs w:val="20"/>
                <w:color w:val="auto"/>
              </w:rPr>
            </w:pPr>
            <w:r>
              <w:rPr>
                <w:rFonts w:ascii="Times New Roman" w:cs="Times New Roman" w:eastAsia="Times New Roman" w:hAnsi="Times New Roman"/>
                <w:sz w:val="18"/>
                <w:szCs w:val="18"/>
                <w:b w:val="1"/>
                <w:bCs w:val="1"/>
                <w:i w:val="1"/>
                <w:iCs w:val="1"/>
                <w:color w:val="auto"/>
                <w:w w:val="88"/>
              </w:rPr>
              <w:t>32</w:t>
            </w:r>
          </w:p>
        </w:tc>
        <w:tc>
          <w:tcPr>
            <w:tcW w:w="17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684" w:right="219" w:bottom="1440" w:gutter="0" w:footer="0" w:header="0"/>
        </w:sectPr>
      </w:pPr>
    </w:p>
    <w:bookmarkStart w:id="32" w:name="page33"/>
    <w:bookmarkEnd w:id="3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69"/>
        </w:trPr>
        <w:tc>
          <w:tcPr>
            <w:tcW w:w="1640" w:type="dxa"/>
            <w:vAlign w:val="bottom"/>
            <w:tcBorders>
              <w:top w:val="single" w:sz="8" w:color="auto"/>
              <w:left w:val="single" w:sz="8" w:color="auto"/>
              <w:bottom w:val="single" w:sz="8" w:color="auto"/>
              <w:right w:val="single" w:sz="8" w:color="auto"/>
            </w:tcBorders>
            <w:shd w:val="clear" w:color="auto" w:fill="D8D8D8"/>
          </w:tcPr>
          <w:p>
            <w:pPr>
              <w:ind w:left="40"/>
              <w:spacing w:after="0"/>
              <w:rPr>
                <w:sz w:val="20"/>
                <w:szCs w:val="20"/>
                <w:color w:val="auto"/>
              </w:rPr>
            </w:pPr>
            <w:r>
              <w:rPr>
                <w:rFonts w:ascii="Arial" w:cs="Arial" w:eastAsia="Arial" w:hAnsi="Arial"/>
                <w:sz w:val="18"/>
                <w:szCs w:val="18"/>
                <w:b w:val="1"/>
                <w:bCs w:val="1"/>
                <w:color w:val="auto"/>
              </w:rPr>
              <w:t>Compound</w:t>
            </w:r>
          </w:p>
        </w:tc>
        <w:tc>
          <w:tcPr>
            <w:tcW w:w="1720" w:type="dxa"/>
            <w:vAlign w:val="bottom"/>
            <w:tcBorders>
              <w:top w:val="single" w:sz="8" w:color="auto"/>
              <w:bottom w:val="single" w:sz="8" w:color="auto"/>
              <w:right w:val="single" w:sz="8" w:color="auto"/>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Indication</w:t>
            </w:r>
          </w:p>
        </w:tc>
        <w:tc>
          <w:tcPr>
            <w:tcW w:w="1240" w:type="dxa"/>
            <w:vAlign w:val="bottom"/>
            <w:tcBorders>
              <w:top w:val="single" w:sz="8" w:color="auto"/>
              <w:bottom w:val="single" w:sz="8" w:color="auto"/>
              <w:right w:val="single" w:sz="8" w:color="auto"/>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U.S.</w:t>
            </w:r>
          </w:p>
        </w:tc>
        <w:tc>
          <w:tcPr>
            <w:tcW w:w="1260" w:type="dxa"/>
            <w:vAlign w:val="bottom"/>
            <w:tcBorders>
              <w:top w:val="single" w:sz="8" w:color="auto"/>
              <w:bottom w:val="single" w:sz="8" w:color="auto"/>
              <w:right w:val="single" w:sz="8" w:color="auto"/>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Europe</w:t>
            </w:r>
          </w:p>
        </w:tc>
        <w:tc>
          <w:tcPr>
            <w:tcW w:w="1260" w:type="dxa"/>
            <w:vAlign w:val="bottom"/>
            <w:tcBorders>
              <w:top w:val="single" w:sz="8" w:color="auto"/>
              <w:bottom w:val="single" w:sz="8" w:color="auto"/>
              <w:right w:val="single" w:sz="8" w:color="auto"/>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Japan</w:t>
            </w:r>
          </w:p>
        </w:tc>
        <w:tc>
          <w:tcPr>
            <w:tcW w:w="4320" w:type="dxa"/>
            <w:vAlign w:val="bottom"/>
            <w:tcBorders>
              <w:top w:val="single" w:sz="8" w:color="auto"/>
              <w:bottom w:val="single" w:sz="8" w:color="auto"/>
              <w:right w:val="single" w:sz="8" w:color="auto"/>
            </w:tcBorders>
            <w:shd w:val="clear" w:color="auto" w:fill="D8D8D8"/>
          </w:tcPr>
          <w:p>
            <w:pPr>
              <w:spacing w:after="0"/>
              <w:rPr>
                <w:sz w:val="20"/>
                <w:szCs w:val="20"/>
                <w:color w:val="auto"/>
              </w:rPr>
            </w:pPr>
            <w:r>
              <w:rPr>
                <w:rFonts w:ascii="Arial" w:cs="Arial" w:eastAsia="Arial" w:hAnsi="Arial"/>
                <w:sz w:val="18"/>
                <w:szCs w:val="18"/>
                <w:b w:val="1"/>
                <w:bCs w:val="1"/>
                <w:color w:val="auto"/>
              </w:rPr>
              <w:t>Developments</w:t>
            </w:r>
          </w:p>
        </w:tc>
        <w:tc>
          <w:tcPr>
            <w:tcW w:w="0" w:type="dxa"/>
            <w:vAlign w:val="bottom"/>
          </w:tcPr>
          <w:p>
            <w:pPr>
              <w:spacing w:after="0"/>
              <w:rPr>
                <w:sz w:val="1"/>
                <w:szCs w:val="1"/>
                <w:color w:val="auto"/>
              </w:rPr>
            </w:pPr>
          </w:p>
        </w:tc>
      </w:tr>
      <w:tr>
        <w:trPr>
          <w:trHeight w:val="250"/>
        </w:trPr>
        <w:tc>
          <w:tcPr>
            <w:tcW w:w="16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rPr>
              <w:t>Endocrinology</w:t>
            </w:r>
          </w:p>
        </w:tc>
        <w:tc>
          <w:tcPr>
            <w:tcW w:w="17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43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16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Basal insulin</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Type 1 diabetes</w:t>
            </w:r>
          </w:p>
        </w:tc>
        <w:tc>
          <w:tcPr>
            <w:tcW w:w="1240" w:type="dxa"/>
            <w:vAlign w:val="bottom"/>
          </w:tcPr>
          <w:p>
            <w:pPr>
              <w:spacing w:after="0"/>
              <w:rPr>
                <w:sz w:val="19"/>
                <w:szCs w:val="19"/>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8"/>
              </w:rPr>
              <w:t>Terminated</w:t>
            </w:r>
          </w:p>
        </w:tc>
        <w:tc>
          <w:tcPr>
            <w:tcW w:w="1260" w:type="dxa"/>
            <w:vAlign w:val="bottom"/>
            <w:tcBorders>
              <w:right w:val="single" w:sz="8" w:color="auto"/>
            </w:tcBorders>
          </w:tcPr>
          <w:p>
            <w:pPr>
              <w:spacing w:after="0"/>
              <w:rPr>
                <w:sz w:val="19"/>
                <w:szCs w:val="19"/>
                <w:color w:val="auto"/>
              </w:rPr>
            </w:pPr>
          </w:p>
        </w:tc>
        <w:tc>
          <w:tcPr>
            <w:tcW w:w="43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Announced decision to discontinue further</w:t>
            </w:r>
          </w:p>
        </w:tc>
        <w:tc>
          <w:tcPr>
            <w:tcW w:w="0" w:type="dxa"/>
            <w:vAlign w:val="bottom"/>
          </w:tcPr>
          <w:p>
            <w:pPr>
              <w:spacing w:after="0"/>
              <w:rPr>
                <w:sz w:val="1"/>
                <w:szCs w:val="1"/>
                <w:color w:val="auto"/>
              </w:rPr>
            </w:pPr>
          </w:p>
        </w:tc>
      </w:tr>
      <w:tr>
        <w:trPr>
          <w:trHeight w:val="23"/>
        </w:trPr>
        <w:tc>
          <w:tcPr>
            <w:tcW w:w="16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peglispro</w:t>
            </w:r>
          </w:p>
        </w:tc>
        <w:tc>
          <w:tcPr>
            <w:tcW w:w="1720" w:type="dxa"/>
            <w:vAlign w:val="bottom"/>
            <w:tcBorders>
              <w:bottom w:val="single" w:sz="8" w:color="auto"/>
              <w:right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c>
          <w:tcPr>
            <w:tcW w:w="432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development in December 2015.</w:t>
            </w:r>
          </w:p>
        </w:tc>
        <w:tc>
          <w:tcPr>
            <w:tcW w:w="0" w:type="dxa"/>
            <w:vAlign w:val="bottom"/>
          </w:tcPr>
          <w:p>
            <w:pPr>
              <w:spacing w:after="0"/>
              <w:rPr>
                <w:sz w:val="1"/>
                <w:szCs w:val="1"/>
                <w:color w:val="auto"/>
              </w:rPr>
            </w:pPr>
          </w:p>
        </w:tc>
      </w:tr>
      <w:tr>
        <w:trPr>
          <w:trHeight w:val="245"/>
        </w:trPr>
        <w:tc>
          <w:tcPr>
            <w:tcW w:w="1640" w:type="dxa"/>
            <w:vAlign w:val="bottom"/>
            <w:tcBorders>
              <w:left w:val="single" w:sz="8" w:color="auto"/>
              <w:bottom w:val="single" w:sz="8" w:color="auto"/>
              <w:right w:val="single" w:sz="8" w:color="auto"/>
            </w:tcBorders>
            <w:vMerge w:val="continue"/>
          </w:tcPr>
          <w:p>
            <w:pPr>
              <w:spacing w:after="0"/>
              <w:rPr>
                <w:sz w:val="21"/>
                <w:szCs w:val="21"/>
                <w:color w:val="auto"/>
              </w:rPr>
            </w:pPr>
          </w:p>
        </w:tc>
        <w:tc>
          <w:tcPr>
            <w:tcW w:w="1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Type 2 diabetes</w:t>
            </w:r>
          </w:p>
        </w:tc>
        <w:tc>
          <w:tcPr>
            <w:tcW w:w="12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Terminated</w:t>
            </w:r>
          </w:p>
        </w:tc>
        <w:tc>
          <w:tcPr>
            <w:tcW w:w="1260" w:type="dxa"/>
            <w:vAlign w:val="bottom"/>
            <w:tcBorders>
              <w:bottom w:val="single" w:sz="8" w:color="auto"/>
              <w:right w:val="single" w:sz="8" w:color="auto"/>
            </w:tcBorders>
          </w:tcPr>
          <w:p>
            <w:pPr>
              <w:spacing w:after="0"/>
              <w:rPr>
                <w:sz w:val="21"/>
                <w:szCs w:val="21"/>
                <w:color w:val="auto"/>
              </w:rPr>
            </w:pPr>
          </w:p>
        </w:tc>
        <w:tc>
          <w:tcPr>
            <w:tcW w:w="4320" w:type="dxa"/>
            <w:vAlign w:val="bottom"/>
            <w:tcBorders>
              <w:bottom w:val="single" w:sz="8" w:color="auto"/>
              <w:right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1640" w:type="dxa"/>
            <w:vAlign w:val="bottom"/>
            <w:tcBorders>
              <w:left w:val="single" w:sz="8" w:color="auto"/>
              <w:right w:val="single" w:sz="8" w:color="auto"/>
            </w:tcBorders>
          </w:tcPr>
          <w:p>
            <w:pPr>
              <w:spacing w:after="0"/>
              <w:rPr>
                <w:sz w:val="17"/>
                <w:szCs w:val="17"/>
                <w:color w:val="auto"/>
              </w:rPr>
            </w:pPr>
          </w:p>
        </w:tc>
        <w:tc>
          <w:tcPr>
            <w:tcW w:w="1720" w:type="dxa"/>
            <w:vAlign w:val="bottom"/>
            <w:tcBorders>
              <w:right w:val="single" w:sz="8" w:color="auto"/>
            </w:tcBorders>
          </w:tcPr>
          <w:p>
            <w:pPr>
              <w:spacing w:after="0"/>
              <w:rPr>
                <w:sz w:val="17"/>
                <w:szCs w:val="17"/>
                <w:color w:val="auto"/>
              </w:rPr>
            </w:pPr>
          </w:p>
        </w:tc>
        <w:tc>
          <w:tcPr>
            <w:tcW w:w="1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60" w:type="dxa"/>
            <w:vAlign w:val="bottom"/>
            <w:tcBorders>
              <w:right w:val="single" w:sz="8" w:color="auto"/>
            </w:tcBorders>
          </w:tcPr>
          <w:p>
            <w:pPr>
              <w:spacing w:after="0"/>
              <w:rPr>
                <w:sz w:val="17"/>
                <w:szCs w:val="17"/>
                <w:color w:val="auto"/>
              </w:rPr>
            </w:pPr>
          </w:p>
        </w:tc>
        <w:tc>
          <w:tcPr>
            <w:tcW w:w="4320" w:type="dxa"/>
            <w:vAlign w:val="bottom"/>
            <w:tcBorders>
              <w:right w:val="single" w:sz="8" w:color="auto"/>
            </w:tcBorders>
          </w:tcPr>
          <w:p>
            <w:pPr>
              <w:spacing w:after="0" w:line="205" w:lineRule="exact"/>
              <w:rPr>
                <w:sz w:val="20"/>
                <w:szCs w:val="20"/>
                <w:color w:val="auto"/>
              </w:rPr>
            </w:pPr>
            <w:r>
              <w:rPr>
                <w:rFonts w:ascii="Arial" w:cs="Arial" w:eastAsia="Arial" w:hAnsi="Arial"/>
                <w:sz w:val="18"/>
                <w:szCs w:val="18"/>
                <w:color w:val="auto"/>
              </w:rPr>
              <w:t>Acquired worldwide rights to intranasal glucagon in</w:t>
            </w:r>
          </w:p>
        </w:tc>
        <w:tc>
          <w:tcPr>
            <w:tcW w:w="0" w:type="dxa"/>
            <w:vAlign w:val="bottom"/>
          </w:tcPr>
          <w:p>
            <w:pPr>
              <w:spacing w:after="0"/>
              <w:rPr>
                <w:sz w:val="1"/>
                <w:szCs w:val="1"/>
                <w:color w:val="auto"/>
              </w:rPr>
            </w:pPr>
          </w:p>
        </w:tc>
      </w:tr>
      <w:tr>
        <w:trPr>
          <w:trHeight w:val="203"/>
        </w:trPr>
        <w:tc>
          <w:tcPr>
            <w:tcW w:w="1640" w:type="dxa"/>
            <w:vAlign w:val="bottom"/>
            <w:tcBorders>
              <w:left w:val="single" w:sz="8" w:color="auto"/>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Intranasal</w:t>
            </w:r>
          </w:p>
        </w:tc>
        <w:tc>
          <w:tcPr>
            <w:tcW w:w="172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Severe</w:t>
            </w:r>
          </w:p>
        </w:tc>
        <w:tc>
          <w:tcPr>
            <w:tcW w:w="1240" w:type="dxa"/>
            <w:vAlign w:val="bottom"/>
          </w:tcPr>
          <w:p>
            <w:pPr>
              <w:spacing w:after="0"/>
              <w:rPr>
                <w:sz w:val="17"/>
                <w:szCs w:val="17"/>
                <w:color w:val="auto"/>
              </w:rPr>
            </w:pPr>
          </w:p>
        </w:tc>
        <w:tc>
          <w:tcPr>
            <w:tcW w:w="1260" w:type="dxa"/>
            <w:vAlign w:val="bottom"/>
            <w:vMerge w:val="restart"/>
          </w:tcPr>
          <w:p>
            <w:pPr>
              <w:jc w:val="center"/>
              <w:spacing w:after="0"/>
              <w:rPr>
                <w:sz w:val="20"/>
                <w:szCs w:val="20"/>
                <w:color w:val="auto"/>
              </w:rPr>
            </w:pPr>
            <w:r>
              <w:rPr>
                <w:rFonts w:ascii="Arial" w:cs="Arial" w:eastAsia="Arial" w:hAnsi="Arial"/>
                <w:sz w:val="18"/>
                <w:szCs w:val="18"/>
                <w:color w:val="auto"/>
                <w:w w:val="98"/>
              </w:rPr>
              <w:t>Phase III</w:t>
            </w:r>
          </w:p>
        </w:tc>
        <w:tc>
          <w:tcPr>
            <w:tcW w:w="1260" w:type="dxa"/>
            <w:vAlign w:val="bottom"/>
            <w:tcBorders>
              <w:right w:val="single" w:sz="8" w:color="auto"/>
            </w:tcBorders>
          </w:tcPr>
          <w:p>
            <w:pPr>
              <w:spacing w:after="0"/>
              <w:rPr>
                <w:sz w:val="17"/>
                <w:szCs w:val="17"/>
                <w:color w:val="auto"/>
              </w:rPr>
            </w:pPr>
          </w:p>
        </w:tc>
        <w:tc>
          <w:tcPr>
            <w:tcW w:w="432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October 2015. See Note 3 to the consolidated</w:t>
            </w:r>
          </w:p>
        </w:tc>
        <w:tc>
          <w:tcPr>
            <w:tcW w:w="0" w:type="dxa"/>
            <w:vAlign w:val="bottom"/>
          </w:tcPr>
          <w:p>
            <w:pPr>
              <w:spacing w:after="0"/>
              <w:rPr>
                <w:sz w:val="1"/>
                <w:szCs w:val="1"/>
                <w:color w:val="auto"/>
              </w:rPr>
            </w:pPr>
          </w:p>
        </w:tc>
      </w:tr>
      <w:tr>
        <w:trPr>
          <w:trHeight w:val="135"/>
        </w:trPr>
        <w:tc>
          <w:tcPr>
            <w:tcW w:w="1640" w:type="dxa"/>
            <w:vAlign w:val="bottom"/>
            <w:tcBorders>
              <w:left w:val="single" w:sz="8" w:color="auto"/>
              <w:right w:val="single" w:sz="8" w:color="auto"/>
            </w:tcBorders>
            <w:vMerge w:val="restart"/>
          </w:tcPr>
          <w:p>
            <w:pPr>
              <w:ind w:left="40"/>
              <w:spacing w:after="0" w:line="202" w:lineRule="exact"/>
              <w:rPr>
                <w:sz w:val="20"/>
                <w:szCs w:val="20"/>
                <w:color w:val="auto"/>
              </w:rPr>
            </w:pPr>
            <w:r>
              <w:rPr>
                <w:rFonts w:ascii="Arial" w:cs="Arial" w:eastAsia="Arial" w:hAnsi="Arial"/>
                <w:sz w:val="18"/>
                <w:szCs w:val="18"/>
                <w:color w:val="auto"/>
              </w:rPr>
              <w:t>glucagon</w:t>
            </w:r>
          </w:p>
        </w:tc>
        <w:tc>
          <w:tcPr>
            <w:tcW w:w="1720" w:type="dxa"/>
            <w:vAlign w:val="bottom"/>
            <w:tcBorders>
              <w:right w:val="single" w:sz="8" w:color="auto"/>
            </w:tcBorders>
            <w:vMerge w:val="restart"/>
          </w:tcPr>
          <w:p>
            <w:pPr>
              <w:ind w:left="20"/>
              <w:spacing w:after="0" w:line="202" w:lineRule="exact"/>
              <w:rPr>
                <w:sz w:val="20"/>
                <w:szCs w:val="20"/>
                <w:color w:val="auto"/>
              </w:rPr>
            </w:pPr>
            <w:r>
              <w:rPr>
                <w:rFonts w:ascii="Arial" w:cs="Arial" w:eastAsia="Arial" w:hAnsi="Arial"/>
                <w:sz w:val="18"/>
                <w:szCs w:val="18"/>
                <w:color w:val="auto"/>
              </w:rPr>
              <w:t>hypoglycemia</w:t>
            </w:r>
          </w:p>
        </w:tc>
        <w:tc>
          <w:tcPr>
            <w:tcW w:w="12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1260" w:type="dxa"/>
            <w:vAlign w:val="bottom"/>
            <w:tcBorders>
              <w:right w:val="single" w:sz="8" w:color="auto"/>
            </w:tcBorders>
          </w:tcPr>
          <w:p>
            <w:pPr>
              <w:spacing w:after="0"/>
              <w:rPr>
                <w:sz w:val="11"/>
                <w:szCs w:val="11"/>
                <w:color w:val="auto"/>
              </w:rPr>
            </w:pPr>
          </w:p>
        </w:tc>
        <w:tc>
          <w:tcPr>
            <w:tcW w:w="4320" w:type="dxa"/>
            <w:vAlign w:val="bottom"/>
            <w:tcBorders>
              <w:right w:val="single" w:sz="8" w:color="auto"/>
            </w:tcBorders>
            <w:vMerge w:val="restart"/>
          </w:tcPr>
          <w:p>
            <w:pPr>
              <w:spacing w:after="0" w:line="202" w:lineRule="exact"/>
              <w:rPr>
                <w:sz w:val="20"/>
                <w:szCs w:val="20"/>
                <w:color w:val="auto"/>
              </w:rPr>
            </w:pPr>
            <w:r>
              <w:rPr>
                <w:rFonts w:ascii="Arial" w:cs="Arial" w:eastAsia="Arial" w:hAnsi="Arial"/>
                <w:sz w:val="18"/>
                <w:szCs w:val="18"/>
                <w:color w:val="auto"/>
              </w:rPr>
              <w:t>financial statements for information on the</w:t>
            </w:r>
          </w:p>
        </w:tc>
        <w:tc>
          <w:tcPr>
            <w:tcW w:w="0" w:type="dxa"/>
            <w:vAlign w:val="bottom"/>
          </w:tcPr>
          <w:p>
            <w:pPr>
              <w:spacing w:after="0"/>
              <w:rPr>
                <w:sz w:val="1"/>
                <w:szCs w:val="1"/>
                <w:color w:val="auto"/>
              </w:rPr>
            </w:pPr>
          </w:p>
        </w:tc>
      </w:tr>
      <w:tr>
        <w:trPr>
          <w:trHeight w:val="68"/>
        </w:trPr>
        <w:tc>
          <w:tcPr>
            <w:tcW w:w="1640" w:type="dxa"/>
            <w:vAlign w:val="bottom"/>
            <w:tcBorders>
              <w:left w:val="single" w:sz="8" w:color="auto"/>
              <w:right w:val="single" w:sz="8" w:color="auto"/>
            </w:tcBorders>
            <w:vMerge w:val="continue"/>
          </w:tcPr>
          <w:p>
            <w:pPr>
              <w:spacing w:after="0"/>
              <w:rPr>
                <w:sz w:val="5"/>
                <w:szCs w:val="5"/>
                <w:color w:val="auto"/>
              </w:rPr>
            </w:pPr>
          </w:p>
        </w:tc>
        <w:tc>
          <w:tcPr>
            <w:tcW w:w="1720" w:type="dxa"/>
            <w:vAlign w:val="bottom"/>
            <w:tcBorders>
              <w:right w:val="single" w:sz="8" w:color="auto"/>
            </w:tcBorders>
            <w:vMerge w:val="continue"/>
          </w:tcPr>
          <w:p>
            <w:pPr>
              <w:spacing w:after="0"/>
              <w:rPr>
                <w:sz w:val="5"/>
                <w:szCs w:val="5"/>
                <w:color w:val="auto"/>
              </w:rPr>
            </w:pPr>
          </w:p>
        </w:tc>
        <w:tc>
          <w:tcPr>
            <w:tcW w:w="12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60" w:type="dxa"/>
            <w:vAlign w:val="bottom"/>
            <w:tcBorders>
              <w:right w:val="single" w:sz="8" w:color="auto"/>
            </w:tcBorders>
          </w:tcPr>
          <w:p>
            <w:pPr>
              <w:spacing w:after="0"/>
              <w:rPr>
                <w:sz w:val="5"/>
                <w:szCs w:val="5"/>
                <w:color w:val="auto"/>
              </w:rPr>
            </w:pPr>
          </w:p>
        </w:tc>
        <w:tc>
          <w:tcPr>
            <w:tcW w:w="432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8"/>
        </w:trPr>
        <w:tc>
          <w:tcPr>
            <w:tcW w:w="1640" w:type="dxa"/>
            <w:vAlign w:val="bottom"/>
            <w:tcBorders>
              <w:left w:val="single" w:sz="8" w:color="auto"/>
              <w:bottom w:val="single" w:sz="8" w:color="auto"/>
              <w:right w:val="single" w:sz="8" w:color="auto"/>
            </w:tcBorders>
          </w:tcPr>
          <w:p>
            <w:pPr>
              <w:spacing w:after="0"/>
              <w:rPr>
                <w:sz w:val="21"/>
                <w:szCs w:val="21"/>
                <w:color w:val="auto"/>
              </w:rPr>
            </w:pPr>
          </w:p>
        </w:tc>
        <w:tc>
          <w:tcPr>
            <w:tcW w:w="1720" w:type="dxa"/>
            <w:vAlign w:val="bottom"/>
            <w:tcBorders>
              <w:bottom w:val="single" w:sz="8" w:color="auto"/>
              <w:right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1260" w:type="dxa"/>
            <w:vAlign w:val="bottom"/>
            <w:tcBorders>
              <w:bottom w:val="single" w:sz="8" w:color="auto"/>
              <w:right w:val="single" w:sz="8" w:color="auto"/>
            </w:tcBorders>
          </w:tcPr>
          <w:p>
            <w:pPr>
              <w:spacing w:after="0"/>
              <w:rPr>
                <w:sz w:val="21"/>
                <w:szCs w:val="21"/>
                <w:color w:val="auto"/>
              </w:rPr>
            </w:pPr>
          </w:p>
        </w:tc>
        <w:tc>
          <w:tcPr>
            <w:tcW w:w="4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acquisition.</w:t>
            </w:r>
          </w:p>
        </w:tc>
        <w:tc>
          <w:tcPr>
            <w:tcW w:w="0" w:type="dxa"/>
            <w:vAlign w:val="bottom"/>
          </w:tcPr>
          <w:p>
            <w:pPr>
              <w:spacing w:after="0"/>
              <w:rPr>
                <w:sz w:val="1"/>
                <w:szCs w:val="1"/>
                <w:color w:val="auto"/>
              </w:rPr>
            </w:pPr>
          </w:p>
        </w:tc>
      </w:tr>
      <w:tr>
        <w:trPr>
          <w:trHeight w:val="250"/>
        </w:trPr>
        <w:tc>
          <w:tcPr>
            <w:tcW w:w="1640" w:type="dxa"/>
            <w:vAlign w:val="bottom"/>
            <w:tcBorders>
              <w:left w:val="single" w:sz="8" w:color="auto"/>
              <w:right w:val="single" w:sz="8" w:color="auto"/>
            </w:tcBorders>
          </w:tcPr>
          <w:p>
            <w:pPr>
              <w:spacing w:after="0"/>
              <w:rPr>
                <w:sz w:val="21"/>
                <w:szCs w:val="21"/>
                <w:color w:val="auto"/>
              </w:rPr>
            </w:pPr>
          </w:p>
        </w:tc>
        <w:tc>
          <w:tcPr>
            <w:tcW w:w="1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Type 1 diabetes</w:t>
            </w:r>
          </w:p>
        </w:tc>
        <w:tc>
          <w:tcPr>
            <w:tcW w:w="12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Phase III</w:t>
            </w:r>
          </w:p>
        </w:tc>
        <w:tc>
          <w:tcPr>
            <w:tcW w:w="1260" w:type="dxa"/>
            <w:vAlign w:val="bottom"/>
            <w:tcBorders>
              <w:bottom w:val="single" w:sz="8" w:color="auto"/>
              <w:right w:val="single" w:sz="8" w:color="auto"/>
            </w:tcBorders>
          </w:tcPr>
          <w:p>
            <w:pPr>
              <w:spacing w:after="0"/>
              <w:rPr>
                <w:sz w:val="21"/>
                <w:szCs w:val="21"/>
                <w:color w:val="auto"/>
              </w:rPr>
            </w:pPr>
          </w:p>
        </w:tc>
        <w:tc>
          <w:tcPr>
            <w:tcW w:w="4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Initiated Phase III study in July 2015.</w:t>
            </w:r>
          </w:p>
        </w:tc>
        <w:tc>
          <w:tcPr>
            <w:tcW w:w="0" w:type="dxa"/>
            <w:vAlign w:val="bottom"/>
          </w:tcPr>
          <w:p>
            <w:pPr>
              <w:spacing w:after="0"/>
              <w:rPr>
                <w:sz w:val="1"/>
                <w:szCs w:val="1"/>
                <w:color w:val="auto"/>
              </w:rPr>
            </w:pPr>
          </w:p>
        </w:tc>
      </w:tr>
      <w:tr>
        <w:trPr>
          <w:trHeight w:val="205"/>
        </w:trPr>
        <w:tc>
          <w:tcPr>
            <w:tcW w:w="1640" w:type="dxa"/>
            <w:vAlign w:val="bottom"/>
            <w:tcBorders>
              <w:left w:val="single" w:sz="8" w:color="auto"/>
              <w:right w:val="single" w:sz="8" w:color="auto"/>
            </w:tcBorders>
          </w:tcPr>
          <w:p>
            <w:pPr>
              <w:spacing w:after="0"/>
              <w:rPr>
                <w:sz w:val="17"/>
                <w:szCs w:val="17"/>
                <w:color w:val="auto"/>
              </w:rPr>
            </w:pPr>
          </w:p>
        </w:tc>
        <w:tc>
          <w:tcPr>
            <w:tcW w:w="1720" w:type="dxa"/>
            <w:vAlign w:val="bottom"/>
            <w:tcBorders>
              <w:right w:val="single" w:sz="8" w:color="auto"/>
            </w:tcBorders>
          </w:tcPr>
          <w:p>
            <w:pPr>
              <w:spacing w:after="0"/>
              <w:rPr>
                <w:sz w:val="17"/>
                <w:szCs w:val="17"/>
                <w:color w:val="auto"/>
              </w:rPr>
            </w:pPr>
          </w:p>
        </w:tc>
        <w:tc>
          <w:tcPr>
            <w:tcW w:w="1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60" w:type="dxa"/>
            <w:vAlign w:val="bottom"/>
            <w:tcBorders>
              <w:right w:val="single" w:sz="8" w:color="auto"/>
            </w:tcBorders>
          </w:tcPr>
          <w:p>
            <w:pPr>
              <w:spacing w:after="0"/>
              <w:rPr>
                <w:sz w:val="17"/>
                <w:szCs w:val="17"/>
                <w:color w:val="auto"/>
              </w:rPr>
            </w:pPr>
          </w:p>
        </w:tc>
        <w:tc>
          <w:tcPr>
            <w:tcW w:w="4320" w:type="dxa"/>
            <w:vAlign w:val="bottom"/>
            <w:tcBorders>
              <w:right w:val="single" w:sz="8" w:color="auto"/>
            </w:tcBorders>
          </w:tcPr>
          <w:p>
            <w:pPr>
              <w:spacing w:after="0" w:line="205" w:lineRule="exact"/>
              <w:rPr>
                <w:sz w:val="20"/>
                <w:szCs w:val="20"/>
                <w:color w:val="auto"/>
              </w:rPr>
            </w:pPr>
            <w:r>
              <w:rPr>
                <w:rFonts w:ascii="Arial" w:cs="Arial" w:eastAsia="Arial" w:hAnsi="Arial"/>
                <w:sz w:val="18"/>
                <w:szCs w:val="18"/>
                <w:color w:val="auto"/>
              </w:rPr>
              <w:t>Launched in first quarter of 2015 in Japan. In first</w:t>
            </w:r>
          </w:p>
        </w:tc>
        <w:tc>
          <w:tcPr>
            <w:tcW w:w="0" w:type="dxa"/>
            <w:vAlign w:val="bottom"/>
          </w:tcPr>
          <w:p>
            <w:pPr>
              <w:spacing w:after="0"/>
              <w:rPr>
                <w:sz w:val="1"/>
                <w:szCs w:val="1"/>
                <w:color w:val="auto"/>
              </w:rPr>
            </w:pPr>
          </w:p>
        </w:tc>
      </w:tr>
      <w:tr>
        <w:trPr>
          <w:trHeight w:val="203"/>
        </w:trPr>
        <w:tc>
          <w:tcPr>
            <w:tcW w:w="1640" w:type="dxa"/>
            <w:vAlign w:val="bottom"/>
            <w:tcBorders>
              <w:left w:val="single" w:sz="8" w:color="auto"/>
              <w:right w:val="single" w:sz="8" w:color="auto"/>
            </w:tcBorders>
          </w:tcPr>
          <w:p>
            <w:pPr>
              <w:spacing w:after="0"/>
              <w:rPr>
                <w:sz w:val="17"/>
                <w:szCs w:val="17"/>
                <w:color w:val="auto"/>
              </w:rPr>
            </w:pPr>
          </w:p>
        </w:tc>
        <w:tc>
          <w:tcPr>
            <w:tcW w:w="1720" w:type="dxa"/>
            <w:vAlign w:val="bottom"/>
            <w:tcBorders>
              <w:right w:val="single" w:sz="8" w:color="auto"/>
            </w:tcBorders>
          </w:tcPr>
          <w:p>
            <w:pPr>
              <w:spacing w:after="0"/>
              <w:rPr>
                <w:sz w:val="17"/>
                <w:szCs w:val="17"/>
                <w:color w:val="auto"/>
              </w:rPr>
            </w:pPr>
          </w:p>
        </w:tc>
        <w:tc>
          <w:tcPr>
            <w:tcW w:w="1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60" w:type="dxa"/>
            <w:vAlign w:val="bottom"/>
            <w:tcBorders>
              <w:right w:val="single" w:sz="8" w:color="auto"/>
            </w:tcBorders>
          </w:tcPr>
          <w:p>
            <w:pPr>
              <w:spacing w:after="0"/>
              <w:rPr>
                <w:sz w:val="17"/>
                <w:szCs w:val="17"/>
                <w:color w:val="auto"/>
              </w:rPr>
            </w:pPr>
          </w:p>
        </w:tc>
        <w:tc>
          <w:tcPr>
            <w:tcW w:w="432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quarter of 2016, the U.S. Food and Drug</w:t>
            </w:r>
          </w:p>
        </w:tc>
        <w:tc>
          <w:tcPr>
            <w:tcW w:w="0" w:type="dxa"/>
            <w:vAlign w:val="bottom"/>
          </w:tcPr>
          <w:p>
            <w:pPr>
              <w:spacing w:after="0"/>
              <w:rPr>
                <w:sz w:val="1"/>
                <w:szCs w:val="1"/>
                <w:color w:val="auto"/>
              </w:rPr>
            </w:pPr>
          </w:p>
        </w:tc>
      </w:tr>
      <w:tr>
        <w:trPr>
          <w:trHeight w:val="203"/>
        </w:trPr>
        <w:tc>
          <w:tcPr>
            <w:tcW w:w="1640" w:type="dxa"/>
            <w:vAlign w:val="bottom"/>
            <w:tcBorders>
              <w:left w:val="single" w:sz="8" w:color="auto"/>
              <w:right w:val="single" w:sz="8" w:color="auto"/>
            </w:tcBorders>
          </w:tcPr>
          <w:p>
            <w:pPr>
              <w:spacing w:after="0"/>
              <w:rPr>
                <w:sz w:val="17"/>
                <w:szCs w:val="17"/>
                <w:color w:val="auto"/>
              </w:rPr>
            </w:pPr>
          </w:p>
        </w:tc>
        <w:tc>
          <w:tcPr>
            <w:tcW w:w="1720" w:type="dxa"/>
            <w:vAlign w:val="bottom"/>
            <w:tcBorders>
              <w:right w:val="single" w:sz="8" w:color="auto"/>
            </w:tcBorders>
          </w:tcPr>
          <w:p>
            <w:pPr>
              <w:spacing w:after="0"/>
              <w:rPr>
                <w:sz w:val="17"/>
                <w:szCs w:val="17"/>
                <w:color w:val="auto"/>
              </w:rPr>
            </w:pPr>
          </w:p>
        </w:tc>
        <w:tc>
          <w:tcPr>
            <w:tcW w:w="1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60" w:type="dxa"/>
            <w:vAlign w:val="bottom"/>
            <w:tcBorders>
              <w:right w:val="single" w:sz="8" w:color="auto"/>
            </w:tcBorders>
          </w:tcPr>
          <w:p>
            <w:pPr>
              <w:spacing w:after="0"/>
              <w:rPr>
                <w:sz w:val="17"/>
                <w:szCs w:val="17"/>
                <w:color w:val="auto"/>
              </w:rPr>
            </w:pPr>
          </w:p>
        </w:tc>
        <w:tc>
          <w:tcPr>
            <w:tcW w:w="432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Administration (FDA) accepted data from long-term</w:t>
            </w:r>
          </w:p>
        </w:tc>
        <w:tc>
          <w:tcPr>
            <w:tcW w:w="0" w:type="dxa"/>
            <w:vAlign w:val="bottom"/>
          </w:tcPr>
          <w:p>
            <w:pPr>
              <w:spacing w:after="0"/>
              <w:rPr>
                <w:sz w:val="1"/>
                <w:szCs w:val="1"/>
                <w:color w:val="auto"/>
              </w:rPr>
            </w:pPr>
          </w:p>
        </w:tc>
      </w:tr>
      <w:tr>
        <w:trPr>
          <w:trHeight w:val="203"/>
        </w:trPr>
        <w:tc>
          <w:tcPr>
            <w:tcW w:w="1640" w:type="dxa"/>
            <w:vAlign w:val="bottom"/>
            <w:tcBorders>
              <w:left w:val="single" w:sz="8" w:color="auto"/>
              <w:right w:val="single" w:sz="8" w:color="auto"/>
            </w:tcBorders>
          </w:tcPr>
          <w:p>
            <w:pPr>
              <w:spacing w:after="0"/>
              <w:rPr>
                <w:sz w:val="17"/>
                <w:szCs w:val="17"/>
                <w:color w:val="auto"/>
              </w:rPr>
            </w:pPr>
          </w:p>
        </w:tc>
        <w:tc>
          <w:tcPr>
            <w:tcW w:w="1720" w:type="dxa"/>
            <w:vAlign w:val="bottom"/>
            <w:tcBorders>
              <w:right w:val="single" w:sz="8" w:color="auto"/>
            </w:tcBorders>
          </w:tcPr>
          <w:p>
            <w:pPr>
              <w:spacing w:after="0"/>
              <w:rPr>
                <w:sz w:val="17"/>
                <w:szCs w:val="17"/>
                <w:color w:val="auto"/>
              </w:rPr>
            </w:pPr>
          </w:p>
        </w:tc>
        <w:tc>
          <w:tcPr>
            <w:tcW w:w="1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60" w:type="dxa"/>
            <w:vAlign w:val="bottom"/>
            <w:tcBorders>
              <w:right w:val="single" w:sz="8" w:color="auto"/>
            </w:tcBorders>
          </w:tcPr>
          <w:p>
            <w:pPr>
              <w:spacing w:after="0"/>
              <w:rPr>
                <w:sz w:val="17"/>
                <w:szCs w:val="17"/>
                <w:color w:val="auto"/>
              </w:rPr>
            </w:pPr>
          </w:p>
        </w:tc>
        <w:tc>
          <w:tcPr>
            <w:tcW w:w="432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clinical trial investigating cardiovascular (CV)</w:t>
            </w:r>
          </w:p>
        </w:tc>
        <w:tc>
          <w:tcPr>
            <w:tcW w:w="0" w:type="dxa"/>
            <w:vAlign w:val="bottom"/>
          </w:tcPr>
          <w:p>
            <w:pPr>
              <w:spacing w:after="0"/>
              <w:rPr>
                <w:sz w:val="1"/>
                <w:szCs w:val="1"/>
                <w:color w:val="auto"/>
              </w:rPr>
            </w:pPr>
          </w:p>
        </w:tc>
      </w:tr>
      <w:tr>
        <w:trPr>
          <w:trHeight w:val="203"/>
        </w:trPr>
        <w:tc>
          <w:tcPr>
            <w:tcW w:w="1640" w:type="dxa"/>
            <w:vAlign w:val="bottom"/>
            <w:tcBorders>
              <w:left w:val="single" w:sz="8" w:color="auto"/>
              <w:right w:val="single" w:sz="8" w:color="auto"/>
            </w:tcBorders>
          </w:tcPr>
          <w:p>
            <w:pPr>
              <w:spacing w:after="0"/>
              <w:rPr>
                <w:sz w:val="17"/>
                <w:szCs w:val="17"/>
                <w:color w:val="auto"/>
              </w:rPr>
            </w:pPr>
          </w:p>
        </w:tc>
        <w:tc>
          <w:tcPr>
            <w:tcW w:w="1720" w:type="dxa"/>
            <w:vAlign w:val="bottom"/>
            <w:tcBorders>
              <w:right w:val="single" w:sz="8" w:color="auto"/>
            </w:tcBorders>
          </w:tcPr>
          <w:p>
            <w:pPr>
              <w:spacing w:after="0"/>
              <w:rPr>
                <w:sz w:val="17"/>
                <w:szCs w:val="17"/>
                <w:color w:val="auto"/>
              </w:rPr>
            </w:pPr>
          </w:p>
        </w:tc>
        <w:tc>
          <w:tcPr>
            <w:tcW w:w="1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60" w:type="dxa"/>
            <w:vAlign w:val="bottom"/>
            <w:tcBorders>
              <w:right w:val="single" w:sz="8" w:color="auto"/>
            </w:tcBorders>
          </w:tcPr>
          <w:p>
            <w:pPr>
              <w:spacing w:after="0"/>
              <w:rPr>
                <w:sz w:val="17"/>
                <w:szCs w:val="17"/>
                <w:color w:val="auto"/>
              </w:rPr>
            </w:pPr>
          </w:p>
        </w:tc>
        <w:tc>
          <w:tcPr>
            <w:tcW w:w="432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outcomes in adults with type 2 diabetes at high risk</w:t>
            </w:r>
          </w:p>
        </w:tc>
        <w:tc>
          <w:tcPr>
            <w:tcW w:w="0" w:type="dxa"/>
            <w:vAlign w:val="bottom"/>
          </w:tcPr>
          <w:p>
            <w:pPr>
              <w:spacing w:after="0"/>
              <w:rPr>
                <w:sz w:val="1"/>
                <w:szCs w:val="1"/>
                <w:color w:val="auto"/>
              </w:rPr>
            </w:pPr>
          </w:p>
        </w:tc>
      </w:tr>
      <w:tr>
        <w:trPr>
          <w:trHeight w:val="203"/>
        </w:trPr>
        <w:tc>
          <w:tcPr>
            <w:tcW w:w="1640" w:type="dxa"/>
            <w:vAlign w:val="bottom"/>
            <w:tcBorders>
              <w:left w:val="single" w:sz="8" w:color="auto"/>
              <w:right w:val="single" w:sz="8" w:color="auto"/>
            </w:tcBorders>
          </w:tcPr>
          <w:p>
            <w:pPr>
              <w:spacing w:after="0"/>
              <w:rPr>
                <w:sz w:val="17"/>
                <w:szCs w:val="17"/>
                <w:color w:val="auto"/>
              </w:rPr>
            </w:pPr>
          </w:p>
        </w:tc>
        <w:tc>
          <w:tcPr>
            <w:tcW w:w="1720" w:type="dxa"/>
            <w:vAlign w:val="bottom"/>
            <w:tcBorders>
              <w:right w:val="single" w:sz="8" w:color="auto"/>
            </w:tcBorders>
          </w:tcPr>
          <w:p>
            <w:pPr>
              <w:spacing w:after="0"/>
              <w:rPr>
                <w:sz w:val="17"/>
                <w:szCs w:val="17"/>
                <w:color w:val="auto"/>
              </w:rPr>
            </w:pPr>
          </w:p>
        </w:tc>
        <w:tc>
          <w:tcPr>
            <w:tcW w:w="1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60" w:type="dxa"/>
            <w:vAlign w:val="bottom"/>
            <w:tcBorders>
              <w:right w:val="single" w:sz="8" w:color="auto"/>
            </w:tcBorders>
          </w:tcPr>
          <w:p>
            <w:pPr>
              <w:spacing w:after="0"/>
              <w:rPr>
                <w:sz w:val="17"/>
                <w:szCs w:val="17"/>
                <w:color w:val="auto"/>
              </w:rPr>
            </w:pPr>
          </w:p>
        </w:tc>
        <w:tc>
          <w:tcPr>
            <w:tcW w:w="432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for CV events. Also submitted CV data to European</w:t>
            </w:r>
          </w:p>
        </w:tc>
        <w:tc>
          <w:tcPr>
            <w:tcW w:w="0" w:type="dxa"/>
            <w:vAlign w:val="bottom"/>
          </w:tcPr>
          <w:p>
            <w:pPr>
              <w:spacing w:after="0"/>
              <w:rPr>
                <w:sz w:val="1"/>
                <w:szCs w:val="1"/>
                <w:color w:val="auto"/>
              </w:rPr>
            </w:pPr>
          </w:p>
        </w:tc>
      </w:tr>
      <w:tr>
        <w:trPr>
          <w:trHeight w:val="243"/>
        </w:trPr>
        <w:tc>
          <w:tcPr>
            <w:tcW w:w="1640" w:type="dxa"/>
            <w:vAlign w:val="bottom"/>
            <w:tcBorders>
              <w:left w:val="single" w:sz="8" w:color="auto"/>
              <w:right w:val="single" w:sz="8" w:color="auto"/>
            </w:tcBorders>
          </w:tcPr>
          <w:p>
            <w:pPr>
              <w:spacing w:after="0"/>
              <w:rPr>
                <w:sz w:val="21"/>
                <w:szCs w:val="21"/>
                <w:color w:val="auto"/>
              </w:rPr>
            </w:pPr>
          </w:p>
        </w:tc>
        <w:tc>
          <w:tcPr>
            <w:tcW w:w="1720" w:type="dxa"/>
            <w:vAlign w:val="bottom"/>
            <w:tcBorders>
              <w:right w:val="single" w:sz="8" w:color="auto"/>
            </w:tcBorders>
          </w:tcPr>
          <w:p>
            <w:pPr>
              <w:spacing w:after="0"/>
              <w:rPr>
                <w:sz w:val="21"/>
                <w:szCs w:val="21"/>
                <w:color w:val="auto"/>
              </w:rPr>
            </w:pPr>
          </w:p>
        </w:tc>
        <w:tc>
          <w:tcPr>
            <w:tcW w:w="1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60" w:type="dxa"/>
            <w:vAlign w:val="bottom"/>
            <w:tcBorders>
              <w:right w:val="single" w:sz="8" w:color="auto"/>
            </w:tcBorders>
          </w:tcPr>
          <w:p>
            <w:pPr>
              <w:spacing w:after="0"/>
              <w:rPr>
                <w:sz w:val="21"/>
                <w:szCs w:val="21"/>
                <w:color w:val="auto"/>
              </w:rPr>
            </w:pPr>
          </w:p>
        </w:tc>
        <w:tc>
          <w:tcPr>
            <w:tcW w:w="43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regulatory authorities in fourth quarter of 2015.</w:t>
            </w:r>
          </w:p>
        </w:tc>
        <w:tc>
          <w:tcPr>
            <w:tcW w:w="0" w:type="dxa"/>
            <w:vAlign w:val="bottom"/>
          </w:tcPr>
          <w:p>
            <w:pPr>
              <w:spacing w:after="0"/>
              <w:rPr>
                <w:sz w:val="1"/>
                <w:szCs w:val="1"/>
                <w:color w:val="auto"/>
              </w:rPr>
            </w:pPr>
          </w:p>
        </w:tc>
      </w:tr>
      <w:tr>
        <w:trPr>
          <w:trHeight w:val="365"/>
        </w:trPr>
        <w:tc>
          <w:tcPr>
            <w:tcW w:w="16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Jardiance</w:t>
            </w:r>
            <w:r>
              <w:rPr>
                <w:rFonts w:ascii="Arial" w:cs="Arial" w:eastAsia="Arial" w:hAnsi="Arial"/>
                <w:sz w:val="21"/>
                <w:szCs w:val="21"/>
                <w:color w:val="auto"/>
                <w:vertAlign w:val="superscript"/>
              </w:rPr>
              <w:t>®</w:t>
            </w: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Type 2 diabetes</w:t>
            </w:r>
          </w:p>
        </w:tc>
        <w:tc>
          <w:tcPr>
            <w:tcW w:w="1240" w:type="dxa"/>
            <w:vAlign w:val="bottom"/>
          </w:tcPr>
          <w:p>
            <w:pPr>
              <w:spacing w:after="0"/>
              <w:rPr>
                <w:sz w:val="24"/>
                <w:szCs w:val="24"/>
                <w:color w:val="auto"/>
              </w:rPr>
            </w:pPr>
          </w:p>
        </w:tc>
        <w:tc>
          <w:tcPr>
            <w:tcW w:w="1260" w:type="dxa"/>
            <w:vAlign w:val="bottom"/>
            <w:vMerge w:val="restart"/>
          </w:tcPr>
          <w:p>
            <w:pPr>
              <w:jc w:val="center"/>
              <w:spacing w:after="0"/>
              <w:rPr>
                <w:sz w:val="20"/>
                <w:szCs w:val="20"/>
                <w:color w:val="auto"/>
              </w:rPr>
            </w:pPr>
            <w:r>
              <w:rPr>
                <w:rFonts w:ascii="Arial" w:cs="Arial" w:eastAsia="Arial" w:hAnsi="Arial"/>
                <w:sz w:val="18"/>
                <w:szCs w:val="18"/>
                <w:color w:val="auto"/>
                <w:w w:val="98"/>
              </w:rPr>
              <w:t>Launched</w:t>
            </w:r>
          </w:p>
        </w:tc>
        <w:tc>
          <w:tcPr>
            <w:tcW w:w="1260" w:type="dxa"/>
            <w:vAlign w:val="bottom"/>
            <w:tcBorders>
              <w:right w:val="single" w:sz="8" w:color="auto"/>
            </w:tcBorders>
          </w:tcPr>
          <w:p>
            <w:pPr>
              <w:spacing w:after="0"/>
              <w:rPr>
                <w:sz w:val="24"/>
                <w:szCs w:val="24"/>
                <w:color w:val="auto"/>
              </w:rPr>
            </w:pPr>
          </w:p>
        </w:tc>
        <w:tc>
          <w:tcPr>
            <w:tcW w:w="43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Glyxambi</w:t>
            </w:r>
            <w:r>
              <w:rPr>
                <w:rFonts w:ascii="Arial" w:cs="Arial" w:eastAsia="Arial" w:hAnsi="Arial"/>
                <w:sz w:val="21"/>
                <w:szCs w:val="21"/>
                <w:color w:val="auto"/>
                <w:vertAlign w:val="superscript"/>
              </w:rPr>
              <w:t>®</w:t>
            </w:r>
            <w:r>
              <w:rPr>
                <w:rFonts w:ascii="Arial" w:cs="Arial" w:eastAsia="Arial" w:hAnsi="Arial"/>
                <w:sz w:val="18"/>
                <w:szCs w:val="18"/>
                <w:color w:val="auto"/>
              </w:rPr>
              <w:t>, combination tablet of empagliflozin and</w:t>
            </w:r>
          </w:p>
        </w:tc>
        <w:tc>
          <w:tcPr>
            <w:tcW w:w="0" w:type="dxa"/>
            <w:vAlign w:val="bottom"/>
          </w:tcPr>
          <w:p>
            <w:pPr>
              <w:spacing w:after="0"/>
              <w:rPr>
                <w:sz w:val="1"/>
                <w:szCs w:val="1"/>
                <w:color w:val="auto"/>
              </w:rPr>
            </w:pPr>
          </w:p>
        </w:tc>
      </w:tr>
      <w:tr>
        <w:trPr>
          <w:trHeight w:val="135"/>
        </w:trPr>
        <w:tc>
          <w:tcPr>
            <w:tcW w:w="1640" w:type="dxa"/>
            <w:vAlign w:val="bottom"/>
            <w:tcBorders>
              <w:left w:val="single" w:sz="8" w:color="auto"/>
              <w:right w:val="single" w:sz="8" w:color="auto"/>
            </w:tcBorders>
          </w:tcPr>
          <w:p>
            <w:pPr>
              <w:spacing w:after="0"/>
              <w:rPr>
                <w:sz w:val="11"/>
                <w:szCs w:val="11"/>
                <w:color w:val="auto"/>
              </w:rPr>
            </w:pPr>
          </w:p>
        </w:tc>
        <w:tc>
          <w:tcPr>
            <w:tcW w:w="1720" w:type="dxa"/>
            <w:vAlign w:val="bottom"/>
            <w:tcBorders>
              <w:right w:val="single" w:sz="8" w:color="auto"/>
            </w:tcBorders>
            <w:vMerge w:val="continue"/>
          </w:tcPr>
          <w:p>
            <w:pPr>
              <w:spacing w:after="0"/>
              <w:rPr>
                <w:sz w:val="11"/>
                <w:szCs w:val="11"/>
                <w:color w:val="auto"/>
              </w:rPr>
            </w:pPr>
          </w:p>
        </w:tc>
        <w:tc>
          <w:tcPr>
            <w:tcW w:w="12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1260" w:type="dxa"/>
            <w:vAlign w:val="bottom"/>
            <w:tcBorders>
              <w:right w:val="single" w:sz="8" w:color="auto"/>
            </w:tcBorders>
          </w:tcPr>
          <w:p>
            <w:pPr>
              <w:spacing w:after="0"/>
              <w:rPr>
                <w:sz w:val="11"/>
                <w:szCs w:val="11"/>
                <w:color w:val="auto"/>
              </w:rPr>
            </w:pPr>
          </w:p>
        </w:tc>
        <w:tc>
          <w:tcPr>
            <w:tcW w:w="4320" w:type="dxa"/>
            <w:vAlign w:val="bottom"/>
            <w:tcBorders>
              <w:right w:val="single" w:sz="8" w:color="auto"/>
            </w:tcBorders>
            <w:vMerge w:val="restart"/>
          </w:tcPr>
          <w:p>
            <w:pPr>
              <w:spacing w:after="0" w:line="202" w:lineRule="exact"/>
              <w:rPr>
                <w:sz w:val="20"/>
                <w:szCs w:val="20"/>
                <w:color w:val="auto"/>
              </w:rPr>
            </w:pPr>
            <w:r>
              <w:rPr>
                <w:rFonts w:ascii="Arial" w:cs="Arial" w:eastAsia="Arial" w:hAnsi="Arial"/>
                <w:sz w:val="18"/>
                <w:szCs w:val="18"/>
                <w:color w:val="auto"/>
              </w:rPr>
              <w:t>linagliptin, approved in the U.S. and launched in first</w:t>
            </w:r>
          </w:p>
        </w:tc>
        <w:tc>
          <w:tcPr>
            <w:tcW w:w="0" w:type="dxa"/>
            <w:vAlign w:val="bottom"/>
          </w:tcPr>
          <w:p>
            <w:pPr>
              <w:spacing w:after="0"/>
              <w:rPr>
                <w:sz w:val="1"/>
                <w:szCs w:val="1"/>
                <w:color w:val="auto"/>
              </w:rPr>
            </w:pPr>
          </w:p>
        </w:tc>
      </w:tr>
      <w:tr>
        <w:trPr>
          <w:trHeight w:val="68"/>
        </w:trPr>
        <w:tc>
          <w:tcPr>
            <w:tcW w:w="1640" w:type="dxa"/>
            <w:vAlign w:val="bottom"/>
            <w:tcBorders>
              <w:left w:val="single" w:sz="8" w:color="auto"/>
              <w:right w:val="single" w:sz="8" w:color="auto"/>
            </w:tcBorders>
          </w:tcPr>
          <w:p>
            <w:pPr>
              <w:spacing w:after="0"/>
              <w:rPr>
                <w:sz w:val="5"/>
                <w:szCs w:val="5"/>
                <w:color w:val="auto"/>
              </w:rPr>
            </w:pPr>
          </w:p>
        </w:tc>
        <w:tc>
          <w:tcPr>
            <w:tcW w:w="1720" w:type="dxa"/>
            <w:vAlign w:val="bottom"/>
            <w:tcBorders>
              <w:right w:val="single" w:sz="8" w:color="auto"/>
            </w:tcBorders>
          </w:tcPr>
          <w:p>
            <w:pPr>
              <w:spacing w:after="0"/>
              <w:rPr>
                <w:sz w:val="5"/>
                <w:szCs w:val="5"/>
                <w:color w:val="auto"/>
              </w:rPr>
            </w:pPr>
          </w:p>
        </w:tc>
        <w:tc>
          <w:tcPr>
            <w:tcW w:w="12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60" w:type="dxa"/>
            <w:vAlign w:val="bottom"/>
            <w:tcBorders>
              <w:right w:val="single" w:sz="8" w:color="auto"/>
            </w:tcBorders>
          </w:tcPr>
          <w:p>
            <w:pPr>
              <w:spacing w:after="0"/>
              <w:rPr>
                <w:sz w:val="5"/>
                <w:szCs w:val="5"/>
                <w:color w:val="auto"/>
              </w:rPr>
            </w:pPr>
          </w:p>
        </w:tc>
        <w:tc>
          <w:tcPr>
            <w:tcW w:w="432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1640" w:type="dxa"/>
            <w:vAlign w:val="bottom"/>
            <w:tcBorders>
              <w:left w:val="single" w:sz="8" w:color="auto"/>
              <w:right w:val="single" w:sz="8" w:color="auto"/>
            </w:tcBorders>
          </w:tcPr>
          <w:p>
            <w:pPr>
              <w:spacing w:after="0"/>
              <w:rPr>
                <w:sz w:val="17"/>
                <w:szCs w:val="17"/>
                <w:color w:val="auto"/>
              </w:rPr>
            </w:pPr>
          </w:p>
        </w:tc>
        <w:tc>
          <w:tcPr>
            <w:tcW w:w="1720" w:type="dxa"/>
            <w:vAlign w:val="bottom"/>
            <w:tcBorders>
              <w:right w:val="single" w:sz="8" w:color="auto"/>
            </w:tcBorders>
          </w:tcPr>
          <w:p>
            <w:pPr>
              <w:spacing w:after="0"/>
              <w:rPr>
                <w:sz w:val="17"/>
                <w:szCs w:val="17"/>
                <w:color w:val="auto"/>
              </w:rPr>
            </w:pPr>
          </w:p>
        </w:tc>
        <w:tc>
          <w:tcPr>
            <w:tcW w:w="1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60" w:type="dxa"/>
            <w:vAlign w:val="bottom"/>
            <w:tcBorders>
              <w:right w:val="single" w:sz="8" w:color="auto"/>
            </w:tcBorders>
          </w:tcPr>
          <w:p>
            <w:pPr>
              <w:spacing w:after="0"/>
              <w:rPr>
                <w:sz w:val="17"/>
                <w:szCs w:val="17"/>
                <w:color w:val="auto"/>
              </w:rPr>
            </w:pPr>
          </w:p>
        </w:tc>
        <w:tc>
          <w:tcPr>
            <w:tcW w:w="432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quarter of 2015. Submitted to European regulatory</w:t>
            </w:r>
          </w:p>
        </w:tc>
        <w:tc>
          <w:tcPr>
            <w:tcW w:w="0" w:type="dxa"/>
            <w:vAlign w:val="bottom"/>
          </w:tcPr>
          <w:p>
            <w:pPr>
              <w:spacing w:after="0"/>
              <w:rPr>
                <w:sz w:val="1"/>
                <w:szCs w:val="1"/>
                <w:color w:val="auto"/>
              </w:rPr>
            </w:pPr>
          </w:p>
        </w:tc>
      </w:tr>
      <w:tr>
        <w:trPr>
          <w:trHeight w:val="243"/>
        </w:trPr>
        <w:tc>
          <w:tcPr>
            <w:tcW w:w="1640" w:type="dxa"/>
            <w:vAlign w:val="bottom"/>
            <w:tcBorders>
              <w:left w:val="single" w:sz="8" w:color="auto"/>
              <w:right w:val="single" w:sz="8" w:color="auto"/>
            </w:tcBorders>
          </w:tcPr>
          <w:p>
            <w:pPr>
              <w:spacing w:after="0"/>
              <w:rPr>
                <w:sz w:val="21"/>
                <w:szCs w:val="21"/>
                <w:color w:val="auto"/>
              </w:rPr>
            </w:pPr>
          </w:p>
        </w:tc>
        <w:tc>
          <w:tcPr>
            <w:tcW w:w="1720" w:type="dxa"/>
            <w:vAlign w:val="bottom"/>
            <w:tcBorders>
              <w:right w:val="single" w:sz="8" w:color="auto"/>
            </w:tcBorders>
          </w:tcPr>
          <w:p>
            <w:pPr>
              <w:spacing w:after="0"/>
              <w:rPr>
                <w:sz w:val="21"/>
                <w:szCs w:val="21"/>
                <w:color w:val="auto"/>
              </w:rPr>
            </w:pPr>
          </w:p>
        </w:tc>
        <w:tc>
          <w:tcPr>
            <w:tcW w:w="1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60" w:type="dxa"/>
            <w:vAlign w:val="bottom"/>
            <w:tcBorders>
              <w:right w:val="single" w:sz="8" w:color="auto"/>
            </w:tcBorders>
          </w:tcPr>
          <w:p>
            <w:pPr>
              <w:spacing w:after="0"/>
              <w:rPr>
                <w:sz w:val="21"/>
                <w:szCs w:val="21"/>
                <w:color w:val="auto"/>
              </w:rPr>
            </w:pPr>
          </w:p>
        </w:tc>
        <w:tc>
          <w:tcPr>
            <w:tcW w:w="43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authorities in fourth quarter of 2015.</w:t>
            </w:r>
          </w:p>
        </w:tc>
        <w:tc>
          <w:tcPr>
            <w:tcW w:w="0" w:type="dxa"/>
            <w:vAlign w:val="bottom"/>
          </w:tcPr>
          <w:p>
            <w:pPr>
              <w:spacing w:after="0"/>
              <w:rPr>
                <w:sz w:val="1"/>
                <w:szCs w:val="1"/>
                <w:color w:val="auto"/>
              </w:rPr>
            </w:pPr>
          </w:p>
        </w:tc>
      </w:tr>
      <w:tr>
        <w:trPr>
          <w:trHeight w:val="365"/>
        </w:trPr>
        <w:tc>
          <w:tcPr>
            <w:tcW w:w="1640" w:type="dxa"/>
            <w:vAlign w:val="bottom"/>
            <w:tcBorders>
              <w:left w:val="single" w:sz="8" w:color="auto"/>
              <w:right w:val="single" w:sz="8" w:color="auto"/>
            </w:tcBorders>
          </w:tcPr>
          <w:p>
            <w:pPr>
              <w:spacing w:after="0"/>
              <w:rPr>
                <w:sz w:val="24"/>
                <w:szCs w:val="24"/>
                <w:color w:val="auto"/>
              </w:rPr>
            </w:pPr>
          </w:p>
        </w:tc>
        <w:tc>
          <w:tcPr>
            <w:tcW w:w="1720" w:type="dxa"/>
            <w:vAlign w:val="bottom"/>
            <w:tcBorders>
              <w:right w:val="single" w:sz="8" w:color="auto"/>
            </w:tcBorders>
          </w:tcPr>
          <w:p>
            <w:pPr>
              <w:spacing w:after="0"/>
              <w:rPr>
                <w:sz w:val="24"/>
                <w:szCs w:val="24"/>
                <w:color w:val="auto"/>
              </w:rPr>
            </w:pPr>
          </w:p>
        </w:tc>
        <w:tc>
          <w:tcPr>
            <w:tcW w:w="1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60" w:type="dxa"/>
            <w:vAlign w:val="bottom"/>
            <w:tcBorders>
              <w:right w:val="single" w:sz="8" w:color="auto"/>
            </w:tcBorders>
          </w:tcPr>
          <w:p>
            <w:pPr>
              <w:spacing w:after="0"/>
              <w:rPr>
                <w:sz w:val="24"/>
                <w:szCs w:val="24"/>
                <w:color w:val="auto"/>
              </w:rPr>
            </w:pPr>
          </w:p>
        </w:tc>
        <w:tc>
          <w:tcPr>
            <w:tcW w:w="43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Synjardy</w:t>
            </w:r>
            <w:r>
              <w:rPr>
                <w:rFonts w:ascii="Arial" w:cs="Arial" w:eastAsia="Arial" w:hAnsi="Arial"/>
                <w:sz w:val="21"/>
                <w:szCs w:val="21"/>
                <w:color w:val="auto"/>
                <w:vertAlign w:val="superscript"/>
              </w:rPr>
              <w:t>®</w:t>
            </w:r>
            <w:r>
              <w:rPr>
                <w:rFonts w:ascii="Arial" w:cs="Arial" w:eastAsia="Arial" w:hAnsi="Arial"/>
                <w:sz w:val="18"/>
                <w:szCs w:val="18"/>
                <w:color w:val="auto"/>
              </w:rPr>
              <w:t>, combination tablet of empagliflozin and</w:t>
            </w:r>
          </w:p>
        </w:tc>
        <w:tc>
          <w:tcPr>
            <w:tcW w:w="0" w:type="dxa"/>
            <w:vAlign w:val="bottom"/>
          </w:tcPr>
          <w:p>
            <w:pPr>
              <w:spacing w:after="0"/>
              <w:rPr>
                <w:sz w:val="1"/>
                <w:szCs w:val="1"/>
                <w:color w:val="auto"/>
              </w:rPr>
            </w:pPr>
          </w:p>
        </w:tc>
      </w:tr>
      <w:tr>
        <w:trPr>
          <w:trHeight w:val="203"/>
        </w:trPr>
        <w:tc>
          <w:tcPr>
            <w:tcW w:w="1640" w:type="dxa"/>
            <w:vAlign w:val="bottom"/>
            <w:tcBorders>
              <w:left w:val="single" w:sz="8" w:color="auto"/>
              <w:right w:val="single" w:sz="8" w:color="auto"/>
            </w:tcBorders>
          </w:tcPr>
          <w:p>
            <w:pPr>
              <w:spacing w:after="0"/>
              <w:rPr>
                <w:sz w:val="17"/>
                <w:szCs w:val="17"/>
                <w:color w:val="auto"/>
              </w:rPr>
            </w:pPr>
          </w:p>
        </w:tc>
        <w:tc>
          <w:tcPr>
            <w:tcW w:w="1720" w:type="dxa"/>
            <w:vAlign w:val="bottom"/>
            <w:tcBorders>
              <w:right w:val="single" w:sz="8" w:color="auto"/>
            </w:tcBorders>
          </w:tcPr>
          <w:p>
            <w:pPr>
              <w:spacing w:after="0"/>
              <w:rPr>
                <w:sz w:val="17"/>
                <w:szCs w:val="17"/>
                <w:color w:val="auto"/>
              </w:rPr>
            </w:pPr>
          </w:p>
        </w:tc>
        <w:tc>
          <w:tcPr>
            <w:tcW w:w="1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60" w:type="dxa"/>
            <w:vAlign w:val="bottom"/>
            <w:tcBorders>
              <w:right w:val="single" w:sz="8" w:color="auto"/>
            </w:tcBorders>
          </w:tcPr>
          <w:p>
            <w:pPr>
              <w:spacing w:after="0"/>
              <w:rPr>
                <w:sz w:val="17"/>
                <w:szCs w:val="17"/>
                <w:color w:val="auto"/>
              </w:rPr>
            </w:pPr>
          </w:p>
        </w:tc>
        <w:tc>
          <w:tcPr>
            <w:tcW w:w="432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metformin hydrochloride, approved and launched in</w:t>
            </w:r>
          </w:p>
        </w:tc>
        <w:tc>
          <w:tcPr>
            <w:tcW w:w="0" w:type="dxa"/>
            <w:vAlign w:val="bottom"/>
          </w:tcPr>
          <w:p>
            <w:pPr>
              <w:spacing w:after="0"/>
              <w:rPr>
                <w:sz w:val="1"/>
                <w:szCs w:val="1"/>
                <w:color w:val="auto"/>
              </w:rPr>
            </w:pPr>
          </w:p>
        </w:tc>
      </w:tr>
      <w:tr>
        <w:trPr>
          <w:trHeight w:val="203"/>
        </w:trPr>
        <w:tc>
          <w:tcPr>
            <w:tcW w:w="1640" w:type="dxa"/>
            <w:vAlign w:val="bottom"/>
            <w:tcBorders>
              <w:left w:val="single" w:sz="8" w:color="auto"/>
              <w:right w:val="single" w:sz="8" w:color="auto"/>
            </w:tcBorders>
          </w:tcPr>
          <w:p>
            <w:pPr>
              <w:spacing w:after="0"/>
              <w:rPr>
                <w:sz w:val="17"/>
                <w:szCs w:val="17"/>
                <w:color w:val="auto"/>
              </w:rPr>
            </w:pPr>
          </w:p>
        </w:tc>
        <w:tc>
          <w:tcPr>
            <w:tcW w:w="1720" w:type="dxa"/>
            <w:vAlign w:val="bottom"/>
            <w:tcBorders>
              <w:right w:val="single" w:sz="8" w:color="auto"/>
            </w:tcBorders>
          </w:tcPr>
          <w:p>
            <w:pPr>
              <w:spacing w:after="0"/>
              <w:rPr>
                <w:sz w:val="17"/>
                <w:szCs w:val="17"/>
                <w:color w:val="auto"/>
              </w:rPr>
            </w:pPr>
          </w:p>
        </w:tc>
        <w:tc>
          <w:tcPr>
            <w:tcW w:w="1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60" w:type="dxa"/>
            <w:vAlign w:val="bottom"/>
            <w:tcBorders>
              <w:right w:val="single" w:sz="8" w:color="auto"/>
            </w:tcBorders>
          </w:tcPr>
          <w:p>
            <w:pPr>
              <w:spacing w:after="0"/>
              <w:rPr>
                <w:sz w:val="17"/>
                <w:szCs w:val="17"/>
                <w:color w:val="auto"/>
              </w:rPr>
            </w:pPr>
          </w:p>
        </w:tc>
        <w:tc>
          <w:tcPr>
            <w:tcW w:w="432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Europe in second and third quarters of 2015,</w:t>
            </w:r>
          </w:p>
        </w:tc>
        <w:tc>
          <w:tcPr>
            <w:tcW w:w="0" w:type="dxa"/>
            <w:vAlign w:val="bottom"/>
          </w:tcPr>
          <w:p>
            <w:pPr>
              <w:spacing w:after="0"/>
              <w:rPr>
                <w:sz w:val="1"/>
                <w:szCs w:val="1"/>
                <w:color w:val="auto"/>
              </w:rPr>
            </w:pPr>
          </w:p>
        </w:tc>
      </w:tr>
      <w:tr>
        <w:trPr>
          <w:trHeight w:val="203"/>
        </w:trPr>
        <w:tc>
          <w:tcPr>
            <w:tcW w:w="1640" w:type="dxa"/>
            <w:vAlign w:val="bottom"/>
            <w:tcBorders>
              <w:left w:val="single" w:sz="8" w:color="auto"/>
              <w:right w:val="single" w:sz="8" w:color="auto"/>
            </w:tcBorders>
          </w:tcPr>
          <w:p>
            <w:pPr>
              <w:spacing w:after="0"/>
              <w:rPr>
                <w:sz w:val="17"/>
                <w:szCs w:val="17"/>
                <w:color w:val="auto"/>
              </w:rPr>
            </w:pPr>
          </w:p>
        </w:tc>
        <w:tc>
          <w:tcPr>
            <w:tcW w:w="1720" w:type="dxa"/>
            <w:vAlign w:val="bottom"/>
            <w:tcBorders>
              <w:right w:val="single" w:sz="8" w:color="auto"/>
            </w:tcBorders>
          </w:tcPr>
          <w:p>
            <w:pPr>
              <w:spacing w:after="0"/>
              <w:rPr>
                <w:sz w:val="17"/>
                <w:szCs w:val="17"/>
                <w:color w:val="auto"/>
              </w:rPr>
            </w:pPr>
          </w:p>
        </w:tc>
        <w:tc>
          <w:tcPr>
            <w:tcW w:w="1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60" w:type="dxa"/>
            <w:vAlign w:val="bottom"/>
            <w:tcBorders>
              <w:right w:val="single" w:sz="8" w:color="auto"/>
            </w:tcBorders>
          </w:tcPr>
          <w:p>
            <w:pPr>
              <w:spacing w:after="0"/>
              <w:rPr>
                <w:sz w:val="17"/>
                <w:szCs w:val="17"/>
                <w:color w:val="auto"/>
              </w:rPr>
            </w:pPr>
          </w:p>
        </w:tc>
        <w:tc>
          <w:tcPr>
            <w:tcW w:w="432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respectively. Approved and launched in the U.S. in</w:t>
            </w:r>
          </w:p>
        </w:tc>
        <w:tc>
          <w:tcPr>
            <w:tcW w:w="0" w:type="dxa"/>
            <w:vAlign w:val="bottom"/>
          </w:tcPr>
          <w:p>
            <w:pPr>
              <w:spacing w:after="0"/>
              <w:rPr>
                <w:sz w:val="1"/>
                <w:szCs w:val="1"/>
                <w:color w:val="auto"/>
              </w:rPr>
            </w:pPr>
          </w:p>
        </w:tc>
      </w:tr>
      <w:tr>
        <w:trPr>
          <w:trHeight w:val="248"/>
        </w:trPr>
        <w:tc>
          <w:tcPr>
            <w:tcW w:w="1640" w:type="dxa"/>
            <w:vAlign w:val="bottom"/>
            <w:tcBorders>
              <w:left w:val="single" w:sz="8" w:color="auto"/>
              <w:bottom w:val="single" w:sz="8" w:color="auto"/>
              <w:right w:val="single" w:sz="8" w:color="auto"/>
            </w:tcBorders>
          </w:tcPr>
          <w:p>
            <w:pPr>
              <w:spacing w:after="0"/>
              <w:rPr>
                <w:sz w:val="21"/>
                <w:szCs w:val="21"/>
                <w:color w:val="auto"/>
              </w:rPr>
            </w:pPr>
          </w:p>
        </w:tc>
        <w:tc>
          <w:tcPr>
            <w:tcW w:w="1720" w:type="dxa"/>
            <w:vAlign w:val="bottom"/>
            <w:tcBorders>
              <w:bottom w:val="single" w:sz="8" w:color="auto"/>
              <w:right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1260" w:type="dxa"/>
            <w:vAlign w:val="bottom"/>
            <w:tcBorders>
              <w:bottom w:val="single" w:sz="8" w:color="auto"/>
              <w:right w:val="single" w:sz="8" w:color="auto"/>
            </w:tcBorders>
          </w:tcPr>
          <w:p>
            <w:pPr>
              <w:spacing w:after="0"/>
              <w:rPr>
                <w:sz w:val="21"/>
                <w:szCs w:val="21"/>
                <w:color w:val="auto"/>
              </w:rPr>
            </w:pPr>
          </w:p>
        </w:tc>
        <w:tc>
          <w:tcPr>
            <w:tcW w:w="4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third and fourth quarters of 2015, respectively.</w:t>
            </w:r>
          </w:p>
        </w:tc>
        <w:tc>
          <w:tcPr>
            <w:tcW w:w="0" w:type="dxa"/>
            <w:vAlign w:val="bottom"/>
          </w:tcPr>
          <w:p>
            <w:pPr>
              <w:spacing w:after="0"/>
              <w:rPr>
                <w:sz w:val="1"/>
                <w:szCs w:val="1"/>
                <w:color w:val="auto"/>
              </w:rPr>
            </w:pPr>
          </w:p>
        </w:tc>
      </w:tr>
      <w:tr>
        <w:trPr>
          <w:trHeight w:val="205"/>
        </w:trPr>
        <w:tc>
          <w:tcPr>
            <w:tcW w:w="1640" w:type="dxa"/>
            <w:vAlign w:val="bottom"/>
            <w:tcBorders>
              <w:left w:val="single" w:sz="8" w:color="auto"/>
              <w:right w:val="single" w:sz="8" w:color="auto"/>
            </w:tcBorders>
          </w:tcPr>
          <w:p>
            <w:pPr>
              <w:spacing w:after="0"/>
              <w:rPr>
                <w:sz w:val="17"/>
                <w:szCs w:val="17"/>
                <w:color w:val="auto"/>
              </w:rPr>
            </w:pP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Type 1 diabetes</w:t>
            </w:r>
          </w:p>
        </w:tc>
        <w:tc>
          <w:tcPr>
            <w:tcW w:w="124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Approved</w:t>
            </w:r>
          </w:p>
        </w:tc>
        <w:tc>
          <w:tcPr>
            <w:tcW w:w="2520" w:type="dxa"/>
            <w:vAlign w:val="bottom"/>
            <w:tcBorders>
              <w:right w:val="single" w:sz="8" w:color="auto"/>
            </w:tcBorders>
            <w:gridSpan w:val="2"/>
            <w:vMerge w:val="restart"/>
          </w:tcPr>
          <w:p>
            <w:pPr>
              <w:ind w:left="840"/>
              <w:spacing w:after="0"/>
              <w:rPr>
                <w:sz w:val="20"/>
                <w:szCs w:val="20"/>
                <w:color w:val="auto"/>
              </w:rPr>
            </w:pPr>
            <w:r>
              <w:rPr>
                <w:rFonts w:ascii="Arial" w:cs="Arial" w:eastAsia="Arial" w:hAnsi="Arial"/>
                <w:sz w:val="18"/>
                <w:szCs w:val="18"/>
                <w:color w:val="auto"/>
              </w:rPr>
              <w:t>Launched</w:t>
            </w:r>
          </w:p>
        </w:tc>
        <w:tc>
          <w:tcPr>
            <w:tcW w:w="4320" w:type="dxa"/>
            <w:vAlign w:val="bottom"/>
            <w:tcBorders>
              <w:right w:val="single" w:sz="8" w:color="auto"/>
            </w:tcBorders>
          </w:tcPr>
          <w:p>
            <w:pPr>
              <w:spacing w:after="0" w:line="205" w:lineRule="exact"/>
              <w:rPr>
                <w:sz w:val="20"/>
                <w:szCs w:val="20"/>
                <w:color w:val="auto"/>
              </w:rPr>
            </w:pPr>
            <w:r>
              <w:rPr>
                <w:rFonts w:ascii="Arial" w:cs="Arial" w:eastAsia="Arial" w:hAnsi="Arial"/>
                <w:sz w:val="18"/>
                <w:szCs w:val="18"/>
                <w:color w:val="auto"/>
              </w:rPr>
              <w:t>First launch in Europe and Japan in second and third</w:t>
            </w:r>
          </w:p>
        </w:tc>
        <w:tc>
          <w:tcPr>
            <w:tcW w:w="0" w:type="dxa"/>
            <w:vAlign w:val="bottom"/>
          </w:tcPr>
          <w:p>
            <w:pPr>
              <w:spacing w:after="0"/>
              <w:rPr>
                <w:sz w:val="1"/>
                <w:szCs w:val="1"/>
                <w:color w:val="auto"/>
              </w:rPr>
            </w:pPr>
          </w:p>
        </w:tc>
      </w:tr>
      <w:tr>
        <w:trPr>
          <w:trHeight w:val="203"/>
        </w:trPr>
        <w:tc>
          <w:tcPr>
            <w:tcW w:w="1640" w:type="dxa"/>
            <w:vAlign w:val="bottom"/>
            <w:tcBorders>
              <w:left w:val="single" w:sz="8" w:color="auto"/>
              <w:right w:val="single" w:sz="8" w:color="auto"/>
            </w:tcBorders>
          </w:tcPr>
          <w:p>
            <w:pPr>
              <w:ind w:left="40"/>
              <w:spacing w:after="0" w:line="203" w:lineRule="exact"/>
              <w:rPr>
                <w:sz w:val="20"/>
                <w:szCs w:val="20"/>
                <w:color w:val="auto"/>
              </w:rPr>
            </w:pPr>
            <w:r>
              <w:rPr>
                <w:rFonts w:ascii="Arial" w:cs="Arial" w:eastAsia="Arial" w:hAnsi="Arial"/>
                <w:sz w:val="18"/>
                <w:szCs w:val="18"/>
                <w:color w:val="auto"/>
              </w:rPr>
              <w:t>Basaglar</w:t>
            </w:r>
            <w:r>
              <w:rPr>
                <w:rFonts w:ascii="Arial" w:cs="Arial" w:eastAsia="Arial" w:hAnsi="Arial"/>
                <w:sz w:val="21"/>
                <w:szCs w:val="21"/>
                <w:color w:val="auto"/>
                <w:vertAlign w:val="superscript"/>
              </w:rPr>
              <w:t>®</w:t>
            </w:r>
            <w:r>
              <w:rPr>
                <w:rFonts w:ascii="Arial" w:cs="Arial" w:eastAsia="Arial" w:hAnsi="Arial"/>
                <w:sz w:val="18"/>
                <w:szCs w:val="18"/>
                <w:color w:val="auto"/>
              </w:rPr>
              <w:t xml:space="preserve"> (new</w:t>
            </w:r>
          </w:p>
        </w:tc>
        <w:tc>
          <w:tcPr>
            <w:tcW w:w="1720" w:type="dxa"/>
            <w:vAlign w:val="bottom"/>
            <w:tcBorders>
              <w:right w:val="single" w:sz="8" w:color="auto"/>
            </w:tcBorders>
            <w:vMerge w:val="continue"/>
          </w:tcPr>
          <w:p>
            <w:pPr>
              <w:spacing w:after="0"/>
              <w:rPr>
                <w:sz w:val="17"/>
                <w:szCs w:val="17"/>
                <w:color w:val="auto"/>
              </w:rPr>
            </w:pPr>
          </w:p>
        </w:tc>
        <w:tc>
          <w:tcPr>
            <w:tcW w:w="1240" w:type="dxa"/>
            <w:vAlign w:val="bottom"/>
            <w:tcBorders>
              <w:right w:val="single" w:sz="8" w:color="auto"/>
            </w:tcBorders>
            <w:vMerge w:val="continue"/>
          </w:tcPr>
          <w:p>
            <w:pPr>
              <w:spacing w:after="0"/>
              <w:rPr>
                <w:sz w:val="17"/>
                <w:szCs w:val="17"/>
                <w:color w:val="auto"/>
              </w:rPr>
            </w:pPr>
          </w:p>
        </w:tc>
        <w:tc>
          <w:tcPr>
            <w:tcW w:w="2520" w:type="dxa"/>
            <w:vAlign w:val="bottom"/>
            <w:tcBorders>
              <w:right w:val="single" w:sz="8" w:color="auto"/>
            </w:tcBorders>
            <w:gridSpan w:val="2"/>
            <w:vMerge w:val="continue"/>
          </w:tcPr>
          <w:p>
            <w:pPr>
              <w:spacing w:after="0"/>
              <w:rPr>
                <w:sz w:val="17"/>
                <w:szCs w:val="17"/>
                <w:color w:val="auto"/>
              </w:rPr>
            </w:pPr>
          </w:p>
        </w:tc>
        <w:tc>
          <w:tcPr>
            <w:tcW w:w="432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quarter of 2015, respectively. Approved in the U.S. in</w:t>
            </w:r>
          </w:p>
        </w:tc>
        <w:tc>
          <w:tcPr>
            <w:tcW w:w="0" w:type="dxa"/>
            <w:vAlign w:val="bottom"/>
          </w:tcPr>
          <w:p>
            <w:pPr>
              <w:spacing w:after="0"/>
              <w:rPr>
                <w:sz w:val="1"/>
                <w:szCs w:val="1"/>
                <w:color w:val="auto"/>
              </w:rPr>
            </w:pPr>
          </w:p>
        </w:tc>
      </w:tr>
      <w:tr>
        <w:trPr>
          <w:trHeight w:val="117"/>
        </w:trPr>
        <w:tc>
          <w:tcPr>
            <w:tcW w:w="1640" w:type="dxa"/>
            <w:vAlign w:val="bottom"/>
            <w:tcBorders>
              <w:left w:val="single" w:sz="8" w:color="auto"/>
              <w:right w:val="single" w:sz="8" w:color="auto"/>
            </w:tcBorders>
            <w:vMerge w:val="restart"/>
          </w:tcPr>
          <w:p>
            <w:pPr>
              <w:ind w:left="40"/>
              <w:spacing w:after="0" w:line="202" w:lineRule="exact"/>
              <w:rPr>
                <w:sz w:val="20"/>
                <w:szCs w:val="20"/>
                <w:color w:val="auto"/>
              </w:rPr>
            </w:pPr>
            <w:r>
              <w:rPr>
                <w:rFonts w:ascii="Arial" w:cs="Arial" w:eastAsia="Arial" w:hAnsi="Arial"/>
                <w:sz w:val="18"/>
                <w:szCs w:val="18"/>
                <w:color w:val="auto"/>
              </w:rPr>
              <w:t>insulin glargine</w:t>
            </w:r>
          </w:p>
        </w:tc>
        <w:tc>
          <w:tcPr>
            <w:tcW w:w="1720" w:type="dxa"/>
            <w:vAlign w:val="bottom"/>
            <w:tcBorders>
              <w:bottom w:val="single" w:sz="8" w:color="auto"/>
              <w:right w:val="single" w:sz="8" w:color="auto"/>
            </w:tcBorders>
          </w:tcPr>
          <w:p>
            <w:pPr>
              <w:spacing w:after="0"/>
              <w:rPr>
                <w:sz w:val="10"/>
                <w:szCs w:val="10"/>
                <w:color w:val="auto"/>
              </w:rPr>
            </w:pPr>
          </w:p>
        </w:tc>
        <w:tc>
          <w:tcPr>
            <w:tcW w:w="1240" w:type="dxa"/>
            <w:vAlign w:val="bottom"/>
            <w:tcBorders>
              <w:bottom w:val="single" w:sz="8" w:color="auto"/>
              <w:right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1260" w:type="dxa"/>
            <w:vAlign w:val="bottom"/>
            <w:tcBorders>
              <w:bottom w:val="single" w:sz="8" w:color="auto"/>
              <w:right w:val="single" w:sz="8" w:color="auto"/>
            </w:tcBorders>
          </w:tcPr>
          <w:p>
            <w:pPr>
              <w:spacing w:after="0"/>
              <w:rPr>
                <w:sz w:val="10"/>
                <w:szCs w:val="10"/>
                <w:color w:val="auto"/>
              </w:rPr>
            </w:pPr>
          </w:p>
        </w:tc>
        <w:tc>
          <w:tcPr>
            <w:tcW w:w="4320" w:type="dxa"/>
            <w:vAlign w:val="bottom"/>
            <w:tcBorders>
              <w:right w:val="single" w:sz="8" w:color="auto"/>
            </w:tcBorders>
            <w:vMerge w:val="restart"/>
          </w:tcPr>
          <w:p>
            <w:pPr>
              <w:spacing w:after="0" w:line="202" w:lineRule="exact"/>
              <w:rPr>
                <w:sz w:val="20"/>
                <w:szCs w:val="20"/>
                <w:color w:val="auto"/>
              </w:rPr>
            </w:pPr>
            <w:r>
              <w:rPr>
                <w:rFonts w:ascii="Arial" w:cs="Arial" w:eastAsia="Arial" w:hAnsi="Arial"/>
                <w:sz w:val="18"/>
                <w:szCs w:val="18"/>
                <w:color w:val="auto"/>
              </w:rPr>
              <w:t>fourth quarter of 2015. See Note 4 to the</w:t>
            </w:r>
          </w:p>
        </w:tc>
        <w:tc>
          <w:tcPr>
            <w:tcW w:w="0" w:type="dxa"/>
            <w:vAlign w:val="bottom"/>
          </w:tcPr>
          <w:p>
            <w:pPr>
              <w:spacing w:after="0"/>
              <w:rPr>
                <w:sz w:val="1"/>
                <w:szCs w:val="1"/>
                <w:color w:val="auto"/>
              </w:rPr>
            </w:pPr>
          </w:p>
        </w:tc>
      </w:tr>
      <w:tr>
        <w:trPr>
          <w:trHeight w:val="65"/>
        </w:trPr>
        <w:tc>
          <w:tcPr>
            <w:tcW w:w="1640" w:type="dxa"/>
            <w:vAlign w:val="bottom"/>
            <w:tcBorders>
              <w:left w:val="single" w:sz="8" w:color="auto"/>
              <w:right w:val="single" w:sz="8" w:color="auto"/>
            </w:tcBorders>
            <w:vMerge w:val="continue"/>
          </w:tcPr>
          <w:p>
            <w:pPr>
              <w:spacing w:after="0"/>
              <w:rPr>
                <w:sz w:val="5"/>
                <w:szCs w:val="5"/>
                <w:color w:val="auto"/>
              </w:rPr>
            </w:pPr>
          </w:p>
        </w:tc>
        <w:tc>
          <w:tcPr>
            <w:tcW w:w="1720" w:type="dxa"/>
            <w:vAlign w:val="bottom"/>
            <w:tcBorders>
              <w:right w:val="single" w:sz="8" w:color="auto"/>
            </w:tcBorders>
          </w:tcPr>
          <w:p>
            <w:pPr>
              <w:spacing w:after="0"/>
              <w:rPr>
                <w:sz w:val="5"/>
                <w:szCs w:val="5"/>
                <w:color w:val="auto"/>
              </w:rPr>
            </w:pPr>
          </w:p>
        </w:tc>
        <w:tc>
          <w:tcPr>
            <w:tcW w:w="1240" w:type="dxa"/>
            <w:vAlign w:val="bottom"/>
            <w:tcBorders>
              <w:right w:val="single" w:sz="8" w:color="auto"/>
            </w:tcBorders>
          </w:tcPr>
          <w:p>
            <w:pPr>
              <w:spacing w:after="0"/>
              <w:rPr>
                <w:sz w:val="5"/>
                <w:szCs w:val="5"/>
                <w:color w:val="auto"/>
              </w:rPr>
            </w:pPr>
          </w:p>
        </w:tc>
        <w:tc>
          <w:tcPr>
            <w:tcW w:w="1260" w:type="dxa"/>
            <w:vAlign w:val="bottom"/>
          </w:tcPr>
          <w:p>
            <w:pPr>
              <w:spacing w:after="0"/>
              <w:rPr>
                <w:sz w:val="5"/>
                <w:szCs w:val="5"/>
                <w:color w:val="auto"/>
              </w:rPr>
            </w:pPr>
          </w:p>
        </w:tc>
        <w:tc>
          <w:tcPr>
            <w:tcW w:w="1260" w:type="dxa"/>
            <w:vAlign w:val="bottom"/>
            <w:tcBorders>
              <w:right w:val="single" w:sz="8" w:color="auto"/>
            </w:tcBorders>
          </w:tcPr>
          <w:p>
            <w:pPr>
              <w:spacing w:after="0"/>
              <w:rPr>
                <w:sz w:val="5"/>
                <w:szCs w:val="5"/>
                <w:color w:val="auto"/>
              </w:rPr>
            </w:pPr>
          </w:p>
        </w:tc>
        <w:tc>
          <w:tcPr>
            <w:tcW w:w="432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1640" w:type="dxa"/>
            <w:vAlign w:val="bottom"/>
            <w:tcBorders>
              <w:left w:val="single" w:sz="8" w:color="auto"/>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product)</w:t>
            </w: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Type 2 diabetes</w:t>
            </w:r>
          </w:p>
        </w:tc>
        <w:tc>
          <w:tcPr>
            <w:tcW w:w="124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Approved</w:t>
            </w:r>
          </w:p>
        </w:tc>
        <w:tc>
          <w:tcPr>
            <w:tcW w:w="2520" w:type="dxa"/>
            <w:vAlign w:val="bottom"/>
            <w:tcBorders>
              <w:right w:val="single" w:sz="8" w:color="auto"/>
            </w:tcBorders>
            <w:gridSpan w:val="2"/>
            <w:vMerge w:val="restart"/>
          </w:tcPr>
          <w:p>
            <w:pPr>
              <w:ind w:left="840"/>
              <w:spacing w:after="0"/>
              <w:rPr>
                <w:sz w:val="20"/>
                <w:szCs w:val="20"/>
                <w:color w:val="auto"/>
              </w:rPr>
            </w:pPr>
            <w:r>
              <w:rPr>
                <w:rFonts w:ascii="Arial" w:cs="Arial" w:eastAsia="Arial" w:hAnsi="Arial"/>
                <w:sz w:val="18"/>
                <w:szCs w:val="18"/>
                <w:color w:val="auto"/>
              </w:rPr>
              <w:t>Launched</w:t>
            </w:r>
          </w:p>
        </w:tc>
        <w:tc>
          <w:tcPr>
            <w:tcW w:w="432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consolidated financial statements for information on</w:t>
            </w:r>
          </w:p>
        </w:tc>
        <w:tc>
          <w:tcPr>
            <w:tcW w:w="0" w:type="dxa"/>
            <w:vAlign w:val="bottom"/>
          </w:tcPr>
          <w:p>
            <w:pPr>
              <w:spacing w:after="0"/>
              <w:rPr>
                <w:sz w:val="1"/>
                <w:szCs w:val="1"/>
                <w:color w:val="auto"/>
              </w:rPr>
            </w:pPr>
          </w:p>
        </w:tc>
      </w:tr>
      <w:tr>
        <w:trPr>
          <w:trHeight w:val="108"/>
        </w:trPr>
        <w:tc>
          <w:tcPr>
            <w:tcW w:w="1640" w:type="dxa"/>
            <w:vAlign w:val="bottom"/>
            <w:tcBorders>
              <w:left w:val="single" w:sz="8" w:color="auto"/>
              <w:right w:val="single" w:sz="8" w:color="auto"/>
            </w:tcBorders>
          </w:tcPr>
          <w:p>
            <w:pPr>
              <w:spacing w:after="0"/>
              <w:rPr>
                <w:sz w:val="9"/>
                <w:szCs w:val="9"/>
                <w:color w:val="auto"/>
              </w:rPr>
            </w:pPr>
          </w:p>
        </w:tc>
        <w:tc>
          <w:tcPr>
            <w:tcW w:w="1720" w:type="dxa"/>
            <w:vAlign w:val="bottom"/>
            <w:tcBorders>
              <w:right w:val="single" w:sz="8" w:color="auto"/>
            </w:tcBorders>
            <w:vMerge w:val="continue"/>
          </w:tcPr>
          <w:p>
            <w:pPr>
              <w:spacing w:after="0"/>
              <w:rPr>
                <w:sz w:val="9"/>
                <w:szCs w:val="9"/>
                <w:color w:val="auto"/>
              </w:rPr>
            </w:pPr>
          </w:p>
        </w:tc>
        <w:tc>
          <w:tcPr>
            <w:tcW w:w="1240" w:type="dxa"/>
            <w:vAlign w:val="bottom"/>
            <w:tcBorders>
              <w:right w:val="single" w:sz="8" w:color="auto"/>
            </w:tcBorders>
            <w:vMerge w:val="continue"/>
          </w:tcPr>
          <w:p>
            <w:pPr>
              <w:spacing w:after="0"/>
              <w:rPr>
                <w:sz w:val="9"/>
                <w:szCs w:val="9"/>
                <w:color w:val="auto"/>
              </w:rPr>
            </w:pPr>
          </w:p>
        </w:tc>
        <w:tc>
          <w:tcPr>
            <w:tcW w:w="2520" w:type="dxa"/>
            <w:vAlign w:val="bottom"/>
            <w:tcBorders>
              <w:right w:val="single" w:sz="8" w:color="auto"/>
            </w:tcBorders>
            <w:gridSpan w:val="2"/>
            <w:vMerge w:val="continue"/>
          </w:tcPr>
          <w:p>
            <w:pPr>
              <w:spacing w:after="0"/>
              <w:rPr>
                <w:sz w:val="9"/>
                <w:szCs w:val="9"/>
                <w:color w:val="auto"/>
              </w:rPr>
            </w:pPr>
          </w:p>
        </w:tc>
        <w:tc>
          <w:tcPr>
            <w:tcW w:w="432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the U.S. approval.</w:t>
            </w:r>
          </w:p>
        </w:tc>
        <w:tc>
          <w:tcPr>
            <w:tcW w:w="0" w:type="dxa"/>
            <w:vAlign w:val="bottom"/>
          </w:tcPr>
          <w:p>
            <w:pPr>
              <w:spacing w:after="0"/>
              <w:rPr>
                <w:sz w:val="1"/>
                <w:szCs w:val="1"/>
                <w:color w:val="auto"/>
              </w:rPr>
            </w:pPr>
          </w:p>
        </w:tc>
      </w:tr>
      <w:tr>
        <w:trPr>
          <w:trHeight w:val="140"/>
        </w:trPr>
        <w:tc>
          <w:tcPr>
            <w:tcW w:w="1640" w:type="dxa"/>
            <w:vAlign w:val="bottom"/>
            <w:tcBorders>
              <w:left w:val="single" w:sz="8" w:color="auto"/>
              <w:bottom w:val="single" w:sz="8" w:color="auto"/>
              <w:right w:val="single" w:sz="8" w:color="auto"/>
            </w:tcBorders>
          </w:tcPr>
          <w:p>
            <w:pPr>
              <w:spacing w:after="0"/>
              <w:rPr>
                <w:sz w:val="12"/>
                <w:szCs w:val="12"/>
                <w:color w:val="auto"/>
              </w:rPr>
            </w:pPr>
          </w:p>
        </w:tc>
        <w:tc>
          <w:tcPr>
            <w:tcW w:w="1720" w:type="dxa"/>
            <w:vAlign w:val="bottom"/>
            <w:tcBorders>
              <w:bottom w:val="single" w:sz="8" w:color="auto"/>
              <w:right w:val="single" w:sz="8" w:color="auto"/>
            </w:tcBorders>
          </w:tcPr>
          <w:p>
            <w:pPr>
              <w:spacing w:after="0"/>
              <w:rPr>
                <w:sz w:val="12"/>
                <w:szCs w:val="12"/>
                <w:color w:val="auto"/>
              </w:rPr>
            </w:pPr>
          </w:p>
        </w:tc>
        <w:tc>
          <w:tcPr>
            <w:tcW w:w="1240" w:type="dxa"/>
            <w:vAlign w:val="bottom"/>
            <w:tcBorders>
              <w:bottom w:val="single" w:sz="8" w:color="auto"/>
              <w:right w:val="single" w:sz="8" w:color="auto"/>
            </w:tcBorders>
          </w:tcPr>
          <w:p>
            <w:pPr>
              <w:spacing w:after="0"/>
              <w:rPr>
                <w:sz w:val="12"/>
                <w:szCs w:val="12"/>
                <w:color w:val="auto"/>
              </w:rPr>
            </w:pPr>
          </w:p>
        </w:tc>
        <w:tc>
          <w:tcPr>
            <w:tcW w:w="1260" w:type="dxa"/>
            <w:vAlign w:val="bottom"/>
            <w:tcBorders>
              <w:bottom w:val="single" w:sz="8" w:color="auto"/>
            </w:tcBorders>
          </w:tcPr>
          <w:p>
            <w:pPr>
              <w:spacing w:after="0"/>
              <w:rPr>
                <w:sz w:val="12"/>
                <w:szCs w:val="12"/>
                <w:color w:val="auto"/>
              </w:rPr>
            </w:pPr>
          </w:p>
        </w:tc>
        <w:tc>
          <w:tcPr>
            <w:tcW w:w="1260" w:type="dxa"/>
            <w:vAlign w:val="bottom"/>
            <w:tcBorders>
              <w:bottom w:val="single" w:sz="8" w:color="auto"/>
              <w:right w:val="single" w:sz="8" w:color="auto"/>
            </w:tcBorders>
          </w:tcPr>
          <w:p>
            <w:pPr>
              <w:spacing w:after="0"/>
              <w:rPr>
                <w:sz w:val="12"/>
                <w:szCs w:val="12"/>
                <w:color w:val="auto"/>
              </w:rPr>
            </w:pPr>
          </w:p>
        </w:tc>
        <w:tc>
          <w:tcPr>
            <w:tcW w:w="4320" w:type="dxa"/>
            <w:vAlign w:val="bottom"/>
            <w:tcBorders>
              <w:bottom w:val="single" w:sz="8" w:color="auto"/>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1640" w:type="dxa"/>
            <w:vAlign w:val="bottom"/>
            <w:tcBorders>
              <w:left w:val="single" w:sz="8" w:color="auto"/>
              <w:right w:val="single" w:sz="8" w:color="auto"/>
            </w:tcBorders>
          </w:tcPr>
          <w:p>
            <w:pPr>
              <w:spacing w:after="0"/>
              <w:rPr>
                <w:sz w:val="17"/>
                <w:szCs w:val="17"/>
                <w:color w:val="auto"/>
              </w:rPr>
            </w:pPr>
          </w:p>
        </w:tc>
        <w:tc>
          <w:tcPr>
            <w:tcW w:w="1720" w:type="dxa"/>
            <w:vAlign w:val="bottom"/>
            <w:tcBorders>
              <w:right w:val="single" w:sz="8" w:color="auto"/>
            </w:tcBorders>
          </w:tcPr>
          <w:p>
            <w:pPr>
              <w:spacing w:after="0"/>
              <w:rPr>
                <w:sz w:val="17"/>
                <w:szCs w:val="17"/>
                <w:color w:val="auto"/>
              </w:rPr>
            </w:pPr>
          </w:p>
        </w:tc>
        <w:tc>
          <w:tcPr>
            <w:tcW w:w="1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60" w:type="dxa"/>
            <w:vAlign w:val="bottom"/>
            <w:tcBorders>
              <w:right w:val="single" w:sz="8" w:color="auto"/>
            </w:tcBorders>
          </w:tcPr>
          <w:p>
            <w:pPr>
              <w:spacing w:after="0"/>
              <w:rPr>
                <w:sz w:val="17"/>
                <w:szCs w:val="17"/>
                <w:color w:val="auto"/>
              </w:rPr>
            </w:pPr>
          </w:p>
        </w:tc>
        <w:tc>
          <w:tcPr>
            <w:tcW w:w="4320" w:type="dxa"/>
            <w:vAlign w:val="bottom"/>
            <w:tcBorders>
              <w:right w:val="single" w:sz="8" w:color="auto"/>
            </w:tcBorders>
          </w:tcPr>
          <w:p>
            <w:pPr>
              <w:spacing w:after="0" w:line="205" w:lineRule="exact"/>
              <w:rPr>
                <w:sz w:val="20"/>
                <w:szCs w:val="20"/>
                <w:color w:val="auto"/>
              </w:rPr>
            </w:pPr>
            <w:r>
              <w:rPr>
                <w:rFonts w:ascii="Arial" w:cs="Arial" w:eastAsia="Arial" w:hAnsi="Arial"/>
                <w:sz w:val="18"/>
                <w:szCs w:val="18"/>
                <w:color w:val="auto"/>
              </w:rPr>
              <w:t>Launched in certain European countries in first</w:t>
            </w:r>
          </w:p>
        </w:tc>
        <w:tc>
          <w:tcPr>
            <w:tcW w:w="0" w:type="dxa"/>
            <w:vAlign w:val="bottom"/>
          </w:tcPr>
          <w:p>
            <w:pPr>
              <w:spacing w:after="0"/>
              <w:rPr>
                <w:sz w:val="1"/>
                <w:szCs w:val="1"/>
                <w:color w:val="auto"/>
              </w:rPr>
            </w:pPr>
          </w:p>
        </w:tc>
      </w:tr>
      <w:tr>
        <w:trPr>
          <w:trHeight w:val="203"/>
        </w:trPr>
        <w:tc>
          <w:tcPr>
            <w:tcW w:w="1640" w:type="dxa"/>
            <w:vAlign w:val="bottom"/>
            <w:tcBorders>
              <w:left w:val="single" w:sz="8" w:color="auto"/>
              <w:right w:val="single" w:sz="8" w:color="auto"/>
            </w:tcBorders>
          </w:tcPr>
          <w:p>
            <w:pPr>
              <w:ind w:left="40"/>
              <w:spacing w:after="0" w:line="203" w:lineRule="exact"/>
              <w:rPr>
                <w:sz w:val="20"/>
                <w:szCs w:val="20"/>
                <w:color w:val="auto"/>
              </w:rPr>
            </w:pPr>
            <w:r>
              <w:rPr>
                <w:rFonts w:ascii="Arial" w:cs="Arial" w:eastAsia="Arial" w:hAnsi="Arial"/>
                <w:sz w:val="18"/>
                <w:szCs w:val="18"/>
                <w:color w:val="auto"/>
              </w:rPr>
              <w:t>Trulicity</w:t>
            </w:r>
            <w:r>
              <w:rPr>
                <w:rFonts w:ascii="Arial" w:cs="Arial" w:eastAsia="Arial" w:hAnsi="Arial"/>
                <w:sz w:val="21"/>
                <w:szCs w:val="21"/>
                <w:color w:val="auto"/>
                <w:vertAlign w:val="superscript"/>
              </w:rPr>
              <w:t>®</w:t>
            </w:r>
          </w:p>
        </w:tc>
        <w:tc>
          <w:tcPr>
            <w:tcW w:w="172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Type 2 diabetes</w:t>
            </w:r>
          </w:p>
        </w:tc>
        <w:tc>
          <w:tcPr>
            <w:tcW w:w="1240" w:type="dxa"/>
            <w:vAlign w:val="bottom"/>
          </w:tcPr>
          <w:p>
            <w:pPr>
              <w:spacing w:after="0"/>
              <w:rPr>
                <w:sz w:val="17"/>
                <w:szCs w:val="17"/>
                <w:color w:val="auto"/>
              </w:rPr>
            </w:pPr>
          </w:p>
        </w:tc>
        <w:tc>
          <w:tcPr>
            <w:tcW w:w="1260" w:type="dxa"/>
            <w:vAlign w:val="bottom"/>
          </w:tcPr>
          <w:p>
            <w:pPr>
              <w:jc w:val="center"/>
              <w:spacing w:after="0" w:line="202" w:lineRule="exact"/>
              <w:rPr>
                <w:sz w:val="20"/>
                <w:szCs w:val="20"/>
                <w:color w:val="auto"/>
              </w:rPr>
            </w:pPr>
            <w:r>
              <w:rPr>
                <w:rFonts w:ascii="Arial" w:cs="Arial" w:eastAsia="Arial" w:hAnsi="Arial"/>
                <w:sz w:val="18"/>
                <w:szCs w:val="18"/>
                <w:color w:val="auto"/>
                <w:w w:val="98"/>
              </w:rPr>
              <w:t>Launched</w:t>
            </w:r>
          </w:p>
        </w:tc>
        <w:tc>
          <w:tcPr>
            <w:tcW w:w="1260" w:type="dxa"/>
            <w:vAlign w:val="bottom"/>
            <w:tcBorders>
              <w:right w:val="single" w:sz="8" w:color="auto"/>
            </w:tcBorders>
          </w:tcPr>
          <w:p>
            <w:pPr>
              <w:spacing w:after="0"/>
              <w:rPr>
                <w:sz w:val="17"/>
                <w:szCs w:val="17"/>
                <w:color w:val="auto"/>
              </w:rPr>
            </w:pPr>
          </w:p>
        </w:tc>
        <w:tc>
          <w:tcPr>
            <w:tcW w:w="432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quarter of 2015. In Japan, approved and launched in</w:t>
            </w:r>
          </w:p>
        </w:tc>
        <w:tc>
          <w:tcPr>
            <w:tcW w:w="0" w:type="dxa"/>
            <w:vAlign w:val="bottom"/>
          </w:tcPr>
          <w:p>
            <w:pPr>
              <w:spacing w:after="0"/>
              <w:rPr>
                <w:sz w:val="1"/>
                <w:szCs w:val="1"/>
                <w:color w:val="auto"/>
              </w:rPr>
            </w:pPr>
          </w:p>
        </w:tc>
      </w:tr>
      <w:tr>
        <w:trPr>
          <w:trHeight w:val="248"/>
        </w:trPr>
        <w:tc>
          <w:tcPr>
            <w:tcW w:w="1640" w:type="dxa"/>
            <w:vAlign w:val="bottom"/>
            <w:tcBorders>
              <w:left w:val="single" w:sz="8" w:color="auto"/>
              <w:bottom w:val="single" w:sz="8" w:color="auto"/>
              <w:right w:val="single" w:sz="8" w:color="auto"/>
            </w:tcBorders>
          </w:tcPr>
          <w:p>
            <w:pPr>
              <w:spacing w:after="0"/>
              <w:rPr>
                <w:sz w:val="21"/>
                <w:szCs w:val="21"/>
                <w:color w:val="auto"/>
              </w:rPr>
            </w:pPr>
          </w:p>
        </w:tc>
        <w:tc>
          <w:tcPr>
            <w:tcW w:w="1720" w:type="dxa"/>
            <w:vAlign w:val="bottom"/>
            <w:tcBorders>
              <w:bottom w:val="single" w:sz="8" w:color="auto"/>
              <w:right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1260" w:type="dxa"/>
            <w:vAlign w:val="bottom"/>
            <w:tcBorders>
              <w:bottom w:val="single" w:sz="8" w:color="auto"/>
              <w:right w:val="single" w:sz="8" w:color="auto"/>
            </w:tcBorders>
          </w:tcPr>
          <w:p>
            <w:pPr>
              <w:spacing w:after="0"/>
              <w:rPr>
                <w:sz w:val="21"/>
                <w:szCs w:val="21"/>
                <w:color w:val="auto"/>
              </w:rPr>
            </w:pPr>
          </w:p>
        </w:tc>
        <w:tc>
          <w:tcPr>
            <w:tcW w:w="4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third quarter of 2015.</w:t>
            </w:r>
          </w:p>
        </w:tc>
        <w:tc>
          <w:tcPr>
            <w:tcW w:w="0" w:type="dxa"/>
            <w:vAlign w:val="bottom"/>
          </w:tcPr>
          <w:p>
            <w:pPr>
              <w:spacing w:after="0"/>
              <w:rPr>
                <w:sz w:val="1"/>
                <w:szCs w:val="1"/>
                <w:color w:val="auto"/>
              </w:rPr>
            </w:pPr>
          </w:p>
        </w:tc>
      </w:tr>
      <w:tr>
        <w:trPr>
          <w:trHeight w:val="457"/>
        </w:trPr>
        <w:tc>
          <w:tcPr>
            <w:tcW w:w="16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320" w:type="dxa"/>
            <w:vAlign w:val="bottom"/>
          </w:tcPr>
          <w:p>
            <w:pPr>
              <w:ind w:left="4120"/>
              <w:spacing w:after="0"/>
              <w:rPr>
                <w:sz w:val="20"/>
                <w:szCs w:val="20"/>
                <w:color w:val="auto"/>
              </w:rPr>
            </w:pPr>
            <w:r>
              <w:rPr>
                <w:rFonts w:ascii="Times New Roman" w:cs="Times New Roman" w:eastAsia="Times New Roman" w:hAnsi="Times New Roman"/>
                <w:sz w:val="18"/>
                <w:szCs w:val="18"/>
                <w:b w:val="1"/>
                <w:bCs w:val="1"/>
                <w:i w:val="1"/>
                <w:iCs w:val="1"/>
                <w:color w:val="auto"/>
                <w:w w:val="88"/>
              </w:rPr>
              <w:t>33</w:t>
            </w:r>
          </w:p>
        </w:tc>
        <w:tc>
          <w:tcPr>
            <w:tcW w:w="0" w:type="dxa"/>
            <w:vAlign w:val="bottom"/>
          </w:tcPr>
          <w:p>
            <w:pPr>
              <w:spacing w:after="0"/>
              <w:rPr>
                <w:sz w:val="1"/>
                <w:szCs w:val="1"/>
                <w:color w:val="auto"/>
              </w:rPr>
            </w:pPr>
          </w:p>
        </w:tc>
      </w:tr>
    </w:tbl>
    <w:p>
      <w:pPr>
        <w:sectPr>
          <w:pgSz w:w="11900" w:h="16838" w:orient="portrait"/>
          <w:cols w:equalWidth="0" w:num="1">
            <w:col w:w="11440"/>
          </w:cols>
          <w:pgMar w:left="240" w:top="822" w:right="219" w:bottom="1440" w:gutter="0" w:footer="0" w:header="0"/>
        </w:sectPr>
      </w:pPr>
    </w:p>
    <w:bookmarkStart w:id="33" w:name="page34"/>
    <w:bookmarkEnd w:id="3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69"/>
        </w:trPr>
        <w:tc>
          <w:tcPr>
            <w:tcW w:w="1640" w:type="dxa"/>
            <w:vAlign w:val="bottom"/>
            <w:tcBorders>
              <w:top w:val="single" w:sz="8" w:color="auto"/>
              <w:left w:val="single" w:sz="8" w:color="auto"/>
              <w:bottom w:val="single" w:sz="8" w:color="auto"/>
              <w:right w:val="single" w:sz="8" w:color="auto"/>
            </w:tcBorders>
            <w:shd w:val="clear" w:color="auto" w:fill="D8D8D8"/>
          </w:tcPr>
          <w:p>
            <w:pPr>
              <w:ind w:left="40"/>
              <w:spacing w:after="0"/>
              <w:rPr>
                <w:sz w:val="20"/>
                <w:szCs w:val="20"/>
                <w:color w:val="auto"/>
              </w:rPr>
            </w:pPr>
            <w:r>
              <w:rPr>
                <w:rFonts w:ascii="Arial" w:cs="Arial" w:eastAsia="Arial" w:hAnsi="Arial"/>
                <w:sz w:val="18"/>
                <w:szCs w:val="18"/>
                <w:b w:val="1"/>
                <w:bCs w:val="1"/>
                <w:color w:val="auto"/>
              </w:rPr>
              <w:t>Compound</w:t>
            </w:r>
          </w:p>
        </w:tc>
        <w:tc>
          <w:tcPr>
            <w:tcW w:w="1720" w:type="dxa"/>
            <w:vAlign w:val="bottom"/>
            <w:tcBorders>
              <w:top w:val="single" w:sz="8" w:color="auto"/>
              <w:bottom w:val="single" w:sz="8" w:color="auto"/>
              <w:right w:val="single" w:sz="8" w:color="auto"/>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Indication</w:t>
            </w:r>
          </w:p>
        </w:tc>
        <w:tc>
          <w:tcPr>
            <w:tcW w:w="580" w:type="dxa"/>
            <w:vAlign w:val="bottom"/>
            <w:tcBorders>
              <w:top w:val="single" w:sz="8" w:color="auto"/>
              <w:bottom w:val="single" w:sz="8" w:color="auto"/>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U.S.</w:t>
            </w:r>
          </w:p>
        </w:tc>
        <w:tc>
          <w:tcPr>
            <w:tcW w:w="660" w:type="dxa"/>
            <w:vAlign w:val="bottom"/>
            <w:tcBorders>
              <w:top w:val="single" w:sz="8" w:color="auto"/>
              <w:bottom w:val="single" w:sz="8" w:color="auto"/>
              <w:right w:val="single" w:sz="8" w:color="auto"/>
            </w:tcBorders>
            <w:shd w:val="clear" w:color="auto" w:fill="D8D8D8"/>
          </w:tcPr>
          <w:p>
            <w:pPr>
              <w:spacing w:after="0"/>
              <w:rPr>
                <w:sz w:val="23"/>
                <w:szCs w:val="23"/>
                <w:color w:val="auto"/>
              </w:rPr>
            </w:pPr>
          </w:p>
        </w:tc>
        <w:tc>
          <w:tcPr>
            <w:tcW w:w="1260" w:type="dxa"/>
            <w:vAlign w:val="bottom"/>
            <w:tcBorders>
              <w:top w:val="single" w:sz="8" w:color="auto"/>
              <w:bottom w:val="single" w:sz="8" w:color="auto"/>
              <w:right w:val="single" w:sz="8" w:color="auto"/>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Europe</w:t>
            </w:r>
          </w:p>
        </w:tc>
        <w:tc>
          <w:tcPr>
            <w:tcW w:w="1260" w:type="dxa"/>
            <w:vAlign w:val="bottom"/>
            <w:tcBorders>
              <w:top w:val="single" w:sz="8" w:color="auto"/>
              <w:bottom w:val="single" w:sz="8" w:color="auto"/>
              <w:right w:val="single" w:sz="8" w:color="auto"/>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Japan</w:t>
            </w:r>
          </w:p>
        </w:tc>
        <w:tc>
          <w:tcPr>
            <w:tcW w:w="4320" w:type="dxa"/>
            <w:vAlign w:val="bottom"/>
            <w:tcBorders>
              <w:top w:val="single" w:sz="8" w:color="auto"/>
              <w:bottom w:val="single" w:sz="8" w:color="auto"/>
              <w:right w:val="single" w:sz="8" w:color="auto"/>
            </w:tcBorders>
            <w:shd w:val="clear" w:color="auto" w:fill="D8D8D8"/>
          </w:tcPr>
          <w:p>
            <w:pPr>
              <w:spacing w:after="0"/>
              <w:rPr>
                <w:sz w:val="20"/>
                <w:szCs w:val="20"/>
                <w:color w:val="auto"/>
              </w:rPr>
            </w:pPr>
            <w:r>
              <w:rPr>
                <w:rFonts w:ascii="Arial" w:cs="Arial" w:eastAsia="Arial" w:hAnsi="Arial"/>
                <w:sz w:val="18"/>
                <w:szCs w:val="18"/>
                <w:b w:val="1"/>
                <w:bCs w:val="1"/>
                <w:color w:val="auto"/>
              </w:rPr>
              <w:t>Developments</w:t>
            </w:r>
          </w:p>
        </w:tc>
        <w:tc>
          <w:tcPr>
            <w:tcW w:w="0" w:type="dxa"/>
            <w:vAlign w:val="bottom"/>
          </w:tcPr>
          <w:p>
            <w:pPr>
              <w:spacing w:after="0"/>
              <w:rPr>
                <w:sz w:val="1"/>
                <w:szCs w:val="1"/>
                <w:color w:val="auto"/>
              </w:rPr>
            </w:pPr>
          </w:p>
        </w:tc>
      </w:tr>
      <w:tr>
        <w:trPr>
          <w:trHeight w:val="250"/>
        </w:trPr>
        <w:tc>
          <w:tcPr>
            <w:tcW w:w="16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rPr>
              <w:t>Immunology</w:t>
            </w:r>
          </w:p>
        </w:tc>
        <w:tc>
          <w:tcPr>
            <w:tcW w:w="172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43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1"/>
        </w:trPr>
        <w:tc>
          <w:tcPr>
            <w:tcW w:w="1640" w:type="dxa"/>
            <w:vAlign w:val="bottom"/>
            <w:tcBorders>
              <w:left w:val="single" w:sz="8" w:color="auto"/>
              <w:right w:val="single" w:sz="8" w:color="auto"/>
            </w:tcBorders>
          </w:tcPr>
          <w:p>
            <w:pPr>
              <w:spacing w:after="0"/>
              <w:rPr>
                <w:sz w:val="17"/>
                <w:szCs w:val="17"/>
                <w:color w:val="auto"/>
              </w:rPr>
            </w:pPr>
          </w:p>
        </w:tc>
        <w:tc>
          <w:tcPr>
            <w:tcW w:w="1720" w:type="dxa"/>
            <w:vAlign w:val="bottom"/>
            <w:tcBorders>
              <w:right w:val="single" w:sz="8" w:color="auto"/>
            </w:tcBorders>
          </w:tcPr>
          <w:p>
            <w:pPr>
              <w:spacing w:after="0"/>
              <w:rPr>
                <w:sz w:val="17"/>
                <w:szCs w:val="17"/>
                <w:color w:val="auto"/>
              </w:rPr>
            </w:pPr>
          </w:p>
        </w:tc>
        <w:tc>
          <w:tcPr>
            <w:tcW w:w="5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60" w:type="dxa"/>
            <w:vAlign w:val="bottom"/>
            <w:tcBorders>
              <w:right w:val="single" w:sz="8" w:color="auto"/>
            </w:tcBorders>
          </w:tcPr>
          <w:p>
            <w:pPr>
              <w:spacing w:after="0"/>
              <w:rPr>
                <w:sz w:val="17"/>
                <w:szCs w:val="17"/>
                <w:color w:val="auto"/>
              </w:rPr>
            </w:pPr>
          </w:p>
        </w:tc>
        <w:tc>
          <w:tcPr>
            <w:tcW w:w="1260" w:type="dxa"/>
            <w:vAlign w:val="bottom"/>
            <w:tcBorders>
              <w:right w:val="single" w:sz="8" w:color="auto"/>
            </w:tcBorders>
          </w:tcPr>
          <w:p>
            <w:pPr>
              <w:spacing w:after="0"/>
              <w:rPr>
                <w:sz w:val="17"/>
                <w:szCs w:val="17"/>
                <w:color w:val="auto"/>
              </w:rPr>
            </w:pPr>
          </w:p>
        </w:tc>
        <w:tc>
          <w:tcPr>
            <w:tcW w:w="432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color w:val="auto"/>
              </w:rPr>
              <w:t>Announced in February, September, and October</w:t>
            </w:r>
          </w:p>
        </w:tc>
        <w:tc>
          <w:tcPr>
            <w:tcW w:w="0" w:type="dxa"/>
            <w:vAlign w:val="bottom"/>
          </w:tcPr>
          <w:p>
            <w:pPr>
              <w:spacing w:after="0"/>
              <w:rPr>
                <w:sz w:val="1"/>
                <w:szCs w:val="1"/>
                <w:color w:val="auto"/>
              </w:rPr>
            </w:pPr>
          </w:p>
        </w:tc>
      </w:tr>
      <w:tr>
        <w:trPr>
          <w:trHeight w:val="203"/>
        </w:trPr>
        <w:tc>
          <w:tcPr>
            <w:tcW w:w="1640" w:type="dxa"/>
            <w:vAlign w:val="bottom"/>
            <w:tcBorders>
              <w:left w:val="single" w:sz="8" w:color="auto"/>
              <w:right w:val="single" w:sz="8" w:color="auto"/>
            </w:tcBorders>
          </w:tcPr>
          <w:p>
            <w:pPr>
              <w:spacing w:after="0"/>
              <w:rPr>
                <w:sz w:val="17"/>
                <w:szCs w:val="17"/>
                <w:color w:val="auto"/>
              </w:rPr>
            </w:pPr>
          </w:p>
        </w:tc>
        <w:tc>
          <w:tcPr>
            <w:tcW w:w="1720" w:type="dxa"/>
            <w:vAlign w:val="bottom"/>
            <w:tcBorders>
              <w:right w:val="single" w:sz="8" w:color="auto"/>
            </w:tcBorders>
          </w:tcPr>
          <w:p>
            <w:pPr>
              <w:spacing w:after="0"/>
              <w:rPr>
                <w:sz w:val="17"/>
                <w:szCs w:val="17"/>
                <w:color w:val="auto"/>
              </w:rPr>
            </w:pPr>
          </w:p>
        </w:tc>
        <w:tc>
          <w:tcPr>
            <w:tcW w:w="580" w:type="dxa"/>
            <w:vAlign w:val="bottom"/>
          </w:tcPr>
          <w:p>
            <w:pPr>
              <w:spacing w:after="0"/>
              <w:rPr>
                <w:sz w:val="17"/>
                <w:szCs w:val="17"/>
                <w:color w:val="auto"/>
              </w:rPr>
            </w:pPr>
          </w:p>
        </w:tc>
        <w:tc>
          <w:tcPr>
            <w:tcW w:w="1920" w:type="dxa"/>
            <w:vAlign w:val="bottom"/>
            <w:tcBorders>
              <w:right w:val="single" w:sz="8" w:color="auto"/>
            </w:tcBorders>
            <w:gridSpan w:val="2"/>
            <w:vMerge w:val="restart"/>
          </w:tcPr>
          <w:p>
            <w:pPr>
              <w:jc w:val="center"/>
              <w:ind w:right="530"/>
              <w:spacing w:after="0"/>
              <w:rPr>
                <w:sz w:val="20"/>
                <w:szCs w:val="20"/>
                <w:color w:val="auto"/>
              </w:rPr>
            </w:pPr>
            <w:r>
              <w:rPr>
                <w:rFonts w:ascii="Arial" w:cs="Arial" w:eastAsia="Arial" w:hAnsi="Arial"/>
                <w:sz w:val="20"/>
                <w:szCs w:val="20"/>
                <w:color w:val="auto"/>
                <w:w w:val="99"/>
              </w:rPr>
              <w:t>Submitted</w:t>
            </w:r>
          </w:p>
        </w:tc>
        <w:tc>
          <w:tcPr>
            <w:tcW w:w="1260" w:type="dxa"/>
            <w:vAlign w:val="bottom"/>
            <w:tcBorders>
              <w:right w:val="single" w:sz="8" w:color="auto"/>
            </w:tcBorders>
            <w:vMerge w:val="restart"/>
          </w:tcPr>
          <w:p>
            <w:pPr>
              <w:ind w:left="220"/>
              <w:spacing w:after="0"/>
              <w:rPr>
                <w:sz w:val="20"/>
                <w:szCs w:val="20"/>
                <w:color w:val="auto"/>
              </w:rPr>
            </w:pPr>
            <w:r>
              <w:rPr>
                <w:rFonts w:ascii="Arial" w:cs="Arial" w:eastAsia="Arial" w:hAnsi="Arial"/>
                <w:sz w:val="20"/>
                <w:szCs w:val="20"/>
                <w:color w:val="auto"/>
              </w:rPr>
              <w:t>Phase III</w:t>
            </w:r>
          </w:p>
        </w:tc>
        <w:tc>
          <w:tcPr>
            <w:tcW w:w="432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2015 top-line results of three Phase III trials which all</w:t>
            </w:r>
          </w:p>
        </w:tc>
        <w:tc>
          <w:tcPr>
            <w:tcW w:w="0" w:type="dxa"/>
            <w:vAlign w:val="bottom"/>
          </w:tcPr>
          <w:p>
            <w:pPr>
              <w:spacing w:after="0"/>
              <w:rPr>
                <w:sz w:val="1"/>
                <w:szCs w:val="1"/>
                <w:color w:val="auto"/>
              </w:rPr>
            </w:pPr>
          </w:p>
        </w:tc>
      </w:tr>
      <w:tr>
        <w:trPr>
          <w:trHeight w:val="203"/>
        </w:trPr>
        <w:tc>
          <w:tcPr>
            <w:tcW w:w="1640" w:type="dxa"/>
            <w:vAlign w:val="bottom"/>
            <w:tcBorders>
              <w:left w:val="single" w:sz="8" w:color="auto"/>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Baricitinib</w:t>
            </w:r>
          </w:p>
        </w:tc>
        <w:tc>
          <w:tcPr>
            <w:tcW w:w="172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Rheumatoid arthritis</w:t>
            </w:r>
          </w:p>
        </w:tc>
        <w:tc>
          <w:tcPr>
            <w:tcW w:w="580" w:type="dxa"/>
            <w:vAlign w:val="bottom"/>
          </w:tcPr>
          <w:p>
            <w:pPr>
              <w:spacing w:after="0"/>
              <w:rPr>
                <w:sz w:val="17"/>
                <w:szCs w:val="17"/>
                <w:color w:val="auto"/>
              </w:rPr>
            </w:pPr>
          </w:p>
        </w:tc>
        <w:tc>
          <w:tcPr>
            <w:tcW w:w="1920" w:type="dxa"/>
            <w:vAlign w:val="bottom"/>
            <w:tcBorders>
              <w:right w:val="single" w:sz="8" w:color="auto"/>
            </w:tcBorders>
            <w:gridSpan w:val="2"/>
            <w:vMerge w:val="continue"/>
          </w:tcPr>
          <w:p>
            <w:pPr>
              <w:spacing w:after="0"/>
              <w:rPr>
                <w:sz w:val="17"/>
                <w:szCs w:val="17"/>
                <w:color w:val="auto"/>
              </w:rPr>
            </w:pPr>
          </w:p>
        </w:tc>
        <w:tc>
          <w:tcPr>
            <w:tcW w:w="1260" w:type="dxa"/>
            <w:vAlign w:val="bottom"/>
            <w:tcBorders>
              <w:right w:val="single" w:sz="8" w:color="auto"/>
            </w:tcBorders>
            <w:vMerge w:val="continue"/>
          </w:tcPr>
          <w:p>
            <w:pPr>
              <w:spacing w:after="0"/>
              <w:rPr>
                <w:sz w:val="17"/>
                <w:szCs w:val="17"/>
                <w:color w:val="auto"/>
              </w:rPr>
            </w:pPr>
          </w:p>
        </w:tc>
        <w:tc>
          <w:tcPr>
            <w:tcW w:w="432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met primary endpoints. Submitted to regulatory</w:t>
            </w:r>
          </w:p>
        </w:tc>
        <w:tc>
          <w:tcPr>
            <w:tcW w:w="0" w:type="dxa"/>
            <w:vAlign w:val="bottom"/>
          </w:tcPr>
          <w:p>
            <w:pPr>
              <w:spacing w:after="0"/>
              <w:rPr>
                <w:sz w:val="1"/>
                <w:szCs w:val="1"/>
                <w:color w:val="auto"/>
              </w:rPr>
            </w:pPr>
          </w:p>
        </w:tc>
      </w:tr>
      <w:tr>
        <w:trPr>
          <w:trHeight w:val="203"/>
        </w:trPr>
        <w:tc>
          <w:tcPr>
            <w:tcW w:w="1640" w:type="dxa"/>
            <w:vAlign w:val="bottom"/>
            <w:tcBorders>
              <w:left w:val="single" w:sz="8" w:color="auto"/>
              <w:right w:val="single" w:sz="8" w:color="auto"/>
            </w:tcBorders>
          </w:tcPr>
          <w:p>
            <w:pPr>
              <w:spacing w:after="0"/>
              <w:rPr>
                <w:sz w:val="17"/>
                <w:szCs w:val="17"/>
                <w:color w:val="auto"/>
              </w:rPr>
            </w:pPr>
          </w:p>
        </w:tc>
        <w:tc>
          <w:tcPr>
            <w:tcW w:w="1720" w:type="dxa"/>
            <w:vAlign w:val="bottom"/>
            <w:tcBorders>
              <w:right w:val="single" w:sz="8" w:color="auto"/>
            </w:tcBorders>
          </w:tcPr>
          <w:p>
            <w:pPr>
              <w:spacing w:after="0"/>
              <w:rPr>
                <w:sz w:val="17"/>
                <w:szCs w:val="17"/>
                <w:color w:val="auto"/>
              </w:rPr>
            </w:pPr>
          </w:p>
        </w:tc>
        <w:tc>
          <w:tcPr>
            <w:tcW w:w="5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60" w:type="dxa"/>
            <w:vAlign w:val="bottom"/>
            <w:tcBorders>
              <w:right w:val="single" w:sz="8" w:color="auto"/>
            </w:tcBorders>
          </w:tcPr>
          <w:p>
            <w:pPr>
              <w:spacing w:after="0"/>
              <w:rPr>
                <w:sz w:val="17"/>
                <w:szCs w:val="17"/>
                <w:color w:val="auto"/>
              </w:rPr>
            </w:pPr>
          </w:p>
        </w:tc>
        <w:tc>
          <w:tcPr>
            <w:tcW w:w="1260" w:type="dxa"/>
            <w:vAlign w:val="bottom"/>
            <w:tcBorders>
              <w:right w:val="single" w:sz="8" w:color="auto"/>
            </w:tcBorders>
          </w:tcPr>
          <w:p>
            <w:pPr>
              <w:spacing w:after="0"/>
              <w:rPr>
                <w:sz w:val="17"/>
                <w:szCs w:val="17"/>
                <w:color w:val="auto"/>
              </w:rPr>
            </w:pPr>
          </w:p>
        </w:tc>
        <w:tc>
          <w:tcPr>
            <w:tcW w:w="432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authorities in the U.S. and Europe in first quarter of</w:t>
            </w:r>
          </w:p>
        </w:tc>
        <w:tc>
          <w:tcPr>
            <w:tcW w:w="0" w:type="dxa"/>
            <w:vAlign w:val="bottom"/>
          </w:tcPr>
          <w:p>
            <w:pPr>
              <w:spacing w:after="0"/>
              <w:rPr>
                <w:sz w:val="1"/>
                <w:szCs w:val="1"/>
                <w:color w:val="auto"/>
              </w:rPr>
            </w:pPr>
          </w:p>
        </w:tc>
      </w:tr>
      <w:tr>
        <w:trPr>
          <w:trHeight w:val="248"/>
        </w:trPr>
        <w:tc>
          <w:tcPr>
            <w:tcW w:w="1640" w:type="dxa"/>
            <w:vAlign w:val="bottom"/>
            <w:tcBorders>
              <w:left w:val="single" w:sz="8" w:color="auto"/>
              <w:bottom w:val="single" w:sz="8" w:color="auto"/>
              <w:right w:val="single" w:sz="8" w:color="auto"/>
            </w:tcBorders>
          </w:tcPr>
          <w:p>
            <w:pPr>
              <w:spacing w:after="0"/>
              <w:rPr>
                <w:sz w:val="21"/>
                <w:szCs w:val="21"/>
                <w:color w:val="auto"/>
              </w:rPr>
            </w:pPr>
          </w:p>
        </w:tc>
        <w:tc>
          <w:tcPr>
            <w:tcW w:w="1720" w:type="dxa"/>
            <w:vAlign w:val="bottom"/>
            <w:tcBorders>
              <w:bottom w:val="single" w:sz="8" w:color="auto"/>
              <w:right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1260" w:type="dxa"/>
            <w:vAlign w:val="bottom"/>
            <w:tcBorders>
              <w:bottom w:val="single" w:sz="8" w:color="auto"/>
              <w:right w:val="single" w:sz="8" w:color="auto"/>
            </w:tcBorders>
          </w:tcPr>
          <w:p>
            <w:pPr>
              <w:spacing w:after="0"/>
              <w:rPr>
                <w:sz w:val="21"/>
                <w:szCs w:val="21"/>
                <w:color w:val="auto"/>
              </w:rPr>
            </w:pPr>
          </w:p>
        </w:tc>
        <w:tc>
          <w:tcPr>
            <w:tcW w:w="1260" w:type="dxa"/>
            <w:vAlign w:val="bottom"/>
            <w:tcBorders>
              <w:bottom w:val="single" w:sz="8" w:color="auto"/>
              <w:right w:val="single" w:sz="8" w:color="auto"/>
            </w:tcBorders>
          </w:tcPr>
          <w:p>
            <w:pPr>
              <w:spacing w:after="0"/>
              <w:rPr>
                <w:sz w:val="21"/>
                <w:szCs w:val="21"/>
                <w:color w:val="auto"/>
              </w:rPr>
            </w:pPr>
          </w:p>
        </w:tc>
        <w:tc>
          <w:tcPr>
            <w:tcW w:w="4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205"/>
        </w:trPr>
        <w:tc>
          <w:tcPr>
            <w:tcW w:w="1640" w:type="dxa"/>
            <w:vAlign w:val="bottom"/>
            <w:tcBorders>
              <w:left w:val="single" w:sz="8" w:color="auto"/>
              <w:right w:val="single" w:sz="8" w:color="auto"/>
            </w:tcBorders>
          </w:tcPr>
          <w:p>
            <w:pPr>
              <w:spacing w:after="0"/>
              <w:rPr>
                <w:sz w:val="17"/>
                <w:szCs w:val="17"/>
                <w:color w:val="auto"/>
              </w:rPr>
            </w:pPr>
          </w:p>
        </w:tc>
        <w:tc>
          <w:tcPr>
            <w:tcW w:w="1720" w:type="dxa"/>
            <w:vAlign w:val="bottom"/>
            <w:tcBorders>
              <w:right w:val="single" w:sz="8" w:color="auto"/>
            </w:tcBorders>
          </w:tcPr>
          <w:p>
            <w:pPr>
              <w:spacing w:after="0"/>
              <w:rPr>
                <w:sz w:val="17"/>
                <w:szCs w:val="17"/>
                <w:color w:val="auto"/>
              </w:rPr>
            </w:pPr>
          </w:p>
        </w:tc>
        <w:tc>
          <w:tcPr>
            <w:tcW w:w="5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60" w:type="dxa"/>
            <w:vAlign w:val="bottom"/>
            <w:tcBorders>
              <w:right w:val="single" w:sz="8" w:color="auto"/>
            </w:tcBorders>
          </w:tcPr>
          <w:p>
            <w:pPr>
              <w:spacing w:after="0"/>
              <w:rPr>
                <w:sz w:val="17"/>
                <w:szCs w:val="17"/>
                <w:color w:val="auto"/>
              </w:rPr>
            </w:pPr>
          </w:p>
        </w:tc>
        <w:tc>
          <w:tcPr>
            <w:tcW w:w="4320" w:type="dxa"/>
            <w:vAlign w:val="bottom"/>
            <w:tcBorders>
              <w:right w:val="single" w:sz="8" w:color="auto"/>
            </w:tcBorders>
          </w:tcPr>
          <w:p>
            <w:pPr>
              <w:spacing w:after="0" w:line="205" w:lineRule="exact"/>
              <w:rPr>
                <w:sz w:val="20"/>
                <w:szCs w:val="20"/>
                <w:color w:val="auto"/>
              </w:rPr>
            </w:pPr>
            <w:r>
              <w:rPr>
                <w:rFonts w:ascii="Arial" w:cs="Arial" w:eastAsia="Arial" w:hAnsi="Arial"/>
                <w:sz w:val="18"/>
                <w:szCs w:val="18"/>
                <w:color w:val="auto"/>
              </w:rPr>
              <w:t>Submitted to regulatory authorities in the U.S.,</w:t>
            </w:r>
          </w:p>
        </w:tc>
        <w:tc>
          <w:tcPr>
            <w:tcW w:w="0" w:type="dxa"/>
            <w:vAlign w:val="bottom"/>
          </w:tcPr>
          <w:p>
            <w:pPr>
              <w:spacing w:after="0"/>
              <w:rPr>
                <w:sz w:val="1"/>
                <w:szCs w:val="1"/>
                <w:color w:val="auto"/>
              </w:rPr>
            </w:pPr>
          </w:p>
        </w:tc>
      </w:tr>
      <w:tr>
        <w:trPr>
          <w:trHeight w:val="203"/>
        </w:trPr>
        <w:tc>
          <w:tcPr>
            <w:tcW w:w="1640" w:type="dxa"/>
            <w:vAlign w:val="bottom"/>
            <w:tcBorders>
              <w:left w:val="single" w:sz="8" w:color="auto"/>
              <w:right w:val="single" w:sz="8" w:color="auto"/>
            </w:tcBorders>
          </w:tcPr>
          <w:p>
            <w:pPr>
              <w:spacing w:after="0"/>
              <w:rPr>
                <w:sz w:val="17"/>
                <w:szCs w:val="17"/>
                <w:color w:val="auto"/>
              </w:rPr>
            </w:pPr>
          </w:p>
        </w:tc>
        <w:tc>
          <w:tcPr>
            <w:tcW w:w="172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Psoriasis</w:t>
            </w:r>
          </w:p>
        </w:tc>
        <w:tc>
          <w:tcPr>
            <w:tcW w:w="5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60" w:type="dxa"/>
            <w:vAlign w:val="bottom"/>
          </w:tcPr>
          <w:p>
            <w:pPr>
              <w:jc w:val="center"/>
              <w:spacing w:after="0" w:line="202" w:lineRule="exact"/>
              <w:rPr>
                <w:sz w:val="20"/>
                <w:szCs w:val="20"/>
                <w:color w:val="auto"/>
              </w:rPr>
            </w:pPr>
            <w:r>
              <w:rPr>
                <w:rFonts w:ascii="Arial" w:cs="Arial" w:eastAsia="Arial" w:hAnsi="Arial"/>
                <w:sz w:val="18"/>
                <w:szCs w:val="18"/>
                <w:color w:val="auto"/>
              </w:rPr>
              <w:t>Submitted</w:t>
            </w:r>
          </w:p>
        </w:tc>
        <w:tc>
          <w:tcPr>
            <w:tcW w:w="1260" w:type="dxa"/>
            <w:vAlign w:val="bottom"/>
            <w:tcBorders>
              <w:right w:val="single" w:sz="8" w:color="auto"/>
            </w:tcBorders>
          </w:tcPr>
          <w:p>
            <w:pPr>
              <w:spacing w:after="0"/>
              <w:rPr>
                <w:sz w:val="17"/>
                <w:szCs w:val="17"/>
                <w:color w:val="auto"/>
              </w:rPr>
            </w:pPr>
          </w:p>
        </w:tc>
        <w:tc>
          <w:tcPr>
            <w:tcW w:w="432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Europe, and Japan in first, second, and third quarter</w:t>
            </w:r>
          </w:p>
        </w:tc>
        <w:tc>
          <w:tcPr>
            <w:tcW w:w="0" w:type="dxa"/>
            <w:vAlign w:val="bottom"/>
          </w:tcPr>
          <w:p>
            <w:pPr>
              <w:spacing w:after="0"/>
              <w:rPr>
                <w:sz w:val="1"/>
                <w:szCs w:val="1"/>
                <w:color w:val="auto"/>
              </w:rPr>
            </w:pPr>
          </w:p>
        </w:tc>
      </w:tr>
      <w:tr>
        <w:trPr>
          <w:trHeight w:val="246"/>
        </w:trPr>
        <w:tc>
          <w:tcPr>
            <w:tcW w:w="16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Ixekizumab</w:t>
            </w:r>
          </w:p>
        </w:tc>
        <w:tc>
          <w:tcPr>
            <w:tcW w:w="1720" w:type="dxa"/>
            <w:vAlign w:val="bottom"/>
            <w:tcBorders>
              <w:bottom w:val="single" w:sz="8" w:color="auto"/>
              <w:right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1260" w:type="dxa"/>
            <w:vAlign w:val="bottom"/>
            <w:tcBorders>
              <w:bottom w:val="single" w:sz="8" w:color="auto"/>
              <w:right w:val="single" w:sz="8" w:color="auto"/>
            </w:tcBorders>
          </w:tcPr>
          <w:p>
            <w:pPr>
              <w:spacing w:after="0"/>
              <w:rPr>
                <w:sz w:val="21"/>
                <w:szCs w:val="21"/>
                <w:color w:val="auto"/>
              </w:rPr>
            </w:pPr>
          </w:p>
        </w:tc>
        <w:tc>
          <w:tcPr>
            <w:tcW w:w="4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of 2015, respectively.</w:t>
            </w:r>
          </w:p>
        </w:tc>
        <w:tc>
          <w:tcPr>
            <w:tcW w:w="0" w:type="dxa"/>
            <w:vAlign w:val="bottom"/>
          </w:tcPr>
          <w:p>
            <w:pPr>
              <w:spacing w:after="0"/>
              <w:rPr>
                <w:sz w:val="1"/>
                <w:szCs w:val="1"/>
                <w:color w:val="auto"/>
              </w:rPr>
            </w:pPr>
          </w:p>
        </w:tc>
      </w:tr>
      <w:tr>
        <w:trPr>
          <w:trHeight w:val="207"/>
        </w:trPr>
        <w:tc>
          <w:tcPr>
            <w:tcW w:w="1640" w:type="dxa"/>
            <w:vAlign w:val="bottom"/>
            <w:tcBorders>
              <w:left w:val="single" w:sz="8" w:color="auto"/>
              <w:right w:val="single" w:sz="8" w:color="auto"/>
            </w:tcBorders>
            <w:vMerge w:val="continue"/>
          </w:tcPr>
          <w:p>
            <w:pPr>
              <w:spacing w:after="0"/>
              <w:rPr>
                <w:sz w:val="17"/>
                <w:szCs w:val="17"/>
                <w:color w:val="auto"/>
              </w:rPr>
            </w:pPr>
          </w:p>
        </w:tc>
        <w:tc>
          <w:tcPr>
            <w:tcW w:w="1720" w:type="dxa"/>
            <w:vAlign w:val="bottom"/>
            <w:tcBorders>
              <w:right w:val="single" w:sz="8" w:color="auto"/>
            </w:tcBorders>
          </w:tcPr>
          <w:p>
            <w:pPr>
              <w:spacing w:after="0"/>
              <w:rPr>
                <w:sz w:val="17"/>
                <w:szCs w:val="17"/>
                <w:color w:val="auto"/>
              </w:rPr>
            </w:pPr>
          </w:p>
        </w:tc>
        <w:tc>
          <w:tcPr>
            <w:tcW w:w="5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60" w:type="dxa"/>
            <w:vAlign w:val="bottom"/>
            <w:tcBorders>
              <w:right w:val="single" w:sz="8" w:color="auto"/>
            </w:tcBorders>
          </w:tcPr>
          <w:p>
            <w:pPr>
              <w:spacing w:after="0"/>
              <w:rPr>
                <w:sz w:val="17"/>
                <w:szCs w:val="17"/>
                <w:color w:val="auto"/>
              </w:rPr>
            </w:pPr>
          </w:p>
        </w:tc>
        <w:tc>
          <w:tcPr>
            <w:tcW w:w="1260" w:type="dxa"/>
            <w:vAlign w:val="bottom"/>
            <w:tcBorders>
              <w:right w:val="single" w:sz="8" w:color="auto"/>
            </w:tcBorders>
          </w:tcPr>
          <w:p>
            <w:pPr>
              <w:spacing w:after="0"/>
              <w:rPr>
                <w:sz w:val="17"/>
                <w:szCs w:val="17"/>
                <w:color w:val="auto"/>
              </w:rPr>
            </w:pPr>
          </w:p>
        </w:tc>
        <w:tc>
          <w:tcPr>
            <w:tcW w:w="43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Announced in April 2015 top-line results of Phase III</w:t>
            </w:r>
          </w:p>
        </w:tc>
        <w:tc>
          <w:tcPr>
            <w:tcW w:w="0" w:type="dxa"/>
            <w:vAlign w:val="bottom"/>
          </w:tcPr>
          <w:p>
            <w:pPr>
              <w:spacing w:after="0"/>
              <w:rPr>
                <w:sz w:val="1"/>
                <w:szCs w:val="1"/>
                <w:color w:val="auto"/>
              </w:rPr>
            </w:pPr>
          </w:p>
        </w:tc>
      </w:tr>
      <w:tr>
        <w:trPr>
          <w:trHeight w:val="203"/>
        </w:trPr>
        <w:tc>
          <w:tcPr>
            <w:tcW w:w="1640" w:type="dxa"/>
            <w:vAlign w:val="bottom"/>
            <w:tcBorders>
              <w:left w:val="single" w:sz="8" w:color="auto"/>
              <w:right w:val="single" w:sz="8" w:color="auto"/>
            </w:tcBorders>
          </w:tcPr>
          <w:p>
            <w:pPr>
              <w:spacing w:after="0"/>
              <w:rPr>
                <w:sz w:val="17"/>
                <w:szCs w:val="17"/>
                <w:color w:val="auto"/>
              </w:rPr>
            </w:pP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Psoriatic arthritis</w:t>
            </w:r>
          </w:p>
        </w:tc>
        <w:tc>
          <w:tcPr>
            <w:tcW w:w="580" w:type="dxa"/>
            <w:vAlign w:val="bottom"/>
          </w:tcPr>
          <w:p>
            <w:pPr>
              <w:spacing w:after="0"/>
              <w:rPr>
                <w:sz w:val="17"/>
                <w:szCs w:val="17"/>
                <w:color w:val="auto"/>
              </w:rPr>
            </w:pPr>
          </w:p>
        </w:tc>
        <w:tc>
          <w:tcPr>
            <w:tcW w:w="1920" w:type="dxa"/>
            <w:vAlign w:val="bottom"/>
            <w:tcBorders>
              <w:right w:val="single" w:sz="8" w:color="auto"/>
            </w:tcBorders>
            <w:gridSpan w:val="2"/>
            <w:vMerge w:val="restart"/>
          </w:tcPr>
          <w:p>
            <w:pPr>
              <w:jc w:val="center"/>
              <w:ind w:right="530"/>
              <w:spacing w:after="0"/>
              <w:rPr>
                <w:sz w:val="20"/>
                <w:szCs w:val="20"/>
                <w:color w:val="auto"/>
              </w:rPr>
            </w:pPr>
            <w:r>
              <w:rPr>
                <w:rFonts w:ascii="Arial" w:cs="Arial" w:eastAsia="Arial" w:hAnsi="Arial"/>
                <w:sz w:val="18"/>
                <w:szCs w:val="18"/>
                <w:color w:val="auto"/>
                <w:w w:val="98"/>
              </w:rPr>
              <w:t>Phase III</w:t>
            </w:r>
          </w:p>
        </w:tc>
        <w:tc>
          <w:tcPr>
            <w:tcW w:w="1260" w:type="dxa"/>
            <w:vAlign w:val="bottom"/>
            <w:tcBorders>
              <w:right w:val="single" w:sz="8" w:color="auto"/>
            </w:tcBorders>
            <w:vMerge w:val="restart"/>
          </w:tcPr>
          <w:p>
            <w:pPr>
              <w:ind w:left="200"/>
              <w:spacing w:after="0"/>
              <w:rPr>
                <w:sz w:val="20"/>
                <w:szCs w:val="20"/>
                <w:color w:val="auto"/>
              </w:rPr>
            </w:pPr>
            <w:r>
              <w:rPr>
                <w:rFonts w:ascii="Arial" w:cs="Arial" w:eastAsia="Arial" w:hAnsi="Arial"/>
                <w:sz w:val="18"/>
                <w:szCs w:val="18"/>
                <w:color w:val="auto"/>
              </w:rPr>
              <w:t>Submitted</w:t>
            </w:r>
          </w:p>
        </w:tc>
        <w:tc>
          <w:tcPr>
            <w:tcW w:w="432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trial which met primary endpoints. Submitted to</w:t>
            </w:r>
          </w:p>
        </w:tc>
        <w:tc>
          <w:tcPr>
            <w:tcW w:w="0" w:type="dxa"/>
            <w:vAlign w:val="bottom"/>
          </w:tcPr>
          <w:p>
            <w:pPr>
              <w:spacing w:after="0"/>
              <w:rPr>
                <w:sz w:val="1"/>
                <w:szCs w:val="1"/>
                <w:color w:val="auto"/>
              </w:rPr>
            </w:pPr>
          </w:p>
        </w:tc>
      </w:tr>
      <w:tr>
        <w:trPr>
          <w:trHeight w:val="135"/>
        </w:trPr>
        <w:tc>
          <w:tcPr>
            <w:tcW w:w="1640" w:type="dxa"/>
            <w:vAlign w:val="bottom"/>
            <w:tcBorders>
              <w:left w:val="single" w:sz="8" w:color="auto"/>
              <w:right w:val="single" w:sz="8" w:color="auto"/>
            </w:tcBorders>
          </w:tcPr>
          <w:p>
            <w:pPr>
              <w:spacing w:after="0"/>
              <w:rPr>
                <w:sz w:val="11"/>
                <w:szCs w:val="11"/>
                <w:color w:val="auto"/>
              </w:rPr>
            </w:pPr>
          </w:p>
        </w:tc>
        <w:tc>
          <w:tcPr>
            <w:tcW w:w="1720" w:type="dxa"/>
            <w:vAlign w:val="bottom"/>
            <w:tcBorders>
              <w:right w:val="single" w:sz="8" w:color="auto"/>
            </w:tcBorders>
            <w:vMerge w:val="continue"/>
          </w:tcPr>
          <w:p>
            <w:pPr>
              <w:spacing w:after="0"/>
              <w:rPr>
                <w:sz w:val="11"/>
                <w:szCs w:val="11"/>
                <w:color w:val="auto"/>
              </w:rPr>
            </w:pPr>
          </w:p>
        </w:tc>
        <w:tc>
          <w:tcPr>
            <w:tcW w:w="580" w:type="dxa"/>
            <w:vAlign w:val="bottom"/>
          </w:tcPr>
          <w:p>
            <w:pPr>
              <w:spacing w:after="0"/>
              <w:rPr>
                <w:sz w:val="11"/>
                <w:szCs w:val="11"/>
                <w:color w:val="auto"/>
              </w:rPr>
            </w:pPr>
          </w:p>
        </w:tc>
        <w:tc>
          <w:tcPr>
            <w:tcW w:w="1920" w:type="dxa"/>
            <w:vAlign w:val="bottom"/>
            <w:tcBorders>
              <w:right w:val="single" w:sz="8" w:color="auto"/>
            </w:tcBorders>
            <w:gridSpan w:val="2"/>
            <w:vMerge w:val="continue"/>
          </w:tcPr>
          <w:p>
            <w:pPr>
              <w:spacing w:after="0"/>
              <w:rPr>
                <w:sz w:val="11"/>
                <w:szCs w:val="11"/>
                <w:color w:val="auto"/>
              </w:rPr>
            </w:pPr>
          </w:p>
        </w:tc>
        <w:tc>
          <w:tcPr>
            <w:tcW w:w="1260" w:type="dxa"/>
            <w:vAlign w:val="bottom"/>
            <w:tcBorders>
              <w:right w:val="single" w:sz="8" w:color="auto"/>
            </w:tcBorders>
            <w:vMerge w:val="continue"/>
          </w:tcPr>
          <w:p>
            <w:pPr>
              <w:spacing w:after="0"/>
              <w:rPr>
                <w:sz w:val="11"/>
                <w:szCs w:val="11"/>
                <w:color w:val="auto"/>
              </w:rPr>
            </w:pPr>
          </w:p>
        </w:tc>
        <w:tc>
          <w:tcPr>
            <w:tcW w:w="4320" w:type="dxa"/>
            <w:vAlign w:val="bottom"/>
            <w:tcBorders>
              <w:right w:val="single" w:sz="8" w:color="auto"/>
            </w:tcBorders>
            <w:vMerge w:val="restart"/>
          </w:tcPr>
          <w:p>
            <w:pPr>
              <w:spacing w:after="0" w:line="202" w:lineRule="exact"/>
              <w:rPr>
                <w:sz w:val="20"/>
                <w:szCs w:val="20"/>
                <w:color w:val="auto"/>
              </w:rPr>
            </w:pPr>
            <w:r>
              <w:rPr>
                <w:rFonts w:ascii="Arial" w:cs="Arial" w:eastAsia="Arial" w:hAnsi="Arial"/>
                <w:sz w:val="18"/>
                <w:szCs w:val="18"/>
                <w:color w:val="auto"/>
              </w:rPr>
              <w:t>regulatory authorities in Japan in third quarter of</w:t>
            </w:r>
          </w:p>
        </w:tc>
        <w:tc>
          <w:tcPr>
            <w:tcW w:w="0" w:type="dxa"/>
            <w:vAlign w:val="bottom"/>
          </w:tcPr>
          <w:p>
            <w:pPr>
              <w:spacing w:after="0"/>
              <w:rPr>
                <w:sz w:val="1"/>
                <w:szCs w:val="1"/>
                <w:color w:val="auto"/>
              </w:rPr>
            </w:pPr>
          </w:p>
        </w:tc>
      </w:tr>
      <w:tr>
        <w:trPr>
          <w:trHeight w:val="68"/>
        </w:trPr>
        <w:tc>
          <w:tcPr>
            <w:tcW w:w="1640" w:type="dxa"/>
            <w:vAlign w:val="bottom"/>
            <w:tcBorders>
              <w:left w:val="single" w:sz="8" w:color="auto"/>
              <w:right w:val="single" w:sz="8" w:color="auto"/>
            </w:tcBorders>
          </w:tcPr>
          <w:p>
            <w:pPr>
              <w:spacing w:after="0"/>
              <w:rPr>
                <w:sz w:val="5"/>
                <w:szCs w:val="5"/>
                <w:color w:val="auto"/>
              </w:rPr>
            </w:pPr>
          </w:p>
        </w:tc>
        <w:tc>
          <w:tcPr>
            <w:tcW w:w="1720" w:type="dxa"/>
            <w:vAlign w:val="bottom"/>
            <w:tcBorders>
              <w:right w:val="single" w:sz="8" w:color="auto"/>
            </w:tcBorders>
          </w:tcPr>
          <w:p>
            <w:pPr>
              <w:spacing w:after="0"/>
              <w:rPr>
                <w:sz w:val="5"/>
                <w:szCs w:val="5"/>
                <w:color w:val="auto"/>
              </w:rPr>
            </w:pPr>
          </w:p>
        </w:tc>
        <w:tc>
          <w:tcPr>
            <w:tcW w:w="58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60" w:type="dxa"/>
            <w:vAlign w:val="bottom"/>
            <w:tcBorders>
              <w:right w:val="single" w:sz="8" w:color="auto"/>
            </w:tcBorders>
          </w:tcPr>
          <w:p>
            <w:pPr>
              <w:spacing w:after="0"/>
              <w:rPr>
                <w:sz w:val="5"/>
                <w:szCs w:val="5"/>
                <w:color w:val="auto"/>
              </w:rPr>
            </w:pPr>
          </w:p>
        </w:tc>
        <w:tc>
          <w:tcPr>
            <w:tcW w:w="1260" w:type="dxa"/>
            <w:vAlign w:val="bottom"/>
            <w:tcBorders>
              <w:right w:val="single" w:sz="8" w:color="auto"/>
            </w:tcBorders>
          </w:tcPr>
          <w:p>
            <w:pPr>
              <w:spacing w:after="0"/>
              <w:rPr>
                <w:sz w:val="5"/>
                <w:szCs w:val="5"/>
                <w:color w:val="auto"/>
              </w:rPr>
            </w:pPr>
          </w:p>
        </w:tc>
        <w:tc>
          <w:tcPr>
            <w:tcW w:w="432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8"/>
        </w:trPr>
        <w:tc>
          <w:tcPr>
            <w:tcW w:w="1640" w:type="dxa"/>
            <w:vAlign w:val="bottom"/>
            <w:tcBorders>
              <w:left w:val="single" w:sz="8" w:color="auto"/>
              <w:bottom w:val="single" w:sz="8" w:color="auto"/>
              <w:right w:val="single" w:sz="8" w:color="auto"/>
            </w:tcBorders>
          </w:tcPr>
          <w:p>
            <w:pPr>
              <w:spacing w:after="0"/>
              <w:rPr>
                <w:sz w:val="21"/>
                <w:szCs w:val="21"/>
                <w:color w:val="auto"/>
              </w:rPr>
            </w:pPr>
          </w:p>
        </w:tc>
        <w:tc>
          <w:tcPr>
            <w:tcW w:w="1720" w:type="dxa"/>
            <w:vAlign w:val="bottom"/>
            <w:tcBorders>
              <w:bottom w:val="single" w:sz="8" w:color="auto"/>
              <w:right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1260" w:type="dxa"/>
            <w:vAlign w:val="bottom"/>
            <w:tcBorders>
              <w:bottom w:val="single" w:sz="8" w:color="auto"/>
              <w:right w:val="single" w:sz="8" w:color="auto"/>
            </w:tcBorders>
          </w:tcPr>
          <w:p>
            <w:pPr>
              <w:spacing w:after="0"/>
              <w:rPr>
                <w:sz w:val="21"/>
                <w:szCs w:val="21"/>
                <w:color w:val="auto"/>
              </w:rPr>
            </w:pPr>
          </w:p>
        </w:tc>
        <w:tc>
          <w:tcPr>
            <w:tcW w:w="1260" w:type="dxa"/>
            <w:vAlign w:val="bottom"/>
            <w:tcBorders>
              <w:bottom w:val="single" w:sz="8" w:color="auto"/>
              <w:right w:val="single" w:sz="8" w:color="auto"/>
            </w:tcBorders>
          </w:tcPr>
          <w:p>
            <w:pPr>
              <w:spacing w:after="0"/>
              <w:rPr>
                <w:sz w:val="21"/>
                <w:szCs w:val="21"/>
                <w:color w:val="auto"/>
              </w:rPr>
            </w:pPr>
          </w:p>
        </w:tc>
        <w:tc>
          <w:tcPr>
            <w:tcW w:w="4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2015.</w:t>
            </w:r>
          </w:p>
        </w:tc>
        <w:tc>
          <w:tcPr>
            <w:tcW w:w="0" w:type="dxa"/>
            <w:vAlign w:val="bottom"/>
          </w:tcPr>
          <w:p>
            <w:pPr>
              <w:spacing w:after="0"/>
              <w:rPr>
                <w:sz w:val="1"/>
                <w:szCs w:val="1"/>
                <w:color w:val="auto"/>
              </w:rPr>
            </w:pPr>
          </w:p>
        </w:tc>
      </w:tr>
      <w:tr>
        <w:trPr>
          <w:trHeight w:val="254"/>
        </w:trPr>
        <w:tc>
          <w:tcPr>
            <w:tcW w:w="16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rPr>
              <w:t>Neuroscience</w:t>
            </w:r>
          </w:p>
        </w:tc>
        <w:tc>
          <w:tcPr>
            <w:tcW w:w="17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spacing w:after="0"/>
              <w:rPr>
                <w:sz w:val="22"/>
                <w:szCs w:val="22"/>
                <w:color w:val="auto"/>
              </w:rPr>
            </w:pPr>
          </w:p>
        </w:tc>
        <w:tc>
          <w:tcPr>
            <w:tcW w:w="432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7"/>
        </w:trPr>
        <w:tc>
          <w:tcPr>
            <w:tcW w:w="16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CGRP monoclonal</w:t>
            </w: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Cluster headache</w:t>
            </w:r>
          </w:p>
        </w:tc>
        <w:tc>
          <w:tcPr>
            <w:tcW w:w="5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60" w:type="dxa"/>
            <w:vAlign w:val="bottom"/>
            <w:vMerge w:val="restart"/>
          </w:tcPr>
          <w:p>
            <w:pPr>
              <w:jc w:val="center"/>
              <w:spacing w:after="0"/>
              <w:rPr>
                <w:sz w:val="20"/>
                <w:szCs w:val="20"/>
                <w:color w:val="auto"/>
              </w:rPr>
            </w:pPr>
            <w:r>
              <w:rPr>
                <w:rFonts w:ascii="Arial" w:cs="Arial" w:eastAsia="Arial" w:hAnsi="Arial"/>
                <w:sz w:val="18"/>
                <w:szCs w:val="18"/>
                <w:color w:val="auto"/>
                <w:w w:val="98"/>
              </w:rPr>
              <w:t>Phase III</w:t>
            </w:r>
          </w:p>
        </w:tc>
        <w:tc>
          <w:tcPr>
            <w:tcW w:w="1260" w:type="dxa"/>
            <w:vAlign w:val="bottom"/>
            <w:tcBorders>
              <w:right w:val="single" w:sz="8" w:color="auto"/>
            </w:tcBorders>
          </w:tcPr>
          <w:p>
            <w:pPr>
              <w:spacing w:after="0"/>
              <w:rPr>
                <w:sz w:val="17"/>
                <w:szCs w:val="17"/>
                <w:color w:val="auto"/>
              </w:rPr>
            </w:pPr>
          </w:p>
        </w:tc>
        <w:tc>
          <w:tcPr>
            <w:tcW w:w="43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Initiated first Phase III study in June 2015. Granted</w:t>
            </w:r>
          </w:p>
        </w:tc>
        <w:tc>
          <w:tcPr>
            <w:tcW w:w="0" w:type="dxa"/>
            <w:vAlign w:val="bottom"/>
          </w:tcPr>
          <w:p>
            <w:pPr>
              <w:spacing w:after="0"/>
              <w:rPr>
                <w:sz w:val="1"/>
                <w:szCs w:val="1"/>
                <w:color w:val="auto"/>
              </w:rPr>
            </w:pPr>
          </w:p>
        </w:tc>
      </w:tr>
      <w:tr>
        <w:trPr>
          <w:trHeight w:val="112"/>
        </w:trPr>
        <w:tc>
          <w:tcPr>
            <w:tcW w:w="1640" w:type="dxa"/>
            <w:vAlign w:val="bottom"/>
            <w:tcBorders>
              <w:left w:val="single" w:sz="8" w:color="auto"/>
              <w:right w:val="single" w:sz="8" w:color="auto"/>
            </w:tcBorders>
            <w:vMerge w:val="continue"/>
          </w:tcPr>
          <w:p>
            <w:pPr>
              <w:spacing w:after="0"/>
              <w:rPr>
                <w:sz w:val="9"/>
                <w:szCs w:val="9"/>
                <w:color w:val="auto"/>
              </w:rPr>
            </w:pPr>
          </w:p>
        </w:tc>
        <w:tc>
          <w:tcPr>
            <w:tcW w:w="1720" w:type="dxa"/>
            <w:vAlign w:val="bottom"/>
            <w:tcBorders>
              <w:right w:val="single" w:sz="8" w:color="auto"/>
            </w:tcBorders>
            <w:vMerge w:val="continue"/>
          </w:tcPr>
          <w:p>
            <w:pPr>
              <w:spacing w:after="0"/>
              <w:rPr>
                <w:sz w:val="9"/>
                <w:szCs w:val="9"/>
                <w:color w:val="auto"/>
              </w:rPr>
            </w:pPr>
          </w:p>
        </w:tc>
        <w:tc>
          <w:tcPr>
            <w:tcW w:w="5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1260" w:type="dxa"/>
            <w:vAlign w:val="bottom"/>
            <w:tcBorders>
              <w:right w:val="single" w:sz="8" w:color="auto"/>
            </w:tcBorders>
          </w:tcPr>
          <w:p>
            <w:pPr>
              <w:spacing w:after="0"/>
              <w:rPr>
                <w:sz w:val="9"/>
                <w:szCs w:val="9"/>
                <w:color w:val="auto"/>
              </w:rPr>
            </w:pPr>
          </w:p>
        </w:tc>
        <w:tc>
          <w:tcPr>
            <w:tcW w:w="4320" w:type="dxa"/>
            <w:vAlign w:val="bottom"/>
            <w:tcBorders>
              <w:right w:val="single" w:sz="8" w:color="auto"/>
            </w:tcBorders>
          </w:tcPr>
          <w:p>
            <w:pPr>
              <w:ind w:left="1840"/>
              <w:spacing w:after="0" w:line="112" w:lineRule="exact"/>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135"/>
        </w:trPr>
        <w:tc>
          <w:tcPr>
            <w:tcW w:w="16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antibody</w:t>
            </w:r>
          </w:p>
        </w:tc>
        <w:tc>
          <w:tcPr>
            <w:tcW w:w="1720" w:type="dxa"/>
            <w:vAlign w:val="bottom"/>
            <w:tcBorders>
              <w:bottom w:val="single" w:sz="8" w:color="auto"/>
              <w:right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1260" w:type="dxa"/>
            <w:vAlign w:val="bottom"/>
            <w:tcBorders>
              <w:bottom w:val="single" w:sz="8" w:color="auto"/>
              <w:right w:val="single" w:sz="8" w:color="auto"/>
            </w:tcBorders>
          </w:tcPr>
          <w:p>
            <w:pPr>
              <w:spacing w:after="0"/>
              <w:rPr>
                <w:sz w:val="11"/>
                <w:szCs w:val="11"/>
                <w:color w:val="auto"/>
              </w:rPr>
            </w:pPr>
          </w:p>
        </w:tc>
        <w:tc>
          <w:tcPr>
            <w:tcW w:w="4320" w:type="dxa"/>
            <w:vAlign w:val="bottom"/>
            <w:tcBorders>
              <w:bottom w:val="single" w:sz="8" w:color="auto"/>
              <w:right w:val="single" w:sz="8" w:color="auto"/>
            </w:tcBorders>
          </w:tcPr>
          <w:p>
            <w:pPr>
              <w:spacing w:after="0" w:line="135" w:lineRule="exact"/>
              <w:rPr>
                <w:sz w:val="20"/>
                <w:szCs w:val="20"/>
                <w:color w:val="auto"/>
              </w:rPr>
            </w:pPr>
            <w:r>
              <w:rPr>
                <w:rFonts w:ascii="Arial" w:cs="Arial" w:eastAsia="Arial" w:hAnsi="Arial"/>
                <w:sz w:val="15"/>
                <w:szCs w:val="15"/>
                <w:color w:val="auto"/>
              </w:rPr>
              <w:t>Fast Track Designation  from the FDA in June 2015.</w:t>
            </w:r>
          </w:p>
        </w:tc>
        <w:tc>
          <w:tcPr>
            <w:tcW w:w="0" w:type="dxa"/>
            <w:vAlign w:val="bottom"/>
          </w:tcPr>
          <w:p>
            <w:pPr>
              <w:spacing w:after="0"/>
              <w:rPr>
                <w:sz w:val="1"/>
                <w:szCs w:val="1"/>
                <w:color w:val="auto"/>
              </w:rPr>
            </w:pPr>
          </w:p>
        </w:tc>
      </w:tr>
      <w:tr>
        <w:trPr>
          <w:trHeight w:val="106"/>
        </w:trPr>
        <w:tc>
          <w:tcPr>
            <w:tcW w:w="1640" w:type="dxa"/>
            <w:vAlign w:val="bottom"/>
            <w:tcBorders>
              <w:left w:val="single" w:sz="8" w:color="auto"/>
              <w:right w:val="single" w:sz="8" w:color="auto"/>
            </w:tcBorders>
            <w:vMerge w:val="continue"/>
          </w:tcPr>
          <w:p>
            <w:pPr>
              <w:spacing w:after="0"/>
              <w:rPr>
                <w:sz w:val="9"/>
                <w:szCs w:val="9"/>
                <w:color w:val="auto"/>
              </w:rPr>
            </w:pP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Migraine prevention</w:t>
            </w:r>
          </w:p>
        </w:tc>
        <w:tc>
          <w:tcPr>
            <w:tcW w:w="5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60" w:type="dxa"/>
            <w:vAlign w:val="bottom"/>
            <w:vMerge w:val="restart"/>
          </w:tcPr>
          <w:p>
            <w:pPr>
              <w:jc w:val="center"/>
              <w:spacing w:after="0"/>
              <w:rPr>
                <w:sz w:val="20"/>
                <w:szCs w:val="20"/>
                <w:color w:val="auto"/>
              </w:rPr>
            </w:pPr>
            <w:r>
              <w:rPr>
                <w:rFonts w:ascii="Arial" w:cs="Arial" w:eastAsia="Arial" w:hAnsi="Arial"/>
                <w:sz w:val="18"/>
                <w:szCs w:val="18"/>
                <w:color w:val="auto"/>
                <w:w w:val="98"/>
              </w:rPr>
              <w:t>Phase III</w:t>
            </w:r>
          </w:p>
        </w:tc>
        <w:tc>
          <w:tcPr>
            <w:tcW w:w="1260" w:type="dxa"/>
            <w:vAlign w:val="bottom"/>
            <w:tcBorders>
              <w:right w:val="single" w:sz="8" w:color="auto"/>
            </w:tcBorders>
          </w:tcPr>
          <w:p>
            <w:pPr>
              <w:spacing w:after="0"/>
              <w:rPr>
                <w:sz w:val="9"/>
                <w:szCs w:val="9"/>
                <w:color w:val="auto"/>
              </w:rPr>
            </w:pPr>
          </w:p>
        </w:tc>
        <w:tc>
          <w:tcPr>
            <w:tcW w:w="432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Initiated Phase III study in January 2016.</w:t>
            </w:r>
          </w:p>
        </w:tc>
        <w:tc>
          <w:tcPr>
            <w:tcW w:w="0" w:type="dxa"/>
            <w:vAlign w:val="bottom"/>
          </w:tcPr>
          <w:p>
            <w:pPr>
              <w:spacing w:after="0"/>
              <w:rPr>
                <w:sz w:val="1"/>
                <w:szCs w:val="1"/>
                <w:color w:val="auto"/>
              </w:rPr>
            </w:pPr>
          </w:p>
        </w:tc>
      </w:tr>
      <w:tr>
        <w:trPr>
          <w:trHeight w:val="140"/>
        </w:trPr>
        <w:tc>
          <w:tcPr>
            <w:tcW w:w="1640" w:type="dxa"/>
            <w:vAlign w:val="bottom"/>
            <w:tcBorders>
              <w:left w:val="single" w:sz="8" w:color="auto"/>
              <w:bottom w:val="single" w:sz="8" w:color="auto"/>
              <w:right w:val="single" w:sz="8" w:color="auto"/>
            </w:tcBorders>
          </w:tcPr>
          <w:p>
            <w:pPr>
              <w:spacing w:after="0"/>
              <w:rPr>
                <w:sz w:val="12"/>
                <w:szCs w:val="12"/>
                <w:color w:val="auto"/>
              </w:rPr>
            </w:pPr>
          </w:p>
        </w:tc>
        <w:tc>
          <w:tcPr>
            <w:tcW w:w="1720" w:type="dxa"/>
            <w:vAlign w:val="bottom"/>
            <w:tcBorders>
              <w:bottom w:val="single" w:sz="8" w:color="auto"/>
              <w:right w:val="single" w:sz="8" w:color="auto"/>
            </w:tcBorders>
            <w:vMerge w:val="continue"/>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vMerge w:val="continue"/>
          </w:tcPr>
          <w:p>
            <w:pPr>
              <w:spacing w:after="0"/>
              <w:rPr>
                <w:sz w:val="12"/>
                <w:szCs w:val="12"/>
                <w:color w:val="auto"/>
              </w:rPr>
            </w:pPr>
          </w:p>
        </w:tc>
        <w:tc>
          <w:tcPr>
            <w:tcW w:w="1260" w:type="dxa"/>
            <w:vAlign w:val="bottom"/>
            <w:tcBorders>
              <w:bottom w:val="single" w:sz="8" w:color="auto"/>
              <w:right w:val="single" w:sz="8" w:color="auto"/>
            </w:tcBorders>
          </w:tcPr>
          <w:p>
            <w:pPr>
              <w:spacing w:after="0"/>
              <w:rPr>
                <w:sz w:val="12"/>
                <w:szCs w:val="12"/>
                <w:color w:val="auto"/>
              </w:rPr>
            </w:pPr>
          </w:p>
        </w:tc>
        <w:tc>
          <w:tcPr>
            <w:tcW w:w="4320" w:type="dxa"/>
            <w:vAlign w:val="bottom"/>
            <w:tcBorders>
              <w:bottom w:val="single" w:sz="8" w:color="auto"/>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1640" w:type="dxa"/>
            <w:vAlign w:val="bottom"/>
            <w:tcBorders>
              <w:left w:val="single" w:sz="8" w:color="auto"/>
              <w:right w:val="single" w:sz="8" w:color="auto"/>
            </w:tcBorders>
          </w:tcPr>
          <w:p>
            <w:pPr>
              <w:spacing w:after="0"/>
              <w:rPr>
                <w:sz w:val="17"/>
                <w:szCs w:val="17"/>
                <w:color w:val="auto"/>
              </w:rPr>
            </w:pPr>
          </w:p>
        </w:tc>
        <w:tc>
          <w:tcPr>
            <w:tcW w:w="1720" w:type="dxa"/>
            <w:vAlign w:val="bottom"/>
            <w:tcBorders>
              <w:right w:val="single" w:sz="8" w:color="auto"/>
            </w:tcBorders>
          </w:tcPr>
          <w:p>
            <w:pPr>
              <w:ind w:left="20"/>
              <w:spacing w:after="0" w:line="205" w:lineRule="exact"/>
              <w:rPr>
                <w:sz w:val="20"/>
                <w:szCs w:val="20"/>
                <w:color w:val="auto"/>
              </w:rPr>
            </w:pPr>
            <w:r>
              <w:rPr>
                <w:rFonts w:ascii="Arial" w:cs="Arial" w:eastAsia="Arial" w:hAnsi="Arial"/>
                <w:sz w:val="18"/>
                <w:szCs w:val="18"/>
                <w:color w:val="auto"/>
              </w:rPr>
              <w:t>Preclinical</w:t>
            </w:r>
          </w:p>
        </w:tc>
        <w:tc>
          <w:tcPr>
            <w:tcW w:w="5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60" w:type="dxa"/>
            <w:vAlign w:val="bottom"/>
            <w:vMerge w:val="restart"/>
          </w:tcPr>
          <w:p>
            <w:pPr>
              <w:jc w:val="center"/>
              <w:spacing w:after="0"/>
              <w:rPr>
                <w:sz w:val="20"/>
                <w:szCs w:val="20"/>
                <w:color w:val="auto"/>
              </w:rPr>
            </w:pPr>
            <w:r>
              <w:rPr>
                <w:rFonts w:ascii="Arial" w:cs="Arial" w:eastAsia="Arial" w:hAnsi="Arial"/>
                <w:sz w:val="18"/>
                <w:szCs w:val="18"/>
                <w:color w:val="auto"/>
                <w:w w:val="98"/>
              </w:rPr>
              <w:t>Phase III</w:t>
            </w:r>
          </w:p>
        </w:tc>
        <w:tc>
          <w:tcPr>
            <w:tcW w:w="1260" w:type="dxa"/>
            <w:vAlign w:val="bottom"/>
            <w:tcBorders>
              <w:right w:val="single" w:sz="8" w:color="auto"/>
            </w:tcBorders>
          </w:tcPr>
          <w:p>
            <w:pPr>
              <w:spacing w:after="0"/>
              <w:rPr>
                <w:sz w:val="17"/>
                <w:szCs w:val="17"/>
                <w:color w:val="auto"/>
              </w:rPr>
            </w:pPr>
          </w:p>
        </w:tc>
        <w:tc>
          <w:tcPr>
            <w:tcW w:w="4320" w:type="dxa"/>
            <w:vAlign w:val="bottom"/>
            <w:tcBorders>
              <w:right w:val="single" w:sz="8" w:color="auto"/>
            </w:tcBorders>
          </w:tcPr>
          <w:p>
            <w:pPr>
              <w:spacing w:after="0" w:line="205" w:lineRule="exact"/>
              <w:rPr>
                <w:sz w:val="20"/>
                <w:szCs w:val="20"/>
                <w:color w:val="auto"/>
              </w:rPr>
            </w:pPr>
            <w:r>
              <w:rPr>
                <w:rFonts w:ascii="Arial" w:cs="Arial" w:eastAsia="Arial" w:hAnsi="Arial"/>
                <w:sz w:val="18"/>
                <w:szCs w:val="18"/>
                <w:color w:val="auto"/>
              </w:rPr>
              <w:t>Phase III study in asymptomatic Alzheimer's disease</w:t>
            </w:r>
          </w:p>
        </w:tc>
        <w:tc>
          <w:tcPr>
            <w:tcW w:w="0" w:type="dxa"/>
            <w:vAlign w:val="bottom"/>
          </w:tcPr>
          <w:p>
            <w:pPr>
              <w:spacing w:after="0"/>
              <w:rPr>
                <w:sz w:val="1"/>
                <w:szCs w:val="1"/>
                <w:color w:val="auto"/>
              </w:rPr>
            </w:pPr>
          </w:p>
        </w:tc>
      </w:tr>
      <w:tr>
        <w:trPr>
          <w:trHeight w:val="135"/>
        </w:trPr>
        <w:tc>
          <w:tcPr>
            <w:tcW w:w="1640" w:type="dxa"/>
            <w:vAlign w:val="bottom"/>
            <w:tcBorders>
              <w:left w:val="single" w:sz="8" w:color="auto"/>
              <w:right w:val="single" w:sz="8" w:color="auto"/>
            </w:tcBorders>
          </w:tcPr>
          <w:p>
            <w:pPr>
              <w:spacing w:after="0"/>
              <w:rPr>
                <w:sz w:val="11"/>
                <w:szCs w:val="11"/>
                <w:color w:val="auto"/>
              </w:rPr>
            </w:pP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Alzheimer's disease</w:t>
            </w: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1260" w:type="dxa"/>
            <w:vAlign w:val="bottom"/>
            <w:tcBorders>
              <w:right w:val="single" w:sz="8" w:color="auto"/>
            </w:tcBorders>
          </w:tcPr>
          <w:p>
            <w:pPr>
              <w:spacing w:after="0"/>
              <w:rPr>
                <w:sz w:val="11"/>
                <w:szCs w:val="11"/>
                <w:color w:val="auto"/>
              </w:rPr>
            </w:pPr>
          </w:p>
        </w:tc>
        <w:tc>
          <w:tcPr>
            <w:tcW w:w="432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is ongoing.</w:t>
            </w:r>
          </w:p>
        </w:tc>
        <w:tc>
          <w:tcPr>
            <w:tcW w:w="0" w:type="dxa"/>
            <w:vAlign w:val="bottom"/>
          </w:tcPr>
          <w:p>
            <w:pPr>
              <w:spacing w:after="0"/>
              <w:rPr>
                <w:sz w:val="1"/>
                <w:szCs w:val="1"/>
                <w:color w:val="auto"/>
              </w:rPr>
            </w:pPr>
          </w:p>
        </w:tc>
      </w:tr>
      <w:tr>
        <w:trPr>
          <w:trHeight w:val="113"/>
        </w:trPr>
        <w:tc>
          <w:tcPr>
            <w:tcW w:w="1640" w:type="dxa"/>
            <w:vAlign w:val="bottom"/>
            <w:tcBorders>
              <w:left w:val="single" w:sz="8" w:color="auto"/>
              <w:right w:val="single" w:sz="8" w:color="auto"/>
            </w:tcBorders>
          </w:tcPr>
          <w:p>
            <w:pPr>
              <w:spacing w:after="0"/>
              <w:rPr>
                <w:sz w:val="9"/>
                <w:szCs w:val="9"/>
                <w:color w:val="auto"/>
              </w:rPr>
            </w:pPr>
          </w:p>
        </w:tc>
        <w:tc>
          <w:tcPr>
            <w:tcW w:w="1720" w:type="dxa"/>
            <w:vAlign w:val="bottom"/>
            <w:tcBorders>
              <w:bottom w:val="single" w:sz="8" w:color="auto"/>
              <w:right w:val="single" w:sz="8" w:color="auto"/>
            </w:tcBorders>
            <w:vMerge w:val="continue"/>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1260" w:type="dxa"/>
            <w:vAlign w:val="bottom"/>
            <w:tcBorders>
              <w:bottom w:val="single" w:sz="8" w:color="auto"/>
              <w:right w:val="single" w:sz="8" w:color="auto"/>
            </w:tcBorders>
          </w:tcPr>
          <w:p>
            <w:pPr>
              <w:spacing w:after="0"/>
              <w:rPr>
                <w:sz w:val="9"/>
                <w:szCs w:val="9"/>
                <w:color w:val="auto"/>
              </w:rPr>
            </w:pPr>
          </w:p>
        </w:tc>
        <w:tc>
          <w:tcPr>
            <w:tcW w:w="432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5"/>
        </w:trPr>
        <w:tc>
          <w:tcPr>
            <w:tcW w:w="1640" w:type="dxa"/>
            <w:vAlign w:val="bottom"/>
            <w:tcBorders>
              <w:left w:val="single" w:sz="8" w:color="auto"/>
              <w:right w:val="single" w:sz="8" w:color="auto"/>
            </w:tcBorders>
          </w:tcPr>
          <w:p>
            <w:pPr>
              <w:spacing w:after="0"/>
              <w:rPr>
                <w:sz w:val="17"/>
                <w:szCs w:val="17"/>
                <w:color w:val="auto"/>
              </w:rPr>
            </w:pPr>
          </w:p>
        </w:tc>
        <w:tc>
          <w:tcPr>
            <w:tcW w:w="1720" w:type="dxa"/>
            <w:vAlign w:val="bottom"/>
            <w:tcBorders>
              <w:right w:val="single" w:sz="8" w:color="auto"/>
            </w:tcBorders>
          </w:tcPr>
          <w:p>
            <w:pPr>
              <w:spacing w:after="0"/>
              <w:rPr>
                <w:sz w:val="17"/>
                <w:szCs w:val="17"/>
                <w:color w:val="auto"/>
              </w:rPr>
            </w:pPr>
          </w:p>
        </w:tc>
        <w:tc>
          <w:tcPr>
            <w:tcW w:w="5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60" w:type="dxa"/>
            <w:vAlign w:val="bottom"/>
            <w:tcBorders>
              <w:right w:val="single" w:sz="8" w:color="auto"/>
            </w:tcBorders>
          </w:tcPr>
          <w:p>
            <w:pPr>
              <w:spacing w:after="0"/>
              <w:rPr>
                <w:sz w:val="17"/>
                <w:szCs w:val="17"/>
                <w:color w:val="auto"/>
              </w:rPr>
            </w:pPr>
          </w:p>
        </w:tc>
        <w:tc>
          <w:tcPr>
            <w:tcW w:w="4320" w:type="dxa"/>
            <w:vAlign w:val="bottom"/>
            <w:tcBorders>
              <w:right w:val="single" w:sz="8" w:color="auto"/>
            </w:tcBorders>
          </w:tcPr>
          <w:p>
            <w:pPr>
              <w:spacing w:after="0" w:line="205" w:lineRule="exact"/>
              <w:rPr>
                <w:sz w:val="20"/>
                <w:szCs w:val="20"/>
                <w:color w:val="auto"/>
              </w:rPr>
            </w:pPr>
            <w:r>
              <w:rPr>
                <w:rFonts w:ascii="Arial" w:cs="Arial" w:eastAsia="Arial" w:hAnsi="Arial"/>
                <w:sz w:val="18"/>
                <w:szCs w:val="18"/>
                <w:color w:val="auto"/>
              </w:rPr>
              <w:t>Enrollment in the ongoing Phase III study completed.</w:t>
            </w:r>
          </w:p>
        </w:tc>
        <w:tc>
          <w:tcPr>
            <w:tcW w:w="0" w:type="dxa"/>
            <w:vAlign w:val="bottom"/>
          </w:tcPr>
          <w:p>
            <w:pPr>
              <w:spacing w:after="0"/>
              <w:rPr>
                <w:sz w:val="1"/>
                <w:szCs w:val="1"/>
                <w:color w:val="auto"/>
              </w:rPr>
            </w:pPr>
          </w:p>
        </w:tc>
      </w:tr>
      <w:tr>
        <w:trPr>
          <w:trHeight w:val="203"/>
        </w:trPr>
        <w:tc>
          <w:tcPr>
            <w:tcW w:w="16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Solanezumab</w:t>
            </w:r>
          </w:p>
        </w:tc>
        <w:tc>
          <w:tcPr>
            <w:tcW w:w="1720" w:type="dxa"/>
            <w:vAlign w:val="bottom"/>
            <w:tcBorders>
              <w:right w:val="single" w:sz="8" w:color="auto"/>
            </w:tcBorders>
          </w:tcPr>
          <w:p>
            <w:pPr>
              <w:spacing w:after="0"/>
              <w:rPr>
                <w:sz w:val="17"/>
                <w:szCs w:val="17"/>
                <w:color w:val="auto"/>
              </w:rPr>
            </w:pPr>
          </w:p>
        </w:tc>
        <w:tc>
          <w:tcPr>
            <w:tcW w:w="5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60" w:type="dxa"/>
            <w:vAlign w:val="bottom"/>
            <w:tcBorders>
              <w:right w:val="single" w:sz="8" w:color="auto"/>
            </w:tcBorders>
          </w:tcPr>
          <w:p>
            <w:pPr>
              <w:spacing w:after="0"/>
              <w:rPr>
                <w:sz w:val="17"/>
                <w:szCs w:val="17"/>
                <w:color w:val="auto"/>
              </w:rPr>
            </w:pPr>
          </w:p>
        </w:tc>
        <w:tc>
          <w:tcPr>
            <w:tcW w:w="432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In July 2015, announced clinical trial results from</w:t>
            </w:r>
          </w:p>
        </w:tc>
        <w:tc>
          <w:tcPr>
            <w:tcW w:w="0" w:type="dxa"/>
            <w:vAlign w:val="bottom"/>
          </w:tcPr>
          <w:p>
            <w:pPr>
              <w:spacing w:after="0"/>
              <w:rPr>
                <w:sz w:val="1"/>
                <w:szCs w:val="1"/>
                <w:color w:val="auto"/>
              </w:rPr>
            </w:pPr>
          </w:p>
        </w:tc>
      </w:tr>
      <w:tr>
        <w:trPr>
          <w:trHeight w:val="203"/>
        </w:trPr>
        <w:tc>
          <w:tcPr>
            <w:tcW w:w="1640" w:type="dxa"/>
            <w:vAlign w:val="bottom"/>
            <w:tcBorders>
              <w:left w:val="single" w:sz="8" w:color="auto"/>
              <w:right w:val="single" w:sz="8" w:color="auto"/>
            </w:tcBorders>
            <w:vMerge w:val="continue"/>
          </w:tcPr>
          <w:p>
            <w:pPr>
              <w:spacing w:after="0"/>
              <w:rPr>
                <w:sz w:val="17"/>
                <w:szCs w:val="17"/>
                <w:color w:val="auto"/>
              </w:rPr>
            </w:pP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Mild Alzheimer's</w:t>
            </w:r>
          </w:p>
        </w:tc>
        <w:tc>
          <w:tcPr>
            <w:tcW w:w="5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60" w:type="dxa"/>
            <w:vAlign w:val="bottom"/>
            <w:tcBorders>
              <w:right w:val="single" w:sz="8" w:color="auto"/>
            </w:tcBorders>
          </w:tcPr>
          <w:p>
            <w:pPr>
              <w:spacing w:after="0"/>
              <w:rPr>
                <w:sz w:val="17"/>
                <w:szCs w:val="17"/>
                <w:color w:val="auto"/>
              </w:rPr>
            </w:pPr>
          </w:p>
        </w:tc>
        <w:tc>
          <w:tcPr>
            <w:tcW w:w="432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previous Phase III studies indicating the treatment</w:t>
            </w:r>
          </w:p>
        </w:tc>
        <w:tc>
          <w:tcPr>
            <w:tcW w:w="0" w:type="dxa"/>
            <w:vAlign w:val="bottom"/>
          </w:tcPr>
          <w:p>
            <w:pPr>
              <w:spacing w:after="0"/>
              <w:rPr>
                <w:sz w:val="1"/>
                <w:szCs w:val="1"/>
                <w:color w:val="auto"/>
              </w:rPr>
            </w:pPr>
          </w:p>
        </w:tc>
      </w:tr>
      <w:tr>
        <w:trPr>
          <w:trHeight w:val="95"/>
        </w:trPr>
        <w:tc>
          <w:tcPr>
            <w:tcW w:w="1640" w:type="dxa"/>
            <w:vAlign w:val="bottom"/>
            <w:tcBorders>
              <w:left w:val="single" w:sz="8" w:color="auto"/>
              <w:right w:val="single" w:sz="8" w:color="auto"/>
            </w:tcBorders>
          </w:tcPr>
          <w:p>
            <w:pPr>
              <w:spacing w:after="0"/>
              <w:rPr>
                <w:sz w:val="8"/>
                <w:szCs w:val="8"/>
                <w:color w:val="auto"/>
              </w:rPr>
            </w:pPr>
          </w:p>
        </w:tc>
        <w:tc>
          <w:tcPr>
            <w:tcW w:w="1720" w:type="dxa"/>
            <w:vAlign w:val="bottom"/>
            <w:tcBorders>
              <w:right w:val="single" w:sz="8" w:color="auto"/>
            </w:tcBorders>
            <w:vMerge w:val="continue"/>
          </w:tcPr>
          <w:p>
            <w:pPr>
              <w:spacing w:after="0"/>
              <w:rPr>
                <w:sz w:val="8"/>
                <w:szCs w:val="8"/>
                <w:color w:val="auto"/>
              </w:rPr>
            </w:pPr>
          </w:p>
        </w:tc>
        <w:tc>
          <w:tcPr>
            <w:tcW w:w="5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60" w:type="dxa"/>
            <w:vAlign w:val="bottom"/>
            <w:vMerge w:val="restart"/>
          </w:tcPr>
          <w:p>
            <w:pPr>
              <w:jc w:val="center"/>
              <w:spacing w:after="0" w:line="202" w:lineRule="exact"/>
              <w:rPr>
                <w:sz w:val="20"/>
                <w:szCs w:val="20"/>
                <w:color w:val="auto"/>
              </w:rPr>
            </w:pPr>
            <w:r>
              <w:rPr>
                <w:rFonts w:ascii="Arial" w:cs="Arial" w:eastAsia="Arial" w:hAnsi="Arial"/>
                <w:sz w:val="18"/>
                <w:szCs w:val="18"/>
                <w:color w:val="auto"/>
                <w:w w:val="98"/>
              </w:rPr>
              <w:t>Phase III</w:t>
            </w:r>
          </w:p>
        </w:tc>
        <w:tc>
          <w:tcPr>
            <w:tcW w:w="1260" w:type="dxa"/>
            <w:vAlign w:val="bottom"/>
            <w:tcBorders>
              <w:right w:val="single" w:sz="8" w:color="auto"/>
            </w:tcBorders>
          </w:tcPr>
          <w:p>
            <w:pPr>
              <w:spacing w:after="0"/>
              <w:rPr>
                <w:sz w:val="8"/>
                <w:szCs w:val="8"/>
                <w:color w:val="auto"/>
              </w:rPr>
            </w:pPr>
          </w:p>
        </w:tc>
        <w:tc>
          <w:tcPr>
            <w:tcW w:w="4320" w:type="dxa"/>
            <w:vAlign w:val="bottom"/>
            <w:tcBorders>
              <w:right w:val="single" w:sz="8" w:color="auto"/>
            </w:tcBorders>
            <w:vMerge w:val="restart"/>
          </w:tcPr>
          <w:p>
            <w:pPr>
              <w:spacing w:after="0" w:line="202" w:lineRule="exact"/>
              <w:rPr>
                <w:sz w:val="20"/>
                <w:szCs w:val="20"/>
                <w:color w:val="auto"/>
              </w:rPr>
            </w:pPr>
            <w:r>
              <w:rPr>
                <w:rFonts w:ascii="Arial" w:cs="Arial" w:eastAsia="Arial" w:hAnsi="Arial"/>
                <w:sz w:val="18"/>
                <w:szCs w:val="18"/>
                <w:color w:val="auto"/>
              </w:rPr>
              <w:t>effect was preserved in patients with mild Alzheimer's</w:t>
            </w:r>
          </w:p>
        </w:tc>
        <w:tc>
          <w:tcPr>
            <w:tcW w:w="0" w:type="dxa"/>
            <w:vAlign w:val="bottom"/>
          </w:tcPr>
          <w:p>
            <w:pPr>
              <w:spacing w:after="0"/>
              <w:rPr>
                <w:sz w:val="1"/>
                <w:szCs w:val="1"/>
                <w:color w:val="auto"/>
              </w:rPr>
            </w:pPr>
          </w:p>
        </w:tc>
      </w:tr>
      <w:tr>
        <w:trPr>
          <w:trHeight w:val="108"/>
        </w:trPr>
        <w:tc>
          <w:tcPr>
            <w:tcW w:w="1640" w:type="dxa"/>
            <w:vAlign w:val="bottom"/>
            <w:tcBorders>
              <w:left w:val="single" w:sz="8" w:color="auto"/>
              <w:right w:val="single" w:sz="8" w:color="auto"/>
            </w:tcBorders>
          </w:tcPr>
          <w:p>
            <w:pPr>
              <w:spacing w:after="0"/>
              <w:rPr>
                <w:sz w:val="9"/>
                <w:szCs w:val="9"/>
                <w:color w:val="auto"/>
              </w:rPr>
            </w:pP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disease</w:t>
            </w:r>
          </w:p>
        </w:tc>
        <w:tc>
          <w:tcPr>
            <w:tcW w:w="5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1260" w:type="dxa"/>
            <w:vAlign w:val="bottom"/>
            <w:tcBorders>
              <w:right w:val="single" w:sz="8" w:color="auto"/>
            </w:tcBorders>
          </w:tcPr>
          <w:p>
            <w:pPr>
              <w:spacing w:after="0"/>
              <w:rPr>
                <w:sz w:val="9"/>
                <w:szCs w:val="9"/>
                <w:color w:val="auto"/>
              </w:rPr>
            </w:pPr>
          </w:p>
        </w:tc>
        <w:tc>
          <w:tcPr>
            <w:tcW w:w="43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640" w:type="dxa"/>
            <w:vAlign w:val="bottom"/>
            <w:tcBorders>
              <w:left w:val="single" w:sz="8" w:color="auto"/>
              <w:right w:val="single" w:sz="8" w:color="auto"/>
            </w:tcBorders>
          </w:tcPr>
          <w:p>
            <w:pPr>
              <w:spacing w:after="0"/>
              <w:rPr>
                <w:sz w:val="11"/>
                <w:szCs w:val="11"/>
                <w:color w:val="auto"/>
              </w:rPr>
            </w:pPr>
          </w:p>
        </w:tc>
        <w:tc>
          <w:tcPr>
            <w:tcW w:w="1720" w:type="dxa"/>
            <w:vAlign w:val="bottom"/>
            <w:tcBorders>
              <w:right w:val="single" w:sz="8" w:color="auto"/>
            </w:tcBorders>
            <w:vMerge w:val="continue"/>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260" w:type="dxa"/>
            <w:vAlign w:val="bottom"/>
            <w:tcBorders>
              <w:right w:val="single" w:sz="8" w:color="auto"/>
            </w:tcBorders>
          </w:tcPr>
          <w:p>
            <w:pPr>
              <w:spacing w:after="0"/>
              <w:rPr>
                <w:sz w:val="11"/>
                <w:szCs w:val="11"/>
                <w:color w:val="auto"/>
              </w:rPr>
            </w:pPr>
          </w:p>
        </w:tc>
        <w:tc>
          <w:tcPr>
            <w:tcW w:w="4320" w:type="dxa"/>
            <w:vAlign w:val="bottom"/>
            <w:tcBorders>
              <w:right w:val="single" w:sz="8" w:color="auto"/>
            </w:tcBorders>
            <w:vMerge w:val="restart"/>
          </w:tcPr>
          <w:p>
            <w:pPr>
              <w:spacing w:after="0" w:line="202" w:lineRule="exact"/>
              <w:rPr>
                <w:sz w:val="20"/>
                <w:szCs w:val="20"/>
                <w:color w:val="auto"/>
              </w:rPr>
            </w:pPr>
            <w:r>
              <w:rPr>
                <w:rFonts w:ascii="Arial" w:cs="Arial" w:eastAsia="Arial" w:hAnsi="Arial"/>
                <w:sz w:val="18"/>
                <w:szCs w:val="18"/>
                <w:color w:val="auto"/>
              </w:rPr>
              <w:t>disease who received solanezumab earlier in</w:t>
            </w:r>
          </w:p>
        </w:tc>
        <w:tc>
          <w:tcPr>
            <w:tcW w:w="0" w:type="dxa"/>
            <w:vAlign w:val="bottom"/>
          </w:tcPr>
          <w:p>
            <w:pPr>
              <w:spacing w:after="0"/>
              <w:rPr>
                <w:sz w:val="1"/>
                <w:szCs w:val="1"/>
                <w:color w:val="auto"/>
              </w:rPr>
            </w:pPr>
          </w:p>
        </w:tc>
      </w:tr>
      <w:tr>
        <w:trPr>
          <w:trHeight w:val="68"/>
        </w:trPr>
        <w:tc>
          <w:tcPr>
            <w:tcW w:w="1640" w:type="dxa"/>
            <w:vAlign w:val="bottom"/>
            <w:tcBorders>
              <w:left w:val="single" w:sz="8" w:color="auto"/>
              <w:right w:val="single" w:sz="8" w:color="auto"/>
            </w:tcBorders>
          </w:tcPr>
          <w:p>
            <w:pPr>
              <w:spacing w:after="0"/>
              <w:rPr>
                <w:sz w:val="5"/>
                <w:szCs w:val="5"/>
                <w:color w:val="auto"/>
              </w:rPr>
            </w:pPr>
          </w:p>
        </w:tc>
        <w:tc>
          <w:tcPr>
            <w:tcW w:w="1720" w:type="dxa"/>
            <w:vAlign w:val="bottom"/>
            <w:tcBorders>
              <w:right w:val="single" w:sz="8" w:color="auto"/>
            </w:tcBorders>
          </w:tcPr>
          <w:p>
            <w:pPr>
              <w:spacing w:after="0"/>
              <w:rPr>
                <w:sz w:val="5"/>
                <w:szCs w:val="5"/>
                <w:color w:val="auto"/>
              </w:rPr>
            </w:pPr>
          </w:p>
        </w:tc>
        <w:tc>
          <w:tcPr>
            <w:tcW w:w="58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60" w:type="dxa"/>
            <w:vAlign w:val="bottom"/>
            <w:tcBorders>
              <w:right w:val="single" w:sz="8" w:color="auto"/>
            </w:tcBorders>
          </w:tcPr>
          <w:p>
            <w:pPr>
              <w:spacing w:after="0"/>
              <w:rPr>
                <w:sz w:val="5"/>
                <w:szCs w:val="5"/>
                <w:color w:val="auto"/>
              </w:rPr>
            </w:pPr>
          </w:p>
        </w:tc>
        <w:tc>
          <w:tcPr>
            <w:tcW w:w="432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1640" w:type="dxa"/>
            <w:vAlign w:val="bottom"/>
            <w:tcBorders>
              <w:left w:val="single" w:sz="8" w:color="auto"/>
              <w:right w:val="single" w:sz="8" w:color="auto"/>
            </w:tcBorders>
          </w:tcPr>
          <w:p>
            <w:pPr>
              <w:spacing w:after="0"/>
              <w:rPr>
                <w:sz w:val="17"/>
                <w:szCs w:val="17"/>
                <w:color w:val="auto"/>
              </w:rPr>
            </w:pPr>
          </w:p>
        </w:tc>
        <w:tc>
          <w:tcPr>
            <w:tcW w:w="1720" w:type="dxa"/>
            <w:vAlign w:val="bottom"/>
            <w:tcBorders>
              <w:right w:val="single" w:sz="8" w:color="auto"/>
            </w:tcBorders>
          </w:tcPr>
          <w:p>
            <w:pPr>
              <w:spacing w:after="0"/>
              <w:rPr>
                <w:sz w:val="17"/>
                <w:szCs w:val="17"/>
                <w:color w:val="auto"/>
              </w:rPr>
            </w:pPr>
          </w:p>
        </w:tc>
        <w:tc>
          <w:tcPr>
            <w:tcW w:w="5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60" w:type="dxa"/>
            <w:vAlign w:val="bottom"/>
            <w:tcBorders>
              <w:right w:val="single" w:sz="8" w:color="auto"/>
            </w:tcBorders>
          </w:tcPr>
          <w:p>
            <w:pPr>
              <w:spacing w:after="0"/>
              <w:rPr>
                <w:sz w:val="17"/>
                <w:szCs w:val="17"/>
                <w:color w:val="auto"/>
              </w:rPr>
            </w:pPr>
          </w:p>
        </w:tc>
        <w:tc>
          <w:tcPr>
            <w:tcW w:w="432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disease, compared to patients beginning treatment at</w:t>
            </w:r>
          </w:p>
        </w:tc>
        <w:tc>
          <w:tcPr>
            <w:tcW w:w="0" w:type="dxa"/>
            <w:vAlign w:val="bottom"/>
          </w:tcPr>
          <w:p>
            <w:pPr>
              <w:spacing w:after="0"/>
              <w:rPr>
                <w:sz w:val="1"/>
                <w:szCs w:val="1"/>
                <w:color w:val="auto"/>
              </w:rPr>
            </w:pPr>
          </w:p>
        </w:tc>
      </w:tr>
      <w:tr>
        <w:trPr>
          <w:trHeight w:val="248"/>
        </w:trPr>
        <w:tc>
          <w:tcPr>
            <w:tcW w:w="1640" w:type="dxa"/>
            <w:vAlign w:val="bottom"/>
            <w:tcBorders>
              <w:left w:val="single" w:sz="8" w:color="auto"/>
              <w:bottom w:val="single" w:sz="8" w:color="auto"/>
              <w:right w:val="single" w:sz="8" w:color="auto"/>
            </w:tcBorders>
          </w:tcPr>
          <w:p>
            <w:pPr>
              <w:spacing w:after="0"/>
              <w:rPr>
                <w:sz w:val="21"/>
                <w:szCs w:val="21"/>
                <w:color w:val="auto"/>
              </w:rPr>
            </w:pPr>
          </w:p>
        </w:tc>
        <w:tc>
          <w:tcPr>
            <w:tcW w:w="1720" w:type="dxa"/>
            <w:vAlign w:val="bottom"/>
            <w:tcBorders>
              <w:bottom w:val="single" w:sz="8" w:color="auto"/>
              <w:right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1260" w:type="dxa"/>
            <w:vAlign w:val="bottom"/>
            <w:tcBorders>
              <w:bottom w:val="single" w:sz="8" w:color="auto"/>
              <w:right w:val="single" w:sz="8" w:color="auto"/>
            </w:tcBorders>
          </w:tcPr>
          <w:p>
            <w:pPr>
              <w:spacing w:after="0"/>
              <w:rPr>
                <w:sz w:val="21"/>
                <w:szCs w:val="21"/>
                <w:color w:val="auto"/>
              </w:rPr>
            </w:pPr>
          </w:p>
        </w:tc>
        <w:tc>
          <w:tcPr>
            <w:tcW w:w="4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later point.</w:t>
            </w:r>
          </w:p>
        </w:tc>
        <w:tc>
          <w:tcPr>
            <w:tcW w:w="0" w:type="dxa"/>
            <w:vAlign w:val="bottom"/>
          </w:tcPr>
          <w:p>
            <w:pPr>
              <w:spacing w:after="0"/>
              <w:rPr>
                <w:sz w:val="1"/>
                <w:szCs w:val="1"/>
                <w:color w:val="auto"/>
              </w:rPr>
            </w:pPr>
          </w:p>
        </w:tc>
      </w:tr>
      <w:tr>
        <w:trPr>
          <w:trHeight w:val="248"/>
        </w:trPr>
        <w:tc>
          <w:tcPr>
            <w:tcW w:w="1640" w:type="dxa"/>
            <w:vAlign w:val="bottom"/>
            <w:tcBorders>
              <w:left w:val="single" w:sz="8" w:color="auto"/>
              <w:right w:val="single" w:sz="8" w:color="auto"/>
            </w:tcBorders>
          </w:tcPr>
          <w:p>
            <w:pPr>
              <w:spacing w:after="0"/>
              <w:rPr>
                <w:sz w:val="21"/>
                <w:szCs w:val="21"/>
                <w:color w:val="auto"/>
              </w:rPr>
            </w:pPr>
          </w:p>
        </w:tc>
        <w:tc>
          <w:tcPr>
            <w:tcW w:w="1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Osteoarthritis pain</w:t>
            </w:r>
          </w:p>
        </w:tc>
        <w:tc>
          <w:tcPr>
            <w:tcW w:w="58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Phase III</w:t>
            </w:r>
          </w:p>
        </w:tc>
        <w:tc>
          <w:tcPr>
            <w:tcW w:w="1260" w:type="dxa"/>
            <w:vAlign w:val="bottom"/>
            <w:tcBorders>
              <w:bottom w:val="single" w:sz="8" w:color="auto"/>
              <w:right w:val="single" w:sz="8" w:color="auto"/>
            </w:tcBorders>
          </w:tcPr>
          <w:p>
            <w:pPr>
              <w:spacing w:after="0"/>
              <w:rPr>
                <w:sz w:val="21"/>
                <w:szCs w:val="21"/>
                <w:color w:val="auto"/>
              </w:rPr>
            </w:pPr>
          </w:p>
        </w:tc>
        <w:tc>
          <w:tcPr>
            <w:tcW w:w="432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FDA clinical hold lifted in March 2015. Certain Phase</w:t>
            </w:r>
          </w:p>
        </w:tc>
        <w:tc>
          <w:tcPr>
            <w:tcW w:w="0" w:type="dxa"/>
            <w:vAlign w:val="bottom"/>
          </w:tcPr>
          <w:p>
            <w:pPr>
              <w:spacing w:after="0"/>
              <w:rPr>
                <w:sz w:val="1"/>
                <w:szCs w:val="1"/>
                <w:color w:val="auto"/>
              </w:rPr>
            </w:pPr>
          </w:p>
        </w:tc>
      </w:tr>
      <w:tr>
        <w:trPr>
          <w:trHeight w:val="99"/>
        </w:trPr>
        <w:tc>
          <w:tcPr>
            <w:tcW w:w="1640" w:type="dxa"/>
            <w:vAlign w:val="bottom"/>
            <w:tcBorders>
              <w:left w:val="single" w:sz="8" w:color="auto"/>
              <w:right w:val="single" w:sz="8" w:color="auto"/>
            </w:tcBorders>
          </w:tcPr>
          <w:p>
            <w:pPr>
              <w:spacing w:after="0"/>
              <w:rPr>
                <w:sz w:val="8"/>
                <w:szCs w:val="8"/>
                <w:color w:val="auto"/>
              </w:rPr>
            </w:pP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Chronic low back</w:t>
            </w:r>
          </w:p>
        </w:tc>
        <w:tc>
          <w:tcPr>
            <w:tcW w:w="5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260" w:type="dxa"/>
            <w:vAlign w:val="bottom"/>
            <w:tcBorders>
              <w:right w:val="single" w:sz="8" w:color="auto"/>
            </w:tcBorders>
          </w:tcPr>
          <w:p>
            <w:pPr>
              <w:spacing w:after="0"/>
              <w:rPr>
                <w:sz w:val="8"/>
                <w:szCs w:val="8"/>
                <w:color w:val="auto"/>
              </w:rPr>
            </w:pPr>
          </w:p>
        </w:tc>
        <w:tc>
          <w:tcPr>
            <w:tcW w:w="432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16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Tanezumab</w:t>
            </w:r>
          </w:p>
        </w:tc>
        <w:tc>
          <w:tcPr>
            <w:tcW w:w="1720" w:type="dxa"/>
            <w:vAlign w:val="bottom"/>
            <w:tcBorders>
              <w:right w:val="single" w:sz="8" w:color="auto"/>
            </w:tcBorders>
            <w:vMerge w:val="continue"/>
          </w:tcPr>
          <w:p>
            <w:pPr>
              <w:spacing w:after="0"/>
              <w:rPr>
                <w:sz w:val="9"/>
                <w:szCs w:val="9"/>
                <w:color w:val="auto"/>
              </w:rPr>
            </w:pPr>
          </w:p>
        </w:tc>
        <w:tc>
          <w:tcPr>
            <w:tcW w:w="5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60" w:type="dxa"/>
            <w:vAlign w:val="bottom"/>
            <w:vMerge w:val="restart"/>
          </w:tcPr>
          <w:p>
            <w:pPr>
              <w:jc w:val="center"/>
              <w:spacing w:after="0"/>
              <w:rPr>
                <w:sz w:val="20"/>
                <w:szCs w:val="20"/>
                <w:color w:val="auto"/>
              </w:rPr>
            </w:pPr>
            <w:r>
              <w:rPr>
                <w:rFonts w:ascii="Arial" w:cs="Arial" w:eastAsia="Arial" w:hAnsi="Arial"/>
                <w:sz w:val="18"/>
                <w:szCs w:val="18"/>
                <w:color w:val="auto"/>
                <w:w w:val="98"/>
              </w:rPr>
              <w:t>Phase III</w:t>
            </w:r>
          </w:p>
        </w:tc>
        <w:tc>
          <w:tcPr>
            <w:tcW w:w="1260" w:type="dxa"/>
            <w:vAlign w:val="bottom"/>
            <w:tcBorders>
              <w:right w:val="single" w:sz="8" w:color="auto"/>
            </w:tcBorders>
          </w:tcPr>
          <w:p>
            <w:pPr>
              <w:spacing w:after="0"/>
              <w:rPr>
                <w:sz w:val="9"/>
                <w:szCs w:val="9"/>
                <w:color w:val="auto"/>
              </w:rPr>
            </w:pPr>
          </w:p>
        </w:tc>
        <w:tc>
          <w:tcPr>
            <w:tcW w:w="432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III studies resumed in July 2015.</w:t>
            </w:r>
          </w:p>
        </w:tc>
        <w:tc>
          <w:tcPr>
            <w:tcW w:w="0" w:type="dxa"/>
            <w:vAlign w:val="bottom"/>
          </w:tcPr>
          <w:p>
            <w:pPr>
              <w:spacing w:after="0"/>
              <w:rPr>
                <w:sz w:val="1"/>
                <w:szCs w:val="1"/>
                <w:color w:val="auto"/>
              </w:rPr>
            </w:pPr>
          </w:p>
        </w:tc>
      </w:tr>
      <w:tr>
        <w:trPr>
          <w:trHeight w:val="135"/>
        </w:trPr>
        <w:tc>
          <w:tcPr>
            <w:tcW w:w="1640" w:type="dxa"/>
            <w:vAlign w:val="bottom"/>
            <w:tcBorders>
              <w:left w:val="single" w:sz="8" w:color="auto"/>
              <w:right w:val="single" w:sz="8" w:color="auto"/>
            </w:tcBorders>
            <w:vMerge w:val="continue"/>
          </w:tcPr>
          <w:p>
            <w:pPr>
              <w:spacing w:after="0"/>
              <w:rPr>
                <w:sz w:val="11"/>
                <w:szCs w:val="11"/>
                <w:color w:val="auto"/>
              </w:rPr>
            </w:pP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pain</w:t>
            </w: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1260" w:type="dxa"/>
            <w:vAlign w:val="bottom"/>
            <w:tcBorders>
              <w:right w:val="single" w:sz="8" w:color="auto"/>
            </w:tcBorders>
          </w:tcPr>
          <w:p>
            <w:pPr>
              <w:spacing w:after="0"/>
              <w:rPr>
                <w:sz w:val="11"/>
                <w:szCs w:val="11"/>
                <w:color w:val="auto"/>
              </w:rPr>
            </w:pPr>
          </w:p>
        </w:tc>
        <w:tc>
          <w:tcPr>
            <w:tcW w:w="432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1640" w:type="dxa"/>
            <w:vAlign w:val="bottom"/>
            <w:tcBorders>
              <w:left w:val="single" w:sz="8" w:color="auto"/>
              <w:right w:val="single" w:sz="8" w:color="auto"/>
            </w:tcBorders>
          </w:tcPr>
          <w:p>
            <w:pPr>
              <w:spacing w:after="0"/>
              <w:rPr>
                <w:sz w:val="9"/>
                <w:szCs w:val="9"/>
                <w:color w:val="auto"/>
              </w:rPr>
            </w:pPr>
          </w:p>
        </w:tc>
        <w:tc>
          <w:tcPr>
            <w:tcW w:w="1720" w:type="dxa"/>
            <w:vAlign w:val="bottom"/>
            <w:tcBorders>
              <w:bottom w:val="single" w:sz="8" w:color="auto"/>
              <w:right w:val="single" w:sz="8" w:color="auto"/>
            </w:tcBorders>
            <w:vMerge w:val="continue"/>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1260" w:type="dxa"/>
            <w:vAlign w:val="bottom"/>
            <w:tcBorders>
              <w:bottom w:val="single" w:sz="8" w:color="auto"/>
              <w:right w:val="single" w:sz="8" w:color="auto"/>
            </w:tcBorders>
          </w:tcPr>
          <w:p>
            <w:pPr>
              <w:spacing w:after="0"/>
              <w:rPr>
                <w:sz w:val="9"/>
                <w:szCs w:val="9"/>
                <w:color w:val="auto"/>
              </w:rPr>
            </w:pPr>
          </w:p>
        </w:tc>
        <w:tc>
          <w:tcPr>
            <w:tcW w:w="43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1640" w:type="dxa"/>
            <w:vAlign w:val="bottom"/>
            <w:tcBorders>
              <w:left w:val="single" w:sz="8" w:color="auto"/>
              <w:bottom w:val="single" w:sz="8" w:color="auto"/>
              <w:right w:val="single" w:sz="8" w:color="auto"/>
            </w:tcBorders>
          </w:tcPr>
          <w:p>
            <w:pPr>
              <w:spacing w:after="0"/>
              <w:rPr>
                <w:sz w:val="21"/>
                <w:szCs w:val="21"/>
                <w:color w:val="auto"/>
              </w:rPr>
            </w:pPr>
          </w:p>
        </w:tc>
        <w:tc>
          <w:tcPr>
            <w:tcW w:w="1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Cancer pain</w:t>
            </w:r>
          </w:p>
        </w:tc>
        <w:tc>
          <w:tcPr>
            <w:tcW w:w="58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Phase III</w:t>
            </w:r>
          </w:p>
        </w:tc>
        <w:tc>
          <w:tcPr>
            <w:tcW w:w="1260" w:type="dxa"/>
            <w:vAlign w:val="bottom"/>
            <w:tcBorders>
              <w:bottom w:val="single" w:sz="8" w:color="auto"/>
              <w:right w:val="single" w:sz="8" w:color="auto"/>
            </w:tcBorders>
          </w:tcPr>
          <w:p>
            <w:pPr>
              <w:spacing w:after="0"/>
              <w:rPr>
                <w:sz w:val="21"/>
                <w:szCs w:val="21"/>
                <w:color w:val="auto"/>
              </w:rPr>
            </w:pPr>
          </w:p>
        </w:tc>
        <w:tc>
          <w:tcPr>
            <w:tcW w:w="43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6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Tau imaging agent</w:t>
            </w:r>
          </w:p>
        </w:tc>
        <w:tc>
          <w:tcPr>
            <w:tcW w:w="1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Alzheimer's disease</w:t>
            </w:r>
          </w:p>
        </w:tc>
        <w:tc>
          <w:tcPr>
            <w:tcW w:w="58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Phase III</w:t>
            </w:r>
          </w:p>
        </w:tc>
        <w:tc>
          <w:tcPr>
            <w:tcW w:w="1260" w:type="dxa"/>
            <w:vAlign w:val="bottom"/>
            <w:tcBorders>
              <w:bottom w:val="single" w:sz="8" w:color="auto"/>
              <w:right w:val="single" w:sz="8" w:color="auto"/>
            </w:tcBorders>
          </w:tcPr>
          <w:p>
            <w:pPr>
              <w:spacing w:after="0"/>
              <w:rPr>
                <w:sz w:val="21"/>
                <w:szCs w:val="21"/>
                <w:color w:val="auto"/>
              </w:rPr>
            </w:pPr>
          </w:p>
        </w:tc>
        <w:tc>
          <w:tcPr>
            <w:tcW w:w="4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Initiated Phase III study in September 2015.</w:t>
            </w:r>
          </w:p>
        </w:tc>
        <w:tc>
          <w:tcPr>
            <w:tcW w:w="0" w:type="dxa"/>
            <w:vAlign w:val="bottom"/>
          </w:tcPr>
          <w:p>
            <w:pPr>
              <w:spacing w:after="0"/>
              <w:rPr>
                <w:sz w:val="1"/>
                <w:szCs w:val="1"/>
                <w:color w:val="auto"/>
              </w:rPr>
            </w:pPr>
          </w:p>
        </w:tc>
      </w:tr>
      <w:tr>
        <w:trPr>
          <w:trHeight w:val="457"/>
        </w:trPr>
        <w:tc>
          <w:tcPr>
            <w:tcW w:w="16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34</w:t>
            </w:r>
          </w:p>
        </w:tc>
        <w:tc>
          <w:tcPr>
            <w:tcW w:w="1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822" w:right="219" w:bottom="1440" w:gutter="0" w:footer="0" w:header="0"/>
        </w:sectPr>
      </w:pPr>
    </w:p>
    <w:bookmarkStart w:id="34" w:name="page35"/>
    <w:bookmarkEnd w:id="3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69"/>
        </w:trPr>
        <w:tc>
          <w:tcPr>
            <w:tcW w:w="1640" w:type="dxa"/>
            <w:vAlign w:val="bottom"/>
            <w:tcBorders>
              <w:top w:val="single" w:sz="8" w:color="auto"/>
              <w:left w:val="single" w:sz="8" w:color="auto"/>
              <w:bottom w:val="single" w:sz="8" w:color="auto"/>
              <w:right w:val="single" w:sz="8" w:color="auto"/>
            </w:tcBorders>
            <w:shd w:val="clear" w:color="auto" w:fill="D8D8D8"/>
          </w:tcPr>
          <w:p>
            <w:pPr>
              <w:ind w:left="40"/>
              <w:spacing w:after="0"/>
              <w:rPr>
                <w:sz w:val="20"/>
                <w:szCs w:val="20"/>
                <w:color w:val="auto"/>
              </w:rPr>
            </w:pPr>
            <w:r>
              <w:rPr>
                <w:rFonts w:ascii="Arial" w:cs="Arial" w:eastAsia="Arial" w:hAnsi="Arial"/>
                <w:sz w:val="18"/>
                <w:szCs w:val="18"/>
                <w:b w:val="1"/>
                <w:bCs w:val="1"/>
                <w:color w:val="auto"/>
              </w:rPr>
              <w:t>Compound</w:t>
            </w:r>
          </w:p>
        </w:tc>
        <w:tc>
          <w:tcPr>
            <w:tcW w:w="1720" w:type="dxa"/>
            <w:vAlign w:val="bottom"/>
            <w:tcBorders>
              <w:top w:val="single" w:sz="8" w:color="auto"/>
              <w:bottom w:val="single" w:sz="8" w:color="auto"/>
              <w:right w:val="single" w:sz="8" w:color="auto"/>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Indication</w:t>
            </w:r>
          </w:p>
        </w:tc>
        <w:tc>
          <w:tcPr>
            <w:tcW w:w="1240" w:type="dxa"/>
            <w:vAlign w:val="bottom"/>
            <w:tcBorders>
              <w:top w:val="single" w:sz="8" w:color="auto"/>
              <w:bottom w:val="single" w:sz="8" w:color="auto"/>
              <w:right w:val="single" w:sz="8" w:color="auto"/>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U.S.</w:t>
            </w:r>
          </w:p>
        </w:tc>
        <w:tc>
          <w:tcPr>
            <w:tcW w:w="1260" w:type="dxa"/>
            <w:vAlign w:val="bottom"/>
            <w:tcBorders>
              <w:top w:val="single" w:sz="8" w:color="auto"/>
              <w:bottom w:val="single" w:sz="8" w:color="auto"/>
              <w:right w:val="single" w:sz="8" w:color="auto"/>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Europe</w:t>
            </w:r>
          </w:p>
        </w:tc>
        <w:tc>
          <w:tcPr>
            <w:tcW w:w="1240" w:type="dxa"/>
            <w:vAlign w:val="bottom"/>
            <w:tcBorders>
              <w:top w:val="single" w:sz="8" w:color="auto"/>
              <w:bottom w:val="single" w:sz="8" w:color="auto"/>
              <w:right w:val="single" w:sz="8" w:color="auto"/>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Japan</w:t>
            </w:r>
          </w:p>
        </w:tc>
        <w:tc>
          <w:tcPr>
            <w:tcW w:w="4340" w:type="dxa"/>
            <w:vAlign w:val="bottom"/>
            <w:tcBorders>
              <w:top w:val="single" w:sz="8" w:color="auto"/>
              <w:bottom w:val="single" w:sz="8" w:color="auto"/>
              <w:right w:val="single" w:sz="8" w:color="auto"/>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Developments</w:t>
            </w:r>
          </w:p>
        </w:tc>
        <w:tc>
          <w:tcPr>
            <w:tcW w:w="0" w:type="dxa"/>
            <w:vAlign w:val="bottom"/>
          </w:tcPr>
          <w:p>
            <w:pPr>
              <w:spacing w:after="0"/>
              <w:rPr>
                <w:sz w:val="1"/>
                <w:szCs w:val="1"/>
                <w:color w:val="auto"/>
              </w:rPr>
            </w:pPr>
          </w:p>
        </w:tc>
      </w:tr>
      <w:tr>
        <w:trPr>
          <w:trHeight w:val="250"/>
        </w:trPr>
        <w:tc>
          <w:tcPr>
            <w:tcW w:w="16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rPr>
              <w:t>Oncology</w:t>
            </w:r>
          </w:p>
        </w:tc>
        <w:tc>
          <w:tcPr>
            <w:tcW w:w="17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434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1"/>
        </w:trPr>
        <w:tc>
          <w:tcPr>
            <w:tcW w:w="1640" w:type="dxa"/>
            <w:vAlign w:val="bottom"/>
            <w:tcBorders>
              <w:left w:val="single" w:sz="8" w:color="auto"/>
              <w:right w:val="single" w:sz="8" w:color="auto"/>
            </w:tcBorders>
          </w:tcPr>
          <w:p>
            <w:pPr>
              <w:spacing w:after="0"/>
              <w:rPr>
                <w:sz w:val="17"/>
                <w:szCs w:val="17"/>
                <w:color w:val="auto"/>
              </w:rPr>
            </w:pP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Metastatic breast</w:t>
            </w:r>
          </w:p>
        </w:tc>
        <w:tc>
          <w:tcPr>
            <w:tcW w:w="1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4340" w:type="dxa"/>
            <w:vAlign w:val="bottom"/>
            <w:tcBorders>
              <w:right w:val="single" w:sz="8" w:color="auto"/>
            </w:tcBorders>
          </w:tcPr>
          <w:p>
            <w:pPr>
              <w:ind w:left="20"/>
              <w:spacing w:after="0" w:line="201" w:lineRule="exact"/>
              <w:rPr>
                <w:sz w:val="20"/>
                <w:szCs w:val="20"/>
                <w:color w:val="auto"/>
              </w:rPr>
            </w:pPr>
            <w:r>
              <w:rPr>
                <w:rFonts w:ascii="Arial" w:cs="Arial" w:eastAsia="Arial" w:hAnsi="Arial"/>
                <w:sz w:val="18"/>
                <w:szCs w:val="18"/>
                <w:color w:val="auto"/>
              </w:rPr>
              <w:t>Phase III studies are ongoing. Announced that</w:t>
            </w:r>
          </w:p>
        </w:tc>
        <w:tc>
          <w:tcPr>
            <w:tcW w:w="0" w:type="dxa"/>
            <w:vAlign w:val="bottom"/>
          </w:tcPr>
          <w:p>
            <w:pPr>
              <w:spacing w:after="0"/>
              <w:rPr>
                <w:sz w:val="1"/>
                <w:szCs w:val="1"/>
                <w:color w:val="auto"/>
              </w:rPr>
            </w:pPr>
          </w:p>
        </w:tc>
      </w:tr>
      <w:tr>
        <w:trPr>
          <w:trHeight w:val="95"/>
        </w:trPr>
        <w:tc>
          <w:tcPr>
            <w:tcW w:w="1640" w:type="dxa"/>
            <w:vAlign w:val="bottom"/>
            <w:tcBorders>
              <w:left w:val="single" w:sz="8" w:color="auto"/>
              <w:right w:val="single" w:sz="8" w:color="auto"/>
            </w:tcBorders>
          </w:tcPr>
          <w:p>
            <w:pPr>
              <w:spacing w:after="0"/>
              <w:rPr>
                <w:sz w:val="8"/>
                <w:szCs w:val="8"/>
                <w:color w:val="auto"/>
              </w:rPr>
            </w:pPr>
          </w:p>
        </w:tc>
        <w:tc>
          <w:tcPr>
            <w:tcW w:w="1720" w:type="dxa"/>
            <w:vAlign w:val="bottom"/>
            <w:tcBorders>
              <w:right w:val="single" w:sz="8" w:color="auto"/>
            </w:tcBorders>
            <w:vMerge w:val="continue"/>
          </w:tcPr>
          <w:p>
            <w:pPr>
              <w:spacing w:after="0"/>
              <w:rPr>
                <w:sz w:val="8"/>
                <w:szCs w:val="8"/>
                <w:color w:val="auto"/>
              </w:rPr>
            </w:pPr>
          </w:p>
        </w:tc>
        <w:tc>
          <w:tcPr>
            <w:tcW w:w="1240" w:type="dxa"/>
            <w:vAlign w:val="bottom"/>
          </w:tcPr>
          <w:p>
            <w:pPr>
              <w:spacing w:after="0"/>
              <w:rPr>
                <w:sz w:val="8"/>
                <w:szCs w:val="8"/>
                <w:color w:val="auto"/>
              </w:rPr>
            </w:pPr>
          </w:p>
        </w:tc>
        <w:tc>
          <w:tcPr>
            <w:tcW w:w="1260" w:type="dxa"/>
            <w:vAlign w:val="bottom"/>
            <w:vMerge w:val="restart"/>
          </w:tcPr>
          <w:p>
            <w:pPr>
              <w:jc w:val="center"/>
              <w:spacing w:after="0" w:line="202" w:lineRule="exact"/>
              <w:rPr>
                <w:sz w:val="20"/>
                <w:szCs w:val="20"/>
                <w:color w:val="auto"/>
              </w:rPr>
            </w:pPr>
            <w:r>
              <w:rPr>
                <w:rFonts w:ascii="Arial" w:cs="Arial" w:eastAsia="Arial" w:hAnsi="Arial"/>
                <w:sz w:val="18"/>
                <w:szCs w:val="18"/>
                <w:color w:val="auto"/>
                <w:w w:val="98"/>
              </w:rPr>
              <w:t>Phase III</w:t>
            </w:r>
          </w:p>
        </w:tc>
        <w:tc>
          <w:tcPr>
            <w:tcW w:w="1240" w:type="dxa"/>
            <w:vAlign w:val="bottom"/>
            <w:tcBorders>
              <w:right w:val="single" w:sz="8" w:color="auto"/>
            </w:tcBorders>
          </w:tcPr>
          <w:p>
            <w:pPr>
              <w:spacing w:after="0"/>
              <w:rPr>
                <w:sz w:val="8"/>
                <w:szCs w:val="8"/>
                <w:color w:val="auto"/>
              </w:rPr>
            </w:pPr>
          </w:p>
        </w:tc>
        <w:tc>
          <w:tcPr>
            <w:tcW w:w="4340" w:type="dxa"/>
            <w:vAlign w:val="bottom"/>
            <w:tcBorders>
              <w:right w:val="single" w:sz="8" w:color="auto"/>
            </w:tcBorders>
            <w:vMerge w:val="restart"/>
          </w:tcPr>
          <w:p>
            <w:pPr>
              <w:ind w:left="20"/>
              <w:spacing w:after="0" w:line="202" w:lineRule="exact"/>
              <w:rPr>
                <w:sz w:val="20"/>
                <w:szCs w:val="20"/>
                <w:color w:val="auto"/>
              </w:rPr>
            </w:pPr>
            <w:r>
              <w:rPr>
                <w:rFonts w:ascii="Arial" w:cs="Arial" w:eastAsia="Arial" w:hAnsi="Arial"/>
                <w:sz w:val="18"/>
                <w:szCs w:val="18"/>
                <w:color w:val="auto"/>
              </w:rPr>
              <w:t>abemaciclib was granted Breakthrough Therapy</w:t>
            </w:r>
          </w:p>
        </w:tc>
        <w:tc>
          <w:tcPr>
            <w:tcW w:w="0" w:type="dxa"/>
            <w:vAlign w:val="bottom"/>
          </w:tcPr>
          <w:p>
            <w:pPr>
              <w:spacing w:after="0"/>
              <w:rPr>
                <w:sz w:val="1"/>
                <w:szCs w:val="1"/>
                <w:color w:val="auto"/>
              </w:rPr>
            </w:pPr>
          </w:p>
        </w:tc>
      </w:tr>
      <w:tr>
        <w:trPr>
          <w:trHeight w:val="108"/>
        </w:trPr>
        <w:tc>
          <w:tcPr>
            <w:tcW w:w="16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Abemaciclib</w:t>
            </w: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cancer</w:t>
            </w:r>
          </w:p>
        </w:tc>
        <w:tc>
          <w:tcPr>
            <w:tcW w:w="124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1240" w:type="dxa"/>
            <w:vAlign w:val="bottom"/>
            <w:tcBorders>
              <w:right w:val="single" w:sz="8" w:color="auto"/>
            </w:tcBorders>
          </w:tcPr>
          <w:p>
            <w:pPr>
              <w:spacing w:after="0"/>
              <w:rPr>
                <w:sz w:val="9"/>
                <w:szCs w:val="9"/>
                <w:color w:val="auto"/>
              </w:rPr>
            </w:pPr>
          </w:p>
        </w:tc>
        <w:tc>
          <w:tcPr>
            <w:tcW w:w="434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1640" w:type="dxa"/>
            <w:vAlign w:val="bottom"/>
            <w:tcBorders>
              <w:left w:val="single" w:sz="8" w:color="auto"/>
              <w:right w:val="single" w:sz="8" w:color="auto"/>
            </w:tcBorders>
            <w:vMerge w:val="continue"/>
          </w:tcPr>
          <w:p>
            <w:pPr>
              <w:spacing w:after="0"/>
              <w:rPr>
                <w:sz w:val="21"/>
                <w:szCs w:val="21"/>
                <w:color w:val="auto"/>
              </w:rPr>
            </w:pPr>
          </w:p>
        </w:tc>
        <w:tc>
          <w:tcPr>
            <w:tcW w:w="1720" w:type="dxa"/>
            <w:vAlign w:val="bottom"/>
            <w:tcBorders>
              <w:bottom w:val="single" w:sz="8" w:color="auto"/>
              <w:right w:val="single" w:sz="8" w:color="auto"/>
            </w:tcBorders>
            <w:vMerge w:val="continue"/>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1240" w:type="dxa"/>
            <w:vAlign w:val="bottom"/>
            <w:tcBorders>
              <w:bottom w:val="single" w:sz="8" w:color="auto"/>
              <w:right w:val="single" w:sz="8" w:color="auto"/>
            </w:tcBorders>
          </w:tcPr>
          <w:p>
            <w:pPr>
              <w:spacing w:after="0"/>
              <w:rPr>
                <w:sz w:val="21"/>
                <w:szCs w:val="21"/>
                <w:color w:val="auto"/>
              </w:rPr>
            </w:pPr>
          </w:p>
        </w:tc>
        <w:tc>
          <w:tcPr>
            <w:tcW w:w="4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Designation</w:t>
            </w:r>
            <w:r>
              <w:rPr>
                <w:rFonts w:ascii="Arial" w:cs="Arial" w:eastAsia="Arial" w:hAnsi="Arial"/>
                <w:sz w:val="21"/>
                <w:szCs w:val="21"/>
                <w:color w:val="auto"/>
                <w:vertAlign w:val="superscript"/>
              </w:rPr>
              <w:t>(2)</w:t>
            </w:r>
            <w:r>
              <w:rPr>
                <w:rFonts w:ascii="Arial" w:cs="Arial" w:eastAsia="Arial" w:hAnsi="Arial"/>
                <w:sz w:val="18"/>
                <w:szCs w:val="18"/>
                <w:color w:val="auto"/>
              </w:rPr>
              <w:t xml:space="preserve"> by the FDA.</w:t>
            </w:r>
          </w:p>
        </w:tc>
        <w:tc>
          <w:tcPr>
            <w:tcW w:w="0" w:type="dxa"/>
            <w:vAlign w:val="bottom"/>
          </w:tcPr>
          <w:p>
            <w:pPr>
              <w:spacing w:after="0"/>
              <w:rPr>
                <w:sz w:val="1"/>
                <w:szCs w:val="1"/>
                <w:color w:val="auto"/>
              </w:rPr>
            </w:pPr>
          </w:p>
        </w:tc>
      </w:tr>
      <w:tr>
        <w:trPr>
          <w:trHeight w:val="245"/>
        </w:trPr>
        <w:tc>
          <w:tcPr>
            <w:tcW w:w="1640" w:type="dxa"/>
            <w:vAlign w:val="bottom"/>
            <w:tcBorders>
              <w:left w:val="single" w:sz="8" w:color="auto"/>
              <w:bottom w:val="single" w:sz="8" w:color="auto"/>
              <w:right w:val="single" w:sz="8" w:color="auto"/>
            </w:tcBorders>
          </w:tcPr>
          <w:p>
            <w:pPr>
              <w:spacing w:after="0"/>
              <w:rPr>
                <w:sz w:val="21"/>
                <w:szCs w:val="21"/>
                <w:color w:val="auto"/>
              </w:rPr>
            </w:pPr>
          </w:p>
        </w:tc>
        <w:tc>
          <w:tcPr>
            <w:tcW w:w="1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NSCLC</w:t>
            </w:r>
          </w:p>
        </w:tc>
        <w:tc>
          <w:tcPr>
            <w:tcW w:w="12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Phase III</w:t>
            </w:r>
          </w:p>
        </w:tc>
        <w:tc>
          <w:tcPr>
            <w:tcW w:w="1240" w:type="dxa"/>
            <w:vAlign w:val="bottom"/>
            <w:tcBorders>
              <w:bottom w:val="single" w:sz="8" w:color="auto"/>
              <w:right w:val="single" w:sz="8" w:color="auto"/>
            </w:tcBorders>
          </w:tcPr>
          <w:p>
            <w:pPr>
              <w:spacing w:after="0"/>
              <w:rPr>
                <w:sz w:val="21"/>
                <w:szCs w:val="21"/>
                <w:color w:val="auto"/>
              </w:rPr>
            </w:pPr>
          </w:p>
        </w:tc>
        <w:tc>
          <w:tcPr>
            <w:tcW w:w="4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Phase III study is ongoing.</w:t>
            </w:r>
          </w:p>
        </w:tc>
        <w:tc>
          <w:tcPr>
            <w:tcW w:w="0" w:type="dxa"/>
            <w:vAlign w:val="bottom"/>
          </w:tcPr>
          <w:p>
            <w:pPr>
              <w:spacing w:after="0"/>
              <w:rPr>
                <w:sz w:val="1"/>
                <w:szCs w:val="1"/>
                <w:color w:val="auto"/>
              </w:rPr>
            </w:pPr>
          </w:p>
        </w:tc>
      </w:tr>
      <w:tr>
        <w:trPr>
          <w:trHeight w:val="205"/>
        </w:trPr>
        <w:tc>
          <w:tcPr>
            <w:tcW w:w="1640" w:type="dxa"/>
            <w:vAlign w:val="bottom"/>
            <w:tcBorders>
              <w:left w:val="single" w:sz="8" w:color="auto"/>
              <w:right w:val="single" w:sz="8" w:color="auto"/>
            </w:tcBorders>
          </w:tcPr>
          <w:p>
            <w:pPr>
              <w:spacing w:after="0"/>
              <w:rPr>
                <w:sz w:val="17"/>
                <w:szCs w:val="17"/>
                <w:color w:val="auto"/>
              </w:rPr>
            </w:pPr>
          </w:p>
        </w:tc>
        <w:tc>
          <w:tcPr>
            <w:tcW w:w="1720" w:type="dxa"/>
            <w:vAlign w:val="bottom"/>
            <w:tcBorders>
              <w:right w:val="single" w:sz="8" w:color="auto"/>
            </w:tcBorders>
          </w:tcPr>
          <w:p>
            <w:pPr>
              <w:ind w:left="20"/>
              <w:spacing w:after="0" w:line="205" w:lineRule="exact"/>
              <w:rPr>
                <w:sz w:val="20"/>
                <w:szCs w:val="20"/>
                <w:color w:val="auto"/>
              </w:rPr>
            </w:pPr>
            <w:r>
              <w:rPr>
                <w:rFonts w:ascii="Arial" w:cs="Arial" w:eastAsia="Arial" w:hAnsi="Arial"/>
                <w:sz w:val="18"/>
                <w:szCs w:val="18"/>
                <w:color w:val="auto"/>
              </w:rPr>
              <w:t>Gastric cancer (first-</w:t>
            </w:r>
          </w:p>
        </w:tc>
        <w:tc>
          <w:tcPr>
            <w:tcW w:w="1240" w:type="dxa"/>
            <w:vAlign w:val="bottom"/>
          </w:tcPr>
          <w:p>
            <w:pPr>
              <w:spacing w:after="0"/>
              <w:rPr>
                <w:sz w:val="17"/>
                <w:szCs w:val="17"/>
                <w:color w:val="auto"/>
              </w:rPr>
            </w:pPr>
          </w:p>
        </w:tc>
        <w:tc>
          <w:tcPr>
            <w:tcW w:w="1260" w:type="dxa"/>
            <w:vAlign w:val="bottom"/>
            <w:vMerge w:val="restart"/>
          </w:tcPr>
          <w:p>
            <w:pPr>
              <w:jc w:val="center"/>
              <w:spacing w:after="0"/>
              <w:rPr>
                <w:sz w:val="20"/>
                <w:szCs w:val="20"/>
                <w:color w:val="auto"/>
              </w:rPr>
            </w:pPr>
            <w:r>
              <w:rPr>
                <w:rFonts w:ascii="Arial" w:cs="Arial" w:eastAsia="Arial" w:hAnsi="Arial"/>
                <w:sz w:val="18"/>
                <w:szCs w:val="18"/>
                <w:color w:val="auto"/>
                <w:w w:val="98"/>
              </w:rPr>
              <w:t>Phase III</w:t>
            </w:r>
          </w:p>
        </w:tc>
        <w:tc>
          <w:tcPr>
            <w:tcW w:w="1240" w:type="dxa"/>
            <w:vAlign w:val="bottom"/>
            <w:tcBorders>
              <w:right w:val="single" w:sz="8" w:color="auto"/>
            </w:tcBorders>
          </w:tcPr>
          <w:p>
            <w:pPr>
              <w:spacing w:after="0"/>
              <w:rPr>
                <w:sz w:val="17"/>
                <w:szCs w:val="17"/>
                <w:color w:val="auto"/>
              </w:rPr>
            </w:pPr>
          </w:p>
        </w:tc>
        <w:tc>
          <w:tcPr>
            <w:tcW w:w="434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Initiated Phase III study in January 2015.</w:t>
            </w:r>
          </w:p>
        </w:tc>
        <w:tc>
          <w:tcPr>
            <w:tcW w:w="0" w:type="dxa"/>
            <w:vAlign w:val="bottom"/>
          </w:tcPr>
          <w:p>
            <w:pPr>
              <w:spacing w:after="0"/>
              <w:rPr>
                <w:sz w:val="1"/>
                <w:szCs w:val="1"/>
                <w:color w:val="auto"/>
              </w:rPr>
            </w:pPr>
          </w:p>
        </w:tc>
      </w:tr>
      <w:tr>
        <w:trPr>
          <w:trHeight w:val="135"/>
        </w:trPr>
        <w:tc>
          <w:tcPr>
            <w:tcW w:w="1640" w:type="dxa"/>
            <w:vAlign w:val="bottom"/>
            <w:tcBorders>
              <w:left w:val="single" w:sz="8" w:color="auto"/>
              <w:right w:val="single" w:sz="8" w:color="auto"/>
            </w:tcBorders>
          </w:tcPr>
          <w:p>
            <w:pPr>
              <w:spacing w:after="0"/>
              <w:rPr>
                <w:sz w:val="11"/>
                <w:szCs w:val="11"/>
                <w:color w:val="auto"/>
              </w:rPr>
            </w:pP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line)</w:t>
            </w:r>
          </w:p>
        </w:tc>
        <w:tc>
          <w:tcPr>
            <w:tcW w:w="12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1240" w:type="dxa"/>
            <w:vAlign w:val="bottom"/>
            <w:tcBorders>
              <w:right w:val="single" w:sz="8" w:color="auto"/>
            </w:tcBorders>
          </w:tcPr>
          <w:p>
            <w:pPr>
              <w:spacing w:after="0"/>
              <w:rPr>
                <w:sz w:val="11"/>
                <w:szCs w:val="11"/>
                <w:color w:val="auto"/>
              </w:rPr>
            </w:pPr>
          </w:p>
        </w:tc>
        <w:tc>
          <w:tcPr>
            <w:tcW w:w="434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1640" w:type="dxa"/>
            <w:vAlign w:val="bottom"/>
            <w:tcBorders>
              <w:left w:val="single" w:sz="8" w:color="auto"/>
              <w:right w:val="single" w:sz="8" w:color="auto"/>
            </w:tcBorders>
          </w:tcPr>
          <w:p>
            <w:pPr>
              <w:spacing w:after="0"/>
              <w:rPr>
                <w:sz w:val="9"/>
                <w:szCs w:val="9"/>
                <w:color w:val="auto"/>
              </w:rPr>
            </w:pPr>
          </w:p>
        </w:tc>
        <w:tc>
          <w:tcPr>
            <w:tcW w:w="1720" w:type="dxa"/>
            <w:vAlign w:val="bottom"/>
            <w:tcBorders>
              <w:bottom w:val="single" w:sz="8" w:color="auto"/>
              <w:right w:val="single" w:sz="8" w:color="auto"/>
            </w:tcBorders>
            <w:vMerge w:val="continue"/>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1240" w:type="dxa"/>
            <w:vAlign w:val="bottom"/>
            <w:tcBorders>
              <w:bottom w:val="single" w:sz="8" w:color="auto"/>
              <w:right w:val="single" w:sz="8" w:color="auto"/>
            </w:tcBorders>
          </w:tcPr>
          <w:p>
            <w:pPr>
              <w:spacing w:after="0"/>
              <w:rPr>
                <w:sz w:val="9"/>
                <w:szCs w:val="9"/>
                <w:color w:val="auto"/>
              </w:rPr>
            </w:pPr>
          </w:p>
        </w:tc>
        <w:tc>
          <w:tcPr>
            <w:tcW w:w="43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05"/>
        </w:trPr>
        <w:tc>
          <w:tcPr>
            <w:tcW w:w="1640" w:type="dxa"/>
            <w:vAlign w:val="bottom"/>
            <w:tcBorders>
              <w:left w:val="single" w:sz="8" w:color="auto"/>
              <w:right w:val="single" w:sz="8" w:color="auto"/>
            </w:tcBorders>
          </w:tcPr>
          <w:p>
            <w:pPr>
              <w:spacing w:after="0"/>
              <w:rPr>
                <w:sz w:val="17"/>
                <w:szCs w:val="17"/>
                <w:color w:val="auto"/>
              </w:rPr>
            </w:pP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Gastric cancer</w:t>
            </w:r>
          </w:p>
        </w:tc>
        <w:tc>
          <w:tcPr>
            <w:tcW w:w="1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4340" w:type="dxa"/>
            <w:vAlign w:val="bottom"/>
            <w:tcBorders>
              <w:right w:val="single" w:sz="8" w:color="auto"/>
            </w:tcBorders>
          </w:tcPr>
          <w:p>
            <w:pPr>
              <w:ind w:left="20"/>
              <w:spacing w:after="0" w:line="205" w:lineRule="exact"/>
              <w:rPr>
                <w:sz w:val="20"/>
                <w:szCs w:val="20"/>
                <w:color w:val="auto"/>
              </w:rPr>
            </w:pPr>
            <w:r>
              <w:rPr>
                <w:rFonts w:ascii="Arial" w:cs="Arial" w:eastAsia="Arial" w:hAnsi="Arial"/>
                <w:sz w:val="18"/>
                <w:szCs w:val="18"/>
                <w:color w:val="auto"/>
              </w:rPr>
              <w:t>Launched in certain European countries in first</w:t>
            </w:r>
          </w:p>
        </w:tc>
        <w:tc>
          <w:tcPr>
            <w:tcW w:w="0" w:type="dxa"/>
            <w:vAlign w:val="bottom"/>
          </w:tcPr>
          <w:p>
            <w:pPr>
              <w:spacing w:after="0"/>
              <w:rPr>
                <w:sz w:val="1"/>
                <w:szCs w:val="1"/>
                <w:color w:val="auto"/>
              </w:rPr>
            </w:pPr>
          </w:p>
        </w:tc>
      </w:tr>
      <w:tr>
        <w:trPr>
          <w:trHeight w:val="95"/>
        </w:trPr>
        <w:tc>
          <w:tcPr>
            <w:tcW w:w="1640" w:type="dxa"/>
            <w:vAlign w:val="bottom"/>
            <w:tcBorders>
              <w:left w:val="single" w:sz="8" w:color="auto"/>
              <w:right w:val="single" w:sz="8" w:color="auto"/>
            </w:tcBorders>
          </w:tcPr>
          <w:p>
            <w:pPr>
              <w:spacing w:after="0"/>
              <w:rPr>
                <w:sz w:val="8"/>
                <w:szCs w:val="8"/>
                <w:color w:val="auto"/>
              </w:rPr>
            </w:pPr>
          </w:p>
        </w:tc>
        <w:tc>
          <w:tcPr>
            <w:tcW w:w="1720" w:type="dxa"/>
            <w:vAlign w:val="bottom"/>
            <w:tcBorders>
              <w:right w:val="single" w:sz="8" w:color="auto"/>
            </w:tcBorders>
            <w:vMerge w:val="continue"/>
          </w:tcPr>
          <w:p>
            <w:pPr>
              <w:spacing w:after="0"/>
              <w:rPr>
                <w:sz w:val="8"/>
                <w:szCs w:val="8"/>
                <w:color w:val="auto"/>
              </w:rPr>
            </w:pPr>
          </w:p>
        </w:tc>
        <w:tc>
          <w:tcPr>
            <w:tcW w:w="1240" w:type="dxa"/>
            <w:vAlign w:val="bottom"/>
          </w:tcPr>
          <w:p>
            <w:pPr>
              <w:spacing w:after="0"/>
              <w:rPr>
                <w:sz w:val="8"/>
                <w:szCs w:val="8"/>
                <w:color w:val="auto"/>
              </w:rPr>
            </w:pPr>
          </w:p>
        </w:tc>
        <w:tc>
          <w:tcPr>
            <w:tcW w:w="1260" w:type="dxa"/>
            <w:vAlign w:val="bottom"/>
            <w:vMerge w:val="restart"/>
          </w:tcPr>
          <w:p>
            <w:pPr>
              <w:jc w:val="center"/>
              <w:spacing w:after="0" w:line="202" w:lineRule="exact"/>
              <w:rPr>
                <w:sz w:val="20"/>
                <w:szCs w:val="20"/>
                <w:color w:val="auto"/>
              </w:rPr>
            </w:pPr>
            <w:r>
              <w:rPr>
                <w:rFonts w:ascii="Arial" w:cs="Arial" w:eastAsia="Arial" w:hAnsi="Arial"/>
                <w:sz w:val="18"/>
                <w:szCs w:val="18"/>
                <w:color w:val="auto"/>
                <w:w w:val="98"/>
              </w:rPr>
              <w:t>Launched</w:t>
            </w:r>
          </w:p>
        </w:tc>
        <w:tc>
          <w:tcPr>
            <w:tcW w:w="1240" w:type="dxa"/>
            <w:vAlign w:val="bottom"/>
            <w:tcBorders>
              <w:right w:val="single" w:sz="8" w:color="auto"/>
            </w:tcBorders>
          </w:tcPr>
          <w:p>
            <w:pPr>
              <w:spacing w:after="0"/>
              <w:rPr>
                <w:sz w:val="8"/>
                <w:szCs w:val="8"/>
                <w:color w:val="auto"/>
              </w:rPr>
            </w:pPr>
          </w:p>
        </w:tc>
        <w:tc>
          <w:tcPr>
            <w:tcW w:w="4340" w:type="dxa"/>
            <w:vAlign w:val="bottom"/>
            <w:tcBorders>
              <w:right w:val="single" w:sz="8" w:color="auto"/>
            </w:tcBorders>
            <w:vMerge w:val="restart"/>
          </w:tcPr>
          <w:p>
            <w:pPr>
              <w:ind w:left="20"/>
              <w:spacing w:after="0" w:line="202" w:lineRule="exact"/>
              <w:rPr>
                <w:sz w:val="20"/>
                <w:szCs w:val="20"/>
                <w:color w:val="auto"/>
              </w:rPr>
            </w:pPr>
            <w:r>
              <w:rPr>
                <w:rFonts w:ascii="Arial" w:cs="Arial" w:eastAsia="Arial" w:hAnsi="Arial"/>
                <w:sz w:val="18"/>
                <w:szCs w:val="18"/>
                <w:color w:val="auto"/>
              </w:rPr>
              <w:t>quarter of 2015. In Japan, approved in first quarter of</w:t>
            </w:r>
          </w:p>
        </w:tc>
        <w:tc>
          <w:tcPr>
            <w:tcW w:w="0" w:type="dxa"/>
            <w:vAlign w:val="bottom"/>
          </w:tcPr>
          <w:p>
            <w:pPr>
              <w:spacing w:after="0"/>
              <w:rPr>
                <w:sz w:val="1"/>
                <w:szCs w:val="1"/>
                <w:color w:val="auto"/>
              </w:rPr>
            </w:pPr>
          </w:p>
        </w:tc>
      </w:tr>
      <w:tr>
        <w:trPr>
          <w:trHeight w:val="108"/>
        </w:trPr>
        <w:tc>
          <w:tcPr>
            <w:tcW w:w="1640" w:type="dxa"/>
            <w:vAlign w:val="bottom"/>
            <w:tcBorders>
              <w:left w:val="single" w:sz="8" w:color="auto"/>
              <w:right w:val="single" w:sz="8" w:color="auto"/>
            </w:tcBorders>
          </w:tcPr>
          <w:p>
            <w:pPr>
              <w:spacing w:after="0"/>
              <w:rPr>
                <w:sz w:val="9"/>
                <w:szCs w:val="9"/>
                <w:color w:val="auto"/>
              </w:rPr>
            </w:pP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(second-line)</w:t>
            </w:r>
          </w:p>
        </w:tc>
        <w:tc>
          <w:tcPr>
            <w:tcW w:w="124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1240" w:type="dxa"/>
            <w:vAlign w:val="bottom"/>
            <w:tcBorders>
              <w:right w:val="single" w:sz="8" w:color="auto"/>
            </w:tcBorders>
          </w:tcPr>
          <w:p>
            <w:pPr>
              <w:spacing w:after="0"/>
              <w:rPr>
                <w:sz w:val="9"/>
                <w:szCs w:val="9"/>
                <w:color w:val="auto"/>
              </w:rPr>
            </w:pPr>
          </w:p>
        </w:tc>
        <w:tc>
          <w:tcPr>
            <w:tcW w:w="434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640" w:type="dxa"/>
            <w:vAlign w:val="bottom"/>
            <w:tcBorders>
              <w:left w:val="single" w:sz="8" w:color="auto"/>
              <w:right w:val="single" w:sz="8" w:color="auto"/>
            </w:tcBorders>
          </w:tcPr>
          <w:p>
            <w:pPr>
              <w:spacing w:after="0"/>
              <w:rPr>
                <w:sz w:val="11"/>
                <w:szCs w:val="11"/>
                <w:color w:val="auto"/>
              </w:rPr>
            </w:pPr>
          </w:p>
        </w:tc>
        <w:tc>
          <w:tcPr>
            <w:tcW w:w="1720" w:type="dxa"/>
            <w:vAlign w:val="bottom"/>
            <w:tcBorders>
              <w:right w:val="single" w:sz="8" w:color="auto"/>
            </w:tcBorders>
            <w:vMerge w:val="continue"/>
          </w:tcPr>
          <w:p>
            <w:pPr>
              <w:spacing w:after="0"/>
              <w:rPr>
                <w:sz w:val="11"/>
                <w:szCs w:val="11"/>
                <w:color w:val="auto"/>
              </w:rPr>
            </w:pPr>
          </w:p>
        </w:tc>
        <w:tc>
          <w:tcPr>
            <w:tcW w:w="12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240" w:type="dxa"/>
            <w:vAlign w:val="bottom"/>
            <w:tcBorders>
              <w:right w:val="single" w:sz="8" w:color="auto"/>
            </w:tcBorders>
          </w:tcPr>
          <w:p>
            <w:pPr>
              <w:spacing w:after="0"/>
              <w:rPr>
                <w:sz w:val="11"/>
                <w:szCs w:val="11"/>
                <w:color w:val="auto"/>
              </w:rPr>
            </w:pPr>
          </w:p>
        </w:tc>
        <w:tc>
          <w:tcPr>
            <w:tcW w:w="434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2015 and launched in second quarter of 2015.</w:t>
            </w:r>
          </w:p>
        </w:tc>
        <w:tc>
          <w:tcPr>
            <w:tcW w:w="0" w:type="dxa"/>
            <w:vAlign w:val="bottom"/>
          </w:tcPr>
          <w:p>
            <w:pPr>
              <w:spacing w:after="0"/>
              <w:rPr>
                <w:sz w:val="1"/>
                <w:szCs w:val="1"/>
                <w:color w:val="auto"/>
              </w:rPr>
            </w:pPr>
          </w:p>
        </w:tc>
      </w:tr>
      <w:tr>
        <w:trPr>
          <w:trHeight w:val="113"/>
        </w:trPr>
        <w:tc>
          <w:tcPr>
            <w:tcW w:w="1640" w:type="dxa"/>
            <w:vAlign w:val="bottom"/>
            <w:tcBorders>
              <w:left w:val="single" w:sz="8" w:color="auto"/>
              <w:right w:val="single" w:sz="8" w:color="auto"/>
            </w:tcBorders>
          </w:tcPr>
          <w:p>
            <w:pPr>
              <w:spacing w:after="0"/>
              <w:rPr>
                <w:sz w:val="9"/>
                <w:szCs w:val="9"/>
                <w:color w:val="auto"/>
              </w:rPr>
            </w:pPr>
          </w:p>
        </w:tc>
        <w:tc>
          <w:tcPr>
            <w:tcW w:w="1720" w:type="dxa"/>
            <w:vAlign w:val="bottom"/>
            <w:tcBorders>
              <w:bottom w:val="single" w:sz="8" w:color="auto"/>
              <w:right w:val="single" w:sz="8" w:color="auto"/>
            </w:tcBorders>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1240" w:type="dxa"/>
            <w:vAlign w:val="bottom"/>
            <w:tcBorders>
              <w:bottom w:val="single" w:sz="8" w:color="auto"/>
              <w:right w:val="single" w:sz="8" w:color="auto"/>
            </w:tcBorders>
          </w:tcPr>
          <w:p>
            <w:pPr>
              <w:spacing w:after="0"/>
              <w:rPr>
                <w:sz w:val="9"/>
                <w:szCs w:val="9"/>
                <w:color w:val="auto"/>
              </w:rPr>
            </w:pPr>
          </w:p>
        </w:tc>
        <w:tc>
          <w:tcPr>
            <w:tcW w:w="434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5"/>
        </w:trPr>
        <w:tc>
          <w:tcPr>
            <w:tcW w:w="1640" w:type="dxa"/>
            <w:vAlign w:val="bottom"/>
            <w:tcBorders>
              <w:left w:val="single" w:sz="8" w:color="auto"/>
              <w:right w:val="single" w:sz="8" w:color="auto"/>
            </w:tcBorders>
          </w:tcPr>
          <w:p>
            <w:pPr>
              <w:spacing w:after="0"/>
              <w:rPr>
                <w:sz w:val="17"/>
                <w:szCs w:val="17"/>
                <w:color w:val="auto"/>
              </w:rPr>
            </w:pPr>
          </w:p>
        </w:tc>
        <w:tc>
          <w:tcPr>
            <w:tcW w:w="1720" w:type="dxa"/>
            <w:vAlign w:val="bottom"/>
            <w:tcBorders>
              <w:right w:val="single" w:sz="8" w:color="auto"/>
            </w:tcBorders>
          </w:tcPr>
          <w:p>
            <w:pPr>
              <w:ind w:left="20"/>
              <w:spacing w:after="0" w:line="205" w:lineRule="exact"/>
              <w:rPr>
                <w:sz w:val="20"/>
                <w:szCs w:val="20"/>
                <w:color w:val="auto"/>
              </w:rPr>
            </w:pPr>
            <w:r>
              <w:rPr>
                <w:rFonts w:ascii="Arial" w:cs="Arial" w:eastAsia="Arial" w:hAnsi="Arial"/>
                <w:sz w:val="18"/>
                <w:szCs w:val="18"/>
                <w:color w:val="auto"/>
              </w:rPr>
              <w:t>NSCLC</w:t>
            </w:r>
          </w:p>
        </w:tc>
        <w:tc>
          <w:tcPr>
            <w:tcW w:w="1240" w:type="dxa"/>
            <w:vAlign w:val="bottom"/>
          </w:tcPr>
          <w:p>
            <w:pPr>
              <w:spacing w:after="0"/>
              <w:rPr>
                <w:sz w:val="17"/>
                <w:szCs w:val="17"/>
                <w:color w:val="auto"/>
              </w:rPr>
            </w:pPr>
          </w:p>
        </w:tc>
        <w:tc>
          <w:tcPr>
            <w:tcW w:w="1260" w:type="dxa"/>
            <w:vAlign w:val="bottom"/>
            <w:vMerge w:val="restart"/>
          </w:tcPr>
          <w:p>
            <w:pPr>
              <w:jc w:val="center"/>
              <w:spacing w:after="0"/>
              <w:rPr>
                <w:sz w:val="20"/>
                <w:szCs w:val="20"/>
                <w:color w:val="auto"/>
              </w:rPr>
            </w:pPr>
            <w:r>
              <w:rPr>
                <w:rFonts w:ascii="Arial" w:cs="Arial" w:eastAsia="Arial" w:hAnsi="Arial"/>
                <w:sz w:val="18"/>
                <w:szCs w:val="18"/>
                <w:color w:val="auto"/>
                <w:w w:val="98"/>
              </w:rPr>
              <w:t>Phase III</w:t>
            </w:r>
          </w:p>
        </w:tc>
        <w:tc>
          <w:tcPr>
            <w:tcW w:w="1240" w:type="dxa"/>
            <w:vAlign w:val="bottom"/>
            <w:tcBorders>
              <w:right w:val="single" w:sz="8" w:color="auto"/>
            </w:tcBorders>
          </w:tcPr>
          <w:p>
            <w:pPr>
              <w:spacing w:after="0"/>
              <w:rPr>
                <w:sz w:val="17"/>
                <w:szCs w:val="17"/>
                <w:color w:val="auto"/>
              </w:rPr>
            </w:pPr>
          </w:p>
        </w:tc>
        <w:tc>
          <w:tcPr>
            <w:tcW w:w="434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Initiated Phase III study in May 2015.</w:t>
            </w:r>
          </w:p>
        </w:tc>
        <w:tc>
          <w:tcPr>
            <w:tcW w:w="0" w:type="dxa"/>
            <w:vAlign w:val="bottom"/>
          </w:tcPr>
          <w:p>
            <w:pPr>
              <w:spacing w:after="0"/>
              <w:rPr>
                <w:sz w:val="1"/>
                <w:szCs w:val="1"/>
                <w:color w:val="auto"/>
              </w:rPr>
            </w:pPr>
          </w:p>
        </w:tc>
      </w:tr>
      <w:tr>
        <w:trPr>
          <w:trHeight w:val="135"/>
        </w:trPr>
        <w:tc>
          <w:tcPr>
            <w:tcW w:w="1640" w:type="dxa"/>
            <w:vAlign w:val="bottom"/>
            <w:tcBorders>
              <w:left w:val="single" w:sz="8" w:color="auto"/>
              <w:right w:val="single" w:sz="8" w:color="auto"/>
            </w:tcBorders>
          </w:tcPr>
          <w:p>
            <w:pPr>
              <w:spacing w:after="0"/>
              <w:rPr>
                <w:sz w:val="11"/>
                <w:szCs w:val="11"/>
                <w:color w:val="auto"/>
              </w:rPr>
            </w:pP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(first-line)</w:t>
            </w:r>
          </w:p>
        </w:tc>
        <w:tc>
          <w:tcPr>
            <w:tcW w:w="12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1240" w:type="dxa"/>
            <w:vAlign w:val="bottom"/>
            <w:tcBorders>
              <w:right w:val="single" w:sz="8" w:color="auto"/>
            </w:tcBorders>
          </w:tcPr>
          <w:p>
            <w:pPr>
              <w:spacing w:after="0"/>
              <w:rPr>
                <w:sz w:val="11"/>
                <w:szCs w:val="11"/>
                <w:color w:val="auto"/>
              </w:rPr>
            </w:pPr>
          </w:p>
        </w:tc>
        <w:tc>
          <w:tcPr>
            <w:tcW w:w="434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1640" w:type="dxa"/>
            <w:vAlign w:val="bottom"/>
            <w:tcBorders>
              <w:left w:val="single" w:sz="8" w:color="auto"/>
              <w:right w:val="single" w:sz="8" w:color="auto"/>
            </w:tcBorders>
          </w:tcPr>
          <w:p>
            <w:pPr>
              <w:spacing w:after="0"/>
              <w:rPr>
                <w:sz w:val="9"/>
                <w:szCs w:val="9"/>
                <w:color w:val="auto"/>
              </w:rPr>
            </w:pPr>
          </w:p>
        </w:tc>
        <w:tc>
          <w:tcPr>
            <w:tcW w:w="1720" w:type="dxa"/>
            <w:vAlign w:val="bottom"/>
            <w:tcBorders>
              <w:bottom w:val="single" w:sz="8" w:color="auto"/>
              <w:right w:val="single" w:sz="8" w:color="auto"/>
            </w:tcBorders>
            <w:vMerge w:val="continue"/>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1240" w:type="dxa"/>
            <w:vAlign w:val="bottom"/>
            <w:tcBorders>
              <w:bottom w:val="single" w:sz="8" w:color="auto"/>
              <w:right w:val="single" w:sz="8" w:color="auto"/>
            </w:tcBorders>
          </w:tcPr>
          <w:p>
            <w:pPr>
              <w:spacing w:after="0"/>
              <w:rPr>
                <w:sz w:val="9"/>
                <w:szCs w:val="9"/>
                <w:color w:val="auto"/>
              </w:rPr>
            </w:pPr>
          </w:p>
        </w:tc>
        <w:tc>
          <w:tcPr>
            <w:tcW w:w="43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05"/>
        </w:trPr>
        <w:tc>
          <w:tcPr>
            <w:tcW w:w="1640" w:type="dxa"/>
            <w:vAlign w:val="bottom"/>
            <w:tcBorders>
              <w:left w:val="single" w:sz="8" w:color="auto"/>
              <w:right w:val="single" w:sz="8" w:color="auto"/>
            </w:tcBorders>
          </w:tcPr>
          <w:p>
            <w:pPr>
              <w:spacing w:after="0"/>
              <w:rPr>
                <w:sz w:val="17"/>
                <w:szCs w:val="17"/>
                <w:color w:val="auto"/>
              </w:rPr>
            </w:pPr>
          </w:p>
        </w:tc>
        <w:tc>
          <w:tcPr>
            <w:tcW w:w="1720" w:type="dxa"/>
            <w:vAlign w:val="bottom"/>
            <w:tcBorders>
              <w:right w:val="single" w:sz="8" w:color="auto"/>
            </w:tcBorders>
          </w:tcPr>
          <w:p>
            <w:pPr>
              <w:spacing w:after="0"/>
              <w:rPr>
                <w:sz w:val="17"/>
                <w:szCs w:val="17"/>
                <w:color w:val="auto"/>
              </w:rPr>
            </w:pPr>
          </w:p>
        </w:tc>
        <w:tc>
          <w:tcPr>
            <w:tcW w:w="1240" w:type="dxa"/>
            <w:vAlign w:val="bottom"/>
          </w:tcPr>
          <w:p>
            <w:pPr>
              <w:spacing w:after="0"/>
              <w:rPr>
                <w:sz w:val="17"/>
                <w:szCs w:val="17"/>
                <w:color w:val="auto"/>
              </w:rPr>
            </w:pPr>
          </w:p>
        </w:tc>
        <w:tc>
          <w:tcPr>
            <w:tcW w:w="126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4340" w:type="dxa"/>
            <w:vAlign w:val="bottom"/>
            <w:tcBorders>
              <w:right w:val="single" w:sz="8" w:color="auto"/>
            </w:tcBorders>
          </w:tcPr>
          <w:p>
            <w:pPr>
              <w:ind w:left="20"/>
              <w:spacing w:after="0" w:line="205" w:lineRule="exact"/>
              <w:rPr>
                <w:sz w:val="20"/>
                <w:szCs w:val="20"/>
                <w:color w:val="auto"/>
              </w:rPr>
            </w:pPr>
            <w:r>
              <w:rPr>
                <w:rFonts w:ascii="Arial" w:cs="Arial" w:eastAsia="Arial" w:hAnsi="Arial"/>
                <w:sz w:val="18"/>
                <w:szCs w:val="18"/>
                <w:color w:val="auto"/>
              </w:rPr>
              <w:t>Launched in the U.S. in first quarter of 2015.</w:t>
            </w:r>
          </w:p>
        </w:tc>
        <w:tc>
          <w:tcPr>
            <w:tcW w:w="0" w:type="dxa"/>
            <w:vAlign w:val="bottom"/>
          </w:tcPr>
          <w:p>
            <w:pPr>
              <w:spacing w:after="0"/>
              <w:rPr>
                <w:sz w:val="1"/>
                <w:szCs w:val="1"/>
                <w:color w:val="auto"/>
              </w:rPr>
            </w:pPr>
          </w:p>
        </w:tc>
      </w:tr>
      <w:tr>
        <w:trPr>
          <w:trHeight w:val="203"/>
        </w:trPr>
        <w:tc>
          <w:tcPr>
            <w:tcW w:w="1640" w:type="dxa"/>
            <w:vAlign w:val="bottom"/>
            <w:tcBorders>
              <w:left w:val="single" w:sz="8" w:color="auto"/>
              <w:right w:val="single" w:sz="8" w:color="auto"/>
            </w:tcBorders>
          </w:tcPr>
          <w:p>
            <w:pPr>
              <w:spacing w:after="0"/>
              <w:rPr>
                <w:sz w:val="17"/>
                <w:szCs w:val="17"/>
                <w:color w:val="auto"/>
              </w:rPr>
            </w:pPr>
          </w:p>
        </w:tc>
        <w:tc>
          <w:tcPr>
            <w:tcW w:w="172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NSCLC (second-</w:t>
            </w:r>
          </w:p>
        </w:tc>
        <w:tc>
          <w:tcPr>
            <w:tcW w:w="2500" w:type="dxa"/>
            <w:vAlign w:val="bottom"/>
            <w:tcBorders>
              <w:right w:val="single" w:sz="8" w:color="auto"/>
            </w:tcBorders>
            <w:gridSpan w:val="2"/>
            <w:vMerge w:val="restart"/>
          </w:tcPr>
          <w:p>
            <w:pPr>
              <w:ind w:left="840"/>
              <w:spacing w:after="0"/>
              <w:rPr>
                <w:sz w:val="20"/>
                <w:szCs w:val="20"/>
                <w:color w:val="auto"/>
              </w:rPr>
            </w:pPr>
            <w:r>
              <w:rPr>
                <w:rFonts w:ascii="Arial" w:cs="Arial" w:eastAsia="Arial" w:hAnsi="Arial"/>
                <w:sz w:val="18"/>
                <w:szCs w:val="18"/>
                <w:color w:val="auto"/>
              </w:rPr>
              <w:t>Launched</w:t>
            </w:r>
          </w:p>
        </w:tc>
        <w:tc>
          <w:tcPr>
            <w:tcW w:w="124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Submitted</w:t>
            </w:r>
          </w:p>
        </w:tc>
        <w:tc>
          <w:tcPr>
            <w:tcW w:w="434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Submitted in Japan in third quarter of 2015.</w:t>
            </w:r>
          </w:p>
        </w:tc>
        <w:tc>
          <w:tcPr>
            <w:tcW w:w="0" w:type="dxa"/>
            <w:vAlign w:val="bottom"/>
          </w:tcPr>
          <w:p>
            <w:pPr>
              <w:spacing w:after="0"/>
              <w:rPr>
                <w:sz w:val="1"/>
                <w:szCs w:val="1"/>
                <w:color w:val="auto"/>
              </w:rPr>
            </w:pPr>
          </w:p>
        </w:tc>
      </w:tr>
      <w:tr>
        <w:trPr>
          <w:trHeight w:val="203"/>
        </w:trPr>
        <w:tc>
          <w:tcPr>
            <w:tcW w:w="1640" w:type="dxa"/>
            <w:vAlign w:val="bottom"/>
            <w:tcBorders>
              <w:left w:val="single" w:sz="8" w:color="auto"/>
              <w:right w:val="single" w:sz="8" w:color="auto"/>
            </w:tcBorders>
          </w:tcPr>
          <w:p>
            <w:pPr>
              <w:ind w:left="40"/>
              <w:spacing w:after="0" w:line="203" w:lineRule="exact"/>
              <w:rPr>
                <w:sz w:val="20"/>
                <w:szCs w:val="20"/>
                <w:color w:val="auto"/>
              </w:rPr>
            </w:pPr>
            <w:r>
              <w:rPr>
                <w:rFonts w:ascii="Arial" w:cs="Arial" w:eastAsia="Arial" w:hAnsi="Arial"/>
                <w:sz w:val="18"/>
                <w:szCs w:val="18"/>
                <w:color w:val="auto"/>
              </w:rPr>
              <w:t>Cyramza</w:t>
            </w:r>
            <w:r>
              <w:rPr>
                <w:rFonts w:ascii="Arial" w:cs="Arial" w:eastAsia="Arial" w:hAnsi="Arial"/>
                <w:sz w:val="21"/>
                <w:szCs w:val="21"/>
                <w:color w:val="auto"/>
                <w:vertAlign w:val="superscript"/>
              </w:rPr>
              <w:t>®</w:t>
            </w:r>
          </w:p>
        </w:tc>
        <w:tc>
          <w:tcPr>
            <w:tcW w:w="172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line)</w:t>
            </w:r>
          </w:p>
        </w:tc>
        <w:tc>
          <w:tcPr>
            <w:tcW w:w="2500" w:type="dxa"/>
            <w:vAlign w:val="bottom"/>
            <w:tcBorders>
              <w:right w:val="single" w:sz="8" w:color="auto"/>
            </w:tcBorders>
            <w:gridSpan w:val="2"/>
            <w:vMerge w:val="continue"/>
          </w:tcPr>
          <w:p>
            <w:pPr>
              <w:spacing w:after="0"/>
              <w:rPr>
                <w:sz w:val="17"/>
                <w:szCs w:val="17"/>
                <w:color w:val="auto"/>
              </w:rPr>
            </w:pPr>
          </w:p>
        </w:tc>
        <w:tc>
          <w:tcPr>
            <w:tcW w:w="1240" w:type="dxa"/>
            <w:vAlign w:val="bottom"/>
            <w:tcBorders>
              <w:right w:val="single" w:sz="8" w:color="auto"/>
            </w:tcBorders>
            <w:vMerge w:val="continue"/>
          </w:tcPr>
          <w:p>
            <w:pPr>
              <w:spacing w:after="0"/>
              <w:rPr>
                <w:sz w:val="17"/>
                <w:szCs w:val="17"/>
                <w:color w:val="auto"/>
              </w:rPr>
            </w:pPr>
          </w:p>
        </w:tc>
        <w:tc>
          <w:tcPr>
            <w:tcW w:w="434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Approved in Europe and launched in certain</w:t>
            </w:r>
          </w:p>
        </w:tc>
        <w:tc>
          <w:tcPr>
            <w:tcW w:w="0" w:type="dxa"/>
            <w:vAlign w:val="bottom"/>
          </w:tcPr>
          <w:p>
            <w:pPr>
              <w:spacing w:after="0"/>
              <w:rPr>
                <w:sz w:val="1"/>
                <w:szCs w:val="1"/>
                <w:color w:val="auto"/>
              </w:rPr>
            </w:pPr>
          </w:p>
        </w:tc>
      </w:tr>
      <w:tr>
        <w:trPr>
          <w:trHeight w:val="248"/>
        </w:trPr>
        <w:tc>
          <w:tcPr>
            <w:tcW w:w="1640" w:type="dxa"/>
            <w:vAlign w:val="bottom"/>
            <w:tcBorders>
              <w:left w:val="single" w:sz="8" w:color="auto"/>
              <w:right w:val="single" w:sz="8" w:color="auto"/>
            </w:tcBorders>
          </w:tcPr>
          <w:p>
            <w:pPr>
              <w:spacing w:after="0"/>
              <w:rPr>
                <w:sz w:val="21"/>
                <w:szCs w:val="21"/>
                <w:color w:val="auto"/>
              </w:rPr>
            </w:pPr>
          </w:p>
        </w:tc>
        <w:tc>
          <w:tcPr>
            <w:tcW w:w="1720" w:type="dxa"/>
            <w:vAlign w:val="bottom"/>
            <w:tcBorders>
              <w:bottom w:val="single" w:sz="8" w:color="auto"/>
              <w:right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1260" w:type="dxa"/>
            <w:vAlign w:val="bottom"/>
            <w:tcBorders>
              <w:bottom w:val="single" w:sz="8" w:color="auto"/>
              <w:right w:val="single" w:sz="8" w:color="auto"/>
            </w:tcBorders>
          </w:tcPr>
          <w:p>
            <w:pPr>
              <w:spacing w:after="0"/>
              <w:rPr>
                <w:sz w:val="21"/>
                <w:szCs w:val="21"/>
                <w:color w:val="auto"/>
              </w:rPr>
            </w:pPr>
          </w:p>
        </w:tc>
        <w:tc>
          <w:tcPr>
            <w:tcW w:w="1240" w:type="dxa"/>
            <w:vAlign w:val="bottom"/>
            <w:tcBorders>
              <w:bottom w:val="single" w:sz="8" w:color="auto"/>
              <w:right w:val="single" w:sz="8" w:color="auto"/>
            </w:tcBorders>
          </w:tcPr>
          <w:p>
            <w:pPr>
              <w:spacing w:after="0"/>
              <w:rPr>
                <w:sz w:val="21"/>
                <w:szCs w:val="21"/>
                <w:color w:val="auto"/>
              </w:rPr>
            </w:pPr>
          </w:p>
        </w:tc>
        <w:tc>
          <w:tcPr>
            <w:tcW w:w="4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European countries in first quarter of 2016.</w:t>
            </w:r>
          </w:p>
        </w:tc>
        <w:tc>
          <w:tcPr>
            <w:tcW w:w="0" w:type="dxa"/>
            <w:vAlign w:val="bottom"/>
          </w:tcPr>
          <w:p>
            <w:pPr>
              <w:spacing w:after="0"/>
              <w:rPr>
                <w:sz w:val="1"/>
                <w:szCs w:val="1"/>
                <w:color w:val="auto"/>
              </w:rPr>
            </w:pPr>
          </w:p>
        </w:tc>
      </w:tr>
      <w:tr>
        <w:trPr>
          <w:trHeight w:val="205"/>
        </w:trPr>
        <w:tc>
          <w:tcPr>
            <w:tcW w:w="1640" w:type="dxa"/>
            <w:vAlign w:val="bottom"/>
            <w:tcBorders>
              <w:left w:val="single" w:sz="8" w:color="auto"/>
              <w:right w:val="single" w:sz="8" w:color="auto"/>
            </w:tcBorders>
          </w:tcPr>
          <w:p>
            <w:pPr>
              <w:spacing w:after="0"/>
              <w:rPr>
                <w:sz w:val="17"/>
                <w:szCs w:val="17"/>
                <w:color w:val="auto"/>
              </w:rPr>
            </w:pPr>
          </w:p>
        </w:tc>
        <w:tc>
          <w:tcPr>
            <w:tcW w:w="1720" w:type="dxa"/>
            <w:vAlign w:val="bottom"/>
            <w:tcBorders>
              <w:right w:val="single" w:sz="8" w:color="auto"/>
            </w:tcBorders>
          </w:tcPr>
          <w:p>
            <w:pPr>
              <w:ind w:left="20"/>
              <w:spacing w:after="0" w:line="205" w:lineRule="exact"/>
              <w:rPr>
                <w:sz w:val="20"/>
                <w:szCs w:val="20"/>
                <w:color w:val="auto"/>
              </w:rPr>
            </w:pPr>
            <w:r>
              <w:rPr>
                <w:rFonts w:ascii="Arial" w:cs="Arial" w:eastAsia="Arial" w:hAnsi="Arial"/>
                <w:sz w:val="18"/>
                <w:szCs w:val="18"/>
                <w:color w:val="auto"/>
              </w:rPr>
              <w:t>Liver cancer</w:t>
            </w:r>
          </w:p>
        </w:tc>
        <w:tc>
          <w:tcPr>
            <w:tcW w:w="1240" w:type="dxa"/>
            <w:vAlign w:val="bottom"/>
          </w:tcPr>
          <w:p>
            <w:pPr>
              <w:spacing w:after="0"/>
              <w:rPr>
                <w:sz w:val="17"/>
                <w:szCs w:val="17"/>
                <w:color w:val="auto"/>
              </w:rPr>
            </w:pPr>
          </w:p>
        </w:tc>
        <w:tc>
          <w:tcPr>
            <w:tcW w:w="1260" w:type="dxa"/>
            <w:vAlign w:val="bottom"/>
            <w:vMerge w:val="restart"/>
          </w:tcPr>
          <w:p>
            <w:pPr>
              <w:jc w:val="center"/>
              <w:spacing w:after="0"/>
              <w:rPr>
                <w:sz w:val="20"/>
                <w:szCs w:val="20"/>
                <w:color w:val="auto"/>
              </w:rPr>
            </w:pPr>
            <w:r>
              <w:rPr>
                <w:rFonts w:ascii="Arial" w:cs="Arial" w:eastAsia="Arial" w:hAnsi="Arial"/>
                <w:sz w:val="18"/>
                <w:szCs w:val="18"/>
                <w:color w:val="auto"/>
                <w:w w:val="98"/>
              </w:rPr>
              <w:t>Phase III</w:t>
            </w:r>
          </w:p>
        </w:tc>
        <w:tc>
          <w:tcPr>
            <w:tcW w:w="1240" w:type="dxa"/>
            <w:vAlign w:val="bottom"/>
            <w:tcBorders>
              <w:right w:val="single" w:sz="8" w:color="auto"/>
            </w:tcBorders>
          </w:tcPr>
          <w:p>
            <w:pPr>
              <w:spacing w:after="0"/>
              <w:rPr>
                <w:sz w:val="17"/>
                <w:szCs w:val="17"/>
                <w:color w:val="auto"/>
              </w:rPr>
            </w:pPr>
          </w:p>
        </w:tc>
        <w:tc>
          <w:tcPr>
            <w:tcW w:w="434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Initiated Phase III study in July 2015.</w:t>
            </w:r>
          </w:p>
        </w:tc>
        <w:tc>
          <w:tcPr>
            <w:tcW w:w="0" w:type="dxa"/>
            <w:vAlign w:val="bottom"/>
          </w:tcPr>
          <w:p>
            <w:pPr>
              <w:spacing w:after="0"/>
              <w:rPr>
                <w:sz w:val="1"/>
                <w:szCs w:val="1"/>
                <w:color w:val="auto"/>
              </w:rPr>
            </w:pPr>
          </w:p>
        </w:tc>
      </w:tr>
      <w:tr>
        <w:trPr>
          <w:trHeight w:val="135"/>
        </w:trPr>
        <w:tc>
          <w:tcPr>
            <w:tcW w:w="1640" w:type="dxa"/>
            <w:vAlign w:val="bottom"/>
            <w:tcBorders>
              <w:left w:val="single" w:sz="8" w:color="auto"/>
              <w:right w:val="single" w:sz="8" w:color="auto"/>
            </w:tcBorders>
          </w:tcPr>
          <w:p>
            <w:pPr>
              <w:spacing w:after="0"/>
              <w:rPr>
                <w:sz w:val="11"/>
                <w:szCs w:val="11"/>
                <w:color w:val="auto"/>
              </w:rPr>
            </w:pP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(second-line)</w:t>
            </w:r>
          </w:p>
        </w:tc>
        <w:tc>
          <w:tcPr>
            <w:tcW w:w="12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1240" w:type="dxa"/>
            <w:vAlign w:val="bottom"/>
            <w:tcBorders>
              <w:right w:val="single" w:sz="8" w:color="auto"/>
            </w:tcBorders>
          </w:tcPr>
          <w:p>
            <w:pPr>
              <w:spacing w:after="0"/>
              <w:rPr>
                <w:sz w:val="11"/>
                <w:szCs w:val="11"/>
                <w:color w:val="auto"/>
              </w:rPr>
            </w:pPr>
          </w:p>
        </w:tc>
        <w:tc>
          <w:tcPr>
            <w:tcW w:w="434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1640" w:type="dxa"/>
            <w:vAlign w:val="bottom"/>
            <w:tcBorders>
              <w:left w:val="single" w:sz="8" w:color="auto"/>
              <w:right w:val="single" w:sz="8" w:color="auto"/>
            </w:tcBorders>
          </w:tcPr>
          <w:p>
            <w:pPr>
              <w:spacing w:after="0"/>
              <w:rPr>
                <w:sz w:val="9"/>
                <w:szCs w:val="9"/>
                <w:color w:val="auto"/>
              </w:rPr>
            </w:pPr>
          </w:p>
        </w:tc>
        <w:tc>
          <w:tcPr>
            <w:tcW w:w="1720" w:type="dxa"/>
            <w:vAlign w:val="bottom"/>
            <w:tcBorders>
              <w:bottom w:val="single" w:sz="8" w:color="auto"/>
              <w:right w:val="single" w:sz="8" w:color="auto"/>
            </w:tcBorders>
            <w:vMerge w:val="continue"/>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1240" w:type="dxa"/>
            <w:vAlign w:val="bottom"/>
            <w:tcBorders>
              <w:bottom w:val="single" w:sz="8" w:color="auto"/>
              <w:right w:val="single" w:sz="8" w:color="auto"/>
            </w:tcBorders>
          </w:tcPr>
          <w:p>
            <w:pPr>
              <w:spacing w:after="0"/>
              <w:rPr>
                <w:sz w:val="9"/>
                <w:szCs w:val="9"/>
                <w:color w:val="auto"/>
              </w:rPr>
            </w:pPr>
          </w:p>
        </w:tc>
        <w:tc>
          <w:tcPr>
            <w:tcW w:w="43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05"/>
        </w:trPr>
        <w:tc>
          <w:tcPr>
            <w:tcW w:w="1640" w:type="dxa"/>
            <w:vAlign w:val="bottom"/>
            <w:tcBorders>
              <w:left w:val="single" w:sz="8" w:color="auto"/>
              <w:right w:val="single" w:sz="8" w:color="auto"/>
            </w:tcBorders>
          </w:tcPr>
          <w:p>
            <w:pPr>
              <w:spacing w:after="0"/>
              <w:rPr>
                <w:sz w:val="17"/>
                <w:szCs w:val="17"/>
                <w:color w:val="auto"/>
              </w:rPr>
            </w:pP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Metastatic colorectal</w:t>
            </w:r>
          </w:p>
        </w:tc>
        <w:tc>
          <w:tcPr>
            <w:tcW w:w="1240" w:type="dxa"/>
            <w:vAlign w:val="bottom"/>
          </w:tcPr>
          <w:p>
            <w:pPr>
              <w:spacing w:after="0"/>
              <w:rPr>
                <w:sz w:val="17"/>
                <w:szCs w:val="17"/>
                <w:color w:val="auto"/>
              </w:rPr>
            </w:pPr>
          </w:p>
        </w:tc>
        <w:tc>
          <w:tcPr>
            <w:tcW w:w="126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4340" w:type="dxa"/>
            <w:vAlign w:val="bottom"/>
            <w:tcBorders>
              <w:right w:val="single" w:sz="8" w:color="auto"/>
            </w:tcBorders>
          </w:tcPr>
          <w:p>
            <w:pPr>
              <w:ind w:left="20"/>
              <w:spacing w:after="0" w:line="205" w:lineRule="exact"/>
              <w:rPr>
                <w:sz w:val="20"/>
                <w:szCs w:val="20"/>
                <w:color w:val="auto"/>
              </w:rPr>
            </w:pPr>
            <w:r>
              <w:rPr>
                <w:rFonts w:ascii="Arial" w:cs="Arial" w:eastAsia="Arial" w:hAnsi="Arial"/>
                <w:sz w:val="18"/>
                <w:szCs w:val="18"/>
                <w:color w:val="auto"/>
              </w:rPr>
              <w:t>Approved and launched in the U.S. in second quarter</w:t>
            </w:r>
          </w:p>
        </w:tc>
        <w:tc>
          <w:tcPr>
            <w:tcW w:w="0" w:type="dxa"/>
            <w:vAlign w:val="bottom"/>
          </w:tcPr>
          <w:p>
            <w:pPr>
              <w:spacing w:after="0"/>
              <w:rPr>
                <w:sz w:val="1"/>
                <w:szCs w:val="1"/>
                <w:color w:val="auto"/>
              </w:rPr>
            </w:pPr>
          </w:p>
        </w:tc>
      </w:tr>
      <w:tr>
        <w:trPr>
          <w:trHeight w:val="95"/>
        </w:trPr>
        <w:tc>
          <w:tcPr>
            <w:tcW w:w="1640" w:type="dxa"/>
            <w:vAlign w:val="bottom"/>
            <w:tcBorders>
              <w:left w:val="single" w:sz="8" w:color="auto"/>
              <w:right w:val="single" w:sz="8" w:color="auto"/>
            </w:tcBorders>
          </w:tcPr>
          <w:p>
            <w:pPr>
              <w:spacing w:after="0"/>
              <w:rPr>
                <w:sz w:val="8"/>
                <w:szCs w:val="8"/>
                <w:color w:val="auto"/>
              </w:rPr>
            </w:pPr>
          </w:p>
        </w:tc>
        <w:tc>
          <w:tcPr>
            <w:tcW w:w="1720" w:type="dxa"/>
            <w:vAlign w:val="bottom"/>
            <w:tcBorders>
              <w:right w:val="single" w:sz="8" w:color="auto"/>
            </w:tcBorders>
            <w:vMerge w:val="continue"/>
          </w:tcPr>
          <w:p>
            <w:pPr>
              <w:spacing w:after="0"/>
              <w:rPr>
                <w:sz w:val="8"/>
                <w:szCs w:val="8"/>
                <w:color w:val="auto"/>
              </w:rPr>
            </w:pPr>
          </w:p>
        </w:tc>
        <w:tc>
          <w:tcPr>
            <w:tcW w:w="1240" w:type="dxa"/>
            <w:vAlign w:val="bottom"/>
          </w:tcPr>
          <w:p>
            <w:pPr>
              <w:spacing w:after="0"/>
              <w:rPr>
                <w:sz w:val="8"/>
                <w:szCs w:val="8"/>
                <w:color w:val="auto"/>
              </w:rPr>
            </w:pPr>
          </w:p>
        </w:tc>
        <w:tc>
          <w:tcPr>
            <w:tcW w:w="1260" w:type="dxa"/>
            <w:vAlign w:val="bottom"/>
            <w:tcBorders>
              <w:right w:val="single" w:sz="8" w:color="auto"/>
            </w:tcBorders>
          </w:tcPr>
          <w:p>
            <w:pPr>
              <w:spacing w:after="0"/>
              <w:rPr>
                <w:sz w:val="8"/>
                <w:szCs w:val="8"/>
                <w:color w:val="auto"/>
              </w:rPr>
            </w:pPr>
          </w:p>
        </w:tc>
        <w:tc>
          <w:tcPr>
            <w:tcW w:w="1240" w:type="dxa"/>
            <w:vAlign w:val="bottom"/>
            <w:tcBorders>
              <w:right w:val="single" w:sz="8" w:color="auto"/>
            </w:tcBorders>
          </w:tcPr>
          <w:p>
            <w:pPr>
              <w:spacing w:after="0"/>
              <w:rPr>
                <w:sz w:val="8"/>
                <w:szCs w:val="8"/>
                <w:color w:val="auto"/>
              </w:rPr>
            </w:pPr>
          </w:p>
        </w:tc>
        <w:tc>
          <w:tcPr>
            <w:tcW w:w="4340" w:type="dxa"/>
            <w:vAlign w:val="bottom"/>
            <w:tcBorders>
              <w:right w:val="single" w:sz="8" w:color="auto"/>
            </w:tcBorders>
            <w:vMerge w:val="restart"/>
          </w:tcPr>
          <w:p>
            <w:pPr>
              <w:ind w:left="20"/>
              <w:spacing w:after="0" w:line="202" w:lineRule="exact"/>
              <w:rPr>
                <w:sz w:val="20"/>
                <w:szCs w:val="20"/>
                <w:color w:val="auto"/>
              </w:rPr>
            </w:pPr>
            <w:r>
              <w:rPr>
                <w:rFonts w:ascii="Arial" w:cs="Arial" w:eastAsia="Arial" w:hAnsi="Arial"/>
                <w:sz w:val="18"/>
                <w:szCs w:val="18"/>
                <w:color w:val="auto"/>
              </w:rPr>
              <w:t>of 2015. Submitted in Japan in second quarter of</w:t>
            </w:r>
          </w:p>
        </w:tc>
        <w:tc>
          <w:tcPr>
            <w:tcW w:w="0" w:type="dxa"/>
            <w:vAlign w:val="bottom"/>
          </w:tcPr>
          <w:p>
            <w:pPr>
              <w:spacing w:after="0"/>
              <w:rPr>
                <w:sz w:val="1"/>
                <w:szCs w:val="1"/>
                <w:color w:val="auto"/>
              </w:rPr>
            </w:pPr>
          </w:p>
        </w:tc>
      </w:tr>
      <w:tr>
        <w:trPr>
          <w:trHeight w:val="108"/>
        </w:trPr>
        <w:tc>
          <w:tcPr>
            <w:tcW w:w="1640" w:type="dxa"/>
            <w:vAlign w:val="bottom"/>
            <w:tcBorders>
              <w:left w:val="single" w:sz="8" w:color="auto"/>
              <w:right w:val="single" w:sz="8" w:color="auto"/>
            </w:tcBorders>
          </w:tcPr>
          <w:p>
            <w:pPr>
              <w:spacing w:after="0"/>
              <w:rPr>
                <w:sz w:val="9"/>
                <w:szCs w:val="9"/>
                <w:color w:val="auto"/>
              </w:rPr>
            </w:pPr>
          </w:p>
        </w:tc>
        <w:tc>
          <w:tcPr>
            <w:tcW w:w="1720" w:type="dxa"/>
            <w:vAlign w:val="bottom"/>
            <w:tcBorders>
              <w:right w:val="single" w:sz="8" w:color="auto"/>
            </w:tcBorders>
            <w:vMerge w:val="restart"/>
          </w:tcPr>
          <w:p>
            <w:pPr>
              <w:ind w:left="20"/>
              <w:spacing w:after="0" w:line="202" w:lineRule="exact"/>
              <w:rPr>
                <w:sz w:val="20"/>
                <w:szCs w:val="20"/>
                <w:color w:val="auto"/>
              </w:rPr>
            </w:pPr>
            <w:r>
              <w:rPr>
                <w:rFonts w:ascii="Arial" w:cs="Arial" w:eastAsia="Arial" w:hAnsi="Arial"/>
                <w:sz w:val="18"/>
                <w:szCs w:val="18"/>
                <w:color w:val="auto"/>
              </w:rPr>
              <w:t>cancer</w:t>
            </w:r>
          </w:p>
        </w:tc>
        <w:tc>
          <w:tcPr>
            <w:tcW w:w="2500" w:type="dxa"/>
            <w:vAlign w:val="bottom"/>
            <w:tcBorders>
              <w:right w:val="single" w:sz="8" w:color="auto"/>
            </w:tcBorders>
            <w:gridSpan w:val="2"/>
            <w:vMerge w:val="restart"/>
          </w:tcPr>
          <w:p>
            <w:pPr>
              <w:ind w:left="840"/>
              <w:spacing w:after="0" w:line="202" w:lineRule="exact"/>
              <w:rPr>
                <w:sz w:val="20"/>
                <w:szCs w:val="20"/>
                <w:color w:val="auto"/>
              </w:rPr>
            </w:pPr>
            <w:r>
              <w:rPr>
                <w:rFonts w:ascii="Arial" w:cs="Arial" w:eastAsia="Arial" w:hAnsi="Arial"/>
                <w:sz w:val="18"/>
                <w:szCs w:val="18"/>
                <w:color w:val="auto"/>
              </w:rPr>
              <w:t>Launched</w:t>
            </w:r>
          </w:p>
        </w:tc>
        <w:tc>
          <w:tcPr>
            <w:tcW w:w="1240" w:type="dxa"/>
            <w:vAlign w:val="bottom"/>
            <w:tcBorders>
              <w:right w:val="single" w:sz="8" w:color="auto"/>
            </w:tcBorders>
            <w:vMerge w:val="restart"/>
          </w:tcPr>
          <w:p>
            <w:pPr>
              <w:ind w:left="200"/>
              <w:spacing w:after="0" w:line="202" w:lineRule="exact"/>
              <w:rPr>
                <w:sz w:val="20"/>
                <w:szCs w:val="20"/>
                <w:color w:val="auto"/>
              </w:rPr>
            </w:pPr>
            <w:r>
              <w:rPr>
                <w:rFonts w:ascii="Arial" w:cs="Arial" w:eastAsia="Arial" w:hAnsi="Arial"/>
                <w:sz w:val="18"/>
                <w:szCs w:val="18"/>
                <w:color w:val="auto"/>
              </w:rPr>
              <w:t>Submitted</w:t>
            </w:r>
          </w:p>
        </w:tc>
        <w:tc>
          <w:tcPr>
            <w:tcW w:w="434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1640" w:type="dxa"/>
            <w:vAlign w:val="bottom"/>
            <w:tcBorders>
              <w:left w:val="single" w:sz="8" w:color="auto"/>
              <w:right w:val="single" w:sz="8" w:color="auto"/>
            </w:tcBorders>
          </w:tcPr>
          <w:p>
            <w:pPr>
              <w:spacing w:after="0"/>
              <w:rPr>
                <w:sz w:val="8"/>
                <w:szCs w:val="8"/>
                <w:color w:val="auto"/>
              </w:rPr>
            </w:pPr>
          </w:p>
        </w:tc>
        <w:tc>
          <w:tcPr>
            <w:tcW w:w="1720" w:type="dxa"/>
            <w:vAlign w:val="bottom"/>
            <w:tcBorders>
              <w:right w:val="single" w:sz="8" w:color="auto"/>
            </w:tcBorders>
            <w:vMerge w:val="continue"/>
          </w:tcPr>
          <w:p>
            <w:pPr>
              <w:spacing w:after="0"/>
              <w:rPr>
                <w:sz w:val="8"/>
                <w:szCs w:val="8"/>
                <w:color w:val="auto"/>
              </w:rPr>
            </w:pPr>
          </w:p>
        </w:tc>
        <w:tc>
          <w:tcPr>
            <w:tcW w:w="2500" w:type="dxa"/>
            <w:vAlign w:val="bottom"/>
            <w:tcBorders>
              <w:right w:val="single" w:sz="8" w:color="auto"/>
            </w:tcBorders>
            <w:gridSpan w:val="2"/>
            <w:vMerge w:val="continue"/>
          </w:tcPr>
          <w:p>
            <w:pPr>
              <w:spacing w:after="0"/>
              <w:rPr>
                <w:sz w:val="8"/>
                <w:szCs w:val="8"/>
                <w:color w:val="auto"/>
              </w:rPr>
            </w:pPr>
          </w:p>
        </w:tc>
        <w:tc>
          <w:tcPr>
            <w:tcW w:w="1240" w:type="dxa"/>
            <w:vAlign w:val="bottom"/>
            <w:tcBorders>
              <w:right w:val="single" w:sz="8" w:color="auto"/>
            </w:tcBorders>
            <w:vMerge w:val="continue"/>
          </w:tcPr>
          <w:p>
            <w:pPr>
              <w:spacing w:after="0"/>
              <w:rPr>
                <w:sz w:val="8"/>
                <w:szCs w:val="8"/>
                <w:color w:val="auto"/>
              </w:rPr>
            </w:pPr>
          </w:p>
        </w:tc>
        <w:tc>
          <w:tcPr>
            <w:tcW w:w="4340" w:type="dxa"/>
            <w:vAlign w:val="bottom"/>
            <w:tcBorders>
              <w:right w:val="single" w:sz="8" w:color="auto"/>
            </w:tcBorders>
            <w:vMerge w:val="restart"/>
          </w:tcPr>
          <w:p>
            <w:pPr>
              <w:ind w:left="20"/>
              <w:spacing w:after="0" w:line="202" w:lineRule="exact"/>
              <w:rPr>
                <w:sz w:val="20"/>
                <w:szCs w:val="20"/>
                <w:color w:val="auto"/>
              </w:rPr>
            </w:pPr>
            <w:r>
              <w:rPr>
                <w:rFonts w:ascii="Arial" w:cs="Arial" w:eastAsia="Arial" w:hAnsi="Arial"/>
                <w:sz w:val="18"/>
                <w:szCs w:val="18"/>
                <w:color w:val="auto"/>
              </w:rPr>
              <w:t>2015. Approved in Europe and launched in certain</w:t>
            </w:r>
          </w:p>
        </w:tc>
        <w:tc>
          <w:tcPr>
            <w:tcW w:w="0" w:type="dxa"/>
            <w:vAlign w:val="bottom"/>
          </w:tcPr>
          <w:p>
            <w:pPr>
              <w:spacing w:after="0"/>
              <w:rPr>
                <w:sz w:val="1"/>
                <w:szCs w:val="1"/>
                <w:color w:val="auto"/>
              </w:rPr>
            </w:pPr>
          </w:p>
        </w:tc>
      </w:tr>
      <w:tr>
        <w:trPr>
          <w:trHeight w:val="108"/>
        </w:trPr>
        <w:tc>
          <w:tcPr>
            <w:tcW w:w="1640" w:type="dxa"/>
            <w:vAlign w:val="bottom"/>
            <w:tcBorders>
              <w:left w:val="single" w:sz="8" w:color="auto"/>
              <w:right w:val="single" w:sz="8" w:color="auto"/>
            </w:tcBorders>
          </w:tcPr>
          <w:p>
            <w:pPr>
              <w:spacing w:after="0"/>
              <w:rPr>
                <w:sz w:val="9"/>
                <w:szCs w:val="9"/>
                <w:color w:val="auto"/>
              </w:rPr>
            </w:pP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(second-line)</w:t>
            </w:r>
          </w:p>
        </w:tc>
        <w:tc>
          <w:tcPr>
            <w:tcW w:w="1240" w:type="dxa"/>
            <w:vAlign w:val="bottom"/>
          </w:tcPr>
          <w:p>
            <w:pPr>
              <w:spacing w:after="0"/>
              <w:rPr>
                <w:sz w:val="9"/>
                <w:szCs w:val="9"/>
                <w:color w:val="auto"/>
              </w:rPr>
            </w:pPr>
          </w:p>
        </w:tc>
        <w:tc>
          <w:tcPr>
            <w:tcW w:w="1260" w:type="dxa"/>
            <w:vAlign w:val="bottom"/>
            <w:tcBorders>
              <w:right w:val="single" w:sz="8" w:color="auto"/>
            </w:tcBorders>
          </w:tcPr>
          <w:p>
            <w:pPr>
              <w:spacing w:after="0"/>
              <w:rPr>
                <w:sz w:val="9"/>
                <w:szCs w:val="9"/>
                <w:color w:val="auto"/>
              </w:rPr>
            </w:pPr>
          </w:p>
        </w:tc>
        <w:tc>
          <w:tcPr>
            <w:tcW w:w="1240" w:type="dxa"/>
            <w:vAlign w:val="bottom"/>
            <w:tcBorders>
              <w:right w:val="single" w:sz="8" w:color="auto"/>
            </w:tcBorders>
          </w:tcPr>
          <w:p>
            <w:pPr>
              <w:spacing w:after="0"/>
              <w:rPr>
                <w:sz w:val="9"/>
                <w:szCs w:val="9"/>
                <w:color w:val="auto"/>
              </w:rPr>
            </w:pPr>
          </w:p>
        </w:tc>
        <w:tc>
          <w:tcPr>
            <w:tcW w:w="434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640" w:type="dxa"/>
            <w:vAlign w:val="bottom"/>
            <w:tcBorders>
              <w:left w:val="single" w:sz="8" w:color="auto"/>
              <w:right w:val="single" w:sz="8" w:color="auto"/>
            </w:tcBorders>
          </w:tcPr>
          <w:p>
            <w:pPr>
              <w:spacing w:after="0"/>
              <w:rPr>
                <w:sz w:val="11"/>
                <w:szCs w:val="11"/>
                <w:color w:val="auto"/>
              </w:rPr>
            </w:pPr>
          </w:p>
        </w:tc>
        <w:tc>
          <w:tcPr>
            <w:tcW w:w="1720" w:type="dxa"/>
            <w:vAlign w:val="bottom"/>
            <w:tcBorders>
              <w:right w:val="single" w:sz="8" w:color="auto"/>
            </w:tcBorders>
            <w:vMerge w:val="continue"/>
          </w:tcPr>
          <w:p>
            <w:pPr>
              <w:spacing w:after="0"/>
              <w:rPr>
                <w:sz w:val="11"/>
                <w:szCs w:val="11"/>
                <w:color w:val="auto"/>
              </w:rPr>
            </w:pPr>
          </w:p>
        </w:tc>
        <w:tc>
          <w:tcPr>
            <w:tcW w:w="1240" w:type="dxa"/>
            <w:vAlign w:val="bottom"/>
          </w:tcPr>
          <w:p>
            <w:pPr>
              <w:spacing w:after="0"/>
              <w:rPr>
                <w:sz w:val="11"/>
                <w:szCs w:val="11"/>
                <w:color w:val="auto"/>
              </w:rPr>
            </w:pPr>
          </w:p>
        </w:tc>
        <w:tc>
          <w:tcPr>
            <w:tcW w:w="126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tcPr>
          <w:p>
            <w:pPr>
              <w:spacing w:after="0"/>
              <w:rPr>
                <w:sz w:val="11"/>
                <w:szCs w:val="11"/>
                <w:color w:val="auto"/>
              </w:rPr>
            </w:pPr>
          </w:p>
        </w:tc>
        <w:tc>
          <w:tcPr>
            <w:tcW w:w="434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European countries in first quarter of 2016.</w:t>
            </w:r>
          </w:p>
        </w:tc>
        <w:tc>
          <w:tcPr>
            <w:tcW w:w="0" w:type="dxa"/>
            <w:vAlign w:val="bottom"/>
          </w:tcPr>
          <w:p>
            <w:pPr>
              <w:spacing w:after="0"/>
              <w:rPr>
                <w:sz w:val="1"/>
                <w:szCs w:val="1"/>
                <w:color w:val="auto"/>
              </w:rPr>
            </w:pPr>
          </w:p>
        </w:tc>
      </w:tr>
      <w:tr>
        <w:trPr>
          <w:trHeight w:val="113"/>
        </w:trPr>
        <w:tc>
          <w:tcPr>
            <w:tcW w:w="1640" w:type="dxa"/>
            <w:vAlign w:val="bottom"/>
            <w:tcBorders>
              <w:left w:val="single" w:sz="8" w:color="auto"/>
              <w:right w:val="single" w:sz="8" w:color="auto"/>
            </w:tcBorders>
          </w:tcPr>
          <w:p>
            <w:pPr>
              <w:spacing w:after="0"/>
              <w:rPr>
                <w:sz w:val="9"/>
                <w:szCs w:val="9"/>
                <w:color w:val="auto"/>
              </w:rPr>
            </w:pPr>
          </w:p>
        </w:tc>
        <w:tc>
          <w:tcPr>
            <w:tcW w:w="1720" w:type="dxa"/>
            <w:vAlign w:val="bottom"/>
            <w:tcBorders>
              <w:bottom w:val="single" w:sz="8" w:color="auto"/>
              <w:right w:val="single" w:sz="8" w:color="auto"/>
            </w:tcBorders>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1260" w:type="dxa"/>
            <w:vAlign w:val="bottom"/>
            <w:tcBorders>
              <w:bottom w:val="single" w:sz="8" w:color="auto"/>
              <w:right w:val="single" w:sz="8" w:color="auto"/>
            </w:tcBorders>
          </w:tcPr>
          <w:p>
            <w:pPr>
              <w:spacing w:after="0"/>
              <w:rPr>
                <w:sz w:val="9"/>
                <w:szCs w:val="9"/>
                <w:color w:val="auto"/>
              </w:rPr>
            </w:pPr>
          </w:p>
        </w:tc>
        <w:tc>
          <w:tcPr>
            <w:tcW w:w="1240" w:type="dxa"/>
            <w:vAlign w:val="bottom"/>
            <w:tcBorders>
              <w:bottom w:val="single" w:sz="8" w:color="auto"/>
              <w:right w:val="single" w:sz="8" w:color="auto"/>
            </w:tcBorders>
          </w:tcPr>
          <w:p>
            <w:pPr>
              <w:spacing w:after="0"/>
              <w:rPr>
                <w:sz w:val="9"/>
                <w:szCs w:val="9"/>
                <w:color w:val="auto"/>
              </w:rPr>
            </w:pPr>
          </w:p>
        </w:tc>
        <w:tc>
          <w:tcPr>
            <w:tcW w:w="434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5"/>
        </w:trPr>
        <w:tc>
          <w:tcPr>
            <w:tcW w:w="1640" w:type="dxa"/>
            <w:vAlign w:val="bottom"/>
            <w:tcBorders>
              <w:left w:val="single" w:sz="8" w:color="auto"/>
              <w:right w:val="single" w:sz="8" w:color="auto"/>
            </w:tcBorders>
          </w:tcPr>
          <w:p>
            <w:pPr>
              <w:spacing w:after="0"/>
              <w:rPr>
                <w:sz w:val="17"/>
                <w:szCs w:val="17"/>
                <w:color w:val="auto"/>
              </w:rPr>
            </w:pPr>
          </w:p>
        </w:tc>
        <w:tc>
          <w:tcPr>
            <w:tcW w:w="1720" w:type="dxa"/>
            <w:vAlign w:val="bottom"/>
            <w:tcBorders>
              <w:right w:val="single" w:sz="8" w:color="auto"/>
            </w:tcBorders>
          </w:tcPr>
          <w:p>
            <w:pPr>
              <w:ind w:left="20"/>
              <w:spacing w:after="0" w:line="205" w:lineRule="exact"/>
              <w:rPr>
                <w:sz w:val="20"/>
                <w:szCs w:val="20"/>
                <w:color w:val="auto"/>
              </w:rPr>
            </w:pPr>
            <w:r>
              <w:rPr>
                <w:rFonts w:ascii="Arial" w:cs="Arial" w:eastAsia="Arial" w:hAnsi="Arial"/>
                <w:sz w:val="18"/>
                <w:szCs w:val="18"/>
                <w:color w:val="auto"/>
              </w:rPr>
              <w:t>Urothelial (bladder)</w:t>
            </w:r>
          </w:p>
        </w:tc>
        <w:tc>
          <w:tcPr>
            <w:tcW w:w="1240" w:type="dxa"/>
            <w:vAlign w:val="bottom"/>
          </w:tcPr>
          <w:p>
            <w:pPr>
              <w:spacing w:after="0"/>
              <w:rPr>
                <w:sz w:val="17"/>
                <w:szCs w:val="17"/>
                <w:color w:val="auto"/>
              </w:rPr>
            </w:pPr>
          </w:p>
        </w:tc>
        <w:tc>
          <w:tcPr>
            <w:tcW w:w="1260" w:type="dxa"/>
            <w:vAlign w:val="bottom"/>
            <w:vMerge w:val="restart"/>
          </w:tcPr>
          <w:p>
            <w:pPr>
              <w:jc w:val="center"/>
              <w:spacing w:after="0"/>
              <w:rPr>
                <w:sz w:val="20"/>
                <w:szCs w:val="20"/>
                <w:color w:val="auto"/>
              </w:rPr>
            </w:pPr>
            <w:r>
              <w:rPr>
                <w:rFonts w:ascii="Arial" w:cs="Arial" w:eastAsia="Arial" w:hAnsi="Arial"/>
                <w:sz w:val="18"/>
                <w:szCs w:val="18"/>
                <w:color w:val="auto"/>
                <w:w w:val="98"/>
              </w:rPr>
              <w:t>Phase III</w:t>
            </w:r>
          </w:p>
        </w:tc>
        <w:tc>
          <w:tcPr>
            <w:tcW w:w="1240" w:type="dxa"/>
            <w:vAlign w:val="bottom"/>
            <w:tcBorders>
              <w:right w:val="single" w:sz="8" w:color="auto"/>
            </w:tcBorders>
          </w:tcPr>
          <w:p>
            <w:pPr>
              <w:spacing w:after="0"/>
              <w:rPr>
                <w:sz w:val="17"/>
                <w:szCs w:val="17"/>
                <w:color w:val="auto"/>
              </w:rPr>
            </w:pPr>
          </w:p>
        </w:tc>
        <w:tc>
          <w:tcPr>
            <w:tcW w:w="434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Initiated Phase III study in July 2015.</w:t>
            </w:r>
          </w:p>
        </w:tc>
        <w:tc>
          <w:tcPr>
            <w:tcW w:w="0" w:type="dxa"/>
            <w:vAlign w:val="bottom"/>
          </w:tcPr>
          <w:p>
            <w:pPr>
              <w:spacing w:after="0"/>
              <w:rPr>
                <w:sz w:val="1"/>
                <w:szCs w:val="1"/>
                <w:color w:val="auto"/>
              </w:rPr>
            </w:pPr>
          </w:p>
        </w:tc>
      </w:tr>
      <w:tr>
        <w:trPr>
          <w:trHeight w:val="135"/>
        </w:trPr>
        <w:tc>
          <w:tcPr>
            <w:tcW w:w="1640" w:type="dxa"/>
            <w:vAlign w:val="bottom"/>
            <w:tcBorders>
              <w:left w:val="single" w:sz="8" w:color="auto"/>
              <w:right w:val="single" w:sz="8" w:color="auto"/>
            </w:tcBorders>
          </w:tcPr>
          <w:p>
            <w:pPr>
              <w:spacing w:after="0"/>
              <w:rPr>
                <w:sz w:val="11"/>
                <w:szCs w:val="11"/>
                <w:color w:val="auto"/>
              </w:rPr>
            </w:pP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cancer (second-line)</w:t>
            </w:r>
          </w:p>
        </w:tc>
        <w:tc>
          <w:tcPr>
            <w:tcW w:w="12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1240" w:type="dxa"/>
            <w:vAlign w:val="bottom"/>
            <w:tcBorders>
              <w:right w:val="single" w:sz="8" w:color="auto"/>
            </w:tcBorders>
          </w:tcPr>
          <w:p>
            <w:pPr>
              <w:spacing w:after="0"/>
              <w:rPr>
                <w:sz w:val="11"/>
                <w:szCs w:val="11"/>
                <w:color w:val="auto"/>
              </w:rPr>
            </w:pPr>
          </w:p>
        </w:tc>
        <w:tc>
          <w:tcPr>
            <w:tcW w:w="434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1640" w:type="dxa"/>
            <w:vAlign w:val="bottom"/>
            <w:tcBorders>
              <w:left w:val="single" w:sz="8" w:color="auto"/>
              <w:bottom w:val="single" w:sz="8" w:color="auto"/>
              <w:right w:val="single" w:sz="8" w:color="auto"/>
            </w:tcBorders>
          </w:tcPr>
          <w:p>
            <w:pPr>
              <w:spacing w:after="0"/>
              <w:rPr>
                <w:sz w:val="9"/>
                <w:szCs w:val="9"/>
                <w:color w:val="auto"/>
              </w:rPr>
            </w:pPr>
          </w:p>
        </w:tc>
        <w:tc>
          <w:tcPr>
            <w:tcW w:w="1720" w:type="dxa"/>
            <w:vAlign w:val="bottom"/>
            <w:tcBorders>
              <w:bottom w:val="single" w:sz="8" w:color="auto"/>
              <w:right w:val="single" w:sz="8" w:color="auto"/>
            </w:tcBorders>
            <w:vMerge w:val="continue"/>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1240" w:type="dxa"/>
            <w:vAlign w:val="bottom"/>
            <w:tcBorders>
              <w:bottom w:val="single" w:sz="8" w:color="auto"/>
              <w:right w:val="single" w:sz="8" w:color="auto"/>
            </w:tcBorders>
          </w:tcPr>
          <w:p>
            <w:pPr>
              <w:spacing w:after="0"/>
              <w:rPr>
                <w:sz w:val="9"/>
                <w:szCs w:val="9"/>
                <w:color w:val="auto"/>
              </w:rPr>
            </w:pPr>
          </w:p>
        </w:tc>
        <w:tc>
          <w:tcPr>
            <w:tcW w:w="43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05"/>
        </w:trPr>
        <w:tc>
          <w:tcPr>
            <w:tcW w:w="1640" w:type="dxa"/>
            <w:vAlign w:val="bottom"/>
            <w:tcBorders>
              <w:left w:val="single" w:sz="8" w:color="auto"/>
              <w:right w:val="single" w:sz="8" w:color="auto"/>
            </w:tcBorders>
          </w:tcPr>
          <w:p>
            <w:pPr>
              <w:spacing w:after="0"/>
              <w:rPr>
                <w:sz w:val="17"/>
                <w:szCs w:val="17"/>
                <w:color w:val="auto"/>
              </w:rPr>
            </w:pPr>
          </w:p>
        </w:tc>
        <w:tc>
          <w:tcPr>
            <w:tcW w:w="1720" w:type="dxa"/>
            <w:vAlign w:val="bottom"/>
            <w:tcBorders>
              <w:right w:val="single" w:sz="8" w:color="auto"/>
            </w:tcBorders>
          </w:tcPr>
          <w:p>
            <w:pPr>
              <w:spacing w:after="0"/>
              <w:rPr>
                <w:sz w:val="17"/>
                <w:szCs w:val="17"/>
                <w:color w:val="auto"/>
              </w:rPr>
            </w:pPr>
          </w:p>
        </w:tc>
        <w:tc>
          <w:tcPr>
            <w:tcW w:w="1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4340" w:type="dxa"/>
            <w:vAlign w:val="bottom"/>
            <w:tcBorders>
              <w:right w:val="single" w:sz="8" w:color="auto"/>
            </w:tcBorders>
          </w:tcPr>
          <w:p>
            <w:pPr>
              <w:ind w:left="20"/>
              <w:spacing w:after="0" w:line="205" w:lineRule="exact"/>
              <w:rPr>
                <w:sz w:val="20"/>
                <w:szCs w:val="20"/>
                <w:color w:val="auto"/>
              </w:rPr>
            </w:pPr>
            <w:r>
              <w:rPr>
                <w:rFonts w:ascii="Arial" w:cs="Arial" w:eastAsia="Arial" w:hAnsi="Arial"/>
                <w:sz w:val="18"/>
                <w:szCs w:val="18"/>
                <w:color w:val="auto"/>
              </w:rPr>
              <w:t>Announced that olaratumab was granted</w:t>
            </w:r>
          </w:p>
        </w:tc>
        <w:tc>
          <w:tcPr>
            <w:tcW w:w="0" w:type="dxa"/>
            <w:vAlign w:val="bottom"/>
          </w:tcPr>
          <w:p>
            <w:pPr>
              <w:spacing w:after="0"/>
              <w:rPr>
                <w:sz w:val="1"/>
                <w:szCs w:val="1"/>
                <w:color w:val="auto"/>
              </w:rPr>
            </w:pPr>
          </w:p>
        </w:tc>
      </w:tr>
      <w:tr>
        <w:trPr>
          <w:trHeight w:val="203"/>
        </w:trPr>
        <w:tc>
          <w:tcPr>
            <w:tcW w:w="1640" w:type="dxa"/>
            <w:vAlign w:val="bottom"/>
            <w:tcBorders>
              <w:left w:val="single" w:sz="8" w:color="auto"/>
              <w:right w:val="single" w:sz="8" w:color="auto"/>
            </w:tcBorders>
          </w:tcPr>
          <w:p>
            <w:pPr>
              <w:spacing w:after="0"/>
              <w:rPr>
                <w:sz w:val="17"/>
                <w:szCs w:val="17"/>
                <w:color w:val="auto"/>
              </w:rPr>
            </w:pPr>
          </w:p>
        </w:tc>
        <w:tc>
          <w:tcPr>
            <w:tcW w:w="1720" w:type="dxa"/>
            <w:vAlign w:val="bottom"/>
            <w:tcBorders>
              <w:right w:val="single" w:sz="8" w:color="auto"/>
            </w:tcBorders>
          </w:tcPr>
          <w:p>
            <w:pPr>
              <w:spacing w:after="0"/>
              <w:rPr>
                <w:sz w:val="17"/>
                <w:szCs w:val="17"/>
                <w:color w:val="auto"/>
              </w:rPr>
            </w:pPr>
          </w:p>
        </w:tc>
        <w:tc>
          <w:tcPr>
            <w:tcW w:w="1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4340" w:type="dxa"/>
            <w:vAlign w:val="bottom"/>
            <w:tcBorders>
              <w:right w:val="single" w:sz="8" w:color="auto"/>
            </w:tcBorders>
          </w:tcPr>
          <w:p>
            <w:pPr>
              <w:ind w:left="20"/>
              <w:spacing w:after="0" w:line="203" w:lineRule="exact"/>
              <w:rPr>
                <w:sz w:val="20"/>
                <w:szCs w:val="20"/>
                <w:color w:val="auto"/>
              </w:rPr>
            </w:pPr>
            <w:r>
              <w:rPr>
                <w:rFonts w:ascii="Arial" w:cs="Arial" w:eastAsia="Arial" w:hAnsi="Arial"/>
                <w:sz w:val="18"/>
                <w:szCs w:val="18"/>
                <w:color w:val="auto"/>
              </w:rPr>
              <w:t>Breakthrough Therapy Designation</w:t>
            </w:r>
            <w:r>
              <w:rPr>
                <w:rFonts w:ascii="Arial" w:cs="Arial" w:eastAsia="Arial" w:hAnsi="Arial"/>
                <w:sz w:val="21"/>
                <w:szCs w:val="21"/>
                <w:color w:val="auto"/>
                <w:vertAlign w:val="superscript"/>
              </w:rPr>
              <w:t>(2)</w:t>
            </w:r>
            <w:r>
              <w:rPr>
                <w:rFonts w:ascii="Arial" w:cs="Arial" w:eastAsia="Arial" w:hAnsi="Arial"/>
                <w:sz w:val="18"/>
                <w:szCs w:val="18"/>
                <w:color w:val="auto"/>
              </w:rPr>
              <w:t xml:space="preserve"> by the FDA. In</w:t>
            </w:r>
          </w:p>
        </w:tc>
        <w:tc>
          <w:tcPr>
            <w:tcW w:w="0" w:type="dxa"/>
            <w:vAlign w:val="bottom"/>
          </w:tcPr>
          <w:p>
            <w:pPr>
              <w:spacing w:after="0"/>
              <w:rPr>
                <w:sz w:val="1"/>
                <w:szCs w:val="1"/>
                <w:color w:val="auto"/>
              </w:rPr>
            </w:pPr>
          </w:p>
        </w:tc>
      </w:tr>
      <w:tr>
        <w:trPr>
          <w:trHeight w:val="203"/>
        </w:trPr>
        <w:tc>
          <w:tcPr>
            <w:tcW w:w="1640" w:type="dxa"/>
            <w:vAlign w:val="bottom"/>
            <w:tcBorders>
              <w:left w:val="single" w:sz="8" w:color="auto"/>
              <w:right w:val="single" w:sz="8" w:color="auto"/>
            </w:tcBorders>
          </w:tcPr>
          <w:p>
            <w:pPr>
              <w:spacing w:after="0"/>
              <w:rPr>
                <w:sz w:val="17"/>
                <w:szCs w:val="17"/>
                <w:color w:val="auto"/>
              </w:rPr>
            </w:pPr>
          </w:p>
        </w:tc>
        <w:tc>
          <w:tcPr>
            <w:tcW w:w="1720" w:type="dxa"/>
            <w:vAlign w:val="bottom"/>
            <w:tcBorders>
              <w:right w:val="single" w:sz="8" w:color="auto"/>
            </w:tcBorders>
          </w:tcPr>
          <w:p>
            <w:pPr>
              <w:spacing w:after="0"/>
              <w:rPr>
                <w:sz w:val="17"/>
                <w:szCs w:val="17"/>
                <w:color w:val="auto"/>
              </w:rPr>
            </w:pPr>
          </w:p>
        </w:tc>
        <w:tc>
          <w:tcPr>
            <w:tcW w:w="1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434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third quarter of 2015, announced intention to submit</w:t>
            </w:r>
          </w:p>
        </w:tc>
        <w:tc>
          <w:tcPr>
            <w:tcW w:w="0" w:type="dxa"/>
            <w:vAlign w:val="bottom"/>
          </w:tcPr>
          <w:p>
            <w:pPr>
              <w:spacing w:after="0"/>
              <w:rPr>
                <w:sz w:val="1"/>
                <w:szCs w:val="1"/>
                <w:color w:val="auto"/>
              </w:rPr>
            </w:pPr>
          </w:p>
        </w:tc>
      </w:tr>
      <w:tr>
        <w:trPr>
          <w:trHeight w:val="203"/>
        </w:trPr>
        <w:tc>
          <w:tcPr>
            <w:tcW w:w="1640" w:type="dxa"/>
            <w:vAlign w:val="bottom"/>
            <w:tcBorders>
              <w:left w:val="single" w:sz="8" w:color="auto"/>
              <w:right w:val="single" w:sz="8" w:color="auto"/>
            </w:tcBorders>
          </w:tcPr>
          <w:p>
            <w:pPr>
              <w:spacing w:after="0"/>
              <w:rPr>
                <w:sz w:val="17"/>
                <w:szCs w:val="17"/>
                <w:color w:val="auto"/>
              </w:rPr>
            </w:pPr>
          </w:p>
        </w:tc>
        <w:tc>
          <w:tcPr>
            <w:tcW w:w="1720" w:type="dxa"/>
            <w:vAlign w:val="bottom"/>
            <w:tcBorders>
              <w:right w:val="single" w:sz="8" w:color="auto"/>
            </w:tcBorders>
          </w:tcPr>
          <w:p>
            <w:pPr>
              <w:spacing w:after="0"/>
              <w:rPr>
                <w:sz w:val="17"/>
                <w:szCs w:val="17"/>
                <w:color w:val="auto"/>
              </w:rPr>
            </w:pPr>
          </w:p>
        </w:tc>
        <w:tc>
          <w:tcPr>
            <w:tcW w:w="1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434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U.S. and European regulatory applications based on</w:t>
            </w:r>
          </w:p>
        </w:tc>
        <w:tc>
          <w:tcPr>
            <w:tcW w:w="0" w:type="dxa"/>
            <w:vAlign w:val="bottom"/>
          </w:tcPr>
          <w:p>
            <w:pPr>
              <w:spacing w:after="0"/>
              <w:rPr>
                <w:sz w:val="1"/>
                <w:szCs w:val="1"/>
                <w:color w:val="auto"/>
              </w:rPr>
            </w:pPr>
          </w:p>
        </w:tc>
      </w:tr>
      <w:tr>
        <w:trPr>
          <w:trHeight w:val="203"/>
        </w:trPr>
        <w:tc>
          <w:tcPr>
            <w:tcW w:w="16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Olaratumab</w:t>
            </w: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Soft tissue sarcoma</w:t>
            </w:r>
          </w:p>
        </w:tc>
        <w:tc>
          <w:tcPr>
            <w:tcW w:w="1240" w:type="dxa"/>
            <w:vAlign w:val="bottom"/>
          </w:tcPr>
          <w:p>
            <w:pPr>
              <w:spacing w:after="0"/>
              <w:rPr>
                <w:sz w:val="17"/>
                <w:szCs w:val="17"/>
                <w:color w:val="auto"/>
              </w:rPr>
            </w:pPr>
          </w:p>
        </w:tc>
        <w:tc>
          <w:tcPr>
            <w:tcW w:w="1260" w:type="dxa"/>
            <w:vAlign w:val="bottom"/>
            <w:vMerge w:val="restart"/>
          </w:tcPr>
          <w:p>
            <w:pPr>
              <w:jc w:val="center"/>
              <w:spacing w:after="0"/>
              <w:rPr>
                <w:sz w:val="20"/>
                <w:szCs w:val="20"/>
                <w:color w:val="auto"/>
              </w:rPr>
            </w:pPr>
            <w:r>
              <w:rPr>
                <w:rFonts w:ascii="Arial" w:cs="Arial" w:eastAsia="Arial" w:hAnsi="Arial"/>
                <w:sz w:val="18"/>
                <w:szCs w:val="18"/>
                <w:color w:val="auto"/>
                <w:w w:val="98"/>
              </w:rPr>
              <w:t>Phase III</w:t>
            </w:r>
          </w:p>
        </w:tc>
        <w:tc>
          <w:tcPr>
            <w:tcW w:w="1240" w:type="dxa"/>
            <w:vAlign w:val="bottom"/>
            <w:tcBorders>
              <w:right w:val="single" w:sz="8" w:color="auto"/>
            </w:tcBorders>
          </w:tcPr>
          <w:p>
            <w:pPr>
              <w:spacing w:after="0"/>
              <w:rPr>
                <w:sz w:val="17"/>
                <w:szCs w:val="17"/>
                <w:color w:val="auto"/>
              </w:rPr>
            </w:pPr>
          </w:p>
        </w:tc>
        <w:tc>
          <w:tcPr>
            <w:tcW w:w="434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Phase II clinical trial data. Initiated a rolling</w:t>
            </w:r>
          </w:p>
        </w:tc>
        <w:tc>
          <w:tcPr>
            <w:tcW w:w="0" w:type="dxa"/>
            <w:vAlign w:val="bottom"/>
          </w:tcPr>
          <w:p>
            <w:pPr>
              <w:spacing w:after="0"/>
              <w:rPr>
                <w:sz w:val="1"/>
                <w:szCs w:val="1"/>
                <w:color w:val="auto"/>
              </w:rPr>
            </w:pPr>
          </w:p>
        </w:tc>
      </w:tr>
      <w:tr>
        <w:trPr>
          <w:trHeight w:val="135"/>
        </w:trPr>
        <w:tc>
          <w:tcPr>
            <w:tcW w:w="1640" w:type="dxa"/>
            <w:vAlign w:val="bottom"/>
            <w:tcBorders>
              <w:left w:val="single" w:sz="8" w:color="auto"/>
              <w:right w:val="single" w:sz="8" w:color="auto"/>
            </w:tcBorders>
            <w:vMerge w:val="continue"/>
          </w:tcPr>
          <w:p>
            <w:pPr>
              <w:spacing w:after="0"/>
              <w:rPr>
                <w:sz w:val="11"/>
                <w:szCs w:val="11"/>
                <w:color w:val="auto"/>
              </w:rPr>
            </w:pPr>
          </w:p>
        </w:tc>
        <w:tc>
          <w:tcPr>
            <w:tcW w:w="1720" w:type="dxa"/>
            <w:vAlign w:val="bottom"/>
            <w:tcBorders>
              <w:right w:val="single" w:sz="8" w:color="auto"/>
            </w:tcBorders>
            <w:vMerge w:val="continue"/>
          </w:tcPr>
          <w:p>
            <w:pPr>
              <w:spacing w:after="0"/>
              <w:rPr>
                <w:sz w:val="11"/>
                <w:szCs w:val="11"/>
                <w:color w:val="auto"/>
              </w:rPr>
            </w:pPr>
          </w:p>
        </w:tc>
        <w:tc>
          <w:tcPr>
            <w:tcW w:w="12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1240" w:type="dxa"/>
            <w:vAlign w:val="bottom"/>
            <w:tcBorders>
              <w:right w:val="single" w:sz="8" w:color="auto"/>
            </w:tcBorders>
          </w:tcPr>
          <w:p>
            <w:pPr>
              <w:spacing w:after="0"/>
              <w:rPr>
                <w:sz w:val="11"/>
                <w:szCs w:val="11"/>
                <w:color w:val="auto"/>
              </w:rPr>
            </w:pPr>
          </w:p>
        </w:tc>
        <w:tc>
          <w:tcPr>
            <w:tcW w:w="4340" w:type="dxa"/>
            <w:vAlign w:val="bottom"/>
            <w:tcBorders>
              <w:right w:val="single" w:sz="8" w:color="auto"/>
            </w:tcBorders>
            <w:vMerge w:val="restart"/>
          </w:tcPr>
          <w:p>
            <w:pPr>
              <w:ind w:left="20"/>
              <w:spacing w:after="0" w:line="202" w:lineRule="exact"/>
              <w:rPr>
                <w:sz w:val="20"/>
                <w:szCs w:val="20"/>
                <w:color w:val="auto"/>
              </w:rPr>
            </w:pPr>
            <w:r>
              <w:rPr>
                <w:rFonts w:ascii="Arial" w:cs="Arial" w:eastAsia="Arial" w:hAnsi="Arial"/>
                <w:sz w:val="18"/>
                <w:szCs w:val="18"/>
                <w:color w:val="auto"/>
              </w:rPr>
              <w:t>submission to FDA in fourth quarter of 2015.</w:t>
            </w:r>
          </w:p>
        </w:tc>
        <w:tc>
          <w:tcPr>
            <w:tcW w:w="0" w:type="dxa"/>
            <w:vAlign w:val="bottom"/>
          </w:tcPr>
          <w:p>
            <w:pPr>
              <w:spacing w:after="0"/>
              <w:rPr>
                <w:sz w:val="1"/>
                <w:szCs w:val="1"/>
                <w:color w:val="auto"/>
              </w:rPr>
            </w:pPr>
          </w:p>
        </w:tc>
      </w:tr>
      <w:tr>
        <w:trPr>
          <w:trHeight w:val="68"/>
        </w:trPr>
        <w:tc>
          <w:tcPr>
            <w:tcW w:w="1640" w:type="dxa"/>
            <w:vAlign w:val="bottom"/>
            <w:tcBorders>
              <w:left w:val="single" w:sz="8" w:color="auto"/>
              <w:right w:val="single" w:sz="8" w:color="auto"/>
            </w:tcBorders>
          </w:tcPr>
          <w:p>
            <w:pPr>
              <w:spacing w:after="0"/>
              <w:rPr>
                <w:sz w:val="5"/>
                <w:szCs w:val="5"/>
                <w:color w:val="auto"/>
              </w:rPr>
            </w:pPr>
          </w:p>
        </w:tc>
        <w:tc>
          <w:tcPr>
            <w:tcW w:w="1720" w:type="dxa"/>
            <w:vAlign w:val="bottom"/>
            <w:tcBorders>
              <w:right w:val="single" w:sz="8" w:color="auto"/>
            </w:tcBorders>
          </w:tcPr>
          <w:p>
            <w:pPr>
              <w:spacing w:after="0"/>
              <w:rPr>
                <w:sz w:val="5"/>
                <w:szCs w:val="5"/>
                <w:color w:val="auto"/>
              </w:rPr>
            </w:pPr>
          </w:p>
        </w:tc>
        <w:tc>
          <w:tcPr>
            <w:tcW w:w="12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tcBorders>
              <w:right w:val="single" w:sz="8" w:color="auto"/>
            </w:tcBorders>
          </w:tcPr>
          <w:p>
            <w:pPr>
              <w:spacing w:after="0"/>
              <w:rPr>
                <w:sz w:val="5"/>
                <w:szCs w:val="5"/>
                <w:color w:val="auto"/>
              </w:rPr>
            </w:pPr>
          </w:p>
        </w:tc>
        <w:tc>
          <w:tcPr>
            <w:tcW w:w="434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1640" w:type="dxa"/>
            <w:vAlign w:val="bottom"/>
            <w:tcBorders>
              <w:left w:val="single" w:sz="8" w:color="auto"/>
              <w:right w:val="single" w:sz="8" w:color="auto"/>
            </w:tcBorders>
          </w:tcPr>
          <w:p>
            <w:pPr>
              <w:spacing w:after="0"/>
              <w:rPr>
                <w:sz w:val="17"/>
                <w:szCs w:val="17"/>
                <w:color w:val="auto"/>
              </w:rPr>
            </w:pPr>
          </w:p>
        </w:tc>
        <w:tc>
          <w:tcPr>
            <w:tcW w:w="1720" w:type="dxa"/>
            <w:vAlign w:val="bottom"/>
            <w:tcBorders>
              <w:right w:val="single" w:sz="8" w:color="auto"/>
            </w:tcBorders>
          </w:tcPr>
          <w:p>
            <w:pPr>
              <w:spacing w:after="0"/>
              <w:rPr>
                <w:sz w:val="17"/>
                <w:szCs w:val="17"/>
                <w:color w:val="auto"/>
              </w:rPr>
            </w:pPr>
          </w:p>
        </w:tc>
        <w:tc>
          <w:tcPr>
            <w:tcW w:w="1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434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Submission to European regulatory authorities</w:t>
            </w:r>
          </w:p>
        </w:tc>
        <w:tc>
          <w:tcPr>
            <w:tcW w:w="0" w:type="dxa"/>
            <w:vAlign w:val="bottom"/>
          </w:tcPr>
          <w:p>
            <w:pPr>
              <w:spacing w:after="0"/>
              <w:rPr>
                <w:sz w:val="1"/>
                <w:szCs w:val="1"/>
                <w:color w:val="auto"/>
              </w:rPr>
            </w:pPr>
          </w:p>
        </w:tc>
      </w:tr>
      <w:tr>
        <w:trPr>
          <w:trHeight w:val="203"/>
        </w:trPr>
        <w:tc>
          <w:tcPr>
            <w:tcW w:w="1640" w:type="dxa"/>
            <w:vAlign w:val="bottom"/>
            <w:tcBorders>
              <w:left w:val="single" w:sz="8" w:color="auto"/>
              <w:right w:val="single" w:sz="8" w:color="auto"/>
            </w:tcBorders>
          </w:tcPr>
          <w:p>
            <w:pPr>
              <w:spacing w:after="0"/>
              <w:rPr>
                <w:sz w:val="17"/>
                <w:szCs w:val="17"/>
                <w:color w:val="auto"/>
              </w:rPr>
            </w:pPr>
          </w:p>
        </w:tc>
        <w:tc>
          <w:tcPr>
            <w:tcW w:w="1720" w:type="dxa"/>
            <w:vAlign w:val="bottom"/>
            <w:tcBorders>
              <w:right w:val="single" w:sz="8" w:color="auto"/>
            </w:tcBorders>
          </w:tcPr>
          <w:p>
            <w:pPr>
              <w:spacing w:after="0"/>
              <w:rPr>
                <w:sz w:val="17"/>
                <w:szCs w:val="17"/>
                <w:color w:val="auto"/>
              </w:rPr>
            </w:pPr>
          </w:p>
        </w:tc>
        <w:tc>
          <w:tcPr>
            <w:tcW w:w="1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434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expected in 2016. Initiated Phase III study of</w:t>
            </w:r>
          </w:p>
        </w:tc>
        <w:tc>
          <w:tcPr>
            <w:tcW w:w="0" w:type="dxa"/>
            <w:vAlign w:val="bottom"/>
          </w:tcPr>
          <w:p>
            <w:pPr>
              <w:spacing w:after="0"/>
              <w:rPr>
                <w:sz w:val="1"/>
                <w:szCs w:val="1"/>
                <w:color w:val="auto"/>
              </w:rPr>
            </w:pPr>
          </w:p>
        </w:tc>
      </w:tr>
      <w:tr>
        <w:trPr>
          <w:trHeight w:val="203"/>
        </w:trPr>
        <w:tc>
          <w:tcPr>
            <w:tcW w:w="1640" w:type="dxa"/>
            <w:vAlign w:val="bottom"/>
            <w:tcBorders>
              <w:left w:val="single" w:sz="8" w:color="auto"/>
              <w:right w:val="single" w:sz="8" w:color="auto"/>
            </w:tcBorders>
          </w:tcPr>
          <w:p>
            <w:pPr>
              <w:spacing w:after="0"/>
              <w:rPr>
                <w:sz w:val="17"/>
                <w:szCs w:val="17"/>
                <w:color w:val="auto"/>
              </w:rPr>
            </w:pPr>
          </w:p>
        </w:tc>
        <w:tc>
          <w:tcPr>
            <w:tcW w:w="1720" w:type="dxa"/>
            <w:vAlign w:val="bottom"/>
            <w:tcBorders>
              <w:right w:val="single" w:sz="8" w:color="auto"/>
            </w:tcBorders>
          </w:tcPr>
          <w:p>
            <w:pPr>
              <w:spacing w:after="0"/>
              <w:rPr>
                <w:sz w:val="17"/>
                <w:szCs w:val="17"/>
                <w:color w:val="auto"/>
              </w:rPr>
            </w:pPr>
          </w:p>
        </w:tc>
        <w:tc>
          <w:tcPr>
            <w:tcW w:w="1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434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olaratumab in soft tissue sarcoma in September</w:t>
            </w:r>
          </w:p>
        </w:tc>
        <w:tc>
          <w:tcPr>
            <w:tcW w:w="0" w:type="dxa"/>
            <w:vAlign w:val="bottom"/>
          </w:tcPr>
          <w:p>
            <w:pPr>
              <w:spacing w:after="0"/>
              <w:rPr>
                <w:sz w:val="1"/>
                <w:szCs w:val="1"/>
                <w:color w:val="auto"/>
              </w:rPr>
            </w:pPr>
          </w:p>
        </w:tc>
      </w:tr>
      <w:tr>
        <w:trPr>
          <w:trHeight w:val="248"/>
        </w:trPr>
        <w:tc>
          <w:tcPr>
            <w:tcW w:w="1640" w:type="dxa"/>
            <w:vAlign w:val="bottom"/>
            <w:tcBorders>
              <w:left w:val="single" w:sz="8" w:color="auto"/>
              <w:bottom w:val="single" w:sz="8" w:color="auto"/>
              <w:right w:val="single" w:sz="8" w:color="auto"/>
            </w:tcBorders>
          </w:tcPr>
          <w:p>
            <w:pPr>
              <w:spacing w:after="0"/>
              <w:rPr>
                <w:sz w:val="21"/>
                <w:szCs w:val="21"/>
                <w:color w:val="auto"/>
              </w:rPr>
            </w:pPr>
          </w:p>
        </w:tc>
        <w:tc>
          <w:tcPr>
            <w:tcW w:w="1720" w:type="dxa"/>
            <w:vAlign w:val="bottom"/>
            <w:tcBorders>
              <w:bottom w:val="single" w:sz="8" w:color="auto"/>
              <w:right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1240" w:type="dxa"/>
            <w:vAlign w:val="bottom"/>
            <w:tcBorders>
              <w:bottom w:val="single" w:sz="8" w:color="auto"/>
              <w:right w:val="single" w:sz="8" w:color="auto"/>
            </w:tcBorders>
          </w:tcPr>
          <w:p>
            <w:pPr>
              <w:spacing w:after="0"/>
              <w:rPr>
                <w:sz w:val="21"/>
                <w:szCs w:val="21"/>
                <w:color w:val="auto"/>
              </w:rPr>
            </w:pPr>
          </w:p>
        </w:tc>
        <w:tc>
          <w:tcPr>
            <w:tcW w:w="4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2015.</w:t>
            </w:r>
          </w:p>
        </w:tc>
        <w:tc>
          <w:tcPr>
            <w:tcW w:w="0" w:type="dxa"/>
            <w:vAlign w:val="bottom"/>
          </w:tcPr>
          <w:p>
            <w:pPr>
              <w:spacing w:after="0"/>
              <w:rPr>
                <w:sz w:val="1"/>
                <w:szCs w:val="1"/>
                <w:color w:val="auto"/>
              </w:rPr>
            </w:pPr>
          </w:p>
        </w:tc>
      </w:tr>
      <w:tr>
        <w:trPr>
          <w:trHeight w:val="205"/>
        </w:trPr>
        <w:tc>
          <w:tcPr>
            <w:tcW w:w="1640" w:type="dxa"/>
            <w:vAlign w:val="bottom"/>
            <w:tcBorders>
              <w:left w:val="single" w:sz="8" w:color="auto"/>
              <w:right w:val="single" w:sz="8" w:color="auto"/>
            </w:tcBorders>
          </w:tcPr>
          <w:p>
            <w:pPr>
              <w:spacing w:after="0"/>
              <w:rPr>
                <w:sz w:val="17"/>
                <w:szCs w:val="17"/>
                <w:color w:val="auto"/>
              </w:rPr>
            </w:pPr>
          </w:p>
        </w:tc>
        <w:tc>
          <w:tcPr>
            <w:tcW w:w="1720" w:type="dxa"/>
            <w:vAlign w:val="bottom"/>
            <w:tcBorders>
              <w:right w:val="single" w:sz="8" w:color="auto"/>
            </w:tcBorders>
          </w:tcPr>
          <w:p>
            <w:pPr>
              <w:ind w:left="20"/>
              <w:spacing w:after="0" w:line="205" w:lineRule="exact"/>
              <w:rPr>
                <w:sz w:val="20"/>
                <w:szCs w:val="20"/>
                <w:color w:val="auto"/>
              </w:rPr>
            </w:pPr>
            <w:r>
              <w:rPr>
                <w:rFonts w:ascii="Arial" w:cs="Arial" w:eastAsia="Arial" w:hAnsi="Arial"/>
                <w:sz w:val="18"/>
                <w:szCs w:val="18"/>
                <w:color w:val="auto"/>
              </w:rPr>
              <w:t>Metastatic</w:t>
            </w:r>
          </w:p>
        </w:tc>
        <w:tc>
          <w:tcPr>
            <w:tcW w:w="1240" w:type="dxa"/>
            <w:vAlign w:val="bottom"/>
            <w:tcBorders>
              <w:right w:val="single" w:sz="8" w:color="auto"/>
            </w:tcBorders>
          </w:tcPr>
          <w:p>
            <w:pPr>
              <w:spacing w:after="0"/>
              <w:rPr>
                <w:sz w:val="17"/>
                <w:szCs w:val="17"/>
                <w:color w:val="auto"/>
              </w:rPr>
            </w:pPr>
          </w:p>
        </w:tc>
        <w:tc>
          <w:tcPr>
            <w:tcW w:w="126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434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Approved and launched in the U.S. in fourth quarter</w:t>
            </w:r>
          </w:p>
        </w:tc>
        <w:tc>
          <w:tcPr>
            <w:tcW w:w="0" w:type="dxa"/>
            <w:vAlign w:val="bottom"/>
          </w:tcPr>
          <w:p>
            <w:pPr>
              <w:spacing w:after="0"/>
              <w:rPr>
                <w:sz w:val="1"/>
                <w:szCs w:val="1"/>
                <w:color w:val="auto"/>
              </w:rPr>
            </w:pPr>
          </w:p>
        </w:tc>
      </w:tr>
      <w:tr>
        <w:trPr>
          <w:trHeight w:val="95"/>
        </w:trPr>
        <w:tc>
          <w:tcPr>
            <w:tcW w:w="1640" w:type="dxa"/>
            <w:vAlign w:val="bottom"/>
            <w:tcBorders>
              <w:left w:val="single" w:sz="8" w:color="auto"/>
              <w:right w:val="single" w:sz="8" w:color="auto"/>
            </w:tcBorders>
            <w:vMerge w:val="restart"/>
          </w:tcPr>
          <w:p>
            <w:pPr>
              <w:ind w:left="40"/>
              <w:spacing w:after="0" w:line="202" w:lineRule="exact"/>
              <w:rPr>
                <w:sz w:val="20"/>
                <w:szCs w:val="20"/>
                <w:color w:val="auto"/>
              </w:rPr>
            </w:pPr>
            <w:r>
              <w:rPr>
                <w:rFonts w:ascii="Arial" w:cs="Arial" w:eastAsia="Arial" w:hAnsi="Arial"/>
                <w:sz w:val="18"/>
                <w:szCs w:val="18"/>
                <w:color w:val="auto"/>
              </w:rPr>
              <w:t>Portrazza</w:t>
            </w:r>
          </w:p>
        </w:tc>
        <w:tc>
          <w:tcPr>
            <w:tcW w:w="1720" w:type="dxa"/>
            <w:vAlign w:val="bottom"/>
            <w:tcBorders>
              <w:right w:val="single" w:sz="8" w:color="auto"/>
            </w:tcBorders>
            <w:vMerge w:val="restart"/>
          </w:tcPr>
          <w:p>
            <w:pPr>
              <w:ind w:left="20"/>
              <w:spacing w:after="0" w:line="202" w:lineRule="exact"/>
              <w:rPr>
                <w:sz w:val="20"/>
                <w:szCs w:val="20"/>
                <w:color w:val="auto"/>
              </w:rPr>
            </w:pPr>
            <w:r>
              <w:rPr>
                <w:rFonts w:ascii="Arial" w:cs="Arial" w:eastAsia="Arial" w:hAnsi="Arial"/>
                <w:sz w:val="18"/>
                <w:szCs w:val="18"/>
                <w:color w:val="auto"/>
              </w:rPr>
              <w:t>squamous NSCLC</w:t>
            </w:r>
          </w:p>
        </w:tc>
        <w:tc>
          <w:tcPr>
            <w:tcW w:w="1240" w:type="dxa"/>
            <w:vAlign w:val="bottom"/>
            <w:tcBorders>
              <w:right w:val="single" w:sz="8" w:color="auto"/>
            </w:tcBorders>
            <w:vMerge w:val="restart"/>
          </w:tcPr>
          <w:p>
            <w:pPr>
              <w:ind w:left="200"/>
              <w:spacing w:after="0" w:line="202" w:lineRule="exact"/>
              <w:rPr>
                <w:sz w:val="20"/>
                <w:szCs w:val="20"/>
                <w:color w:val="auto"/>
              </w:rPr>
            </w:pPr>
            <w:r>
              <w:rPr>
                <w:rFonts w:ascii="Arial" w:cs="Arial" w:eastAsia="Arial" w:hAnsi="Arial"/>
                <w:sz w:val="18"/>
                <w:szCs w:val="18"/>
                <w:color w:val="auto"/>
              </w:rPr>
              <w:t>Launched</w:t>
            </w:r>
          </w:p>
        </w:tc>
        <w:tc>
          <w:tcPr>
            <w:tcW w:w="1260" w:type="dxa"/>
            <w:vAlign w:val="bottom"/>
            <w:tcBorders>
              <w:right w:val="single" w:sz="8" w:color="auto"/>
            </w:tcBorders>
            <w:vMerge w:val="restart"/>
          </w:tcPr>
          <w:p>
            <w:pPr>
              <w:jc w:val="center"/>
              <w:spacing w:after="0" w:line="202" w:lineRule="exact"/>
              <w:rPr>
                <w:sz w:val="20"/>
                <w:szCs w:val="20"/>
                <w:color w:val="auto"/>
              </w:rPr>
            </w:pPr>
            <w:r>
              <w:rPr>
                <w:rFonts w:ascii="Arial" w:cs="Arial" w:eastAsia="Arial" w:hAnsi="Arial"/>
                <w:sz w:val="18"/>
                <w:szCs w:val="18"/>
                <w:color w:val="auto"/>
                <w:w w:val="98"/>
              </w:rPr>
              <w:t>Approved</w:t>
            </w:r>
          </w:p>
        </w:tc>
        <w:tc>
          <w:tcPr>
            <w:tcW w:w="1240" w:type="dxa"/>
            <w:vAlign w:val="bottom"/>
            <w:tcBorders>
              <w:right w:val="single" w:sz="8" w:color="auto"/>
            </w:tcBorders>
            <w:vMerge w:val="restart"/>
          </w:tcPr>
          <w:p>
            <w:pPr>
              <w:ind w:left="180"/>
              <w:spacing w:after="0" w:line="202" w:lineRule="exact"/>
              <w:rPr>
                <w:sz w:val="20"/>
                <w:szCs w:val="20"/>
                <w:color w:val="auto"/>
              </w:rPr>
            </w:pPr>
            <w:r>
              <w:rPr>
                <w:rFonts w:ascii="Arial" w:cs="Arial" w:eastAsia="Arial" w:hAnsi="Arial"/>
                <w:sz w:val="18"/>
                <w:szCs w:val="18"/>
                <w:color w:val="auto"/>
              </w:rPr>
              <w:t>Phase Ib/II</w:t>
            </w:r>
          </w:p>
        </w:tc>
        <w:tc>
          <w:tcPr>
            <w:tcW w:w="43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1640" w:type="dxa"/>
            <w:vAlign w:val="bottom"/>
            <w:tcBorders>
              <w:left w:val="single" w:sz="8" w:color="auto"/>
              <w:right w:val="single" w:sz="8" w:color="auto"/>
            </w:tcBorders>
            <w:vMerge w:val="continue"/>
          </w:tcPr>
          <w:p>
            <w:pPr>
              <w:spacing w:after="0"/>
              <w:rPr>
                <w:sz w:val="9"/>
                <w:szCs w:val="9"/>
                <w:color w:val="auto"/>
              </w:rPr>
            </w:pPr>
          </w:p>
        </w:tc>
        <w:tc>
          <w:tcPr>
            <w:tcW w:w="1720" w:type="dxa"/>
            <w:vAlign w:val="bottom"/>
            <w:tcBorders>
              <w:right w:val="single" w:sz="8" w:color="auto"/>
            </w:tcBorders>
            <w:vMerge w:val="continue"/>
          </w:tcPr>
          <w:p>
            <w:pPr>
              <w:spacing w:after="0"/>
              <w:rPr>
                <w:sz w:val="9"/>
                <w:szCs w:val="9"/>
                <w:color w:val="auto"/>
              </w:rPr>
            </w:pPr>
          </w:p>
        </w:tc>
        <w:tc>
          <w:tcPr>
            <w:tcW w:w="1240" w:type="dxa"/>
            <w:vAlign w:val="bottom"/>
            <w:tcBorders>
              <w:right w:val="single" w:sz="8" w:color="auto"/>
            </w:tcBorders>
            <w:vMerge w:val="continue"/>
          </w:tcPr>
          <w:p>
            <w:pPr>
              <w:spacing w:after="0"/>
              <w:rPr>
                <w:sz w:val="9"/>
                <w:szCs w:val="9"/>
                <w:color w:val="auto"/>
              </w:rPr>
            </w:pPr>
          </w:p>
        </w:tc>
        <w:tc>
          <w:tcPr>
            <w:tcW w:w="1260" w:type="dxa"/>
            <w:vAlign w:val="bottom"/>
            <w:tcBorders>
              <w:right w:val="single" w:sz="8" w:color="auto"/>
            </w:tcBorders>
            <w:vMerge w:val="continue"/>
          </w:tcPr>
          <w:p>
            <w:pPr>
              <w:spacing w:after="0"/>
              <w:rPr>
                <w:sz w:val="9"/>
                <w:szCs w:val="9"/>
                <w:color w:val="auto"/>
              </w:rPr>
            </w:pPr>
          </w:p>
        </w:tc>
        <w:tc>
          <w:tcPr>
            <w:tcW w:w="1240" w:type="dxa"/>
            <w:vAlign w:val="bottom"/>
            <w:tcBorders>
              <w:right w:val="single" w:sz="8" w:color="auto"/>
            </w:tcBorders>
            <w:vMerge w:val="continue"/>
          </w:tcPr>
          <w:p>
            <w:pPr>
              <w:spacing w:after="0"/>
              <w:rPr>
                <w:sz w:val="9"/>
                <w:szCs w:val="9"/>
                <w:color w:val="auto"/>
              </w:rPr>
            </w:pPr>
          </w:p>
        </w:tc>
        <w:tc>
          <w:tcPr>
            <w:tcW w:w="434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of 2015. Approved in Europe in first quarter of 2016.</w:t>
            </w:r>
          </w:p>
        </w:tc>
        <w:tc>
          <w:tcPr>
            <w:tcW w:w="0" w:type="dxa"/>
            <w:vAlign w:val="bottom"/>
          </w:tcPr>
          <w:p>
            <w:pPr>
              <w:spacing w:after="0"/>
              <w:rPr>
                <w:sz w:val="1"/>
                <w:szCs w:val="1"/>
                <w:color w:val="auto"/>
              </w:rPr>
            </w:pPr>
          </w:p>
        </w:tc>
      </w:tr>
      <w:tr>
        <w:trPr>
          <w:trHeight w:val="135"/>
        </w:trPr>
        <w:tc>
          <w:tcPr>
            <w:tcW w:w="1640" w:type="dxa"/>
            <w:vAlign w:val="bottom"/>
            <w:tcBorders>
              <w:left w:val="single" w:sz="8" w:color="auto"/>
              <w:right w:val="single" w:sz="8" w:color="auto"/>
            </w:tcBorders>
          </w:tcPr>
          <w:p>
            <w:pPr>
              <w:spacing w:after="0"/>
              <w:rPr>
                <w:sz w:val="11"/>
                <w:szCs w:val="11"/>
                <w:color w:val="auto"/>
              </w:rPr>
            </w:pP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(first-line)</w:t>
            </w:r>
          </w:p>
        </w:tc>
        <w:tc>
          <w:tcPr>
            <w:tcW w:w="1240" w:type="dxa"/>
            <w:vAlign w:val="bottom"/>
            <w:tcBorders>
              <w:right w:val="single" w:sz="8" w:color="auto"/>
            </w:tcBorders>
          </w:tcPr>
          <w:p>
            <w:pPr>
              <w:spacing w:after="0"/>
              <w:rPr>
                <w:sz w:val="11"/>
                <w:szCs w:val="11"/>
                <w:color w:val="auto"/>
              </w:rPr>
            </w:pPr>
          </w:p>
        </w:tc>
        <w:tc>
          <w:tcPr>
            <w:tcW w:w="126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tcPr>
          <w:p>
            <w:pPr>
              <w:spacing w:after="0"/>
              <w:rPr>
                <w:sz w:val="11"/>
                <w:szCs w:val="11"/>
                <w:color w:val="auto"/>
              </w:rPr>
            </w:pPr>
          </w:p>
        </w:tc>
        <w:tc>
          <w:tcPr>
            <w:tcW w:w="434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1640" w:type="dxa"/>
            <w:vAlign w:val="bottom"/>
            <w:tcBorders>
              <w:left w:val="single" w:sz="8" w:color="auto"/>
              <w:bottom w:val="single" w:sz="8" w:color="auto"/>
              <w:right w:val="single" w:sz="8" w:color="auto"/>
            </w:tcBorders>
          </w:tcPr>
          <w:p>
            <w:pPr>
              <w:spacing w:after="0"/>
              <w:rPr>
                <w:sz w:val="9"/>
                <w:szCs w:val="9"/>
                <w:color w:val="auto"/>
              </w:rPr>
            </w:pPr>
          </w:p>
        </w:tc>
        <w:tc>
          <w:tcPr>
            <w:tcW w:w="1720" w:type="dxa"/>
            <w:vAlign w:val="bottom"/>
            <w:tcBorders>
              <w:bottom w:val="single" w:sz="8" w:color="auto"/>
              <w:right w:val="single" w:sz="8" w:color="auto"/>
            </w:tcBorders>
            <w:vMerge w:val="continue"/>
          </w:tcPr>
          <w:p>
            <w:pPr>
              <w:spacing w:after="0"/>
              <w:rPr>
                <w:sz w:val="9"/>
                <w:szCs w:val="9"/>
                <w:color w:val="auto"/>
              </w:rPr>
            </w:pPr>
          </w:p>
        </w:tc>
        <w:tc>
          <w:tcPr>
            <w:tcW w:w="1240" w:type="dxa"/>
            <w:vAlign w:val="bottom"/>
            <w:tcBorders>
              <w:bottom w:val="single" w:sz="8" w:color="auto"/>
              <w:right w:val="single" w:sz="8" w:color="auto"/>
            </w:tcBorders>
          </w:tcPr>
          <w:p>
            <w:pPr>
              <w:spacing w:after="0"/>
              <w:rPr>
                <w:sz w:val="9"/>
                <w:szCs w:val="9"/>
                <w:color w:val="auto"/>
              </w:rPr>
            </w:pPr>
          </w:p>
        </w:tc>
        <w:tc>
          <w:tcPr>
            <w:tcW w:w="1260" w:type="dxa"/>
            <w:vAlign w:val="bottom"/>
            <w:tcBorders>
              <w:bottom w:val="single" w:sz="8" w:color="auto"/>
              <w:right w:val="single" w:sz="8" w:color="auto"/>
            </w:tcBorders>
          </w:tcPr>
          <w:p>
            <w:pPr>
              <w:spacing w:after="0"/>
              <w:rPr>
                <w:sz w:val="9"/>
                <w:szCs w:val="9"/>
                <w:color w:val="auto"/>
              </w:rPr>
            </w:pPr>
          </w:p>
        </w:tc>
        <w:tc>
          <w:tcPr>
            <w:tcW w:w="1240" w:type="dxa"/>
            <w:vAlign w:val="bottom"/>
            <w:tcBorders>
              <w:bottom w:val="single" w:sz="8" w:color="auto"/>
              <w:right w:val="single" w:sz="8" w:color="auto"/>
            </w:tcBorders>
          </w:tcPr>
          <w:p>
            <w:pPr>
              <w:spacing w:after="0"/>
              <w:rPr>
                <w:sz w:val="9"/>
                <w:szCs w:val="9"/>
                <w:color w:val="auto"/>
              </w:rPr>
            </w:pPr>
          </w:p>
        </w:tc>
        <w:tc>
          <w:tcPr>
            <w:tcW w:w="43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95" w:lineRule="exact"/>
        <w:rPr>
          <w:sz w:val="20"/>
          <w:szCs w:val="20"/>
          <w:color w:val="auto"/>
        </w:rPr>
      </w:pPr>
    </w:p>
    <w:p>
      <w:pPr>
        <w:ind w:left="180" w:right="200" w:hanging="172"/>
        <w:spacing w:after="0" w:line="239" w:lineRule="auto"/>
        <w:tabs>
          <w:tab w:leader="none" w:pos="153" w:val="left"/>
        </w:tabs>
        <w:numPr>
          <w:ilvl w:val="0"/>
          <w:numId w:val="41"/>
        </w:numPr>
        <w:rPr>
          <w:rFonts w:ascii="Arial" w:cs="Arial" w:eastAsia="Arial" w:hAnsi="Arial"/>
          <w:sz w:val="17"/>
          <w:szCs w:val="17"/>
          <w:color w:val="auto"/>
          <w:vertAlign w:val="superscript"/>
        </w:rPr>
      </w:pPr>
      <w:r>
        <w:rPr>
          <w:rFonts w:ascii="Arial" w:cs="Arial" w:eastAsia="Arial" w:hAnsi="Arial"/>
          <w:sz w:val="14"/>
          <w:szCs w:val="14"/>
          <w:color w:val="auto"/>
        </w:rPr>
        <w:t>The FDA Fast Track designation is designed to facilitate the development, and expedite the review, of drugs which treat a serious or life-threatening condition and fill an unmet medical need.</w:t>
      </w:r>
    </w:p>
    <w:p>
      <w:pPr>
        <w:spacing w:after="0" w:line="77" w:lineRule="exact"/>
        <w:rPr>
          <w:rFonts w:ascii="Arial" w:cs="Arial" w:eastAsia="Arial" w:hAnsi="Arial"/>
          <w:sz w:val="17"/>
          <w:szCs w:val="17"/>
          <w:color w:val="auto"/>
          <w:vertAlign w:val="superscript"/>
        </w:rPr>
      </w:pPr>
    </w:p>
    <w:p>
      <w:pPr>
        <w:ind w:left="180" w:right="720" w:hanging="172"/>
        <w:spacing w:after="0" w:line="239" w:lineRule="auto"/>
        <w:tabs>
          <w:tab w:leader="none" w:pos="153" w:val="left"/>
        </w:tabs>
        <w:numPr>
          <w:ilvl w:val="0"/>
          <w:numId w:val="41"/>
        </w:numPr>
        <w:rPr>
          <w:rFonts w:ascii="Arial" w:cs="Arial" w:eastAsia="Arial" w:hAnsi="Arial"/>
          <w:sz w:val="17"/>
          <w:szCs w:val="17"/>
          <w:color w:val="auto"/>
          <w:vertAlign w:val="superscript"/>
        </w:rPr>
      </w:pPr>
      <w:r>
        <w:rPr>
          <w:rFonts w:ascii="Arial" w:cs="Arial" w:eastAsia="Arial" w:hAnsi="Arial"/>
          <w:sz w:val="14"/>
          <w:szCs w:val="14"/>
          <w:color w:val="auto"/>
        </w:rPr>
        <w:t>The Breakthrough Therapy Designation is designed to expedite the development and review of potential medicines that are intended to treat a serious condition where preliminary clinical evidence indicates that the treatment may demonstrate substantial improvement over available therapy on a clinically significant endpoint.</w:t>
      </w:r>
    </w:p>
    <w:p>
      <w:pPr>
        <w:spacing w:after="0" w:line="203" w:lineRule="exact"/>
        <w:rPr>
          <w:sz w:val="20"/>
          <w:szCs w:val="20"/>
          <w:color w:val="auto"/>
        </w:rPr>
      </w:pPr>
    </w:p>
    <w:p>
      <w:pPr>
        <w:ind w:left="11240"/>
        <w:spacing w:after="0"/>
        <w:rPr>
          <w:sz w:val="20"/>
          <w:szCs w:val="20"/>
          <w:color w:val="auto"/>
        </w:rPr>
      </w:pPr>
      <w:r>
        <w:rPr>
          <w:rFonts w:ascii="Times New Roman" w:cs="Times New Roman" w:eastAsia="Times New Roman" w:hAnsi="Times New Roman"/>
          <w:sz w:val="18"/>
          <w:szCs w:val="18"/>
          <w:b w:val="1"/>
          <w:bCs w:val="1"/>
          <w:i w:val="1"/>
          <w:iCs w:val="1"/>
          <w:color w:val="auto"/>
        </w:rPr>
        <w:t>35</w:t>
      </w:r>
    </w:p>
    <w:p>
      <w:pPr>
        <w:sectPr>
          <w:pgSz w:w="11900" w:h="16838" w:orient="portrait"/>
          <w:cols w:equalWidth="0" w:num="1">
            <w:col w:w="11440"/>
          </w:cols>
          <w:pgMar w:left="240" w:top="822" w:right="219" w:bottom="1440" w:gutter="0" w:footer="0" w:header="0"/>
        </w:sectPr>
      </w:pPr>
    </w:p>
    <w:bookmarkStart w:id="35" w:name="page36"/>
    <w:bookmarkEnd w:id="35"/>
    <w:p>
      <w:pPr>
        <w:ind w:right="20"/>
        <w:spacing w:after="0" w:line="257" w:lineRule="auto"/>
        <w:rPr>
          <w:sz w:val="20"/>
          <w:szCs w:val="20"/>
          <w:color w:val="auto"/>
        </w:rPr>
      </w:pPr>
      <w:r>
        <w:rPr>
          <w:rFonts w:ascii="Arial" w:cs="Arial" w:eastAsia="Arial" w:hAnsi="Arial"/>
          <w:sz w:val="18"/>
          <w:szCs w:val="18"/>
          <w:color w:val="auto"/>
        </w:rPr>
        <w:t>There are many difficulties and uncertainties inherent in pharmaceutical research and development and the introduction of new products. A high rate of failure is inherent in new drug discovery and development. The process to bring a drug from the discovery phase to regulatory approval can take over a decade and cost more than $1 billion. Failure can occur at any point in the process, including late in the process after substantial investment. As a result, most research programs will not generate financial returns. New product candidates that appear promising in development may fail to reach the market or may have only limited commercial success. Delays and uncertainties in the regulatory approval processes in the U.S. and in other countries can result in delays in product launches and lost market opportunities. Consequently, it is very difficult to predict which products will ultimately be approved.</w:t>
      </w:r>
    </w:p>
    <w:p>
      <w:pPr>
        <w:spacing w:after="0" w:line="6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manage research and development spending across our portfolio of molecules, and a delay in, or termination of, any one project will not necessarily cause a significant change in our total research and development spending. Due to the risks and uncertainties involved in the research and development process, we cannot reliably estimate the nature, timing, completion dates, and costs of the efforts necessary to complete the development of our research and development projects, nor can we reliably estimate the future potential revenue that will be generated from a successful research and development project. Each project represents only a portion of the overall pipeline, and none is individually material to our consolidated research and development expense. While we do accumulate certain research and development costs on a project level for internal reporting purposes, we must make significant cost estimations and allocations, some of which rely on data that are neither reproducible nor validated through accepted control mechanisms. Therefore, we do not have sufficiently reliable data to report on total research and development costs by project, by preclinical versus clinical spend, or by therapeutic category.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Novartis Animal Health Acquisition</w:t>
      </w:r>
    </w:p>
    <w:p>
      <w:pPr>
        <w:spacing w:after="0" w:line="115"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On January 1, 2015, we completed our acquisition of Novartis AH in an all-cash transaction for $5.28 billion. Novartis AH operates in approximately 40 countries. We acquired Novartis AH’s nine manufacturing sites, six dedicated research and development facilities, a global commercial infrastructure with a portfolio of approximately 600 products, a pipeline with more than 40 projects in development, and more than 3,000 employees. The combined organization has increased our animal health product portfolio, expanded our global commercial presence, and augmented our animal health manufacturing and research and development. In particular, it has provided Elanco with a greater commercial presence in the companion animal and swine markets, expanded Elanco’s presence in equine and vaccines areas, and created an entry into the aquaculture market. As a condition to the clearance of the transaction under the Hart-Scott-Rodino Antitrust Improvement Act, following the closing of the acquisition of Novartis AH, we divested certain companion animal assets in the U.S. related to the Sentinel</w:t>
      </w:r>
      <w:r>
        <w:rPr>
          <w:rFonts w:ascii="Arial" w:cs="Arial" w:eastAsia="Arial" w:hAnsi="Arial"/>
          <w:sz w:val="21"/>
          <w:szCs w:val="21"/>
          <w:color w:val="auto"/>
          <w:vertAlign w:val="superscript"/>
        </w:rPr>
        <w:t>®</w:t>
      </w:r>
      <w:r>
        <w:rPr>
          <w:rFonts w:ascii="Arial" w:cs="Arial" w:eastAsia="Arial" w:hAnsi="Arial"/>
          <w:sz w:val="18"/>
          <w:szCs w:val="18"/>
          <w:color w:val="auto"/>
        </w:rPr>
        <w:t xml:space="preserve"> canine parasiticide franchise to Virbac Corporation for approximately $410 million. The Novartis AH business we retained generated revenue of approximately $1.1 billion in 2014.</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36</w:t>
      </w:r>
    </w:p>
    <w:p>
      <w:pPr>
        <w:sectPr>
          <w:pgSz w:w="11900" w:h="16838" w:orient="portrait"/>
          <w:cols w:equalWidth="0" w:num="1">
            <w:col w:w="11360"/>
          </w:cols>
          <w:pgMar w:left="240" w:top="684" w:right="299" w:bottom="1440" w:gutter="0" w:footer="0" w:header="0"/>
        </w:sectPr>
      </w:pPr>
    </w:p>
    <w:bookmarkStart w:id="36" w:name="page37"/>
    <w:bookmarkEnd w:id="36"/>
    <w:p>
      <w:pPr>
        <w:spacing w:after="0"/>
        <w:rPr>
          <w:sz w:val="20"/>
          <w:szCs w:val="20"/>
          <w:color w:val="auto"/>
        </w:rPr>
      </w:pPr>
      <w:r>
        <w:rPr>
          <w:rFonts w:ascii="Arial" w:cs="Arial" w:eastAsia="Arial" w:hAnsi="Arial"/>
          <w:sz w:val="18"/>
          <w:szCs w:val="18"/>
          <w:i w:val="1"/>
          <w:iCs w:val="1"/>
          <w:u w:val="single" w:color="auto"/>
          <w:color w:val="auto"/>
        </w:rPr>
        <w:t>Patent Matters</w:t>
      </w:r>
    </w:p>
    <w:p>
      <w:pPr>
        <w:spacing w:after="0" w:line="115" w:lineRule="exact"/>
        <w:rPr>
          <w:sz w:val="20"/>
          <w:szCs w:val="20"/>
          <w:color w:val="auto"/>
        </w:rPr>
      </w:pPr>
    </w:p>
    <w:p>
      <w:pPr>
        <w:ind w:right="120"/>
        <w:spacing w:after="0" w:line="250" w:lineRule="auto"/>
        <w:rPr>
          <w:sz w:val="20"/>
          <w:szCs w:val="20"/>
          <w:color w:val="auto"/>
        </w:rPr>
      </w:pPr>
      <w:r>
        <w:rPr>
          <w:rFonts w:ascii="Arial" w:cs="Arial" w:eastAsia="Arial" w:hAnsi="Arial"/>
          <w:sz w:val="18"/>
          <w:szCs w:val="18"/>
          <w:color w:val="auto"/>
        </w:rPr>
        <w:t>We depend on patents or other forms of intellectual -property protection for most of our revenues, cash flows, and earnings. The loss of U.S. patent exclusivity for Cymbalta</w:t>
      </w:r>
      <w:r>
        <w:rPr>
          <w:rFonts w:ascii="Arial" w:cs="Arial" w:eastAsia="Arial" w:hAnsi="Arial"/>
          <w:sz w:val="21"/>
          <w:szCs w:val="21"/>
          <w:color w:val="auto"/>
          <w:vertAlign w:val="superscript"/>
        </w:rPr>
        <w:t>®</w:t>
      </w:r>
      <w:r>
        <w:rPr>
          <w:rFonts w:ascii="Arial" w:cs="Arial" w:eastAsia="Arial" w:hAnsi="Arial"/>
          <w:sz w:val="18"/>
          <w:szCs w:val="18"/>
          <w:color w:val="auto"/>
        </w:rPr>
        <w:t xml:space="preserve"> in December 2013 and Evista</w:t>
      </w:r>
      <w:r>
        <w:rPr>
          <w:rFonts w:ascii="Arial" w:cs="Arial" w:eastAsia="Arial" w:hAnsi="Arial"/>
          <w:sz w:val="21"/>
          <w:szCs w:val="21"/>
          <w:color w:val="auto"/>
          <w:vertAlign w:val="superscript"/>
        </w:rPr>
        <w:t>®</w:t>
      </w:r>
      <w:r>
        <w:rPr>
          <w:rFonts w:ascii="Arial" w:cs="Arial" w:eastAsia="Arial" w:hAnsi="Arial"/>
          <w:sz w:val="18"/>
          <w:szCs w:val="18"/>
          <w:color w:val="auto"/>
        </w:rPr>
        <w:t xml:space="preserve"> in March 2014, resulted in the immediate entry of generic competitors and a rapid and severe decline in revenue from the affected products, having, in the aggregate, a material adverse effect on our consolidated results of operations and cash flows.</w:t>
      </w:r>
    </w:p>
    <w:p>
      <w:pPr>
        <w:spacing w:after="0" w:line="74" w:lineRule="exact"/>
        <w:rPr>
          <w:sz w:val="20"/>
          <w:szCs w:val="20"/>
          <w:color w:val="auto"/>
        </w:rPr>
      </w:pPr>
    </w:p>
    <w:p>
      <w:pPr>
        <w:ind w:right="60"/>
        <w:spacing w:after="0" w:line="250" w:lineRule="auto"/>
        <w:rPr>
          <w:sz w:val="20"/>
          <w:szCs w:val="20"/>
          <w:color w:val="auto"/>
        </w:rPr>
      </w:pPr>
      <w:r>
        <w:rPr>
          <w:rFonts w:ascii="Arial" w:cs="Arial" w:eastAsia="Arial" w:hAnsi="Arial"/>
          <w:sz w:val="18"/>
          <w:szCs w:val="18"/>
          <w:color w:val="auto"/>
        </w:rPr>
        <w:t>We lost our data package protection for Cymbalta in major European countries in 2014. In 2015, we saw the entry of generic competition in all major European markets. The loss of exclusivity for Cymbalta in the European markets has caused a rapid and severe decline in revenue for the product, which over time will, in the aggregate, have a material adverse effect on our consolidated results of operations and cash flows. We also lost patent exclusivity for the schizophrenia indication in December 2015 for Zyprexa</w:t>
      </w:r>
      <w:r>
        <w:rPr>
          <w:rFonts w:ascii="Arial" w:cs="Arial" w:eastAsia="Arial" w:hAnsi="Arial"/>
          <w:sz w:val="21"/>
          <w:szCs w:val="21"/>
          <w:color w:val="auto"/>
          <w:vertAlign w:val="superscript"/>
        </w:rPr>
        <w:t>®</w:t>
      </w:r>
      <w:r>
        <w:rPr>
          <w:rFonts w:ascii="Arial" w:cs="Arial" w:eastAsia="Arial" w:hAnsi="Arial"/>
          <w:sz w:val="18"/>
          <w:szCs w:val="18"/>
          <w:color w:val="auto"/>
        </w:rPr>
        <w:t xml:space="preserve"> in Japan. We will lose our patent protection for the bipolar mania indication in April 2016 for Zyprexa in Japan. Generic versions of Zyprexa were approved in Japan in February 2016. We cannot speculate whether the generic company will apply for pricing and proceed to launch.</w:t>
      </w:r>
    </w:p>
    <w:p>
      <w:pPr>
        <w:spacing w:after="0" w:line="75"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Additionally, as described in Note 15 to the consolidated financial statements, the Alimta</w:t>
      </w:r>
      <w:r>
        <w:rPr>
          <w:rFonts w:ascii="Arial" w:cs="Arial" w:eastAsia="Arial" w:hAnsi="Arial"/>
          <w:sz w:val="21"/>
          <w:szCs w:val="21"/>
          <w:color w:val="auto"/>
          <w:vertAlign w:val="superscript"/>
        </w:rPr>
        <w:t>®</w:t>
      </w:r>
      <w:r>
        <w:rPr>
          <w:rFonts w:ascii="Arial" w:cs="Arial" w:eastAsia="Arial" w:hAnsi="Arial"/>
          <w:sz w:val="18"/>
          <w:szCs w:val="18"/>
          <w:color w:val="auto"/>
        </w:rPr>
        <w:t xml:space="preserve"> vitamin regimen patent, which provides us with patent protection for Alimta through June 2021 in Japan and major European countries, and through May 2022 in the U.S., has been challenged in each of these jurisdictions. Our compound patent for Alimta will expire in the U.S. in January 2017, and expired in major European countries and Japan in December 2015. We expect that the entry of generic competition for Alimta into these markets following the loss of effective patent protection will cause a rapid and severe decline in revenue for the product, which will, in the aggregate, have a material adverse effect on our consolidated results of operations and cash flows. We are aware that a generic competitor has received approval to market a generic version of Alimta in a major European country, although we are not aware of whether this competitor's product has entered the market. Notwithstanding our patents, generic versions of Alimta were approved in Japan in February 2016. We filed preliminary injunctions against four generic competitors. We do not anticipate generic competitors to proceed to launch prior to the completion of the Sawai invalidation trial, as described in Note 15 to the consolidated financial statements.</w:t>
      </w:r>
    </w:p>
    <w:p>
      <w:pPr>
        <w:spacing w:after="0" w:line="77" w:lineRule="exact"/>
        <w:rPr>
          <w:sz w:val="20"/>
          <w:szCs w:val="20"/>
          <w:color w:val="auto"/>
        </w:rPr>
      </w:pPr>
    </w:p>
    <w:p>
      <w:pPr>
        <w:ind w:right="140"/>
        <w:spacing w:after="0" w:line="250" w:lineRule="auto"/>
        <w:rPr>
          <w:sz w:val="20"/>
          <w:szCs w:val="20"/>
          <w:color w:val="auto"/>
        </w:rPr>
      </w:pPr>
      <w:r>
        <w:rPr>
          <w:rFonts w:ascii="Arial" w:cs="Arial" w:eastAsia="Arial" w:hAnsi="Arial"/>
          <w:sz w:val="18"/>
          <w:szCs w:val="18"/>
          <w:color w:val="auto"/>
        </w:rPr>
        <w:t>The U.S. compound patent for Humalog</w:t>
      </w:r>
      <w:r>
        <w:rPr>
          <w:rFonts w:ascii="Arial" w:cs="Arial" w:eastAsia="Arial" w:hAnsi="Arial"/>
          <w:sz w:val="21"/>
          <w:szCs w:val="21"/>
          <w:color w:val="auto"/>
          <w:vertAlign w:val="superscript"/>
        </w:rPr>
        <w:t>®</w:t>
      </w:r>
      <w:r>
        <w:rPr>
          <w:rFonts w:ascii="Arial" w:cs="Arial" w:eastAsia="Arial" w:hAnsi="Arial"/>
          <w:sz w:val="18"/>
          <w:szCs w:val="18"/>
          <w:color w:val="auto"/>
        </w:rPr>
        <w:t xml:space="preserve"> expired in 2013. Thus far, the loss of compound patent protection for Humalog has not resulted in a rapid and severe decline in revenue. Global regulators have different legal pathways to approve similar versions of Humalog and to date none have been approved in the U.S. or Europe. We are aware that other manufacturers have efforts underway to develop a similar version of Humalog, and it is difficult to predict the likelihood, timing, and impact of these products entering the market.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Foreign Currency Exchange Rates</w:t>
      </w:r>
    </w:p>
    <w:p>
      <w:pPr>
        <w:spacing w:after="0" w:line="115"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As a global company with substantial operations outside the U.S., we face foreign currency risk exposure from fluctuating currency exchange rates, primarily the U.S. dollar against the euro, Japanese yen, and British pound, and the British pound against the euro. While we manage a portion of these exposures through hedging and other risk management techniques, significant fluctuations in currency rates can have a substantial impact, either positive or negative, on our revenue, cost of sales, and operating expenses. Over the past two years, we have seen significant foreign currency rate fluctuations as the U.S. dollar strengthened compared to several other foreign currencies, including the euro, British pound, and Japanese yen. While there is uncertainty in the future movements in foreign exchange rates, these fluctuations could negatively impact our future consolidated results of operations.</w:t>
      </w:r>
    </w:p>
    <w:p>
      <w:pPr>
        <w:spacing w:after="0" w:line="20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37</w:t>
      </w:r>
    </w:p>
    <w:p>
      <w:pPr>
        <w:sectPr>
          <w:pgSz w:w="11900" w:h="16838" w:orient="portrait"/>
          <w:cols w:equalWidth="0" w:num="1">
            <w:col w:w="11420"/>
          </w:cols>
          <w:pgMar w:left="240" w:top="686"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i w:val="1"/>
          <w:iCs w:val="1"/>
          <w:u w:val="single" w:color="auto"/>
          <w:color w:val="auto"/>
        </w:rPr>
        <w:t>Trends Affecting Pharmaceutical Pricing, Reimbursement, and Access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United States</w:t>
      </w:r>
    </w:p>
    <w:p>
      <w:pPr>
        <w:spacing w:after="0" w:line="115"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In the U.S., public concern over prices for specialty and brand name pharmaceuticals continues to drive the legislative debate. These policy and political issues increase the risk that taxes, fees, rebates or other federal and state measures may be enacted. Key health policy proposals affecting biopharmaceuticals include a reduction in biologic data exclusivity, modifications to Medicare Parts B and D, new language that would allow the Department of Health and Human Services to negotiate prices for biologics and drugs on the specialty tier in Part D, and state-level proposals to reduce the cost of pharmaceuticals purchased by government health care programs. Savings projected under these proposals are targeted as a means to fund both health care expenditures and non-health care initiatives, or to manage federal and state budgets.</w:t>
      </w:r>
    </w:p>
    <w:p>
      <w:pPr>
        <w:spacing w:after="0" w:line="69"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In the U.S. private sector, consolidation and integration among U.S. healthcare providers is also a major factor in the competitive marketplace for human pharmaceuticals. Health plans and pharmaceutical benefit managers have been consolidating into fewer, larger entities, thus enhancing their purchasing strength and importance. Payers typically maintain formularies which specify coverage (the conditions under which drugs are included on a plan's formulary) and reimbursement (the associated out-of-pocket cost to the consumer). Formulary placement can lead to reduced usage of a drug for the relevant patient population due to coverage restrictions, such as prior authorizations and formulary exclusions, or due to reimbursement limitations which result in higher consumer out-of-pocket cost, such as non-preferred co-pay tiers, increased co-insurance levels and higher deductibles. Consequently, pharmaceutical companies compete for formula placement not only on the basis of product attributes such as greater efficacy, fewer side effects, or greater patient ease of use, but also by providing rebates. Price is an increasingly important factor in formulary decisions, particularly in treatment areas in which the payer has taken the position that multiple branded products are therapeutically comparable. These downward pricing pressures could negatively affect future consolidated results of operations.</w:t>
      </w:r>
    </w:p>
    <w:p>
      <w:pPr>
        <w:spacing w:after="0" w:line="75"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main coverage expansion provisions of the Affordable Care Act (ACA) are now in effect through both the launch of state-based exchanges and the expansion of Medicaid. An emerging trend has been the prevalence of benefit designs containing high out-of-pocket costs for patients, particularly for pharmaceuticals. In addition to the coverage expansions, many employers in the commercial market, driven in part by ACA changes such as the 2020 implementation of the excise tax on employer-sponsored health care coverage for which there is an excess benefit (the so-called "Cadillac tax"), continue to evaluate strategies such as private exchanges and wider use of consumer-driven health plans to reduce their healthcare liabilities over time. At the same time, the broader paradigm shift towards quality-based reimbursement and the launch of several value-based purchasing initiatives have placed demands on the pharmaceutical industry to offer products with proven real-world outcomes data and a favorable economic profile.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International</w:t>
      </w:r>
    </w:p>
    <w:p>
      <w:pPr>
        <w:spacing w:after="0" w:line="115"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International operations also are generally subject to extensive price and market regulations. Cost-containment measures exist in a number of countries, including additional price controls and mechanisms to limit reimbursement for our products. Such policies are expected to increase in impact and reach, given the pressures on national and regional health care budgets that come from a growing aging population and ongoing economic challenges. In addition, governments in many emerging markets are becoming increasingly active in expanding health care system offerings. Given the budget challenges of increasing health care coverage for citizens, policies may be proposed that promote generics only and reduce current and future access to human pharmaceutical products.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38</w:t>
      </w:r>
    </w:p>
    <w:p>
      <w:pPr>
        <w:sectPr>
          <w:pgSz w:w="11900" w:h="16838" w:orient="portrait"/>
          <w:cols w:equalWidth="0" w:num="1">
            <w:col w:w="11400"/>
          </w:cols>
          <w:pgMar w:left="240" w:top="686" w:right="259" w:bottom="1440" w:gutter="0" w:footer="0" w:header="0"/>
        </w:sectPr>
      </w:pPr>
    </w:p>
    <w:bookmarkStart w:id="38" w:name="page39"/>
    <w:bookmarkEnd w:id="38"/>
    <w:p>
      <w:pPr>
        <w:spacing w:after="0"/>
        <w:rPr>
          <w:sz w:val="20"/>
          <w:szCs w:val="20"/>
          <w:color w:val="auto"/>
        </w:rPr>
      </w:pPr>
      <w:r>
        <w:rPr>
          <w:rFonts w:ascii="Arial" w:cs="Arial" w:eastAsia="Arial" w:hAnsi="Arial"/>
          <w:sz w:val="18"/>
          <w:szCs w:val="18"/>
          <w:i w:val="1"/>
          <w:iCs w:val="1"/>
          <w:u w:val="single" w:color="auto"/>
          <w:color w:val="auto"/>
        </w:rPr>
        <w:t>Tax Matters</w:t>
      </w:r>
    </w:p>
    <w:p>
      <w:pPr>
        <w:spacing w:after="0" w:line="11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We are subject to income taxes in the U.S. and numerous foreign jurisdictions. Changes in the relevant tax laws, regulations, administrative practices, principles, and interpretations could adversely affect our future effective tax rates. The U.S. and a number of other countries are actively considering or enacting changes in this regard. For example, the Obama administration proposed changes to the manner in which the U.S. would tax the international income of U.S.-based companies, including unremitted earnings of foreign subsidiaries. Other tax proposals under discussion or introduced in the U.S. Congress could change the tax rate and manner in which U.S. companies would be taxed. Additionally, the Organisation for Economic Co-operation and Development issued its final recommendations of international tax reform proposals to influence international tax policy in major countries in which we operate. While outcomes of these initiatives continue to develop and remain uncertain, changes to key elements of the U.S. or international tax framework could have a material adverse effect on our consolidated operating results and cash flows.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Operating Results—2015</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revenue activity by jurisdiction:</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960" w:type="dxa"/>
            <w:vAlign w:val="bottom"/>
            <w:gridSpan w:val="2"/>
          </w:tcPr>
          <w:p>
            <w:pPr>
              <w:jc w:val="right"/>
              <w:ind w:right="110"/>
              <w:spacing w:after="0"/>
              <w:rPr>
                <w:sz w:val="20"/>
                <w:szCs w:val="20"/>
                <w:color w:val="auto"/>
              </w:rPr>
            </w:pPr>
            <w:r>
              <w:rPr>
                <w:rFonts w:ascii="Arial" w:cs="Arial" w:eastAsia="Arial" w:hAnsi="Arial"/>
                <w:sz w:val="14"/>
                <w:szCs w:val="14"/>
                <w:b w:val="1"/>
                <w:bCs w:val="1"/>
                <w:color w:val="auto"/>
              </w:rPr>
              <w:t>Year Ended,</w:t>
            </w: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203"/>
        </w:trPr>
        <w:tc>
          <w:tcPr>
            <w:tcW w:w="404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4"/>
                <w:szCs w:val="14"/>
                <w:b w:val="1"/>
                <w:bCs w:val="1"/>
                <w:color w:val="auto"/>
              </w:rPr>
              <w:t>December 31,</w:t>
            </w:r>
          </w:p>
        </w:tc>
        <w:tc>
          <w:tcPr>
            <w:tcW w:w="11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gridSpan w:val="2"/>
          </w:tcPr>
          <w:p>
            <w:pPr>
              <w:ind w:left="1160"/>
              <w:spacing w:after="0"/>
              <w:rPr>
                <w:sz w:val="20"/>
                <w:szCs w:val="20"/>
                <w:color w:val="auto"/>
              </w:rPr>
            </w:pPr>
            <w:r>
              <w:rPr>
                <w:rFonts w:ascii="Arial" w:cs="Arial" w:eastAsia="Arial" w:hAnsi="Arial"/>
                <w:sz w:val="14"/>
                <w:szCs w:val="14"/>
                <w:b w:val="1"/>
                <w:bCs w:val="1"/>
                <w:color w:val="auto"/>
              </w:rPr>
              <w:t>Change in</w:t>
            </w:r>
          </w:p>
        </w:tc>
        <w:tc>
          <w:tcPr>
            <w:tcW w:w="1380" w:type="dxa"/>
            <w:vAlign w:val="bottom"/>
            <w:tcBorders>
              <w:bottom w:val="single" w:sz="8" w:color="auto"/>
            </w:tcBorders>
          </w:tcPr>
          <w:p>
            <w:pPr>
              <w:spacing w:after="0"/>
              <w:rPr>
                <w:sz w:val="17"/>
                <w:szCs w:val="17"/>
                <w:color w:val="auto"/>
              </w:rPr>
            </w:pPr>
          </w:p>
        </w:tc>
      </w:tr>
      <w:tr>
        <w:trPr>
          <w:trHeight w:val="264"/>
        </w:trPr>
        <w:tc>
          <w:tcPr>
            <w:tcW w:w="4040" w:type="dxa"/>
            <w:vAlign w:val="bottom"/>
            <w:tcBorders>
              <w:bottom w:val="single" w:sz="8" w:color="D8D8D8"/>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19"/>
              <w:spacing w:after="0"/>
              <w:rPr>
                <w:sz w:val="20"/>
                <w:szCs w:val="20"/>
                <w:color w:val="auto"/>
              </w:rPr>
            </w:pPr>
            <w:r>
              <w:rPr>
                <w:rFonts w:ascii="Arial" w:cs="Arial" w:eastAsia="Arial" w:hAnsi="Arial"/>
                <w:sz w:val="14"/>
                <w:szCs w:val="14"/>
                <w:b w:val="1"/>
                <w:bCs w:val="1"/>
                <w:color w:val="auto"/>
              </w:rPr>
              <w:t>2015</w:t>
            </w:r>
          </w:p>
        </w:tc>
        <w:tc>
          <w:tcPr>
            <w:tcW w:w="6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2000" w:type="dxa"/>
            <w:vAlign w:val="bottom"/>
            <w:tcBorders>
              <w:bottom w:val="single" w:sz="8" w:color="auto"/>
            </w:tcBorders>
            <w:gridSpan w:val="2"/>
          </w:tcPr>
          <w:p>
            <w:pPr>
              <w:ind w:left="240"/>
              <w:spacing w:after="0"/>
              <w:rPr>
                <w:sz w:val="20"/>
                <w:szCs w:val="20"/>
                <w:color w:val="auto"/>
              </w:rPr>
            </w:pPr>
            <w:r>
              <w:rPr>
                <w:rFonts w:ascii="Arial" w:cs="Arial" w:eastAsia="Arial" w:hAnsi="Arial"/>
                <w:sz w:val="14"/>
                <w:szCs w:val="14"/>
                <w:b w:val="1"/>
                <w:bCs w:val="1"/>
                <w:color w:val="auto"/>
              </w:rPr>
              <w:t>Dollars</w:t>
            </w:r>
          </w:p>
        </w:tc>
        <w:tc>
          <w:tcPr>
            <w:tcW w:w="138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Percent</w:t>
            </w:r>
          </w:p>
        </w:tc>
      </w:tr>
      <w:tr>
        <w:trPr>
          <w:trHeight w:val="265"/>
        </w:trPr>
        <w:tc>
          <w:tcPr>
            <w:tcW w:w="4040" w:type="dxa"/>
            <w:vAlign w:val="bottom"/>
            <w:shd w:val="clear" w:color="auto" w:fill="D8D8D8"/>
          </w:tcPr>
          <w:p>
            <w:pPr>
              <w:ind w:left="40"/>
              <w:spacing w:after="0"/>
              <w:rPr>
                <w:sz w:val="20"/>
                <w:szCs w:val="20"/>
                <w:color w:val="auto"/>
              </w:rPr>
            </w:pPr>
            <w:r>
              <w:rPr>
                <w:rFonts w:ascii="Arial" w:cs="Arial" w:eastAsia="Arial" w:hAnsi="Arial"/>
                <w:sz w:val="18"/>
                <w:szCs w:val="18"/>
                <w:color w:val="auto"/>
              </w:rPr>
              <w:t xml:space="preserve">U.S. </w:t>
            </w:r>
            <w:r>
              <w:rPr>
                <w:rFonts w:ascii="Arial" w:cs="Arial" w:eastAsia="Arial" w:hAnsi="Arial"/>
                <w:sz w:val="21"/>
                <w:szCs w:val="21"/>
                <w:color w:val="auto"/>
                <w:vertAlign w:val="superscript"/>
              </w:rPr>
              <w:t>(1)</w:t>
            </w:r>
          </w:p>
        </w:tc>
        <w:tc>
          <w:tcPr>
            <w:tcW w:w="420" w:type="dxa"/>
            <w:vAlign w:val="bottom"/>
            <w:shd w:val="clear" w:color="auto" w:fill="D8D8D8"/>
          </w:tcPr>
          <w:p>
            <w:pPr>
              <w:jc w:val="right"/>
              <w:ind w:right="190"/>
              <w:spacing w:after="0"/>
              <w:rPr>
                <w:sz w:val="20"/>
                <w:szCs w:val="20"/>
                <w:color w:val="auto"/>
              </w:rPr>
            </w:pPr>
            <w:r>
              <w:rPr>
                <w:rFonts w:ascii="Arial" w:cs="Arial" w:eastAsia="Arial" w:hAnsi="Arial"/>
                <w:sz w:val="18"/>
                <w:szCs w:val="18"/>
                <w:b w:val="1"/>
                <w:bCs w:val="1"/>
                <w:color w:val="auto"/>
              </w:rPr>
              <w:t>$</w:t>
            </w:r>
          </w:p>
        </w:tc>
        <w:tc>
          <w:tcPr>
            <w:tcW w:w="1300" w:type="dxa"/>
            <w:vAlign w:val="bottom"/>
            <w:shd w:val="clear" w:color="auto" w:fill="D8D8D8"/>
          </w:tcPr>
          <w:p>
            <w:pPr>
              <w:jc w:val="right"/>
              <w:ind w:right="39"/>
              <w:spacing w:after="0"/>
              <w:rPr>
                <w:sz w:val="20"/>
                <w:szCs w:val="20"/>
                <w:color w:val="auto"/>
              </w:rPr>
            </w:pPr>
            <w:r>
              <w:rPr>
                <w:rFonts w:ascii="Arial" w:cs="Arial" w:eastAsia="Arial" w:hAnsi="Arial"/>
                <w:sz w:val="18"/>
                <w:szCs w:val="18"/>
                <w:b w:val="1"/>
                <w:bCs w:val="1"/>
                <w:color w:val="auto"/>
              </w:rPr>
              <w:t>10,097.4</w:t>
            </w:r>
          </w:p>
        </w:tc>
        <w:tc>
          <w:tcPr>
            <w:tcW w:w="660" w:type="dxa"/>
            <w:vAlign w:val="bottom"/>
            <w:shd w:val="clear" w:color="auto" w:fill="D8D8D8"/>
          </w:tcPr>
          <w:p>
            <w:pPr>
              <w:jc w:val="right"/>
              <w:ind w:right="350"/>
              <w:spacing w:after="0"/>
              <w:rPr>
                <w:sz w:val="20"/>
                <w:szCs w:val="20"/>
                <w:color w:val="auto"/>
              </w:rPr>
            </w:pPr>
            <w:r>
              <w:rPr>
                <w:rFonts w:ascii="Arial" w:cs="Arial" w:eastAsia="Arial" w:hAnsi="Arial"/>
                <w:sz w:val="18"/>
                <w:szCs w:val="18"/>
                <w:color w:val="auto"/>
              </w:rPr>
              <w:t>$</w:t>
            </w:r>
          </w:p>
        </w:tc>
        <w:tc>
          <w:tcPr>
            <w:tcW w:w="1140" w:type="dxa"/>
            <w:vAlign w:val="bottom"/>
            <w:shd w:val="clear" w:color="auto" w:fill="D8D8D8"/>
          </w:tcPr>
          <w:p>
            <w:pPr>
              <w:jc w:val="right"/>
              <w:ind w:right="34"/>
              <w:spacing w:after="0"/>
              <w:rPr>
                <w:sz w:val="20"/>
                <w:szCs w:val="20"/>
                <w:color w:val="auto"/>
              </w:rPr>
            </w:pPr>
            <w:r>
              <w:rPr>
                <w:rFonts w:ascii="Arial" w:cs="Arial" w:eastAsia="Arial" w:hAnsi="Arial"/>
                <w:sz w:val="18"/>
                <w:szCs w:val="18"/>
                <w:color w:val="auto"/>
              </w:rPr>
              <w:t>9,134.1</w:t>
            </w:r>
          </w:p>
        </w:tc>
        <w:tc>
          <w:tcPr>
            <w:tcW w:w="100" w:type="dxa"/>
            <w:vAlign w:val="bottom"/>
            <w:shd w:val="clear" w:color="auto" w:fill="D8D8D8"/>
          </w:tcPr>
          <w:p>
            <w:pPr>
              <w:spacing w:after="0"/>
              <w:rPr>
                <w:sz w:val="23"/>
                <w:szCs w:val="23"/>
                <w:color w:val="auto"/>
              </w:rPr>
            </w:pPr>
          </w:p>
        </w:tc>
        <w:tc>
          <w:tcPr>
            <w:tcW w:w="380" w:type="dxa"/>
            <w:vAlign w:val="bottom"/>
            <w:shd w:val="clear" w:color="auto" w:fill="D8D8D8"/>
          </w:tcPr>
          <w:p>
            <w:pPr>
              <w:jc w:val="right"/>
              <w:ind w:right="150"/>
              <w:spacing w:after="0"/>
              <w:rPr>
                <w:sz w:val="20"/>
                <w:szCs w:val="20"/>
                <w:color w:val="auto"/>
              </w:rPr>
            </w:pPr>
            <w:r>
              <w:rPr>
                <w:rFonts w:ascii="Arial" w:cs="Arial" w:eastAsia="Arial" w:hAnsi="Arial"/>
                <w:sz w:val="18"/>
                <w:szCs w:val="18"/>
                <w:color w:val="auto"/>
              </w:rPr>
              <w:t>$</w:t>
            </w:r>
          </w:p>
        </w:tc>
        <w:tc>
          <w:tcPr>
            <w:tcW w:w="1320" w:type="dxa"/>
            <w:vAlign w:val="bottom"/>
            <w:shd w:val="clear" w:color="auto" w:fill="D8D8D8"/>
          </w:tcPr>
          <w:p>
            <w:pPr>
              <w:jc w:val="right"/>
              <w:ind w:right="17"/>
              <w:spacing w:after="0"/>
              <w:rPr>
                <w:sz w:val="20"/>
                <w:szCs w:val="20"/>
                <w:color w:val="auto"/>
              </w:rPr>
            </w:pPr>
            <w:r>
              <w:rPr>
                <w:rFonts w:ascii="Arial" w:cs="Arial" w:eastAsia="Arial" w:hAnsi="Arial"/>
                <w:sz w:val="18"/>
                <w:szCs w:val="18"/>
                <w:color w:val="auto"/>
              </w:rPr>
              <w:t>963.3</w:t>
            </w:r>
          </w:p>
        </w:tc>
        <w:tc>
          <w:tcPr>
            <w:tcW w:w="680" w:type="dxa"/>
            <w:vAlign w:val="bottom"/>
            <w:shd w:val="clear" w:color="auto" w:fill="D8D8D8"/>
          </w:tcPr>
          <w:p>
            <w:pPr>
              <w:spacing w:after="0"/>
              <w:rPr>
                <w:sz w:val="23"/>
                <w:szCs w:val="23"/>
                <w:color w:val="auto"/>
              </w:rPr>
            </w:pPr>
          </w:p>
        </w:tc>
        <w:tc>
          <w:tcPr>
            <w:tcW w:w="13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11 %</w:t>
            </w:r>
          </w:p>
        </w:tc>
      </w:tr>
      <w:tr>
        <w:trPr>
          <w:trHeight w:val="269"/>
        </w:trPr>
        <w:tc>
          <w:tcPr>
            <w:tcW w:w="4040" w:type="dxa"/>
            <w:vAlign w:val="bottom"/>
            <w:tcBorders>
              <w:bottom w:val="single" w:sz="8" w:color="D8D8D8"/>
            </w:tcBorders>
          </w:tcPr>
          <w:p>
            <w:pPr>
              <w:ind w:left="40"/>
              <w:spacing w:after="0"/>
              <w:rPr>
                <w:sz w:val="20"/>
                <w:szCs w:val="20"/>
                <w:color w:val="auto"/>
              </w:rPr>
            </w:pPr>
            <w:r>
              <w:rPr>
                <w:rFonts w:ascii="Arial" w:cs="Arial" w:eastAsia="Arial" w:hAnsi="Arial"/>
                <w:sz w:val="18"/>
                <w:szCs w:val="18"/>
                <w:color w:val="auto"/>
              </w:rPr>
              <w:t>Outside U.S.</w:t>
            </w:r>
          </w:p>
        </w:tc>
        <w:tc>
          <w:tcPr>
            <w:tcW w:w="42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b w:val="1"/>
                <w:bCs w:val="1"/>
                <w:color w:val="auto"/>
              </w:rPr>
              <w:t>9,861.3</w:t>
            </w:r>
          </w:p>
        </w:tc>
        <w:tc>
          <w:tcPr>
            <w:tcW w:w="6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10,481.5</w:t>
            </w:r>
          </w:p>
        </w:tc>
        <w:tc>
          <w:tcPr>
            <w:tcW w:w="100" w:type="dxa"/>
            <w:vAlign w:val="bottom"/>
            <w:tcBorders>
              <w:bottom w:val="single" w:sz="8" w:color="auto"/>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(620.2)</w:t>
            </w:r>
          </w:p>
        </w:tc>
        <w:tc>
          <w:tcPr>
            <w:tcW w:w="680" w:type="dxa"/>
            <w:vAlign w:val="bottom"/>
            <w:tcBorders>
              <w:bottom w:val="single" w:sz="8" w:color="D8D8D8"/>
            </w:tcBorders>
          </w:tcPr>
          <w:p>
            <w:pPr>
              <w:spacing w:after="0"/>
              <w:rPr>
                <w:sz w:val="23"/>
                <w:szCs w:val="23"/>
                <w:color w:val="auto"/>
              </w:rPr>
            </w:pPr>
          </w:p>
        </w:tc>
        <w:tc>
          <w:tcPr>
            <w:tcW w:w="1380" w:type="dxa"/>
            <w:vAlign w:val="bottom"/>
            <w:tcBorders>
              <w:bottom w:val="single" w:sz="8" w:color="D8D8D8"/>
            </w:tcBorders>
          </w:tcPr>
          <w:p>
            <w:pPr>
              <w:jc w:val="right"/>
              <w:spacing w:after="0"/>
              <w:rPr>
                <w:sz w:val="20"/>
                <w:szCs w:val="20"/>
                <w:color w:val="auto"/>
              </w:rPr>
            </w:pPr>
            <w:r>
              <w:rPr>
                <w:rFonts w:ascii="Arial" w:cs="Arial" w:eastAsia="Arial" w:hAnsi="Arial"/>
                <w:sz w:val="18"/>
                <w:szCs w:val="18"/>
                <w:color w:val="auto"/>
              </w:rPr>
              <w:t>(6)%</w:t>
            </w:r>
          </w:p>
        </w:tc>
      </w:tr>
      <w:tr>
        <w:trPr>
          <w:trHeight w:val="271"/>
        </w:trPr>
        <w:tc>
          <w:tcPr>
            <w:tcW w:w="4040" w:type="dxa"/>
            <w:vAlign w:val="bottom"/>
            <w:tcBorders>
              <w:bottom w:val="single" w:sz="8" w:color="D8D8D8"/>
            </w:tcBorders>
            <w:shd w:val="clear" w:color="auto" w:fill="D8D8D8"/>
          </w:tcPr>
          <w:p>
            <w:pPr>
              <w:ind w:left="40"/>
              <w:spacing w:after="0"/>
              <w:rPr>
                <w:sz w:val="20"/>
                <w:szCs w:val="20"/>
                <w:color w:val="auto"/>
              </w:rPr>
            </w:pPr>
            <w:r>
              <w:rPr>
                <w:rFonts w:ascii="Arial" w:cs="Arial" w:eastAsia="Arial" w:hAnsi="Arial"/>
                <w:sz w:val="18"/>
                <w:szCs w:val="18"/>
                <w:color w:val="auto"/>
              </w:rPr>
              <w:t>Revenue</w:t>
            </w:r>
          </w:p>
        </w:tc>
        <w:tc>
          <w:tcPr>
            <w:tcW w:w="420" w:type="dxa"/>
            <w:vAlign w:val="bottom"/>
            <w:tcBorders>
              <w:bottom w:val="single" w:sz="8" w:color="auto"/>
            </w:tcBorders>
            <w:shd w:val="clear" w:color="auto" w:fill="D8D8D8"/>
          </w:tcPr>
          <w:p>
            <w:pPr>
              <w:jc w:val="right"/>
              <w:ind w:right="190"/>
              <w:spacing w:after="0"/>
              <w:rPr>
                <w:sz w:val="20"/>
                <w:szCs w:val="20"/>
                <w:color w:val="auto"/>
              </w:rPr>
            </w:pPr>
            <w:r>
              <w:rPr>
                <w:rFonts w:ascii="Arial" w:cs="Arial" w:eastAsia="Arial" w:hAnsi="Arial"/>
                <w:sz w:val="18"/>
                <w:szCs w:val="18"/>
                <w:b w:val="1"/>
                <w:bCs w:val="1"/>
                <w:color w:val="auto"/>
              </w:rPr>
              <w:t>$</w:t>
            </w:r>
          </w:p>
        </w:tc>
        <w:tc>
          <w:tcPr>
            <w:tcW w:w="1300" w:type="dxa"/>
            <w:vAlign w:val="bottom"/>
            <w:tcBorders>
              <w:bottom w:val="single" w:sz="8" w:color="auto"/>
            </w:tcBorders>
            <w:shd w:val="clear" w:color="auto" w:fill="D8D8D8"/>
          </w:tcPr>
          <w:p>
            <w:pPr>
              <w:jc w:val="right"/>
              <w:ind w:right="39"/>
              <w:spacing w:after="0"/>
              <w:rPr>
                <w:sz w:val="20"/>
                <w:szCs w:val="20"/>
                <w:color w:val="auto"/>
              </w:rPr>
            </w:pPr>
            <w:r>
              <w:rPr>
                <w:rFonts w:ascii="Arial" w:cs="Arial" w:eastAsia="Arial" w:hAnsi="Arial"/>
                <w:sz w:val="18"/>
                <w:szCs w:val="18"/>
                <w:b w:val="1"/>
                <w:bCs w:val="1"/>
                <w:color w:val="auto"/>
              </w:rPr>
              <w:t>19,958.7</w:t>
            </w:r>
          </w:p>
        </w:tc>
        <w:tc>
          <w:tcPr>
            <w:tcW w:w="660" w:type="dxa"/>
            <w:vAlign w:val="bottom"/>
            <w:tcBorders>
              <w:bottom w:val="single" w:sz="8" w:color="auto"/>
            </w:tcBorders>
            <w:shd w:val="clear" w:color="auto" w:fill="D8D8D8"/>
          </w:tcPr>
          <w:p>
            <w:pPr>
              <w:jc w:val="right"/>
              <w:ind w:right="35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D8D8D8"/>
          </w:tcPr>
          <w:p>
            <w:pPr>
              <w:jc w:val="right"/>
              <w:ind w:right="34"/>
              <w:spacing w:after="0"/>
              <w:rPr>
                <w:sz w:val="20"/>
                <w:szCs w:val="20"/>
                <w:color w:val="auto"/>
              </w:rPr>
            </w:pPr>
            <w:r>
              <w:rPr>
                <w:rFonts w:ascii="Arial" w:cs="Arial" w:eastAsia="Arial" w:hAnsi="Arial"/>
                <w:sz w:val="18"/>
                <w:szCs w:val="18"/>
                <w:color w:val="auto"/>
              </w:rPr>
              <w:t>19,615.6</w:t>
            </w:r>
          </w:p>
        </w:tc>
        <w:tc>
          <w:tcPr>
            <w:tcW w:w="100" w:type="dxa"/>
            <w:vAlign w:val="bottom"/>
            <w:tcBorders>
              <w:bottom w:val="single" w:sz="8" w:color="auto"/>
            </w:tcBorders>
            <w:shd w:val="clear" w:color="auto" w:fill="D8D8D8"/>
          </w:tcPr>
          <w:p>
            <w:pPr>
              <w:spacing w:after="0"/>
              <w:rPr>
                <w:sz w:val="23"/>
                <w:szCs w:val="23"/>
                <w:color w:val="auto"/>
              </w:rPr>
            </w:pPr>
          </w:p>
        </w:tc>
        <w:tc>
          <w:tcPr>
            <w:tcW w:w="380" w:type="dxa"/>
            <w:vAlign w:val="bottom"/>
            <w:tcBorders>
              <w:bottom w:val="single" w:sz="8" w:color="auto"/>
            </w:tcBorders>
            <w:shd w:val="clear" w:color="auto" w:fill="D8D8D8"/>
          </w:tcPr>
          <w:p>
            <w:pPr>
              <w:jc w:val="right"/>
              <w:ind w:right="15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D8D8D8"/>
          </w:tcPr>
          <w:p>
            <w:pPr>
              <w:jc w:val="right"/>
              <w:ind w:right="17"/>
              <w:spacing w:after="0"/>
              <w:rPr>
                <w:sz w:val="20"/>
                <w:szCs w:val="20"/>
                <w:color w:val="auto"/>
              </w:rPr>
            </w:pPr>
            <w:r>
              <w:rPr>
                <w:rFonts w:ascii="Arial" w:cs="Arial" w:eastAsia="Arial" w:hAnsi="Arial"/>
                <w:sz w:val="18"/>
                <w:szCs w:val="18"/>
                <w:color w:val="auto"/>
              </w:rPr>
              <w:t>343.1</w:t>
            </w:r>
          </w:p>
        </w:tc>
        <w:tc>
          <w:tcPr>
            <w:tcW w:w="680" w:type="dxa"/>
            <w:vAlign w:val="bottom"/>
            <w:tcBorders>
              <w:bottom w:val="single" w:sz="8" w:color="auto"/>
            </w:tcBorders>
            <w:shd w:val="clear" w:color="auto" w:fill="D8D8D8"/>
          </w:tcPr>
          <w:p>
            <w:pPr>
              <w:spacing w:after="0"/>
              <w:rPr>
                <w:sz w:val="23"/>
                <w:szCs w:val="23"/>
                <w:color w:val="auto"/>
              </w:rPr>
            </w:pPr>
          </w:p>
        </w:tc>
        <w:tc>
          <w:tcPr>
            <w:tcW w:w="138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2 %</w:t>
            </w:r>
          </w:p>
        </w:tc>
      </w:tr>
    </w:tbl>
    <w:p>
      <w:pPr>
        <w:spacing w:after="0" w:line="95" w:lineRule="exact"/>
        <w:rPr>
          <w:sz w:val="20"/>
          <w:szCs w:val="20"/>
          <w:color w:val="auto"/>
        </w:rPr>
      </w:pPr>
    </w:p>
    <w:p>
      <w:pPr>
        <w:spacing w:after="0"/>
        <w:rPr>
          <w:sz w:val="20"/>
          <w:szCs w:val="20"/>
          <w:color w:val="auto"/>
        </w:rPr>
      </w:pPr>
      <w:r>
        <w:rPr>
          <w:rFonts w:ascii="Arial" w:cs="Arial" w:eastAsia="Arial" w:hAnsi="Arial"/>
          <w:sz w:val="14"/>
          <w:szCs w:val="14"/>
          <w:color w:val="auto"/>
        </w:rPr>
        <w:t>Numbers may not add due to rounding.</w:t>
      </w:r>
    </w:p>
    <w:p>
      <w:pPr>
        <w:spacing w:after="0" w:line="109" w:lineRule="exact"/>
        <w:rPr>
          <w:sz w:val="20"/>
          <w:szCs w:val="20"/>
          <w:color w:val="auto"/>
        </w:rPr>
      </w:pPr>
    </w:p>
    <w:p>
      <w:pPr>
        <w:ind w:left="140" w:hanging="132"/>
        <w:spacing w:after="0"/>
        <w:tabs>
          <w:tab w:leader="none" w:pos="140" w:val="left"/>
        </w:tabs>
        <w:numPr>
          <w:ilvl w:val="0"/>
          <w:numId w:val="42"/>
        </w:numPr>
        <w:rPr>
          <w:rFonts w:ascii="Arial" w:cs="Arial" w:eastAsia="Arial" w:hAnsi="Arial"/>
          <w:sz w:val="16"/>
          <w:szCs w:val="16"/>
          <w:color w:val="auto"/>
          <w:vertAlign w:val="superscript"/>
        </w:rPr>
      </w:pPr>
      <w:r>
        <w:rPr>
          <w:rFonts w:ascii="Arial" w:cs="Arial" w:eastAsia="Arial" w:hAnsi="Arial"/>
          <w:sz w:val="13"/>
          <w:szCs w:val="13"/>
          <w:color w:val="auto"/>
        </w:rPr>
        <w:t>U.S. revenue includes revenue in Puerto Rico.</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components of the change in revenue compared to the prior year:</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04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2015 vs. 2014</w:t>
            </w:r>
          </w:p>
        </w:tc>
        <w:tc>
          <w:tcPr>
            <w:tcW w:w="1380" w:type="dxa"/>
            <w:vAlign w:val="bottom"/>
            <w:tcBorders>
              <w:bottom w:val="single" w:sz="8" w:color="auto"/>
            </w:tcBorders>
          </w:tcPr>
          <w:p>
            <w:pPr>
              <w:spacing w:after="0"/>
              <w:rPr>
                <w:sz w:val="17"/>
                <w:szCs w:val="17"/>
                <w:color w:val="auto"/>
              </w:rPr>
            </w:pPr>
          </w:p>
        </w:tc>
      </w:tr>
      <w:tr>
        <w:trPr>
          <w:trHeight w:val="250"/>
        </w:trPr>
        <w:tc>
          <w:tcPr>
            <w:tcW w:w="7040" w:type="dxa"/>
            <w:vAlign w:val="bottom"/>
            <w:tcBorders>
              <w:bottom w:val="single" w:sz="8" w:color="D8D8D8"/>
            </w:tcBorders>
          </w:tcPr>
          <w:p>
            <w:pPr>
              <w:spacing w:after="0"/>
              <w:rPr>
                <w:sz w:val="21"/>
                <w:szCs w:val="21"/>
                <w:color w:val="auto"/>
              </w:rPr>
            </w:pPr>
          </w:p>
        </w:tc>
        <w:tc>
          <w:tcPr>
            <w:tcW w:w="920" w:type="dxa"/>
            <w:vAlign w:val="bottom"/>
            <w:tcBorders>
              <w:bottom w:val="single" w:sz="8" w:color="auto"/>
            </w:tcBorders>
          </w:tcPr>
          <w:p>
            <w:pPr>
              <w:ind w:left="560"/>
              <w:spacing w:after="0"/>
              <w:rPr>
                <w:sz w:val="20"/>
                <w:szCs w:val="20"/>
                <w:color w:val="auto"/>
              </w:rPr>
            </w:pPr>
            <w:r>
              <w:rPr>
                <w:rFonts w:ascii="Arial" w:cs="Arial" w:eastAsia="Arial" w:hAnsi="Arial"/>
                <w:sz w:val="14"/>
                <w:szCs w:val="14"/>
                <w:b w:val="1"/>
                <w:bCs w:val="1"/>
                <w:color w:val="auto"/>
              </w:rPr>
              <w:t>U.S.</w:t>
            </w:r>
          </w:p>
        </w:tc>
        <w:tc>
          <w:tcPr>
            <w:tcW w:w="62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Outside U.S.</w:t>
            </w:r>
          </w:p>
        </w:tc>
        <w:tc>
          <w:tcPr>
            <w:tcW w:w="138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Consolidated</w:t>
            </w:r>
          </w:p>
        </w:tc>
      </w:tr>
      <w:tr>
        <w:trPr>
          <w:trHeight w:val="251"/>
        </w:trPr>
        <w:tc>
          <w:tcPr>
            <w:tcW w:w="7960" w:type="dxa"/>
            <w:vAlign w:val="bottom"/>
            <w:gridSpan w:val="2"/>
            <w:shd w:val="clear" w:color="auto" w:fill="D8D8D8"/>
          </w:tcPr>
          <w:p>
            <w:pPr>
              <w:ind w:left="40"/>
              <w:spacing w:after="0"/>
              <w:rPr>
                <w:sz w:val="20"/>
                <w:szCs w:val="20"/>
                <w:color w:val="auto"/>
              </w:rPr>
            </w:pPr>
            <w:r>
              <w:rPr>
                <w:rFonts w:ascii="Arial" w:cs="Arial" w:eastAsia="Arial" w:hAnsi="Arial"/>
                <w:sz w:val="18"/>
                <w:szCs w:val="18"/>
                <w:color w:val="auto"/>
              </w:rPr>
              <w:t>Volume</w:t>
            </w:r>
          </w:p>
        </w:tc>
        <w:tc>
          <w:tcPr>
            <w:tcW w:w="620" w:type="dxa"/>
            <w:vAlign w:val="bottom"/>
            <w:shd w:val="clear" w:color="auto" w:fill="D8D8D8"/>
          </w:tcPr>
          <w:p>
            <w:pPr>
              <w:jc w:val="right"/>
              <w:ind w:right="90"/>
              <w:spacing w:after="0"/>
              <w:rPr>
                <w:sz w:val="20"/>
                <w:szCs w:val="20"/>
                <w:color w:val="auto"/>
              </w:rPr>
            </w:pPr>
            <w:r>
              <w:rPr>
                <w:rFonts w:ascii="Arial" w:cs="Arial" w:eastAsia="Arial" w:hAnsi="Arial"/>
                <w:sz w:val="18"/>
                <w:szCs w:val="18"/>
                <w:color w:val="auto"/>
              </w:rPr>
              <w:t>6%</w:t>
            </w:r>
          </w:p>
        </w:tc>
        <w:tc>
          <w:tcPr>
            <w:tcW w:w="1460" w:type="dxa"/>
            <w:vAlign w:val="bottom"/>
            <w:shd w:val="clear" w:color="auto" w:fill="D8D8D8"/>
          </w:tcPr>
          <w:p>
            <w:pPr>
              <w:jc w:val="right"/>
              <w:ind w:right="76"/>
              <w:spacing w:after="0"/>
              <w:rPr>
                <w:sz w:val="20"/>
                <w:szCs w:val="20"/>
                <w:color w:val="auto"/>
              </w:rPr>
            </w:pPr>
            <w:r>
              <w:rPr>
                <w:rFonts w:ascii="Arial" w:cs="Arial" w:eastAsia="Arial" w:hAnsi="Arial"/>
                <w:sz w:val="18"/>
                <w:szCs w:val="18"/>
                <w:color w:val="auto"/>
              </w:rPr>
              <w:t>9 %</w:t>
            </w:r>
          </w:p>
        </w:tc>
        <w:tc>
          <w:tcPr>
            <w:tcW w:w="13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8 %</w:t>
            </w:r>
          </w:p>
        </w:tc>
      </w:tr>
      <w:tr>
        <w:trPr>
          <w:trHeight w:val="252"/>
        </w:trPr>
        <w:tc>
          <w:tcPr>
            <w:tcW w:w="7960" w:type="dxa"/>
            <w:vAlign w:val="bottom"/>
            <w:gridSpan w:val="2"/>
          </w:tcPr>
          <w:p>
            <w:pPr>
              <w:ind w:left="40"/>
              <w:spacing w:after="0"/>
              <w:rPr>
                <w:sz w:val="20"/>
                <w:szCs w:val="20"/>
                <w:color w:val="auto"/>
              </w:rPr>
            </w:pPr>
            <w:r>
              <w:rPr>
                <w:rFonts w:ascii="Arial" w:cs="Arial" w:eastAsia="Arial" w:hAnsi="Arial"/>
                <w:sz w:val="18"/>
                <w:szCs w:val="18"/>
                <w:color w:val="auto"/>
              </w:rPr>
              <w:t>Price</w:t>
            </w:r>
          </w:p>
        </w:tc>
        <w:tc>
          <w:tcPr>
            <w:tcW w:w="620" w:type="dxa"/>
            <w:vAlign w:val="bottom"/>
          </w:tcPr>
          <w:p>
            <w:pPr>
              <w:jc w:val="right"/>
              <w:ind w:right="90"/>
              <w:spacing w:after="0"/>
              <w:rPr>
                <w:sz w:val="20"/>
                <w:szCs w:val="20"/>
                <w:color w:val="auto"/>
              </w:rPr>
            </w:pPr>
            <w:r>
              <w:rPr>
                <w:rFonts w:ascii="Arial" w:cs="Arial" w:eastAsia="Arial" w:hAnsi="Arial"/>
                <w:sz w:val="18"/>
                <w:szCs w:val="18"/>
                <w:color w:val="auto"/>
              </w:rPr>
              <w:t>5%</w:t>
            </w:r>
          </w:p>
        </w:tc>
        <w:tc>
          <w:tcPr>
            <w:tcW w:w="1460" w:type="dxa"/>
            <w:vAlign w:val="bottom"/>
          </w:tcPr>
          <w:p>
            <w:pPr>
              <w:jc w:val="right"/>
              <w:ind w:right="76"/>
              <w:spacing w:after="0"/>
              <w:rPr>
                <w:sz w:val="20"/>
                <w:szCs w:val="20"/>
                <w:color w:val="auto"/>
              </w:rPr>
            </w:pPr>
            <w:r>
              <w:rPr>
                <w:rFonts w:ascii="Arial" w:cs="Arial" w:eastAsia="Arial" w:hAnsi="Arial"/>
                <w:sz w:val="18"/>
                <w:szCs w:val="18"/>
                <w:color w:val="auto"/>
              </w:rPr>
              <w:t>(2)%</w:t>
            </w:r>
          </w:p>
        </w:tc>
        <w:tc>
          <w:tcPr>
            <w:tcW w:w="1380" w:type="dxa"/>
            <w:vAlign w:val="bottom"/>
          </w:tcPr>
          <w:p>
            <w:pPr>
              <w:jc w:val="right"/>
              <w:spacing w:after="0"/>
              <w:rPr>
                <w:sz w:val="20"/>
                <w:szCs w:val="20"/>
                <w:color w:val="auto"/>
              </w:rPr>
            </w:pPr>
            <w:r>
              <w:rPr>
                <w:rFonts w:ascii="Arial" w:cs="Arial" w:eastAsia="Arial" w:hAnsi="Arial"/>
                <w:sz w:val="18"/>
                <w:szCs w:val="18"/>
                <w:color w:val="auto"/>
              </w:rPr>
              <w:t>1 %</w:t>
            </w:r>
          </w:p>
        </w:tc>
      </w:tr>
      <w:tr>
        <w:trPr>
          <w:trHeight w:val="257"/>
        </w:trPr>
        <w:tc>
          <w:tcPr>
            <w:tcW w:w="7040" w:type="dxa"/>
            <w:vAlign w:val="bottom"/>
            <w:shd w:val="clear" w:color="auto" w:fill="D8D8D8"/>
          </w:tcPr>
          <w:p>
            <w:pPr>
              <w:ind w:left="40"/>
              <w:spacing w:after="0"/>
              <w:rPr>
                <w:sz w:val="20"/>
                <w:szCs w:val="20"/>
                <w:color w:val="auto"/>
              </w:rPr>
            </w:pPr>
            <w:r>
              <w:rPr>
                <w:rFonts w:ascii="Arial" w:cs="Arial" w:eastAsia="Arial" w:hAnsi="Arial"/>
                <w:sz w:val="18"/>
                <w:szCs w:val="18"/>
                <w:color w:val="auto"/>
              </w:rPr>
              <w:t>Foreign exchange rates</w:t>
            </w:r>
          </w:p>
        </w:tc>
        <w:tc>
          <w:tcPr>
            <w:tcW w:w="920" w:type="dxa"/>
            <w:vAlign w:val="bottom"/>
            <w:tcBorders>
              <w:bottom w:val="single" w:sz="8" w:color="auto"/>
            </w:tcBorders>
            <w:shd w:val="clear" w:color="auto" w:fill="D8D8D8"/>
          </w:tcPr>
          <w:p>
            <w:pPr>
              <w:spacing w:after="0"/>
              <w:rPr>
                <w:sz w:val="22"/>
                <w:szCs w:val="22"/>
                <w:color w:val="auto"/>
              </w:rPr>
            </w:pPr>
          </w:p>
        </w:tc>
        <w:tc>
          <w:tcPr>
            <w:tcW w:w="620" w:type="dxa"/>
            <w:vAlign w:val="bottom"/>
            <w:tcBorders>
              <w:bottom w:val="single" w:sz="8" w:color="auto"/>
            </w:tcBorders>
            <w:shd w:val="clear" w:color="auto" w:fill="D8D8D8"/>
          </w:tcPr>
          <w:p>
            <w:pPr>
              <w:jc w:val="right"/>
              <w:ind w:right="9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shd w:val="clear" w:color="auto" w:fill="D8D8D8"/>
          </w:tcPr>
          <w:p>
            <w:pPr>
              <w:jc w:val="right"/>
              <w:ind w:right="76"/>
              <w:spacing w:after="0"/>
              <w:rPr>
                <w:sz w:val="20"/>
                <w:szCs w:val="20"/>
                <w:color w:val="auto"/>
              </w:rPr>
            </w:pPr>
            <w:r>
              <w:rPr>
                <w:rFonts w:ascii="Arial" w:cs="Arial" w:eastAsia="Arial" w:hAnsi="Arial"/>
                <w:sz w:val="18"/>
                <w:szCs w:val="18"/>
                <w:color w:val="auto"/>
              </w:rPr>
              <w:t>(13)%</w:t>
            </w:r>
          </w:p>
        </w:tc>
        <w:tc>
          <w:tcPr>
            <w:tcW w:w="138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(7)%</w:t>
            </w:r>
          </w:p>
        </w:tc>
      </w:tr>
      <w:tr>
        <w:trPr>
          <w:trHeight w:val="250"/>
        </w:trPr>
        <w:tc>
          <w:tcPr>
            <w:tcW w:w="7040" w:type="dxa"/>
            <w:vAlign w:val="bottom"/>
          </w:tcPr>
          <w:p>
            <w:pPr>
              <w:ind w:left="40"/>
              <w:spacing w:after="0"/>
              <w:rPr>
                <w:sz w:val="20"/>
                <w:szCs w:val="20"/>
                <w:color w:val="auto"/>
              </w:rPr>
            </w:pPr>
            <w:r>
              <w:rPr>
                <w:rFonts w:ascii="Arial" w:cs="Arial" w:eastAsia="Arial" w:hAnsi="Arial"/>
                <w:sz w:val="18"/>
                <w:szCs w:val="18"/>
                <w:color w:val="auto"/>
              </w:rPr>
              <w:t>Percent change</w:t>
            </w:r>
          </w:p>
        </w:tc>
        <w:tc>
          <w:tcPr>
            <w:tcW w:w="92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11%</w:t>
            </w:r>
          </w:p>
        </w:tc>
        <w:tc>
          <w:tcPr>
            <w:tcW w:w="1460" w:type="dxa"/>
            <w:vAlign w:val="bottom"/>
            <w:tcBorders>
              <w:bottom w:val="single" w:sz="8" w:color="auto"/>
            </w:tcBorders>
          </w:tcPr>
          <w:p>
            <w:pPr>
              <w:jc w:val="right"/>
              <w:ind w:right="76"/>
              <w:spacing w:after="0"/>
              <w:rPr>
                <w:sz w:val="20"/>
                <w:szCs w:val="20"/>
                <w:color w:val="auto"/>
              </w:rPr>
            </w:pPr>
            <w:r>
              <w:rPr>
                <w:rFonts w:ascii="Arial" w:cs="Arial" w:eastAsia="Arial" w:hAnsi="Arial"/>
                <w:sz w:val="18"/>
                <w:szCs w:val="18"/>
                <w:color w:val="auto"/>
              </w:rPr>
              <w:t>(6)%</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2 %</w:t>
            </w:r>
          </w:p>
        </w:tc>
      </w:tr>
    </w:tbl>
    <w:p>
      <w:pPr>
        <w:spacing w:after="0" w:line="95" w:lineRule="exact"/>
        <w:rPr>
          <w:sz w:val="20"/>
          <w:szCs w:val="20"/>
          <w:color w:val="auto"/>
        </w:rPr>
      </w:pPr>
    </w:p>
    <w:p>
      <w:pPr>
        <w:spacing w:after="0"/>
        <w:rPr>
          <w:sz w:val="20"/>
          <w:szCs w:val="20"/>
          <w:color w:val="auto"/>
        </w:rPr>
      </w:pPr>
      <w:r>
        <w:rPr>
          <w:rFonts w:ascii="Arial" w:cs="Arial" w:eastAsia="Arial" w:hAnsi="Arial"/>
          <w:sz w:val="14"/>
          <w:szCs w:val="14"/>
          <w:color w:val="auto"/>
        </w:rPr>
        <w:t>Numbers may not add due to rounding.</w:t>
      </w:r>
    </w:p>
    <w:p>
      <w:pPr>
        <w:spacing w:after="0" w:line="99" w:lineRule="exact"/>
        <w:rPr>
          <w:sz w:val="20"/>
          <w:szCs w:val="20"/>
          <w:color w:val="auto"/>
        </w:rPr>
      </w:pPr>
    </w:p>
    <w:p>
      <w:pPr>
        <w:ind w:right="900"/>
        <w:spacing w:after="0" w:line="292" w:lineRule="auto"/>
        <w:rPr>
          <w:sz w:val="20"/>
          <w:szCs w:val="20"/>
          <w:color w:val="auto"/>
        </w:rPr>
      </w:pPr>
      <w:r>
        <w:rPr>
          <w:rFonts w:ascii="Arial" w:cs="Arial" w:eastAsia="Arial" w:hAnsi="Arial"/>
          <w:sz w:val="18"/>
          <w:szCs w:val="18"/>
          <w:color w:val="auto"/>
        </w:rPr>
        <w:t>In the U.S., the volume increase in 2015 was driven by the inclusion of revenue from Novartis AH and increased volumes for several pharmaceutical products, partially offset by the residual impact of the loss of exclusivity for Cymbalta and Evista.</w:t>
      </w:r>
    </w:p>
    <w:p>
      <w:pPr>
        <w:spacing w:after="0" w:line="37" w:lineRule="exact"/>
        <w:rPr>
          <w:sz w:val="20"/>
          <w:szCs w:val="20"/>
          <w:color w:val="auto"/>
        </w:rPr>
      </w:pPr>
    </w:p>
    <w:p>
      <w:pPr>
        <w:ind w:right="420"/>
        <w:spacing w:after="0" w:line="292" w:lineRule="auto"/>
        <w:rPr>
          <w:sz w:val="20"/>
          <w:szCs w:val="20"/>
          <w:color w:val="auto"/>
        </w:rPr>
      </w:pPr>
      <w:r>
        <w:rPr>
          <w:rFonts w:ascii="Arial" w:cs="Arial" w:eastAsia="Arial" w:hAnsi="Arial"/>
          <w:sz w:val="18"/>
          <w:szCs w:val="18"/>
          <w:color w:val="auto"/>
        </w:rPr>
        <w:t>Outside the U.S., the volume increase in 2015 was driven by the inclusion of revenue from Novartis AH and increased volumes for several pharmaceutical products.</w:t>
      </w:r>
    </w:p>
    <w:p>
      <w:pPr>
        <w:spacing w:after="0" w:line="37" w:lineRule="exact"/>
        <w:rPr>
          <w:sz w:val="20"/>
          <w:szCs w:val="20"/>
          <w:color w:val="auto"/>
        </w:rPr>
      </w:pPr>
    </w:p>
    <w:p>
      <w:pPr>
        <w:ind w:right="380"/>
        <w:spacing w:after="0" w:line="292" w:lineRule="auto"/>
        <w:rPr>
          <w:sz w:val="20"/>
          <w:szCs w:val="20"/>
          <w:color w:val="auto"/>
        </w:rPr>
      </w:pPr>
      <w:r>
        <w:rPr>
          <w:rFonts w:ascii="Arial" w:cs="Arial" w:eastAsia="Arial" w:hAnsi="Arial"/>
          <w:sz w:val="18"/>
          <w:szCs w:val="18"/>
          <w:color w:val="auto"/>
        </w:rPr>
        <w:t>On a pro forma basis, which reflects the 2014 revenues of Novartis AH as described in Note 3 to the consolidated financial statements, our consolidated volume in 2015 would have increased by 2 percent compared with 2014.</w:t>
      </w:r>
    </w:p>
    <w:p>
      <w:pPr>
        <w:spacing w:after="0" w:line="17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39</w:t>
      </w:r>
    </w:p>
    <w:p>
      <w:pPr>
        <w:sectPr>
          <w:pgSz w:w="11900" w:h="16838" w:orient="portrait"/>
          <w:cols w:equalWidth="0" w:num="1">
            <w:col w:w="11420"/>
          </w:cols>
          <w:pgMar w:left="240" w:top="686"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color w:val="auto"/>
        </w:rPr>
        <w:t>The following table summarizes our revenue activity in 2015 compared with 2014:</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jc w:val="right"/>
              <w:ind w:right="232"/>
              <w:spacing w:after="0"/>
              <w:rPr>
                <w:sz w:val="20"/>
                <w:szCs w:val="20"/>
                <w:color w:val="auto"/>
              </w:rPr>
            </w:pPr>
            <w:r>
              <w:rPr>
                <w:rFonts w:ascii="Arial" w:cs="Arial" w:eastAsia="Arial" w:hAnsi="Arial"/>
                <w:sz w:val="14"/>
                <w:szCs w:val="14"/>
                <w:b w:val="1"/>
                <w:bCs w:val="1"/>
                <w:color w:val="auto"/>
              </w:rPr>
              <w:t>Year Ended</w:t>
            </w:r>
          </w:p>
        </w:tc>
        <w:tc>
          <w:tcPr>
            <w:tcW w:w="3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ind w:right="192"/>
              <w:spacing w:after="0"/>
              <w:rPr>
                <w:sz w:val="20"/>
                <w:szCs w:val="20"/>
                <w:color w:val="auto"/>
              </w:rPr>
            </w:pPr>
            <w:r>
              <w:rPr>
                <w:rFonts w:ascii="Arial" w:cs="Arial" w:eastAsia="Arial" w:hAnsi="Arial"/>
                <w:sz w:val="14"/>
                <w:szCs w:val="14"/>
                <w:b w:val="1"/>
                <w:bCs w:val="1"/>
                <w:color w:val="auto"/>
              </w:rPr>
              <w:t>Year Ended</w:t>
            </w:r>
          </w:p>
        </w:tc>
        <w:tc>
          <w:tcPr>
            <w:tcW w:w="1740" w:type="dxa"/>
            <w:vAlign w:val="bottom"/>
          </w:tcPr>
          <w:p>
            <w:pPr>
              <w:spacing w:after="0"/>
              <w:rPr>
                <w:sz w:val="17"/>
                <w:szCs w:val="17"/>
                <w:color w:val="auto"/>
              </w:rPr>
            </w:pPr>
          </w:p>
        </w:tc>
      </w:tr>
      <w:tr>
        <w:trPr>
          <w:trHeight w:val="176"/>
        </w:trPr>
        <w:tc>
          <w:tcPr>
            <w:tcW w:w="38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740" w:type="dxa"/>
            <w:vAlign w:val="bottom"/>
          </w:tcPr>
          <w:p>
            <w:pPr>
              <w:jc w:val="center"/>
              <w:ind w:left="33"/>
              <w:spacing w:after="0"/>
              <w:rPr>
                <w:sz w:val="20"/>
                <w:szCs w:val="20"/>
                <w:color w:val="auto"/>
              </w:rPr>
            </w:pPr>
            <w:r>
              <w:rPr>
                <w:rFonts w:ascii="Arial" w:cs="Arial" w:eastAsia="Arial" w:hAnsi="Arial"/>
                <w:sz w:val="14"/>
                <w:szCs w:val="14"/>
                <w:b w:val="1"/>
                <w:bCs w:val="1"/>
                <w:color w:val="auto"/>
              </w:rPr>
              <w:t>Percent</w:t>
            </w:r>
          </w:p>
        </w:tc>
      </w:tr>
      <w:tr>
        <w:trPr>
          <w:trHeight w:val="203"/>
        </w:trPr>
        <w:tc>
          <w:tcPr>
            <w:tcW w:w="38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December 31, 2015</w:t>
            </w:r>
          </w:p>
        </w:tc>
        <w:tc>
          <w:tcPr>
            <w:tcW w:w="3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460" w:type="dxa"/>
            <w:vAlign w:val="bottom"/>
            <w:gridSpan w:val="2"/>
          </w:tcPr>
          <w:p>
            <w:pPr>
              <w:ind w:left="140"/>
              <w:spacing w:after="0"/>
              <w:rPr>
                <w:sz w:val="20"/>
                <w:szCs w:val="20"/>
                <w:color w:val="auto"/>
              </w:rPr>
            </w:pPr>
            <w:r>
              <w:rPr>
                <w:rFonts w:ascii="Arial" w:cs="Arial" w:eastAsia="Arial" w:hAnsi="Arial"/>
                <w:sz w:val="14"/>
                <w:szCs w:val="14"/>
                <w:b w:val="1"/>
                <w:bCs w:val="1"/>
                <w:color w:val="auto"/>
              </w:rPr>
              <w:t>December 31, 2014</w:t>
            </w: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rPr>
              <w:t>Change from</w:t>
            </w:r>
          </w:p>
        </w:tc>
      </w:tr>
      <w:tr>
        <w:trPr>
          <w:trHeight w:val="265"/>
        </w:trPr>
        <w:tc>
          <w:tcPr>
            <w:tcW w:w="3880" w:type="dxa"/>
            <w:vAlign w:val="bottom"/>
            <w:tcBorders>
              <w:bottom w:val="single" w:sz="8" w:color="D8D8D8"/>
            </w:tcBorders>
          </w:tcPr>
          <w:p>
            <w:pPr>
              <w:ind w:left="40"/>
              <w:spacing w:after="0"/>
              <w:rPr>
                <w:sz w:val="20"/>
                <w:szCs w:val="20"/>
                <w:color w:val="auto"/>
              </w:rPr>
            </w:pPr>
            <w:r>
              <w:rPr>
                <w:rFonts w:ascii="Arial" w:cs="Arial" w:eastAsia="Arial" w:hAnsi="Arial"/>
                <w:sz w:val="14"/>
                <w:szCs w:val="14"/>
                <w:b w:val="1"/>
                <w:bCs w:val="1"/>
                <w:color w:val="auto"/>
              </w:rPr>
              <w:t>Product</w:t>
            </w:r>
          </w:p>
        </w:tc>
        <w:tc>
          <w:tcPr>
            <w:tcW w:w="3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U.S.</w:t>
            </w:r>
            <w:r>
              <w:rPr>
                <w:rFonts w:ascii="Arial" w:cs="Arial" w:eastAsia="Arial" w:hAnsi="Arial"/>
                <w:sz w:val="17"/>
                <w:szCs w:val="17"/>
                <w:b w:val="1"/>
                <w:bCs w:val="1"/>
                <w:color w:val="auto"/>
                <w:vertAlign w:val="superscript"/>
              </w:rPr>
              <w:t>(1)</w:t>
            </w:r>
          </w:p>
        </w:tc>
        <w:tc>
          <w:tcPr>
            <w:tcW w:w="30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Outside U.S.</w:t>
            </w:r>
          </w:p>
        </w:tc>
        <w:tc>
          <w:tcPr>
            <w:tcW w:w="3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Total</w:t>
            </w:r>
          </w:p>
        </w:tc>
        <w:tc>
          <w:tcPr>
            <w:tcW w:w="3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Total</w:t>
            </w:r>
          </w:p>
        </w:tc>
        <w:tc>
          <w:tcPr>
            <w:tcW w:w="1740" w:type="dxa"/>
            <w:vAlign w:val="bottom"/>
            <w:tcBorders>
              <w:bottom w:val="single" w:sz="8" w:color="auto"/>
            </w:tcBorders>
          </w:tcPr>
          <w:p>
            <w:pPr>
              <w:jc w:val="center"/>
              <w:ind w:left="13"/>
              <w:spacing w:after="0"/>
              <w:rPr>
                <w:sz w:val="20"/>
                <w:szCs w:val="20"/>
                <w:color w:val="auto"/>
              </w:rPr>
            </w:pPr>
            <w:r>
              <w:rPr>
                <w:rFonts w:ascii="Arial" w:cs="Arial" w:eastAsia="Arial" w:hAnsi="Arial"/>
                <w:sz w:val="14"/>
                <w:szCs w:val="14"/>
                <w:b w:val="1"/>
                <w:bCs w:val="1"/>
                <w:color w:val="auto"/>
              </w:rPr>
              <w:t>2014</w:t>
            </w:r>
          </w:p>
        </w:tc>
      </w:tr>
      <w:tr>
        <w:trPr>
          <w:trHeight w:val="264"/>
        </w:trPr>
        <w:tc>
          <w:tcPr>
            <w:tcW w:w="3880" w:type="dxa"/>
            <w:vAlign w:val="bottom"/>
            <w:shd w:val="clear" w:color="auto" w:fill="D8D8D8"/>
          </w:tcPr>
          <w:p>
            <w:pPr>
              <w:ind w:left="40"/>
              <w:spacing w:after="0"/>
              <w:rPr>
                <w:sz w:val="20"/>
                <w:szCs w:val="20"/>
                <w:color w:val="auto"/>
              </w:rPr>
            </w:pPr>
            <w:r>
              <w:rPr>
                <w:rFonts w:ascii="Arial" w:cs="Arial" w:eastAsia="Arial" w:hAnsi="Arial"/>
                <w:sz w:val="18"/>
                <w:szCs w:val="18"/>
                <w:color w:val="auto"/>
              </w:rPr>
              <w:t>Humalog</w:t>
            </w:r>
          </w:p>
        </w:tc>
        <w:tc>
          <w:tcPr>
            <w:tcW w:w="300" w:type="dxa"/>
            <w:vAlign w:val="bottom"/>
            <w:shd w:val="clear" w:color="auto" w:fill="D8D8D8"/>
          </w:tcPr>
          <w:p>
            <w:pPr>
              <w:jc w:val="right"/>
              <w:ind w:right="70"/>
              <w:spacing w:after="0"/>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D8D8D8"/>
          </w:tcPr>
          <w:p>
            <w:pPr>
              <w:jc w:val="right"/>
              <w:ind w:right="31"/>
              <w:spacing w:after="0"/>
              <w:rPr>
                <w:sz w:val="20"/>
                <w:szCs w:val="20"/>
                <w:color w:val="auto"/>
              </w:rPr>
            </w:pPr>
            <w:r>
              <w:rPr>
                <w:rFonts w:ascii="Arial" w:cs="Arial" w:eastAsia="Arial" w:hAnsi="Arial"/>
                <w:sz w:val="18"/>
                <w:szCs w:val="18"/>
                <w:b w:val="1"/>
                <w:bCs w:val="1"/>
                <w:color w:val="auto"/>
              </w:rPr>
              <w:t>1,772.3</w:t>
            </w:r>
          </w:p>
        </w:tc>
        <w:tc>
          <w:tcPr>
            <w:tcW w:w="300" w:type="dxa"/>
            <w:vAlign w:val="bottom"/>
            <w:shd w:val="clear" w:color="auto" w:fill="D8D8D8"/>
          </w:tcPr>
          <w:p>
            <w:pPr>
              <w:ind w:left="120"/>
              <w:spacing w:after="0"/>
              <w:rPr>
                <w:sz w:val="20"/>
                <w:szCs w:val="20"/>
                <w:color w:val="auto"/>
              </w:rPr>
            </w:pPr>
            <w:r>
              <w:rPr>
                <w:rFonts w:ascii="Arial" w:cs="Arial" w:eastAsia="Arial" w:hAnsi="Arial"/>
                <w:sz w:val="18"/>
                <w:szCs w:val="18"/>
                <w:b w:val="1"/>
                <w:bCs w:val="1"/>
                <w:color w:val="auto"/>
              </w:rPr>
              <w:t>$</w:t>
            </w:r>
          </w:p>
        </w:tc>
        <w:tc>
          <w:tcPr>
            <w:tcW w:w="1220" w:type="dxa"/>
            <w:vAlign w:val="bottom"/>
            <w:shd w:val="clear" w:color="auto" w:fill="D8D8D8"/>
          </w:tcPr>
          <w:p>
            <w:pPr>
              <w:jc w:val="right"/>
              <w:ind w:right="72"/>
              <w:spacing w:after="0"/>
              <w:rPr>
                <w:sz w:val="20"/>
                <w:szCs w:val="20"/>
                <w:color w:val="auto"/>
              </w:rPr>
            </w:pPr>
            <w:r>
              <w:rPr>
                <w:rFonts w:ascii="Arial" w:cs="Arial" w:eastAsia="Arial" w:hAnsi="Arial"/>
                <w:sz w:val="18"/>
                <w:szCs w:val="18"/>
                <w:b w:val="1"/>
                <w:bCs w:val="1"/>
                <w:color w:val="auto"/>
              </w:rPr>
              <w:t>1,069.6</w:t>
            </w:r>
          </w:p>
        </w:tc>
        <w:tc>
          <w:tcPr>
            <w:tcW w:w="380" w:type="dxa"/>
            <w:vAlign w:val="bottom"/>
            <w:shd w:val="clear" w:color="auto" w:fill="D8D8D8"/>
          </w:tcPr>
          <w:p>
            <w:pPr>
              <w:jc w:val="right"/>
              <w:ind w:right="110"/>
              <w:spacing w:after="0"/>
              <w:rPr>
                <w:sz w:val="20"/>
                <w:szCs w:val="20"/>
                <w:color w:val="auto"/>
              </w:rPr>
            </w:pPr>
            <w:r>
              <w:rPr>
                <w:rFonts w:ascii="Arial" w:cs="Arial" w:eastAsia="Arial" w:hAnsi="Arial"/>
                <w:sz w:val="18"/>
                <w:szCs w:val="18"/>
                <w:b w:val="1"/>
                <w:bCs w:val="1"/>
                <w:color w:val="auto"/>
              </w:rPr>
              <w:t>$</w:t>
            </w:r>
          </w:p>
        </w:tc>
        <w:tc>
          <w:tcPr>
            <w:tcW w:w="1020" w:type="dxa"/>
            <w:vAlign w:val="bottom"/>
            <w:shd w:val="clear" w:color="auto" w:fill="D8D8D8"/>
          </w:tcPr>
          <w:p>
            <w:pPr>
              <w:jc w:val="right"/>
              <w:ind w:right="11"/>
              <w:spacing w:after="0"/>
              <w:rPr>
                <w:sz w:val="20"/>
                <w:szCs w:val="20"/>
                <w:color w:val="auto"/>
              </w:rPr>
            </w:pPr>
            <w:r>
              <w:rPr>
                <w:rFonts w:ascii="Arial" w:cs="Arial" w:eastAsia="Arial" w:hAnsi="Arial"/>
                <w:sz w:val="18"/>
                <w:szCs w:val="18"/>
                <w:b w:val="1"/>
                <w:bCs w:val="1"/>
                <w:color w:val="auto"/>
              </w:rPr>
              <w:t>2,841.9</w:t>
            </w:r>
          </w:p>
        </w:tc>
        <w:tc>
          <w:tcPr>
            <w:tcW w:w="320" w:type="dxa"/>
            <w:vAlign w:val="bottom"/>
            <w:shd w:val="clear" w:color="auto" w:fill="D8D8D8"/>
          </w:tcPr>
          <w:p>
            <w:pPr>
              <w:ind w:left="1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D8D8D8"/>
          </w:tcPr>
          <w:p>
            <w:pPr>
              <w:jc w:val="right"/>
              <w:ind w:right="12"/>
              <w:spacing w:after="0"/>
              <w:rPr>
                <w:sz w:val="20"/>
                <w:szCs w:val="20"/>
                <w:color w:val="auto"/>
              </w:rPr>
            </w:pPr>
            <w:r>
              <w:rPr>
                <w:rFonts w:ascii="Arial" w:cs="Arial" w:eastAsia="Arial" w:hAnsi="Arial"/>
                <w:sz w:val="18"/>
                <w:szCs w:val="18"/>
                <w:color w:val="auto"/>
              </w:rPr>
              <w:t>2,785.2</w:t>
            </w:r>
          </w:p>
        </w:tc>
        <w:tc>
          <w:tcPr>
            <w:tcW w:w="1740" w:type="dxa"/>
            <w:vAlign w:val="bottom"/>
            <w:shd w:val="clear" w:color="auto" w:fill="D8D8D8"/>
          </w:tcPr>
          <w:p>
            <w:pPr>
              <w:jc w:val="right"/>
              <w:ind w:right="353"/>
              <w:spacing w:after="0"/>
              <w:rPr>
                <w:sz w:val="20"/>
                <w:szCs w:val="20"/>
                <w:color w:val="auto"/>
              </w:rPr>
            </w:pPr>
            <w:r>
              <w:rPr>
                <w:rFonts w:ascii="Arial" w:cs="Arial" w:eastAsia="Arial" w:hAnsi="Arial"/>
                <w:sz w:val="18"/>
                <w:szCs w:val="18"/>
                <w:color w:val="auto"/>
              </w:rPr>
              <w:t>2</w:t>
            </w:r>
          </w:p>
        </w:tc>
      </w:tr>
      <w:tr>
        <w:trPr>
          <w:trHeight w:val="269"/>
        </w:trPr>
        <w:tc>
          <w:tcPr>
            <w:tcW w:w="3880" w:type="dxa"/>
            <w:vAlign w:val="bottom"/>
          </w:tcPr>
          <w:p>
            <w:pPr>
              <w:ind w:left="40"/>
              <w:spacing w:after="0"/>
              <w:rPr>
                <w:sz w:val="20"/>
                <w:szCs w:val="20"/>
                <w:color w:val="auto"/>
              </w:rPr>
            </w:pPr>
            <w:r>
              <w:rPr>
                <w:rFonts w:ascii="Arial" w:cs="Arial" w:eastAsia="Arial" w:hAnsi="Arial"/>
                <w:sz w:val="18"/>
                <w:szCs w:val="18"/>
                <w:color w:val="auto"/>
              </w:rPr>
              <w:t>Alimta</w:t>
            </w:r>
          </w:p>
        </w:tc>
        <w:tc>
          <w:tcPr>
            <w:tcW w:w="300" w:type="dxa"/>
            <w:vAlign w:val="bottom"/>
          </w:tcPr>
          <w:p>
            <w:pPr>
              <w:spacing w:after="0"/>
              <w:rPr>
                <w:sz w:val="23"/>
                <w:szCs w:val="23"/>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b w:val="1"/>
                <w:bCs w:val="1"/>
                <w:color w:val="auto"/>
              </w:rPr>
              <w:t>1,162.4</w:t>
            </w:r>
          </w:p>
        </w:tc>
        <w:tc>
          <w:tcPr>
            <w:tcW w:w="300" w:type="dxa"/>
            <w:vAlign w:val="bottom"/>
          </w:tcPr>
          <w:p>
            <w:pPr>
              <w:spacing w:after="0"/>
              <w:rPr>
                <w:sz w:val="23"/>
                <w:szCs w:val="23"/>
                <w:color w:val="auto"/>
              </w:rPr>
            </w:pPr>
          </w:p>
        </w:tc>
        <w:tc>
          <w:tcPr>
            <w:tcW w:w="1220" w:type="dxa"/>
            <w:vAlign w:val="bottom"/>
          </w:tcPr>
          <w:p>
            <w:pPr>
              <w:jc w:val="right"/>
              <w:ind w:right="72"/>
              <w:spacing w:after="0"/>
              <w:rPr>
                <w:sz w:val="20"/>
                <w:szCs w:val="20"/>
                <w:color w:val="auto"/>
              </w:rPr>
            </w:pPr>
            <w:r>
              <w:rPr>
                <w:rFonts w:ascii="Arial" w:cs="Arial" w:eastAsia="Arial" w:hAnsi="Arial"/>
                <w:sz w:val="18"/>
                <w:szCs w:val="18"/>
                <w:b w:val="1"/>
                <w:bCs w:val="1"/>
                <w:color w:val="auto"/>
              </w:rPr>
              <w:t>1,330.7</w:t>
            </w:r>
          </w:p>
        </w:tc>
        <w:tc>
          <w:tcPr>
            <w:tcW w:w="380" w:type="dxa"/>
            <w:vAlign w:val="bottom"/>
          </w:tcPr>
          <w:p>
            <w:pPr>
              <w:spacing w:after="0"/>
              <w:rPr>
                <w:sz w:val="23"/>
                <w:szCs w:val="23"/>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b w:val="1"/>
                <w:bCs w:val="1"/>
                <w:color w:val="auto"/>
              </w:rPr>
              <w:t>2,493.1</w:t>
            </w:r>
          </w:p>
        </w:tc>
        <w:tc>
          <w:tcPr>
            <w:tcW w:w="320" w:type="dxa"/>
            <w:vAlign w:val="bottom"/>
          </w:tcPr>
          <w:p>
            <w:pPr>
              <w:spacing w:after="0"/>
              <w:rPr>
                <w:sz w:val="23"/>
                <w:szCs w:val="23"/>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2,792.0</w:t>
            </w:r>
          </w:p>
        </w:tc>
        <w:tc>
          <w:tcPr>
            <w:tcW w:w="1740" w:type="dxa"/>
            <w:vAlign w:val="bottom"/>
          </w:tcPr>
          <w:p>
            <w:pPr>
              <w:jc w:val="right"/>
              <w:ind w:right="293"/>
              <w:spacing w:after="0"/>
              <w:rPr>
                <w:sz w:val="20"/>
                <w:szCs w:val="20"/>
                <w:color w:val="auto"/>
              </w:rPr>
            </w:pPr>
            <w:r>
              <w:rPr>
                <w:rFonts w:ascii="Arial" w:cs="Arial" w:eastAsia="Arial" w:hAnsi="Arial"/>
                <w:sz w:val="18"/>
                <w:szCs w:val="18"/>
                <w:color w:val="auto"/>
              </w:rPr>
              <w:t>(11)</w:t>
            </w:r>
          </w:p>
        </w:tc>
      </w:tr>
      <w:tr>
        <w:trPr>
          <w:trHeight w:val="271"/>
        </w:trPr>
        <w:tc>
          <w:tcPr>
            <w:tcW w:w="3880" w:type="dxa"/>
            <w:vAlign w:val="bottom"/>
            <w:shd w:val="clear" w:color="auto" w:fill="D8D8D8"/>
          </w:tcPr>
          <w:p>
            <w:pPr>
              <w:ind w:left="40"/>
              <w:spacing w:after="0"/>
              <w:rPr>
                <w:sz w:val="20"/>
                <w:szCs w:val="20"/>
                <w:color w:val="auto"/>
              </w:rPr>
            </w:pPr>
            <w:r>
              <w:rPr>
                <w:rFonts w:ascii="Arial" w:cs="Arial" w:eastAsia="Arial" w:hAnsi="Arial"/>
                <w:sz w:val="18"/>
                <w:szCs w:val="18"/>
                <w:color w:val="auto"/>
              </w:rPr>
              <w:t>Cialis</w:t>
            </w:r>
            <w:r>
              <w:rPr>
                <w:rFonts w:ascii="Arial" w:cs="Arial" w:eastAsia="Arial" w:hAnsi="Arial"/>
                <w:sz w:val="21"/>
                <w:szCs w:val="21"/>
                <w:color w:val="auto"/>
                <w:vertAlign w:val="superscript"/>
              </w:rPr>
              <w:t>®</w:t>
            </w:r>
          </w:p>
        </w:tc>
        <w:tc>
          <w:tcPr>
            <w:tcW w:w="300" w:type="dxa"/>
            <w:vAlign w:val="bottom"/>
            <w:shd w:val="clear" w:color="auto" w:fill="D8D8D8"/>
          </w:tcPr>
          <w:p>
            <w:pPr>
              <w:spacing w:after="0"/>
              <w:rPr>
                <w:sz w:val="23"/>
                <w:szCs w:val="23"/>
                <w:color w:val="auto"/>
              </w:rPr>
            </w:pPr>
          </w:p>
        </w:tc>
        <w:tc>
          <w:tcPr>
            <w:tcW w:w="1060" w:type="dxa"/>
            <w:vAlign w:val="bottom"/>
            <w:shd w:val="clear" w:color="auto" w:fill="D8D8D8"/>
          </w:tcPr>
          <w:p>
            <w:pPr>
              <w:jc w:val="right"/>
              <w:ind w:right="31"/>
              <w:spacing w:after="0"/>
              <w:rPr>
                <w:sz w:val="20"/>
                <w:szCs w:val="20"/>
                <w:color w:val="auto"/>
              </w:rPr>
            </w:pPr>
            <w:r>
              <w:rPr>
                <w:rFonts w:ascii="Arial" w:cs="Arial" w:eastAsia="Arial" w:hAnsi="Arial"/>
                <w:sz w:val="18"/>
                <w:szCs w:val="18"/>
                <w:b w:val="1"/>
                <w:bCs w:val="1"/>
                <w:color w:val="auto"/>
              </w:rPr>
              <w:t>1,256.8</w:t>
            </w:r>
          </w:p>
        </w:tc>
        <w:tc>
          <w:tcPr>
            <w:tcW w:w="300" w:type="dxa"/>
            <w:vAlign w:val="bottom"/>
            <w:shd w:val="clear" w:color="auto" w:fill="D8D8D8"/>
          </w:tcPr>
          <w:p>
            <w:pPr>
              <w:spacing w:after="0"/>
              <w:rPr>
                <w:sz w:val="23"/>
                <w:szCs w:val="23"/>
                <w:color w:val="auto"/>
              </w:rPr>
            </w:pPr>
          </w:p>
        </w:tc>
        <w:tc>
          <w:tcPr>
            <w:tcW w:w="1220" w:type="dxa"/>
            <w:vAlign w:val="bottom"/>
            <w:shd w:val="clear" w:color="auto" w:fill="D8D8D8"/>
          </w:tcPr>
          <w:p>
            <w:pPr>
              <w:jc w:val="right"/>
              <w:ind w:right="72"/>
              <w:spacing w:after="0"/>
              <w:rPr>
                <w:sz w:val="20"/>
                <w:szCs w:val="20"/>
                <w:color w:val="auto"/>
              </w:rPr>
            </w:pPr>
            <w:r>
              <w:rPr>
                <w:rFonts w:ascii="Arial" w:cs="Arial" w:eastAsia="Arial" w:hAnsi="Arial"/>
                <w:sz w:val="18"/>
                <w:szCs w:val="18"/>
                <w:b w:val="1"/>
                <w:bCs w:val="1"/>
                <w:color w:val="auto"/>
              </w:rPr>
              <w:t>1,053.9</w:t>
            </w:r>
          </w:p>
        </w:tc>
        <w:tc>
          <w:tcPr>
            <w:tcW w:w="380" w:type="dxa"/>
            <w:vAlign w:val="bottom"/>
            <w:shd w:val="clear" w:color="auto" w:fill="D8D8D8"/>
          </w:tcPr>
          <w:p>
            <w:pPr>
              <w:spacing w:after="0"/>
              <w:rPr>
                <w:sz w:val="23"/>
                <w:szCs w:val="23"/>
                <w:color w:val="auto"/>
              </w:rPr>
            </w:pPr>
          </w:p>
        </w:tc>
        <w:tc>
          <w:tcPr>
            <w:tcW w:w="1020" w:type="dxa"/>
            <w:vAlign w:val="bottom"/>
            <w:shd w:val="clear" w:color="auto" w:fill="D8D8D8"/>
          </w:tcPr>
          <w:p>
            <w:pPr>
              <w:jc w:val="right"/>
              <w:ind w:right="11"/>
              <w:spacing w:after="0"/>
              <w:rPr>
                <w:sz w:val="20"/>
                <w:szCs w:val="20"/>
                <w:color w:val="auto"/>
              </w:rPr>
            </w:pPr>
            <w:r>
              <w:rPr>
                <w:rFonts w:ascii="Arial" w:cs="Arial" w:eastAsia="Arial" w:hAnsi="Arial"/>
                <w:sz w:val="18"/>
                <w:szCs w:val="18"/>
                <w:b w:val="1"/>
                <w:bCs w:val="1"/>
                <w:color w:val="auto"/>
              </w:rPr>
              <w:t>2,310.7</w:t>
            </w:r>
          </w:p>
        </w:tc>
        <w:tc>
          <w:tcPr>
            <w:tcW w:w="320" w:type="dxa"/>
            <w:vAlign w:val="bottom"/>
            <w:shd w:val="clear" w:color="auto" w:fill="D8D8D8"/>
          </w:tcPr>
          <w:p>
            <w:pPr>
              <w:spacing w:after="0"/>
              <w:rPr>
                <w:sz w:val="23"/>
                <w:szCs w:val="23"/>
                <w:color w:val="auto"/>
              </w:rPr>
            </w:pPr>
          </w:p>
        </w:tc>
        <w:tc>
          <w:tcPr>
            <w:tcW w:w="1140" w:type="dxa"/>
            <w:vAlign w:val="bottom"/>
            <w:shd w:val="clear" w:color="auto" w:fill="D8D8D8"/>
          </w:tcPr>
          <w:p>
            <w:pPr>
              <w:jc w:val="right"/>
              <w:ind w:right="12"/>
              <w:spacing w:after="0"/>
              <w:rPr>
                <w:sz w:val="20"/>
                <w:szCs w:val="20"/>
                <w:color w:val="auto"/>
              </w:rPr>
            </w:pPr>
            <w:r>
              <w:rPr>
                <w:rFonts w:ascii="Arial" w:cs="Arial" w:eastAsia="Arial" w:hAnsi="Arial"/>
                <w:sz w:val="18"/>
                <w:szCs w:val="18"/>
                <w:color w:val="auto"/>
              </w:rPr>
              <w:t>2,291.0</w:t>
            </w:r>
          </w:p>
        </w:tc>
        <w:tc>
          <w:tcPr>
            <w:tcW w:w="1740" w:type="dxa"/>
            <w:vAlign w:val="bottom"/>
            <w:shd w:val="clear" w:color="auto" w:fill="D8D8D8"/>
          </w:tcPr>
          <w:p>
            <w:pPr>
              <w:jc w:val="right"/>
              <w:ind w:right="353"/>
              <w:spacing w:after="0"/>
              <w:rPr>
                <w:sz w:val="20"/>
                <w:szCs w:val="20"/>
                <w:color w:val="auto"/>
              </w:rPr>
            </w:pPr>
            <w:r>
              <w:rPr>
                <w:rFonts w:ascii="Arial" w:cs="Arial" w:eastAsia="Arial" w:hAnsi="Arial"/>
                <w:sz w:val="18"/>
                <w:szCs w:val="18"/>
                <w:color w:val="auto"/>
              </w:rPr>
              <w:t>1</w:t>
            </w:r>
          </w:p>
        </w:tc>
      </w:tr>
      <w:tr>
        <w:trPr>
          <w:trHeight w:val="270"/>
        </w:trPr>
        <w:tc>
          <w:tcPr>
            <w:tcW w:w="3880" w:type="dxa"/>
            <w:vAlign w:val="bottom"/>
          </w:tcPr>
          <w:p>
            <w:pPr>
              <w:ind w:left="40"/>
              <w:spacing w:after="0"/>
              <w:rPr>
                <w:sz w:val="20"/>
                <w:szCs w:val="20"/>
                <w:color w:val="auto"/>
              </w:rPr>
            </w:pPr>
            <w:r>
              <w:rPr>
                <w:rFonts w:ascii="Arial" w:cs="Arial" w:eastAsia="Arial" w:hAnsi="Arial"/>
                <w:sz w:val="18"/>
                <w:szCs w:val="18"/>
                <w:color w:val="auto"/>
              </w:rPr>
              <w:t>Forteo</w:t>
            </w:r>
            <w:r>
              <w:rPr>
                <w:rFonts w:ascii="Arial" w:cs="Arial" w:eastAsia="Arial" w:hAnsi="Arial"/>
                <w:sz w:val="21"/>
                <w:szCs w:val="21"/>
                <w:color w:val="auto"/>
                <w:vertAlign w:val="superscript"/>
              </w:rPr>
              <w:t>®</w:t>
            </w:r>
          </w:p>
        </w:tc>
        <w:tc>
          <w:tcPr>
            <w:tcW w:w="300" w:type="dxa"/>
            <w:vAlign w:val="bottom"/>
          </w:tcPr>
          <w:p>
            <w:pPr>
              <w:spacing w:after="0"/>
              <w:rPr>
                <w:sz w:val="23"/>
                <w:szCs w:val="23"/>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b w:val="1"/>
                <w:bCs w:val="1"/>
                <w:color w:val="auto"/>
              </w:rPr>
              <w:t>612.4</w:t>
            </w:r>
          </w:p>
        </w:tc>
        <w:tc>
          <w:tcPr>
            <w:tcW w:w="300" w:type="dxa"/>
            <w:vAlign w:val="bottom"/>
          </w:tcPr>
          <w:p>
            <w:pPr>
              <w:spacing w:after="0"/>
              <w:rPr>
                <w:sz w:val="23"/>
                <w:szCs w:val="23"/>
                <w:color w:val="auto"/>
              </w:rPr>
            </w:pPr>
          </w:p>
        </w:tc>
        <w:tc>
          <w:tcPr>
            <w:tcW w:w="1220" w:type="dxa"/>
            <w:vAlign w:val="bottom"/>
          </w:tcPr>
          <w:p>
            <w:pPr>
              <w:jc w:val="right"/>
              <w:ind w:right="72"/>
              <w:spacing w:after="0"/>
              <w:rPr>
                <w:sz w:val="20"/>
                <w:szCs w:val="20"/>
                <w:color w:val="auto"/>
              </w:rPr>
            </w:pPr>
            <w:r>
              <w:rPr>
                <w:rFonts w:ascii="Arial" w:cs="Arial" w:eastAsia="Arial" w:hAnsi="Arial"/>
                <w:sz w:val="18"/>
                <w:szCs w:val="18"/>
                <w:b w:val="1"/>
                <w:bCs w:val="1"/>
                <w:color w:val="auto"/>
              </w:rPr>
              <w:t>735.9</w:t>
            </w:r>
          </w:p>
        </w:tc>
        <w:tc>
          <w:tcPr>
            <w:tcW w:w="380" w:type="dxa"/>
            <w:vAlign w:val="bottom"/>
          </w:tcPr>
          <w:p>
            <w:pPr>
              <w:spacing w:after="0"/>
              <w:rPr>
                <w:sz w:val="23"/>
                <w:szCs w:val="23"/>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b w:val="1"/>
                <w:bCs w:val="1"/>
                <w:color w:val="auto"/>
              </w:rPr>
              <w:t>1,348.3</w:t>
            </w:r>
          </w:p>
        </w:tc>
        <w:tc>
          <w:tcPr>
            <w:tcW w:w="320" w:type="dxa"/>
            <w:vAlign w:val="bottom"/>
          </w:tcPr>
          <w:p>
            <w:pPr>
              <w:spacing w:after="0"/>
              <w:rPr>
                <w:sz w:val="23"/>
                <w:szCs w:val="23"/>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1,322.0</w:t>
            </w:r>
          </w:p>
        </w:tc>
        <w:tc>
          <w:tcPr>
            <w:tcW w:w="1740" w:type="dxa"/>
            <w:vAlign w:val="bottom"/>
          </w:tcPr>
          <w:p>
            <w:pPr>
              <w:jc w:val="right"/>
              <w:ind w:right="353"/>
              <w:spacing w:after="0"/>
              <w:rPr>
                <w:sz w:val="20"/>
                <w:szCs w:val="20"/>
                <w:color w:val="auto"/>
              </w:rPr>
            </w:pPr>
            <w:r>
              <w:rPr>
                <w:rFonts w:ascii="Arial" w:cs="Arial" w:eastAsia="Arial" w:hAnsi="Arial"/>
                <w:sz w:val="18"/>
                <w:szCs w:val="18"/>
                <w:color w:val="auto"/>
              </w:rPr>
              <w:t>2</w:t>
            </w:r>
          </w:p>
        </w:tc>
      </w:tr>
      <w:tr>
        <w:trPr>
          <w:trHeight w:val="270"/>
        </w:trPr>
        <w:tc>
          <w:tcPr>
            <w:tcW w:w="3880" w:type="dxa"/>
            <w:vAlign w:val="bottom"/>
            <w:shd w:val="clear" w:color="auto" w:fill="D8D8D8"/>
          </w:tcPr>
          <w:p>
            <w:pPr>
              <w:ind w:left="40"/>
              <w:spacing w:after="0"/>
              <w:rPr>
                <w:sz w:val="20"/>
                <w:szCs w:val="20"/>
                <w:color w:val="auto"/>
              </w:rPr>
            </w:pPr>
            <w:r>
              <w:rPr>
                <w:rFonts w:ascii="Arial" w:cs="Arial" w:eastAsia="Arial" w:hAnsi="Arial"/>
                <w:sz w:val="18"/>
                <w:szCs w:val="18"/>
                <w:color w:val="auto"/>
              </w:rPr>
              <w:t>Humulin</w:t>
            </w:r>
            <w:r>
              <w:rPr>
                <w:rFonts w:ascii="Arial" w:cs="Arial" w:eastAsia="Arial" w:hAnsi="Arial"/>
                <w:sz w:val="21"/>
                <w:szCs w:val="21"/>
                <w:color w:val="auto"/>
                <w:vertAlign w:val="superscript"/>
              </w:rPr>
              <w:t>®</w:t>
            </w:r>
          </w:p>
        </w:tc>
        <w:tc>
          <w:tcPr>
            <w:tcW w:w="300" w:type="dxa"/>
            <w:vAlign w:val="bottom"/>
            <w:shd w:val="clear" w:color="auto" w:fill="D8D8D8"/>
          </w:tcPr>
          <w:p>
            <w:pPr>
              <w:spacing w:after="0"/>
              <w:rPr>
                <w:sz w:val="23"/>
                <w:szCs w:val="23"/>
                <w:color w:val="auto"/>
              </w:rPr>
            </w:pPr>
          </w:p>
        </w:tc>
        <w:tc>
          <w:tcPr>
            <w:tcW w:w="1060" w:type="dxa"/>
            <w:vAlign w:val="bottom"/>
            <w:shd w:val="clear" w:color="auto" w:fill="D8D8D8"/>
          </w:tcPr>
          <w:p>
            <w:pPr>
              <w:jc w:val="right"/>
              <w:ind w:right="31"/>
              <w:spacing w:after="0"/>
              <w:rPr>
                <w:sz w:val="20"/>
                <w:szCs w:val="20"/>
                <w:color w:val="auto"/>
              </w:rPr>
            </w:pPr>
            <w:r>
              <w:rPr>
                <w:rFonts w:ascii="Arial" w:cs="Arial" w:eastAsia="Arial" w:hAnsi="Arial"/>
                <w:sz w:val="18"/>
                <w:szCs w:val="18"/>
                <w:b w:val="1"/>
                <w:bCs w:val="1"/>
                <w:color w:val="auto"/>
              </w:rPr>
              <w:t>764.4</w:t>
            </w:r>
          </w:p>
        </w:tc>
        <w:tc>
          <w:tcPr>
            <w:tcW w:w="300" w:type="dxa"/>
            <w:vAlign w:val="bottom"/>
            <w:shd w:val="clear" w:color="auto" w:fill="D8D8D8"/>
          </w:tcPr>
          <w:p>
            <w:pPr>
              <w:spacing w:after="0"/>
              <w:rPr>
                <w:sz w:val="23"/>
                <w:szCs w:val="23"/>
                <w:color w:val="auto"/>
              </w:rPr>
            </w:pPr>
          </w:p>
        </w:tc>
        <w:tc>
          <w:tcPr>
            <w:tcW w:w="1220" w:type="dxa"/>
            <w:vAlign w:val="bottom"/>
            <w:shd w:val="clear" w:color="auto" w:fill="D8D8D8"/>
          </w:tcPr>
          <w:p>
            <w:pPr>
              <w:jc w:val="right"/>
              <w:ind w:right="72"/>
              <w:spacing w:after="0"/>
              <w:rPr>
                <w:sz w:val="20"/>
                <w:szCs w:val="20"/>
                <w:color w:val="auto"/>
              </w:rPr>
            </w:pPr>
            <w:r>
              <w:rPr>
                <w:rFonts w:ascii="Arial" w:cs="Arial" w:eastAsia="Arial" w:hAnsi="Arial"/>
                <w:sz w:val="18"/>
                <w:szCs w:val="18"/>
                <w:b w:val="1"/>
                <w:bCs w:val="1"/>
                <w:color w:val="auto"/>
              </w:rPr>
              <w:t>543.0</w:t>
            </w:r>
          </w:p>
        </w:tc>
        <w:tc>
          <w:tcPr>
            <w:tcW w:w="380" w:type="dxa"/>
            <w:vAlign w:val="bottom"/>
            <w:shd w:val="clear" w:color="auto" w:fill="D8D8D8"/>
          </w:tcPr>
          <w:p>
            <w:pPr>
              <w:spacing w:after="0"/>
              <w:rPr>
                <w:sz w:val="23"/>
                <w:szCs w:val="23"/>
                <w:color w:val="auto"/>
              </w:rPr>
            </w:pPr>
          </w:p>
        </w:tc>
        <w:tc>
          <w:tcPr>
            <w:tcW w:w="1020" w:type="dxa"/>
            <w:vAlign w:val="bottom"/>
            <w:shd w:val="clear" w:color="auto" w:fill="D8D8D8"/>
          </w:tcPr>
          <w:p>
            <w:pPr>
              <w:jc w:val="right"/>
              <w:ind w:right="11"/>
              <w:spacing w:after="0"/>
              <w:rPr>
                <w:sz w:val="20"/>
                <w:szCs w:val="20"/>
                <w:color w:val="auto"/>
              </w:rPr>
            </w:pPr>
            <w:r>
              <w:rPr>
                <w:rFonts w:ascii="Arial" w:cs="Arial" w:eastAsia="Arial" w:hAnsi="Arial"/>
                <w:sz w:val="18"/>
                <w:szCs w:val="18"/>
                <w:b w:val="1"/>
                <w:bCs w:val="1"/>
                <w:color w:val="auto"/>
              </w:rPr>
              <w:t>1,307.4</w:t>
            </w:r>
          </w:p>
        </w:tc>
        <w:tc>
          <w:tcPr>
            <w:tcW w:w="320" w:type="dxa"/>
            <w:vAlign w:val="bottom"/>
            <w:shd w:val="clear" w:color="auto" w:fill="D8D8D8"/>
          </w:tcPr>
          <w:p>
            <w:pPr>
              <w:spacing w:after="0"/>
              <w:rPr>
                <w:sz w:val="23"/>
                <w:szCs w:val="23"/>
                <w:color w:val="auto"/>
              </w:rPr>
            </w:pPr>
          </w:p>
        </w:tc>
        <w:tc>
          <w:tcPr>
            <w:tcW w:w="1140" w:type="dxa"/>
            <w:vAlign w:val="bottom"/>
            <w:shd w:val="clear" w:color="auto" w:fill="D8D8D8"/>
          </w:tcPr>
          <w:p>
            <w:pPr>
              <w:jc w:val="right"/>
              <w:ind w:right="12"/>
              <w:spacing w:after="0"/>
              <w:rPr>
                <w:sz w:val="20"/>
                <w:szCs w:val="20"/>
                <w:color w:val="auto"/>
              </w:rPr>
            </w:pPr>
            <w:r>
              <w:rPr>
                <w:rFonts w:ascii="Arial" w:cs="Arial" w:eastAsia="Arial" w:hAnsi="Arial"/>
                <w:sz w:val="18"/>
                <w:szCs w:val="18"/>
                <w:color w:val="auto"/>
              </w:rPr>
              <w:t>1,400.1</w:t>
            </w:r>
          </w:p>
        </w:tc>
        <w:tc>
          <w:tcPr>
            <w:tcW w:w="1740" w:type="dxa"/>
            <w:vAlign w:val="bottom"/>
            <w:shd w:val="clear" w:color="auto" w:fill="D8D8D8"/>
          </w:tcPr>
          <w:p>
            <w:pPr>
              <w:jc w:val="right"/>
              <w:ind w:right="293"/>
              <w:spacing w:after="0"/>
              <w:rPr>
                <w:sz w:val="20"/>
                <w:szCs w:val="20"/>
                <w:color w:val="auto"/>
              </w:rPr>
            </w:pPr>
            <w:r>
              <w:rPr>
                <w:rFonts w:ascii="Arial" w:cs="Arial" w:eastAsia="Arial" w:hAnsi="Arial"/>
                <w:sz w:val="18"/>
                <w:szCs w:val="18"/>
                <w:color w:val="auto"/>
              </w:rPr>
              <w:t>(7)</w:t>
            </w:r>
          </w:p>
        </w:tc>
      </w:tr>
      <w:tr>
        <w:trPr>
          <w:trHeight w:val="269"/>
        </w:trPr>
        <w:tc>
          <w:tcPr>
            <w:tcW w:w="3880" w:type="dxa"/>
            <w:vAlign w:val="bottom"/>
          </w:tcPr>
          <w:p>
            <w:pPr>
              <w:ind w:left="40"/>
              <w:spacing w:after="0"/>
              <w:rPr>
                <w:sz w:val="20"/>
                <w:szCs w:val="20"/>
                <w:color w:val="auto"/>
              </w:rPr>
            </w:pPr>
            <w:r>
              <w:rPr>
                <w:rFonts w:ascii="Arial" w:cs="Arial" w:eastAsia="Arial" w:hAnsi="Arial"/>
                <w:sz w:val="18"/>
                <w:szCs w:val="18"/>
                <w:color w:val="auto"/>
              </w:rPr>
              <w:t>Cymbalta</w:t>
            </w:r>
          </w:p>
        </w:tc>
        <w:tc>
          <w:tcPr>
            <w:tcW w:w="300" w:type="dxa"/>
            <w:vAlign w:val="bottom"/>
          </w:tcPr>
          <w:p>
            <w:pPr>
              <w:spacing w:after="0"/>
              <w:rPr>
                <w:sz w:val="23"/>
                <w:szCs w:val="23"/>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b w:val="1"/>
                <w:bCs w:val="1"/>
                <w:color w:val="auto"/>
              </w:rPr>
              <w:t>144.6</w:t>
            </w:r>
          </w:p>
        </w:tc>
        <w:tc>
          <w:tcPr>
            <w:tcW w:w="300" w:type="dxa"/>
            <w:vAlign w:val="bottom"/>
          </w:tcPr>
          <w:p>
            <w:pPr>
              <w:spacing w:after="0"/>
              <w:rPr>
                <w:sz w:val="23"/>
                <w:szCs w:val="23"/>
                <w:color w:val="auto"/>
              </w:rPr>
            </w:pPr>
          </w:p>
        </w:tc>
        <w:tc>
          <w:tcPr>
            <w:tcW w:w="1220" w:type="dxa"/>
            <w:vAlign w:val="bottom"/>
          </w:tcPr>
          <w:p>
            <w:pPr>
              <w:jc w:val="right"/>
              <w:ind w:right="72"/>
              <w:spacing w:after="0"/>
              <w:rPr>
                <w:sz w:val="20"/>
                <w:szCs w:val="20"/>
                <w:color w:val="auto"/>
              </w:rPr>
            </w:pPr>
            <w:r>
              <w:rPr>
                <w:rFonts w:ascii="Arial" w:cs="Arial" w:eastAsia="Arial" w:hAnsi="Arial"/>
                <w:sz w:val="18"/>
                <w:szCs w:val="18"/>
                <w:b w:val="1"/>
                <w:bCs w:val="1"/>
                <w:color w:val="auto"/>
              </w:rPr>
              <w:t>883.0</w:t>
            </w:r>
          </w:p>
        </w:tc>
        <w:tc>
          <w:tcPr>
            <w:tcW w:w="380" w:type="dxa"/>
            <w:vAlign w:val="bottom"/>
          </w:tcPr>
          <w:p>
            <w:pPr>
              <w:spacing w:after="0"/>
              <w:rPr>
                <w:sz w:val="23"/>
                <w:szCs w:val="23"/>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b w:val="1"/>
                <w:bCs w:val="1"/>
                <w:color w:val="auto"/>
              </w:rPr>
              <w:t>1,027.6</w:t>
            </w:r>
          </w:p>
        </w:tc>
        <w:tc>
          <w:tcPr>
            <w:tcW w:w="320" w:type="dxa"/>
            <w:vAlign w:val="bottom"/>
          </w:tcPr>
          <w:p>
            <w:pPr>
              <w:spacing w:after="0"/>
              <w:rPr>
                <w:sz w:val="23"/>
                <w:szCs w:val="23"/>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1,614.7</w:t>
            </w:r>
          </w:p>
        </w:tc>
        <w:tc>
          <w:tcPr>
            <w:tcW w:w="1740" w:type="dxa"/>
            <w:vAlign w:val="bottom"/>
          </w:tcPr>
          <w:p>
            <w:pPr>
              <w:jc w:val="right"/>
              <w:ind w:right="293"/>
              <w:spacing w:after="0"/>
              <w:rPr>
                <w:sz w:val="20"/>
                <w:szCs w:val="20"/>
                <w:color w:val="auto"/>
              </w:rPr>
            </w:pPr>
            <w:r>
              <w:rPr>
                <w:rFonts w:ascii="Arial" w:cs="Arial" w:eastAsia="Arial" w:hAnsi="Arial"/>
                <w:sz w:val="18"/>
                <w:szCs w:val="18"/>
                <w:color w:val="auto"/>
              </w:rPr>
              <w:t>(36)</w:t>
            </w:r>
          </w:p>
        </w:tc>
      </w:tr>
      <w:tr>
        <w:trPr>
          <w:trHeight w:val="271"/>
        </w:trPr>
        <w:tc>
          <w:tcPr>
            <w:tcW w:w="3880" w:type="dxa"/>
            <w:vAlign w:val="bottom"/>
            <w:shd w:val="clear" w:color="auto" w:fill="D8D8D8"/>
          </w:tcPr>
          <w:p>
            <w:pPr>
              <w:ind w:left="40"/>
              <w:spacing w:after="0"/>
              <w:rPr>
                <w:sz w:val="20"/>
                <w:szCs w:val="20"/>
                <w:color w:val="auto"/>
              </w:rPr>
            </w:pPr>
            <w:r>
              <w:rPr>
                <w:rFonts w:ascii="Arial" w:cs="Arial" w:eastAsia="Arial" w:hAnsi="Arial"/>
                <w:sz w:val="18"/>
                <w:szCs w:val="18"/>
                <w:color w:val="auto"/>
              </w:rPr>
              <w:t>Zyprexa</w:t>
            </w:r>
          </w:p>
        </w:tc>
        <w:tc>
          <w:tcPr>
            <w:tcW w:w="300" w:type="dxa"/>
            <w:vAlign w:val="bottom"/>
            <w:shd w:val="clear" w:color="auto" w:fill="D8D8D8"/>
          </w:tcPr>
          <w:p>
            <w:pPr>
              <w:spacing w:after="0"/>
              <w:rPr>
                <w:sz w:val="23"/>
                <w:szCs w:val="23"/>
                <w:color w:val="auto"/>
              </w:rPr>
            </w:pPr>
          </w:p>
        </w:tc>
        <w:tc>
          <w:tcPr>
            <w:tcW w:w="1060" w:type="dxa"/>
            <w:vAlign w:val="bottom"/>
            <w:shd w:val="clear" w:color="auto" w:fill="D8D8D8"/>
          </w:tcPr>
          <w:p>
            <w:pPr>
              <w:jc w:val="right"/>
              <w:ind w:right="31"/>
              <w:spacing w:after="0"/>
              <w:rPr>
                <w:sz w:val="20"/>
                <w:szCs w:val="20"/>
                <w:color w:val="auto"/>
              </w:rPr>
            </w:pPr>
            <w:r>
              <w:rPr>
                <w:rFonts w:ascii="Arial" w:cs="Arial" w:eastAsia="Arial" w:hAnsi="Arial"/>
                <w:sz w:val="18"/>
                <w:szCs w:val="18"/>
                <w:b w:val="1"/>
                <w:bCs w:val="1"/>
                <w:color w:val="auto"/>
              </w:rPr>
              <w:t>156.7</w:t>
            </w:r>
          </w:p>
        </w:tc>
        <w:tc>
          <w:tcPr>
            <w:tcW w:w="300" w:type="dxa"/>
            <w:vAlign w:val="bottom"/>
            <w:shd w:val="clear" w:color="auto" w:fill="D8D8D8"/>
          </w:tcPr>
          <w:p>
            <w:pPr>
              <w:spacing w:after="0"/>
              <w:rPr>
                <w:sz w:val="23"/>
                <w:szCs w:val="23"/>
                <w:color w:val="auto"/>
              </w:rPr>
            </w:pPr>
          </w:p>
        </w:tc>
        <w:tc>
          <w:tcPr>
            <w:tcW w:w="1220" w:type="dxa"/>
            <w:vAlign w:val="bottom"/>
            <w:shd w:val="clear" w:color="auto" w:fill="D8D8D8"/>
          </w:tcPr>
          <w:p>
            <w:pPr>
              <w:jc w:val="right"/>
              <w:ind w:right="72"/>
              <w:spacing w:after="0"/>
              <w:rPr>
                <w:sz w:val="20"/>
                <w:szCs w:val="20"/>
                <w:color w:val="auto"/>
              </w:rPr>
            </w:pPr>
            <w:r>
              <w:rPr>
                <w:rFonts w:ascii="Arial" w:cs="Arial" w:eastAsia="Arial" w:hAnsi="Arial"/>
                <w:sz w:val="18"/>
                <w:szCs w:val="18"/>
                <w:b w:val="1"/>
                <w:bCs w:val="1"/>
                <w:color w:val="auto"/>
              </w:rPr>
              <w:t>783.6</w:t>
            </w:r>
          </w:p>
        </w:tc>
        <w:tc>
          <w:tcPr>
            <w:tcW w:w="380" w:type="dxa"/>
            <w:vAlign w:val="bottom"/>
            <w:shd w:val="clear" w:color="auto" w:fill="D8D8D8"/>
          </w:tcPr>
          <w:p>
            <w:pPr>
              <w:spacing w:after="0"/>
              <w:rPr>
                <w:sz w:val="23"/>
                <w:szCs w:val="23"/>
                <w:color w:val="auto"/>
              </w:rPr>
            </w:pPr>
          </w:p>
        </w:tc>
        <w:tc>
          <w:tcPr>
            <w:tcW w:w="1020" w:type="dxa"/>
            <w:vAlign w:val="bottom"/>
            <w:shd w:val="clear" w:color="auto" w:fill="D8D8D8"/>
          </w:tcPr>
          <w:p>
            <w:pPr>
              <w:jc w:val="right"/>
              <w:ind w:right="11"/>
              <w:spacing w:after="0"/>
              <w:rPr>
                <w:sz w:val="20"/>
                <w:szCs w:val="20"/>
                <w:color w:val="auto"/>
              </w:rPr>
            </w:pPr>
            <w:r>
              <w:rPr>
                <w:rFonts w:ascii="Arial" w:cs="Arial" w:eastAsia="Arial" w:hAnsi="Arial"/>
                <w:sz w:val="18"/>
                <w:szCs w:val="18"/>
                <w:b w:val="1"/>
                <w:bCs w:val="1"/>
                <w:color w:val="auto"/>
              </w:rPr>
              <w:t>940.3</w:t>
            </w:r>
          </w:p>
        </w:tc>
        <w:tc>
          <w:tcPr>
            <w:tcW w:w="320" w:type="dxa"/>
            <w:vAlign w:val="bottom"/>
            <w:shd w:val="clear" w:color="auto" w:fill="D8D8D8"/>
          </w:tcPr>
          <w:p>
            <w:pPr>
              <w:spacing w:after="0"/>
              <w:rPr>
                <w:sz w:val="23"/>
                <w:szCs w:val="23"/>
                <w:color w:val="auto"/>
              </w:rPr>
            </w:pPr>
          </w:p>
        </w:tc>
        <w:tc>
          <w:tcPr>
            <w:tcW w:w="1140" w:type="dxa"/>
            <w:vAlign w:val="bottom"/>
            <w:shd w:val="clear" w:color="auto" w:fill="D8D8D8"/>
          </w:tcPr>
          <w:p>
            <w:pPr>
              <w:jc w:val="right"/>
              <w:ind w:right="12"/>
              <w:spacing w:after="0"/>
              <w:rPr>
                <w:sz w:val="20"/>
                <w:szCs w:val="20"/>
                <w:color w:val="auto"/>
              </w:rPr>
            </w:pPr>
            <w:r>
              <w:rPr>
                <w:rFonts w:ascii="Arial" w:cs="Arial" w:eastAsia="Arial" w:hAnsi="Arial"/>
                <w:sz w:val="18"/>
                <w:szCs w:val="18"/>
                <w:color w:val="auto"/>
              </w:rPr>
              <w:t>1,037.3</w:t>
            </w:r>
          </w:p>
        </w:tc>
        <w:tc>
          <w:tcPr>
            <w:tcW w:w="1740" w:type="dxa"/>
            <w:vAlign w:val="bottom"/>
            <w:shd w:val="clear" w:color="auto" w:fill="D8D8D8"/>
          </w:tcPr>
          <w:p>
            <w:pPr>
              <w:jc w:val="right"/>
              <w:ind w:right="293"/>
              <w:spacing w:after="0"/>
              <w:rPr>
                <w:sz w:val="20"/>
                <w:szCs w:val="20"/>
                <w:color w:val="auto"/>
              </w:rPr>
            </w:pPr>
            <w:r>
              <w:rPr>
                <w:rFonts w:ascii="Arial" w:cs="Arial" w:eastAsia="Arial" w:hAnsi="Arial"/>
                <w:sz w:val="18"/>
                <w:szCs w:val="18"/>
                <w:color w:val="auto"/>
              </w:rPr>
              <w:t>(9)</w:t>
            </w:r>
          </w:p>
        </w:tc>
      </w:tr>
      <w:tr>
        <w:trPr>
          <w:trHeight w:val="270"/>
        </w:trPr>
        <w:tc>
          <w:tcPr>
            <w:tcW w:w="3880" w:type="dxa"/>
            <w:vAlign w:val="bottom"/>
          </w:tcPr>
          <w:p>
            <w:pPr>
              <w:ind w:left="40"/>
              <w:spacing w:after="0"/>
              <w:rPr>
                <w:sz w:val="20"/>
                <w:szCs w:val="20"/>
                <w:color w:val="auto"/>
              </w:rPr>
            </w:pPr>
            <w:r>
              <w:rPr>
                <w:rFonts w:ascii="Arial" w:cs="Arial" w:eastAsia="Arial" w:hAnsi="Arial"/>
                <w:sz w:val="18"/>
                <w:szCs w:val="18"/>
                <w:color w:val="auto"/>
              </w:rPr>
              <w:t>Strattera</w:t>
            </w:r>
            <w:r>
              <w:rPr>
                <w:rFonts w:ascii="Arial" w:cs="Arial" w:eastAsia="Arial" w:hAnsi="Arial"/>
                <w:sz w:val="21"/>
                <w:szCs w:val="21"/>
                <w:color w:val="auto"/>
                <w:vertAlign w:val="superscript"/>
              </w:rPr>
              <w:t>®</w:t>
            </w:r>
          </w:p>
        </w:tc>
        <w:tc>
          <w:tcPr>
            <w:tcW w:w="300" w:type="dxa"/>
            <w:vAlign w:val="bottom"/>
          </w:tcPr>
          <w:p>
            <w:pPr>
              <w:spacing w:after="0"/>
              <w:rPr>
                <w:sz w:val="23"/>
                <w:szCs w:val="23"/>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b w:val="1"/>
                <w:bCs w:val="1"/>
                <w:color w:val="auto"/>
              </w:rPr>
              <w:t>502.1</w:t>
            </w:r>
          </w:p>
        </w:tc>
        <w:tc>
          <w:tcPr>
            <w:tcW w:w="300" w:type="dxa"/>
            <w:vAlign w:val="bottom"/>
          </w:tcPr>
          <w:p>
            <w:pPr>
              <w:spacing w:after="0"/>
              <w:rPr>
                <w:sz w:val="23"/>
                <w:szCs w:val="23"/>
                <w:color w:val="auto"/>
              </w:rPr>
            </w:pPr>
          </w:p>
        </w:tc>
        <w:tc>
          <w:tcPr>
            <w:tcW w:w="1220" w:type="dxa"/>
            <w:vAlign w:val="bottom"/>
          </w:tcPr>
          <w:p>
            <w:pPr>
              <w:jc w:val="right"/>
              <w:ind w:right="72"/>
              <w:spacing w:after="0"/>
              <w:rPr>
                <w:sz w:val="20"/>
                <w:szCs w:val="20"/>
                <w:color w:val="auto"/>
              </w:rPr>
            </w:pPr>
            <w:r>
              <w:rPr>
                <w:rFonts w:ascii="Arial" w:cs="Arial" w:eastAsia="Arial" w:hAnsi="Arial"/>
                <w:sz w:val="18"/>
                <w:szCs w:val="18"/>
                <w:b w:val="1"/>
                <w:bCs w:val="1"/>
                <w:color w:val="auto"/>
              </w:rPr>
              <w:t>281.9</w:t>
            </w:r>
          </w:p>
        </w:tc>
        <w:tc>
          <w:tcPr>
            <w:tcW w:w="380" w:type="dxa"/>
            <w:vAlign w:val="bottom"/>
          </w:tcPr>
          <w:p>
            <w:pPr>
              <w:spacing w:after="0"/>
              <w:rPr>
                <w:sz w:val="23"/>
                <w:szCs w:val="23"/>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b w:val="1"/>
                <w:bCs w:val="1"/>
                <w:color w:val="auto"/>
              </w:rPr>
              <w:t>784.0</w:t>
            </w:r>
          </w:p>
        </w:tc>
        <w:tc>
          <w:tcPr>
            <w:tcW w:w="320" w:type="dxa"/>
            <w:vAlign w:val="bottom"/>
          </w:tcPr>
          <w:p>
            <w:pPr>
              <w:spacing w:after="0"/>
              <w:rPr>
                <w:sz w:val="23"/>
                <w:szCs w:val="23"/>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738.5</w:t>
            </w:r>
          </w:p>
        </w:tc>
        <w:tc>
          <w:tcPr>
            <w:tcW w:w="1740" w:type="dxa"/>
            <w:vAlign w:val="bottom"/>
          </w:tcPr>
          <w:p>
            <w:pPr>
              <w:jc w:val="right"/>
              <w:ind w:right="353"/>
              <w:spacing w:after="0"/>
              <w:rPr>
                <w:sz w:val="20"/>
                <w:szCs w:val="20"/>
                <w:color w:val="auto"/>
              </w:rPr>
            </w:pPr>
            <w:r>
              <w:rPr>
                <w:rFonts w:ascii="Arial" w:cs="Arial" w:eastAsia="Arial" w:hAnsi="Arial"/>
                <w:sz w:val="18"/>
                <w:szCs w:val="18"/>
                <w:color w:val="auto"/>
              </w:rPr>
              <w:t>6</w:t>
            </w:r>
          </w:p>
        </w:tc>
      </w:tr>
      <w:tr>
        <w:trPr>
          <w:trHeight w:val="270"/>
        </w:trPr>
        <w:tc>
          <w:tcPr>
            <w:tcW w:w="3880" w:type="dxa"/>
            <w:vAlign w:val="bottom"/>
            <w:shd w:val="clear" w:color="auto" w:fill="D8D8D8"/>
          </w:tcPr>
          <w:p>
            <w:pPr>
              <w:ind w:left="40"/>
              <w:spacing w:after="0"/>
              <w:rPr>
                <w:sz w:val="20"/>
                <w:szCs w:val="20"/>
                <w:color w:val="auto"/>
              </w:rPr>
            </w:pPr>
            <w:r>
              <w:rPr>
                <w:rFonts w:ascii="Arial" w:cs="Arial" w:eastAsia="Arial" w:hAnsi="Arial"/>
                <w:sz w:val="18"/>
                <w:szCs w:val="18"/>
                <w:color w:val="auto"/>
              </w:rPr>
              <w:t>Effient</w:t>
            </w:r>
            <w:r>
              <w:rPr>
                <w:rFonts w:ascii="Arial" w:cs="Arial" w:eastAsia="Arial" w:hAnsi="Arial"/>
                <w:sz w:val="21"/>
                <w:szCs w:val="21"/>
                <w:color w:val="auto"/>
                <w:vertAlign w:val="superscript"/>
              </w:rPr>
              <w:t>®</w:t>
            </w:r>
          </w:p>
        </w:tc>
        <w:tc>
          <w:tcPr>
            <w:tcW w:w="300" w:type="dxa"/>
            <w:vAlign w:val="bottom"/>
            <w:shd w:val="clear" w:color="auto" w:fill="D8D8D8"/>
          </w:tcPr>
          <w:p>
            <w:pPr>
              <w:spacing w:after="0"/>
              <w:rPr>
                <w:sz w:val="23"/>
                <w:szCs w:val="23"/>
                <w:color w:val="auto"/>
              </w:rPr>
            </w:pPr>
          </w:p>
        </w:tc>
        <w:tc>
          <w:tcPr>
            <w:tcW w:w="1060" w:type="dxa"/>
            <w:vAlign w:val="bottom"/>
            <w:shd w:val="clear" w:color="auto" w:fill="D8D8D8"/>
          </w:tcPr>
          <w:p>
            <w:pPr>
              <w:jc w:val="right"/>
              <w:ind w:right="31"/>
              <w:spacing w:after="0"/>
              <w:rPr>
                <w:sz w:val="20"/>
                <w:szCs w:val="20"/>
                <w:color w:val="auto"/>
              </w:rPr>
            </w:pPr>
            <w:r>
              <w:rPr>
                <w:rFonts w:ascii="Arial" w:cs="Arial" w:eastAsia="Arial" w:hAnsi="Arial"/>
                <w:sz w:val="18"/>
                <w:szCs w:val="18"/>
                <w:b w:val="1"/>
                <w:bCs w:val="1"/>
                <w:color w:val="auto"/>
              </w:rPr>
              <w:t>417.6</w:t>
            </w:r>
          </w:p>
        </w:tc>
        <w:tc>
          <w:tcPr>
            <w:tcW w:w="300" w:type="dxa"/>
            <w:vAlign w:val="bottom"/>
            <w:shd w:val="clear" w:color="auto" w:fill="D8D8D8"/>
          </w:tcPr>
          <w:p>
            <w:pPr>
              <w:spacing w:after="0"/>
              <w:rPr>
                <w:sz w:val="23"/>
                <w:szCs w:val="23"/>
                <w:color w:val="auto"/>
              </w:rPr>
            </w:pPr>
          </w:p>
        </w:tc>
        <w:tc>
          <w:tcPr>
            <w:tcW w:w="1220" w:type="dxa"/>
            <w:vAlign w:val="bottom"/>
            <w:shd w:val="clear" w:color="auto" w:fill="D8D8D8"/>
          </w:tcPr>
          <w:p>
            <w:pPr>
              <w:jc w:val="right"/>
              <w:ind w:right="72"/>
              <w:spacing w:after="0"/>
              <w:rPr>
                <w:sz w:val="20"/>
                <w:szCs w:val="20"/>
                <w:color w:val="auto"/>
              </w:rPr>
            </w:pPr>
            <w:r>
              <w:rPr>
                <w:rFonts w:ascii="Arial" w:cs="Arial" w:eastAsia="Arial" w:hAnsi="Arial"/>
                <w:sz w:val="18"/>
                <w:szCs w:val="18"/>
                <w:b w:val="1"/>
                <w:bCs w:val="1"/>
                <w:color w:val="auto"/>
              </w:rPr>
              <w:t>105.4</w:t>
            </w:r>
          </w:p>
        </w:tc>
        <w:tc>
          <w:tcPr>
            <w:tcW w:w="380" w:type="dxa"/>
            <w:vAlign w:val="bottom"/>
            <w:shd w:val="clear" w:color="auto" w:fill="D8D8D8"/>
          </w:tcPr>
          <w:p>
            <w:pPr>
              <w:spacing w:after="0"/>
              <w:rPr>
                <w:sz w:val="23"/>
                <w:szCs w:val="23"/>
                <w:color w:val="auto"/>
              </w:rPr>
            </w:pPr>
          </w:p>
        </w:tc>
        <w:tc>
          <w:tcPr>
            <w:tcW w:w="1020" w:type="dxa"/>
            <w:vAlign w:val="bottom"/>
            <w:shd w:val="clear" w:color="auto" w:fill="D8D8D8"/>
          </w:tcPr>
          <w:p>
            <w:pPr>
              <w:jc w:val="right"/>
              <w:ind w:right="11"/>
              <w:spacing w:after="0"/>
              <w:rPr>
                <w:sz w:val="20"/>
                <w:szCs w:val="20"/>
                <w:color w:val="auto"/>
              </w:rPr>
            </w:pPr>
            <w:r>
              <w:rPr>
                <w:rFonts w:ascii="Arial" w:cs="Arial" w:eastAsia="Arial" w:hAnsi="Arial"/>
                <w:sz w:val="18"/>
                <w:szCs w:val="18"/>
                <w:b w:val="1"/>
                <w:bCs w:val="1"/>
                <w:color w:val="auto"/>
              </w:rPr>
              <w:t>523.0</w:t>
            </w:r>
          </w:p>
        </w:tc>
        <w:tc>
          <w:tcPr>
            <w:tcW w:w="320" w:type="dxa"/>
            <w:vAlign w:val="bottom"/>
            <w:shd w:val="clear" w:color="auto" w:fill="D8D8D8"/>
          </w:tcPr>
          <w:p>
            <w:pPr>
              <w:spacing w:after="0"/>
              <w:rPr>
                <w:sz w:val="23"/>
                <w:szCs w:val="23"/>
                <w:color w:val="auto"/>
              </w:rPr>
            </w:pPr>
          </w:p>
        </w:tc>
        <w:tc>
          <w:tcPr>
            <w:tcW w:w="1140" w:type="dxa"/>
            <w:vAlign w:val="bottom"/>
            <w:shd w:val="clear" w:color="auto" w:fill="D8D8D8"/>
          </w:tcPr>
          <w:p>
            <w:pPr>
              <w:jc w:val="right"/>
              <w:ind w:right="12"/>
              <w:spacing w:after="0"/>
              <w:rPr>
                <w:sz w:val="20"/>
                <w:szCs w:val="20"/>
                <w:color w:val="auto"/>
              </w:rPr>
            </w:pPr>
            <w:r>
              <w:rPr>
                <w:rFonts w:ascii="Arial" w:cs="Arial" w:eastAsia="Arial" w:hAnsi="Arial"/>
                <w:sz w:val="18"/>
                <w:szCs w:val="18"/>
                <w:color w:val="auto"/>
              </w:rPr>
              <w:t>522.2</w:t>
            </w:r>
          </w:p>
        </w:tc>
        <w:tc>
          <w:tcPr>
            <w:tcW w:w="1740" w:type="dxa"/>
            <w:vAlign w:val="bottom"/>
            <w:shd w:val="clear" w:color="auto" w:fill="D8D8D8"/>
          </w:tcPr>
          <w:p>
            <w:pPr>
              <w:jc w:val="right"/>
              <w:ind w:right="353"/>
              <w:spacing w:after="0"/>
              <w:rPr>
                <w:sz w:val="20"/>
                <w:szCs w:val="20"/>
                <w:color w:val="auto"/>
              </w:rPr>
            </w:pPr>
            <w:r>
              <w:rPr>
                <w:rFonts w:ascii="Arial" w:cs="Arial" w:eastAsia="Arial" w:hAnsi="Arial"/>
                <w:sz w:val="18"/>
                <w:szCs w:val="18"/>
                <w:color w:val="auto"/>
              </w:rPr>
              <w:t>—</w:t>
            </w:r>
          </w:p>
        </w:tc>
      </w:tr>
      <w:tr>
        <w:trPr>
          <w:trHeight w:val="269"/>
        </w:trPr>
        <w:tc>
          <w:tcPr>
            <w:tcW w:w="3880" w:type="dxa"/>
            <w:vAlign w:val="bottom"/>
          </w:tcPr>
          <w:p>
            <w:pPr>
              <w:ind w:left="40"/>
              <w:spacing w:after="0"/>
              <w:rPr>
                <w:sz w:val="20"/>
                <w:szCs w:val="20"/>
                <w:color w:val="auto"/>
              </w:rPr>
            </w:pPr>
            <w:r>
              <w:rPr>
                <w:rFonts w:ascii="Arial" w:cs="Arial" w:eastAsia="Arial" w:hAnsi="Arial"/>
                <w:sz w:val="18"/>
                <w:szCs w:val="18"/>
                <w:color w:val="auto"/>
              </w:rPr>
              <w:t>Cyramza</w:t>
            </w:r>
          </w:p>
        </w:tc>
        <w:tc>
          <w:tcPr>
            <w:tcW w:w="300" w:type="dxa"/>
            <w:vAlign w:val="bottom"/>
          </w:tcPr>
          <w:p>
            <w:pPr>
              <w:spacing w:after="0"/>
              <w:rPr>
                <w:sz w:val="23"/>
                <w:szCs w:val="23"/>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b w:val="1"/>
                <w:bCs w:val="1"/>
                <w:color w:val="auto"/>
              </w:rPr>
              <w:t>277.7</w:t>
            </w:r>
          </w:p>
        </w:tc>
        <w:tc>
          <w:tcPr>
            <w:tcW w:w="300" w:type="dxa"/>
            <w:vAlign w:val="bottom"/>
          </w:tcPr>
          <w:p>
            <w:pPr>
              <w:spacing w:after="0"/>
              <w:rPr>
                <w:sz w:val="23"/>
                <w:szCs w:val="23"/>
                <w:color w:val="auto"/>
              </w:rPr>
            </w:pPr>
          </w:p>
        </w:tc>
        <w:tc>
          <w:tcPr>
            <w:tcW w:w="1220" w:type="dxa"/>
            <w:vAlign w:val="bottom"/>
          </w:tcPr>
          <w:p>
            <w:pPr>
              <w:jc w:val="right"/>
              <w:ind w:right="72"/>
              <w:spacing w:after="0"/>
              <w:rPr>
                <w:sz w:val="20"/>
                <w:szCs w:val="20"/>
                <w:color w:val="auto"/>
              </w:rPr>
            </w:pPr>
            <w:r>
              <w:rPr>
                <w:rFonts w:ascii="Arial" w:cs="Arial" w:eastAsia="Arial" w:hAnsi="Arial"/>
                <w:sz w:val="18"/>
                <w:szCs w:val="18"/>
                <w:b w:val="1"/>
                <w:bCs w:val="1"/>
                <w:color w:val="auto"/>
              </w:rPr>
              <w:t>106.1</w:t>
            </w:r>
          </w:p>
        </w:tc>
        <w:tc>
          <w:tcPr>
            <w:tcW w:w="380" w:type="dxa"/>
            <w:vAlign w:val="bottom"/>
          </w:tcPr>
          <w:p>
            <w:pPr>
              <w:spacing w:after="0"/>
              <w:rPr>
                <w:sz w:val="23"/>
                <w:szCs w:val="23"/>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b w:val="1"/>
                <w:bCs w:val="1"/>
                <w:color w:val="auto"/>
              </w:rPr>
              <w:t>383.8</w:t>
            </w:r>
          </w:p>
        </w:tc>
        <w:tc>
          <w:tcPr>
            <w:tcW w:w="320" w:type="dxa"/>
            <w:vAlign w:val="bottom"/>
          </w:tcPr>
          <w:p>
            <w:pPr>
              <w:spacing w:after="0"/>
              <w:rPr>
                <w:sz w:val="23"/>
                <w:szCs w:val="23"/>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75.6</w:t>
            </w:r>
          </w:p>
        </w:tc>
        <w:tc>
          <w:tcPr>
            <w:tcW w:w="1740" w:type="dxa"/>
            <w:vAlign w:val="bottom"/>
          </w:tcPr>
          <w:p>
            <w:pPr>
              <w:jc w:val="right"/>
              <w:ind w:right="353"/>
              <w:spacing w:after="0"/>
              <w:rPr>
                <w:sz w:val="20"/>
                <w:szCs w:val="20"/>
                <w:color w:val="auto"/>
              </w:rPr>
            </w:pPr>
            <w:r>
              <w:rPr>
                <w:rFonts w:ascii="Arial" w:cs="Arial" w:eastAsia="Arial" w:hAnsi="Arial"/>
                <w:sz w:val="18"/>
                <w:szCs w:val="18"/>
                <w:color w:val="auto"/>
              </w:rPr>
              <w:t>NM</w:t>
            </w:r>
          </w:p>
        </w:tc>
      </w:tr>
      <w:tr>
        <w:trPr>
          <w:trHeight w:val="271"/>
        </w:trPr>
        <w:tc>
          <w:tcPr>
            <w:tcW w:w="3880" w:type="dxa"/>
            <w:vAlign w:val="bottom"/>
            <w:shd w:val="clear" w:color="auto" w:fill="D8D8D8"/>
          </w:tcPr>
          <w:p>
            <w:pPr>
              <w:ind w:left="40"/>
              <w:spacing w:after="0"/>
              <w:rPr>
                <w:sz w:val="20"/>
                <w:szCs w:val="20"/>
                <w:color w:val="auto"/>
              </w:rPr>
            </w:pPr>
            <w:r>
              <w:rPr>
                <w:rFonts w:ascii="Arial" w:cs="Arial" w:eastAsia="Arial" w:hAnsi="Arial"/>
                <w:sz w:val="18"/>
                <w:szCs w:val="18"/>
                <w:color w:val="auto"/>
              </w:rPr>
              <w:t>Trulicity</w:t>
            </w:r>
          </w:p>
        </w:tc>
        <w:tc>
          <w:tcPr>
            <w:tcW w:w="300" w:type="dxa"/>
            <w:vAlign w:val="bottom"/>
            <w:shd w:val="clear" w:color="auto" w:fill="D8D8D8"/>
          </w:tcPr>
          <w:p>
            <w:pPr>
              <w:spacing w:after="0"/>
              <w:rPr>
                <w:sz w:val="23"/>
                <w:szCs w:val="23"/>
                <w:color w:val="auto"/>
              </w:rPr>
            </w:pPr>
          </w:p>
        </w:tc>
        <w:tc>
          <w:tcPr>
            <w:tcW w:w="1060" w:type="dxa"/>
            <w:vAlign w:val="bottom"/>
            <w:shd w:val="clear" w:color="auto" w:fill="D8D8D8"/>
          </w:tcPr>
          <w:p>
            <w:pPr>
              <w:jc w:val="right"/>
              <w:ind w:right="31"/>
              <w:spacing w:after="0"/>
              <w:rPr>
                <w:sz w:val="20"/>
                <w:szCs w:val="20"/>
                <w:color w:val="auto"/>
              </w:rPr>
            </w:pPr>
            <w:r>
              <w:rPr>
                <w:rFonts w:ascii="Arial" w:cs="Arial" w:eastAsia="Arial" w:hAnsi="Arial"/>
                <w:sz w:val="18"/>
                <w:szCs w:val="18"/>
                <w:b w:val="1"/>
                <w:bCs w:val="1"/>
                <w:color w:val="auto"/>
              </w:rPr>
              <w:t>207.7</w:t>
            </w:r>
          </w:p>
        </w:tc>
        <w:tc>
          <w:tcPr>
            <w:tcW w:w="300" w:type="dxa"/>
            <w:vAlign w:val="bottom"/>
            <w:shd w:val="clear" w:color="auto" w:fill="D8D8D8"/>
          </w:tcPr>
          <w:p>
            <w:pPr>
              <w:spacing w:after="0"/>
              <w:rPr>
                <w:sz w:val="23"/>
                <w:szCs w:val="23"/>
                <w:color w:val="auto"/>
              </w:rPr>
            </w:pPr>
          </w:p>
        </w:tc>
        <w:tc>
          <w:tcPr>
            <w:tcW w:w="1220" w:type="dxa"/>
            <w:vAlign w:val="bottom"/>
            <w:shd w:val="clear" w:color="auto" w:fill="D8D8D8"/>
          </w:tcPr>
          <w:p>
            <w:pPr>
              <w:jc w:val="right"/>
              <w:ind w:right="72"/>
              <w:spacing w:after="0"/>
              <w:rPr>
                <w:sz w:val="20"/>
                <w:szCs w:val="20"/>
                <w:color w:val="auto"/>
              </w:rPr>
            </w:pPr>
            <w:r>
              <w:rPr>
                <w:rFonts w:ascii="Arial" w:cs="Arial" w:eastAsia="Arial" w:hAnsi="Arial"/>
                <w:sz w:val="18"/>
                <w:szCs w:val="18"/>
                <w:b w:val="1"/>
                <w:bCs w:val="1"/>
                <w:color w:val="auto"/>
              </w:rPr>
              <w:t>41.0</w:t>
            </w:r>
          </w:p>
        </w:tc>
        <w:tc>
          <w:tcPr>
            <w:tcW w:w="380" w:type="dxa"/>
            <w:vAlign w:val="bottom"/>
            <w:shd w:val="clear" w:color="auto" w:fill="D8D8D8"/>
          </w:tcPr>
          <w:p>
            <w:pPr>
              <w:spacing w:after="0"/>
              <w:rPr>
                <w:sz w:val="23"/>
                <w:szCs w:val="23"/>
                <w:color w:val="auto"/>
              </w:rPr>
            </w:pPr>
          </w:p>
        </w:tc>
        <w:tc>
          <w:tcPr>
            <w:tcW w:w="1020" w:type="dxa"/>
            <w:vAlign w:val="bottom"/>
            <w:shd w:val="clear" w:color="auto" w:fill="D8D8D8"/>
          </w:tcPr>
          <w:p>
            <w:pPr>
              <w:jc w:val="right"/>
              <w:ind w:right="11"/>
              <w:spacing w:after="0"/>
              <w:rPr>
                <w:sz w:val="20"/>
                <w:szCs w:val="20"/>
                <w:color w:val="auto"/>
              </w:rPr>
            </w:pPr>
            <w:r>
              <w:rPr>
                <w:rFonts w:ascii="Arial" w:cs="Arial" w:eastAsia="Arial" w:hAnsi="Arial"/>
                <w:sz w:val="18"/>
                <w:szCs w:val="18"/>
                <w:b w:val="1"/>
                <w:bCs w:val="1"/>
                <w:color w:val="auto"/>
              </w:rPr>
              <w:t>248.7</w:t>
            </w:r>
          </w:p>
        </w:tc>
        <w:tc>
          <w:tcPr>
            <w:tcW w:w="320" w:type="dxa"/>
            <w:vAlign w:val="bottom"/>
            <w:shd w:val="clear" w:color="auto" w:fill="D8D8D8"/>
          </w:tcPr>
          <w:p>
            <w:pPr>
              <w:spacing w:after="0"/>
              <w:rPr>
                <w:sz w:val="23"/>
                <w:szCs w:val="23"/>
                <w:color w:val="auto"/>
              </w:rPr>
            </w:pPr>
          </w:p>
        </w:tc>
        <w:tc>
          <w:tcPr>
            <w:tcW w:w="1140" w:type="dxa"/>
            <w:vAlign w:val="bottom"/>
            <w:shd w:val="clear" w:color="auto" w:fill="D8D8D8"/>
          </w:tcPr>
          <w:p>
            <w:pPr>
              <w:jc w:val="right"/>
              <w:ind w:right="12"/>
              <w:spacing w:after="0"/>
              <w:rPr>
                <w:sz w:val="20"/>
                <w:szCs w:val="20"/>
                <w:color w:val="auto"/>
              </w:rPr>
            </w:pPr>
            <w:r>
              <w:rPr>
                <w:rFonts w:ascii="Arial" w:cs="Arial" w:eastAsia="Arial" w:hAnsi="Arial"/>
                <w:sz w:val="18"/>
                <w:szCs w:val="18"/>
                <w:color w:val="auto"/>
              </w:rPr>
              <w:t>10.2</w:t>
            </w:r>
          </w:p>
        </w:tc>
        <w:tc>
          <w:tcPr>
            <w:tcW w:w="1740" w:type="dxa"/>
            <w:vAlign w:val="bottom"/>
            <w:shd w:val="clear" w:color="auto" w:fill="D8D8D8"/>
          </w:tcPr>
          <w:p>
            <w:pPr>
              <w:jc w:val="right"/>
              <w:ind w:right="353"/>
              <w:spacing w:after="0"/>
              <w:rPr>
                <w:sz w:val="20"/>
                <w:szCs w:val="20"/>
                <w:color w:val="auto"/>
              </w:rPr>
            </w:pPr>
            <w:r>
              <w:rPr>
                <w:rFonts w:ascii="Arial" w:cs="Arial" w:eastAsia="Arial" w:hAnsi="Arial"/>
                <w:sz w:val="18"/>
                <w:szCs w:val="18"/>
                <w:color w:val="auto"/>
              </w:rPr>
              <w:t>NM</w:t>
            </w:r>
          </w:p>
        </w:tc>
      </w:tr>
      <w:tr>
        <w:trPr>
          <w:trHeight w:val="269"/>
        </w:trPr>
        <w:tc>
          <w:tcPr>
            <w:tcW w:w="3880" w:type="dxa"/>
            <w:vAlign w:val="bottom"/>
          </w:tcPr>
          <w:p>
            <w:pPr>
              <w:ind w:left="40"/>
              <w:spacing w:after="0"/>
              <w:rPr>
                <w:sz w:val="20"/>
                <w:szCs w:val="20"/>
                <w:color w:val="auto"/>
              </w:rPr>
            </w:pPr>
            <w:r>
              <w:rPr>
                <w:rFonts w:ascii="Arial" w:cs="Arial" w:eastAsia="Arial" w:hAnsi="Arial"/>
                <w:sz w:val="18"/>
                <w:szCs w:val="18"/>
                <w:color w:val="auto"/>
              </w:rPr>
              <w:t>Evista</w:t>
            </w:r>
          </w:p>
        </w:tc>
        <w:tc>
          <w:tcPr>
            <w:tcW w:w="300" w:type="dxa"/>
            <w:vAlign w:val="bottom"/>
          </w:tcPr>
          <w:p>
            <w:pPr>
              <w:spacing w:after="0"/>
              <w:rPr>
                <w:sz w:val="23"/>
                <w:szCs w:val="23"/>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b w:val="1"/>
                <w:bCs w:val="1"/>
                <w:color w:val="auto"/>
              </w:rPr>
              <w:t>61.7</w:t>
            </w:r>
          </w:p>
        </w:tc>
        <w:tc>
          <w:tcPr>
            <w:tcW w:w="300" w:type="dxa"/>
            <w:vAlign w:val="bottom"/>
          </w:tcPr>
          <w:p>
            <w:pPr>
              <w:spacing w:after="0"/>
              <w:rPr>
                <w:sz w:val="23"/>
                <w:szCs w:val="23"/>
                <w:color w:val="auto"/>
              </w:rPr>
            </w:pPr>
          </w:p>
        </w:tc>
        <w:tc>
          <w:tcPr>
            <w:tcW w:w="1220" w:type="dxa"/>
            <w:vAlign w:val="bottom"/>
          </w:tcPr>
          <w:p>
            <w:pPr>
              <w:jc w:val="right"/>
              <w:ind w:right="72"/>
              <w:spacing w:after="0"/>
              <w:rPr>
                <w:sz w:val="20"/>
                <w:szCs w:val="20"/>
                <w:color w:val="auto"/>
              </w:rPr>
            </w:pPr>
            <w:r>
              <w:rPr>
                <w:rFonts w:ascii="Arial" w:cs="Arial" w:eastAsia="Arial" w:hAnsi="Arial"/>
                <w:sz w:val="18"/>
                <w:szCs w:val="18"/>
                <w:b w:val="1"/>
                <w:bCs w:val="1"/>
                <w:color w:val="auto"/>
              </w:rPr>
              <w:t>175.6</w:t>
            </w:r>
          </w:p>
        </w:tc>
        <w:tc>
          <w:tcPr>
            <w:tcW w:w="380" w:type="dxa"/>
            <w:vAlign w:val="bottom"/>
          </w:tcPr>
          <w:p>
            <w:pPr>
              <w:spacing w:after="0"/>
              <w:rPr>
                <w:sz w:val="23"/>
                <w:szCs w:val="23"/>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b w:val="1"/>
                <w:bCs w:val="1"/>
                <w:color w:val="auto"/>
              </w:rPr>
              <w:t>237.3</w:t>
            </w:r>
          </w:p>
        </w:tc>
        <w:tc>
          <w:tcPr>
            <w:tcW w:w="320" w:type="dxa"/>
            <w:vAlign w:val="bottom"/>
          </w:tcPr>
          <w:p>
            <w:pPr>
              <w:spacing w:after="0"/>
              <w:rPr>
                <w:sz w:val="23"/>
                <w:szCs w:val="23"/>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419.8</w:t>
            </w:r>
          </w:p>
        </w:tc>
        <w:tc>
          <w:tcPr>
            <w:tcW w:w="1740" w:type="dxa"/>
            <w:vAlign w:val="bottom"/>
          </w:tcPr>
          <w:p>
            <w:pPr>
              <w:jc w:val="right"/>
              <w:ind w:right="293"/>
              <w:spacing w:after="0"/>
              <w:rPr>
                <w:sz w:val="20"/>
                <w:szCs w:val="20"/>
                <w:color w:val="auto"/>
              </w:rPr>
            </w:pPr>
            <w:r>
              <w:rPr>
                <w:rFonts w:ascii="Arial" w:cs="Arial" w:eastAsia="Arial" w:hAnsi="Arial"/>
                <w:sz w:val="18"/>
                <w:szCs w:val="18"/>
                <w:color w:val="auto"/>
              </w:rPr>
              <w:t>(43)</w:t>
            </w:r>
          </w:p>
        </w:tc>
      </w:tr>
      <w:tr>
        <w:trPr>
          <w:trHeight w:val="271"/>
        </w:trPr>
        <w:tc>
          <w:tcPr>
            <w:tcW w:w="3880" w:type="dxa"/>
            <w:vAlign w:val="bottom"/>
            <w:shd w:val="clear" w:color="auto" w:fill="D8D8D8"/>
          </w:tcPr>
          <w:p>
            <w:pPr>
              <w:ind w:left="40"/>
              <w:spacing w:after="0"/>
              <w:rPr>
                <w:sz w:val="20"/>
                <w:szCs w:val="20"/>
                <w:color w:val="auto"/>
              </w:rPr>
            </w:pPr>
            <w:r>
              <w:rPr>
                <w:rFonts w:ascii="Arial" w:cs="Arial" w:eastAsia="Arial" w:hAnsi="Arial"/>
                <w:sz w:val="18"/>
                <w:szCs w:val="18"/>
                <w:color w:val="auto"/>
              </w:rPr>
              <w:t>Other pharmaceutical products</w:t>
            </w:r>
            <w:r>
              <w:rPr>
                <w:rFonts w:ascii="Arial" w:cs="Arial" w:eastAsia="Arial" w:hAnsi="Arial"/>
                <w:sz w:val="21"/>
                <w:szCs w:val="21"/>
                <w:color w:val="auto"/>
                <w:vertAlign w:val="superscript"/>
              </w:rPr>
              <w:t>(2)</w:t>
            </w:r>
          </w:p>
        </w:tc>
        <w:tc>
          <w:tcPr>
            <w:tcW w:w="300" w:type="dxa"/>
            <w:vAlign w:val="bottom"/>
            <w:shd w:val="clear" w:color="auto" w:fill="D8D8D8"/>
          </w:tcPr>
          <w:p>
            <w:pPr>
              <w:spacing w:after="0"/>
              <w:rPr>
                <w:sz w:val="23"/>
                <w:szCs w:val="23"/>
                <w:color w:val="auto"/>
              </w:rPr>
            </w:pPr>
          </w:p>
        </w:tc>
        <w:tc>
          <w:tcPr>
            <w:tcW w:w="1060" w:type="dxa"/>
            <w:vAlign w:val="bottom"/>
            <w:shd w:val="clear" w:color="auto" w:fill="D8D8D8"/>
          </w:tcPr>
          <w:p>
            <w:pPr>
              <w:jc w:val="right"/>
              <w:ind w:right="31"/>
              <w:spacing w:after="0"/>
              <w:rPr>
                <w:sz w:val="20"/>
                <w:szCs w:val="20"/>
                <w:color w:val="auto"/>
              </w:rPr>
            </w:pPr>
            <w:r>
              <w:rPr>
                <w:rFonts w:ascii="Arial" w:cs="Arial" w:eastAsia="Arial" w:hAnsi="Arial"/>
                <w:sz w:val="18"/>
                <w:szCs w:val="18"/>
                <w:b w:val="1"/>
                <w:bCs w:val="1"/>
                <w:color w:val="auto"/>
              </w:rPr>
              <w:t>738.4</w:t>
            </w:r>
          </w:p>
        </w:tc>
        <w:tc>
          <w:tcPr>
            <w:tcW w:w="300" w:type="dxa"/>
            <w:vAlign w:val="bottom"/>
            <w:shd w:val="clear" w:color="auto" w:fill="D8D8D8"/>
          </w:tcPr>
          <w:p>
            <w:pPr>
              <w:spacing w:after="0"/>
              <w:rPr>
                <w:sz w:val="23"/>
                <w:szCs w:val="23"/>
                <w:color w:val="auto"/>
              </w:rPr>
            </w:pPr>
          </w:p>
        </w:tc>
        <w:tc>
          <w:tcPr>
            <w:tcW w:w="1220" w:type="dxa"/>
            <w:vAlign w:val="bottom"/>
            <w:shd w:val="clear" w:color="auto" w:fill="D8D8D8"/>
          </w:tcPr>
          <w:p>
            <w:pPr>
              <w:jc w:val="right"/>
              <w:ind w:right="72"/>
              <w:spacing w:after="0"/>
              <w:rPr>
                <w:sz w:val="20"/>
                <w:szCs w:val="20"/>
                <w:color w:val="auto"/>
              </w:rPr>
            </w:pPr>
            <w:r>
              <w:rPr>
                <w:rFonts w:ascii="Arial" w:cs="Arial" w:eastAsia="Arial" w:hAnsi="Arial"/>
                <w:sz w:val="18"/>
                <w:szCs w:val="18"/>
                <w:b w:val="1"/>
                <w:bCs w:val="1"/>
                <w:color w:val="auto"/>
              </w:rPr>
              <w:t>785.1</w:t>
            </w:r>
          </w:p>
        </w:tc>
        <w:tc>
          <w:tcPr>
            <w:tcW w:w="380" w:type="dxa"/>
            <w:vAlign w:val="bottom"/>
            <w:shd w:val="clear" w:color="auto" w:fill="D8D8D8"/>
          </w:tcPr>
          <w:p>
            <w:pPr>
              <w:spacing w:after="0"/>
              <w:rPr>
                <w:sz w:val="23"/>
                <w:szCs w:val="23"/>
                <w:color w:val="auto"/>
              </w:rPr>
            </w:pPr>
          </w:p>
        </w:tc>
        <w:tc>
          <w:tcPr>
            <w:tcW w:w="1020" w:type="dxa"/>
            <w:vAlign w:val="bottom"/>
            <w:shd w:val="clear" w:color="auto" w:fill="D8D8D8"/>
          </w:tcPr>
          <w:p>
            <w:pPr>
              <w:jc w:val="right"/>
              <w:ind w:right="11"/>
              <w:spacing w:after="0"/>
              <w:rPr>
                <w:sz w:val="20"/>
                <w:szCs w:val="20"/>
                <w:color w:val="auto"/>
              </w:rPr>
            </w:pPr>
            <w:r>
              <w:rPr>
                <w:rFonts w:ascii="Arial" w:cs="Arial" w:eastAsia="Arial" w:hAnsi="Arial"/>
                <w:sz w:val="18"/>
                <w:szCs w:val="18"/>
                <w:b w:val="1"/>
                <w:bCs w:val="1"/>
                <w:color w:val="auto"/>
              </w:rPr>
              <w:t>1,523.5</w:t>
            </w:r>
          </w:p>
        </w:tc>
        <w:tc>
          <w:tcPr>
            <w:tcW w:w="320" w:type="dxa"/>
            <w:vAlign w:val="bottom"/>
            <w:shd w:val="clear" w:color="auto" w:fill="D8D8D8"/>
          </w:tcPr>
          <w:p>
            <w:pPr>
              <w:spacing w:after="0"/>
              <w:rPr>
                <w:sz w:val="23"/>
                <w:szCs w:val="23"/>
                <w:color w:val="auto"/>
              </w:rPr>
            </w:pPr>
          </w:p>
        </w:tc>
        <w:tc>
          <w:tcPr>
            <w:tcW w:w="1140" w:type="dxa"/>
            <w:vAlign w:val="bottom"/>
            <w:shd w:val="clear" w:color="auto" w:fill="D8D8D8"/>
          </w:tcPr>
          <w:p>
            <w:pPr>
              <w:jc w:val="right"/>
              <w:ind w:right="12"/>
              <w:spacing w:after="0"/>
              <w:rPr>
                <w:sz w:val="20"/>
                <w:szCs w:val="20"/>
                <w:color w:val="auto"/>
              </w:rPr>
            </w:pPr>
            <w:r>
              <w:rPr>
                <w:rFonts w:ascii="Arial" w:cs="Arial" w:eastAsia="Arial" w:hAnsi="Arial"/>
                <w:sz w:val="18"/>
                <w:szCs w:val="18"/>
                <w:color w:val="auto"/>
              </w:rPr>
              <w:t>1,472.0</w:t>
            </w:r>
          </w:p>
        </w:tc>
        <w:tc>
          <w:tcPr>
            <w:tcW w:w="1740" w:type="dxa"/>
            <w:vAlign w:val="bottom"/>
            <w:shd w:val="clear" w:color="auto" w:fill="D8D8D8"/>
          </w:tcPr>
          <w:p>
            <w:pPr>
              <w:jc w:val="right"/>
              <w:ind w:right="353"/>
              <w:spacing w:after="0"/>
              <w:rPr>
                <w:sz w:val="20"/>
                <w:szCs w:val="20"/>
                <w:color w:val="auto"/>
              </w:rPr>
            </w:pPr>
            <w:r>
              <w:rPr>
                <w:rFonts w:ascii="Arial" w:cs="Arial" w:eastAsia="Arial" w:hAnsi="Arial"/>
                <w:sz w:val="18"/>
                <w:szCs w:val="18"/>
                <w:color w:val="auto"/>
              </w:rPr>
              <w:t>3</w:t>
            </w:r>
          </w:p>
        </w:tc>
      </w:tr>
      <w:tr>
        <w:trPr>
          <w:trHeight w:val="269"/>
        </w:trPr>
        <w:tc>
          <w:tcPr>
            <w:tcW w:w="3880" w:type="dxa"/>
            <w:vAlign w:val="bottom"/>
            <w:tcBorders>
              <w:bottom w:val="single" w:sz="8" w:color="D8D8D8"/>
            </w:tcBorders>
          </w:tcPr>
          <w:p>
            <w:pPr>
              <w:ind w:left="40"/>
              <w:spacing w:after="0"/>
              <w:rPr>
                <w:sz w:val="20"/>
                <w:szCs w:val="20"/>
                <w:color w:val="auto"/>
              </w:rPr>
            </w:pPr>
            <w:r>
              <w:rPr>
                <w:rFonts w:ascii="Arial" w:cs="Arial" w:eastAsia="Arial" w:hAnsi="Arial"/>
                <w:sz w:val="18"/>
                <w:szCs w:val="18"/>
                <w:color w:val="auto"/>
              </w:rPr>
              <w:t>Animal health products</w:t>
            </w:r>
          </w:p>
        </w:tc>
        <w:tc>
          <w:tcPr>
            <w:tcW w:w="3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1,541.2</w:t>
            </w:r>
          </w:p>
        </w:tc>
        <w:tc>
          <w:tcPr>
            <w:tcW w:w="30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1,639.8</w:t>
            </w:r>
          </w:p>
        </w:tc>
        <w:tc>
          <w:tcPr>
            <w:tcW w:w="3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3,181.0</w:t>
            </w:r>
          </w:p>
        </w:tc>
        <w:tc>
          <w:tcPr>
            <w:tcW w:w="3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2,346.6</w:t>
            </w:r>
          </w:p>
        </w:tc>
        <w:tc>
          <w:tcPr>
            <w:tcW w:w="1740" w:type="dxa"/>
            <w:vAlign w:val="bottom"/>
            <w:tcBorders>
              <w:bottom w:val="single" w:sz="8" w:color="D8D8D8"/>
            </w:tcBorders>
          </w:tcPr>
          <w:p>
            <w:pPr>
              <w:jc w:val="right"/>
              <w:ind w:right="353"/>
              <w:spacing w:after="0"/>
              <w:rPr>
                <w:sz w:val="20"/>
                <w:szCs w:val="20"/>
                <w:color w:val="auto"/>
              </w:rPr>
            </w:pPr>
            <w:r>
              <w:rPr>
                <w:rFonts w:ascii="Arial" w:cs="Arial" w:eastAsia="Arial" w:hAnsi="Arial"/>
                <w:sz w:val="18"/>
                <w:szCs w:val="18"/>
                <w:color w:val="auto"/>
              </w:rPr>
              <w:t>36</w:t>
            </w:r>
          </w:p>
        </w:tc>
      </w:tr>
      <w:tr>
        <w:trPr>
          <w:trHeight w:val="264"/>
        </w:trPr>
        <w:tc>
          <w:tcPr>
            <w:tcW w:w="3880" w:type="dxa"/>
            <w:vAlign w:val="bottom"/>
            <w:shd w:val="clear" w:color="auto" w:fill="D8D8D8"/>
          </w:tcPr>
          <w:p>
            <w:pPr>
              <w:ind w:left="280"/>
              <w:spacing w:after="0"/>
              <w:rPr>
                <w:sz w:val="20"/>
                <w:szCs w:val="20"/>
                <w:color w:val="auto"/>
              </w:rPr>
            </w:pPr>
            <w:r>
              <w:rPr>
                <w:rFonts w:ascii="Arial" w:cs="Arial" w:eastAsia="Arial" w:hAnsi="Arial"/>
                <w:sz w:val="18"/>
                <w:szCs w:val="18"/>
                <w:color w:val="auto"/>
              </w:rPr>
              <w:t>Total net product revenue</w:t>
            </w:r>
          </w:p>
        </w:tc>
        <w:tc>
          <w:tcPr>
            <w:tcW w:w="300" w:type="dxa"/>
            <w:vAlign w:val="bottom"/>
            <w:shd w:val="clear" w:color="auto" w:fill="D8D8D8"/>
          </w:tcPr>
          <w:p>
            <w:pPr>
              <w:spacing w:after="0"/>
              <w:rPr>
                <w:sz w:val="22"/>
                <w:szCs w:val="22"/>
                <w:color w:val="auto"/>
              </w:rPr>
            </w:pPr>
          </w:p>
        </w:tc>
        <w:tc>
          <w:tcPr>
            <w:tcW w:w="1060" w:type="dxa"/>
            <w:vAlign w:val="bottom"/>
            <w:shd w:val="clear" w:color="auto" w:fill="D8D8D8"/>
          </w:tcPr>
          <w:p>
            <w:pPr>
              <w:jc w:val="right"/>
              <w:ind w:right="31"/>
              <w:spacing w:after="0"/>
              <w:rPr>
                <w:sz w:val="20"/>
                <w:szCs w:val="20"/>
                <w:color w:val="auto"/>
              </w:rPr>
            </w:pPr>
            <w:r>
              <w:rPr>
                <w:rFonts w:ascii="Arial" w:cs="Arial" w:eastAsia="Arial" w:hAnsi="Arial"/>
                <w:sz w:val="18"/>
                <w:szCs w:val="18"/>
                <w:b w:val="1"/>
                <w:bCs w:val="1"/>
                <w:color w:val="auto"/>
              </w:rPr>
              <w:t>9,616.0</w:t>
            </w:r>
          </w:p>
        </w:tc>
        <w:tc>
          <w:tcPr>
            <w:tcW w:w="300" w:type="dxa"/>
            <w:vAlign w:val="bottom"/>
            <w:shd w:val="clear" w:color="auto" w:fill="D8D8D8"/>
          </w:tcPr>
          <w:p>
            <w:pPr>
              <w:spacing w:after="0"/>
              <w:rPr>
                <w:sz w:val="22"/>
                <w:szCs w:val="22"/>
                <w:color w:val="auto"/>
              </w:rPr>
            </w:pPr>
          </w:p>
        </w:tc>
        <w:tc>
          <w:tcPr>
            <w:tcW w:w="1220" w:type="dxa"/>
            <w:vAlign w:val="bottom"/>
            <w:shd w:val="clear" w:color="auto" w:fill="D8D8D8"/>
          </w:tcPr>
          <w:p>
            <w:pPr>
              <w:jc w:val="right"/>
              <w:ind w:right="72"/>
              <w:spacing w:after="0"/>
              <w:rPr>
                <w:sz w:val="20"/>
                <w:szCs w:val="20"/>
                <w:color w:val="auto"/>
              </w:rPr>
            </w:pPr>
            <w:r>
              <w:rPr>
                <w:rFonts w:ascii="Arial" w:cs="Arial" w:eastAsia="Arial" w:hAnsi="Arial"/>
                <w:sz w:val="18"/>
                <w:szCs w:val="18"/>
                <w:b w:val="1"/>
                <w:bCs w:val="1"/>
                <w:color w:val="auto"/>
              </w:rPr>
              <w:t>9,534.6</w:t>
            </w:r>
          </w:p>
        </w:tc>
        <w:tc>
          <w:tcPr>
            <w:tcW w:w="380" w:type="dxa"/>
            <w:vAlign w:val="bottom"/>
            <w:shd w:val="clear" w:color="auto" w:fill="D8D8D8"/>
          </w:tcPr>
          <w:p>
            <w:pPr>
              <w:spacing w:after="0"/>
              <w:rPr>
                <w:sz w:val="22"/>
                <w:szCs w:val="22"/>
                <w:color w:val="auto"/>
              </w:rPr>
            </w:pPr>
          </w:p>
        </w:tc>
        <w:tc>
          <w:tcPr>
            <w:tcW w:w="1020" w:type="dxa"/>
            <w:vAlign w:val="bottom"/>
            <w:shd w:val="clear" w:color="auto" w:fill="D8D8D8"/>
          </w:tcPr>
          <w:p>
            <w:pPr>
              <w:jc w:val="right"/>
              <w:ind w:right="11"/>
              <w:spacing w:after="0"/>
              <w:rPr>
                <w:sz w:val="20"/>
                <w:szCs w:val="20"/>
                <w:color w:val="auto"/>
              </w:rPr>
            </w:pPr>
            <w:r>
              <w:rPr>
                <w:rFonts w:ascii="Arial" w:cs="Arial" w:eastAsia="Arial" w:hAnsi="Arial"/>
                <w:sz w:val="18"/>
                <w:szCs w:val="18"/>
                <w:b w:val="1"/>
                <w:bCs w:val="1"/>
                <w:color w:val="auto"/>
              </w:rPr>
              <w:t>19,150.6</w:t>
            </w:r>
          </w:p>
        </w:tc>
        <w:tc>
          <w:tcPr>
            <w:tcW w:w="320" w:type="dxa"/>
            <w:vAlign w:val="bottom"/>
            <w:shd w:val="clear" w:color="auto" w:fill="D8D8D8"/>
          </w:tcPr>
          <w:p>
            <w:pPr>
              <w:spacing w:after="0"/>
              <w:rPr>
                <w:sz w:val="22"/>
                <w:szCs w:val="22"/>
                <w:color w:val="auto"/>
              </w:rPr>
            </w:pPr>
          </w:p>
        </w:tc>
        <w:tc>
          <w:tcPr>
            <w:tcW w:w="1140" w:type="dxa"/>
            <w:vAlign w:val="bottom"/>
            <w:shd w:val="clear" w:color="auto" w:fill="D8D8D8"/>
          </w:tcPr>
          <w:p>
            <w:pPr>
              <w:jc w:val="right"/>
              <w:ind w:right="12"/>
              <w:spacing w:after="0"/>
              <w:rPr>
                <w:sz w:val="20"/>
                <w:szCs w:val="20"/>
                <w:color w:val="auto"/>
              </w:rPr>
            </w:pPr>
            <w:r>
              <w:rPr>
                <w:rFonts w:ascii="Arial" w:cs="Arial" w:eastAsia="Arial" w:hAnsi="Arial"/>
                <w:sz w:val="18"/>
                <w:szCs w:val="18"/>
                <w:color w:val="auto"/>
              </w:rPr>
              <w:t>18,827.2</w:t>
            </w:r>
          </w:p>
        </w:tc>
        <w:tc>
          <w:tcPr>
            <w:tcW w:w="1740" w:type="dxa"/>
            <w:vAlign w:val="bottom"/>
            <w:shd w:val="clear" w:color="auto" w:fill="D8D8D8"/>
          </w:tcPr>
          <w:p>
            <w:pPr>
              <w:jc w:val="right"/>
              <w:ind w:right="353"/>
              <w:spacing w:after="0"/>
              <w:rPr>
                <w:sz w:val="20"/>
                <w:szCs w:val="20"/>
                <w:color w:val="auto"/>
              </w:rPr>
            </w:pPr>
            <w:r>
              <w:rPr>
                <w:rFonts w:ascii="Arial" w:cs="Arial" w:eastAsia="Arial" w:hAnsi="Arial"/>
                <w:sz w:val="18"/>
                <w:szCs w:val="18"/>
                <w:color w:val="auto"/>
              </w:rPr>
              <w:t>2</w:t>
            </w:r>
          </w:p>
        </w:tc>
      </w:tr>
      <w:tr>
        <w:trPr>
          <w:trHeight w:val="270"/>
        </w:trPr>
        <w:tc>
          <w:tcPr>
            <w:tcW w:w="3880" w:type="dxa"/>
            <w:vAlign w:val="bottom"/>
            <w:tcBorders>
              <w:bottom w:val="single" w:sz="8" w:color="D8D8D8"/>
            </w:tcBorders>
          </w:tcPr>
          <w:p>
            <w:pPr>
              <w:ind w:left="40"/>
              <w:spacing w:after="0"/>
              <w:rPr>
                <w:sz w:val="20"/>
                <w:szCs w:val="20"/>
                <w:color w:val="auto"/>
              </w:rPr>
            </w:pPr>
            <w:r>
              <w:rPr>
                <w:rFonts w:ascii="Arial" w:cs="Arial" w:eastAsia="Arial" w:hAnsi="Arial"/>
                <w:sz w:val="18"/>
                <w:szCs w:val="18"/>
                <w:color w:val="auto"/>
              </w:rPr>
              <w:t>Collaboration and other revenue</w:t>
            </w:r>
            <w:r>
              <w:rPr>
                <w:rFonts w:ascii="Arial" w:cs="Arial" w:eastAsia="Arial" w:hAnsi="Arial"/>
                <w:sz w:val="21"/>
                <w:szCs w:val="21"/>
                <w:color w:val="auto"/>
                <w:vertAlign w:val="superscript"/>
              </w:rPr>
              <w:t>(3)</w:t>
            </w:r>
          </w:p>
        </w:tc>
        <w:tc>
          <w:tcPr>
            <w:tcW w:w="3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481.4</w:t>
            </w:r>
          </w:p>
        </w:tc>
        <w:tc>
          <w:tcPr>
            <w:tcW w:w="30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326.7</w:t>
            </w:r>
          </w:p>
        </w:tc>
        <w:tc>
          <w:tcPr>
            <w:tcW w:w="3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808.1</w:t>
            </w:r>
          </w:p>
        </w:tc>
        <w:tc>
          <w:tcPr>
            <w:tcW w:w="3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788.4</w:t>
            </w:r>
          </w:p>
        </w:tc>
        <w:tc>
          <w:tcPr>
            <w:tcW w:w="1740" w:type="dxa"/>
            <w:vAlign w:val="bottom"/>
            <w:tcBorders>
              <w:bottom w:val="single" w:sz="8" w:color="D8D8D8"/>
            </w:tcBorders>
          </w:tcPr>
          <w:p>
            <w:pPr>
              <w:jc w:val="right"/>
              <w:ind w:right="353"/>
              <w:spacing w:after="0"/>
              <w:rPr>
                <w:sz w:val="20"/>
                <w:szCs w:val="20"/>
                <w:color w:val="auto"/>
              </w:rPr>
            </w:pPr>
            <w:r>
              <w:rPr>
                <w:rFonts w:ascii="Arial" w:cs="Arial" w:eastAsia="Arial" w:hAnsi="Arial"/>
                <w:sz w:val="18"/>
                <w:szCs w:val="18"/>
                <w:color w:val="auto"/>
              </w:rPr>
              <w:t>2</w:t>
            </w:r>
          </w:p>
        </w:tc>
      </w:tr>
      <w:tr>
        <w:trPr>
          <w:trHeight w:val="271"/>
        </w:trPr>
        <w:tc>
          <w:tcPr>
            <w:tcW w:w="3880" w:type="dxa"/>
            <w:vAlign w:val="bottom"/>
            <w:tcBorders>
              <w:bottom w:val="single" w:sz="8" w:color="D8D8D8"/>
            </w:tcBorders>
            <w:shd w:val="clear" w:color="auto" w:fill="D8D8D8"/>
          </w:tcPr>
          <w:p>
            <w:pPr>
              <w:ind w:left="280"/>
              <w:spacing w:after="0"/>
              <w:rPr>
                <w:sz w:val="20"/>
                <w:szCs w:val="20"/>
                <w:color w:val="auto"/>
              </w:rPr>
            </w:pPr>
            <w:r>
              <w:rPr>
                <w:rFonts w:ascii="Arial" w:cs="Arial" w:eastAsia="Arial" w:hAnsi="Arial"/>
                <w:sz w:val="18"/>
                <w:szCs w:val="18"/>
                <w:color w:val="auto"/>
              </w:rPr>
              <w:t>Revenue</w:t>
            </w:r>
          </w:p>
        </w:tc>
        <w:tc>
          <w:tcPr>
            <w:tcW w:w="300" w:type="dxa"/>
            <w:vAlign w:val="bottom"/>
            <w:tcBorders>
              <w:bottom w:val="single" w:sz="8" w:color="auto"/>
            </w:tcBorders>
            <w:shd w:val="clear" w:color="auto" w:fill="D8D8D8"/>
          </w:tcPr>
          <w:p>
            <w:pPr>
              <w:jc w:val="right"/>
              <w:ind w:right="70"/>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tcBorders>
            <w:shd w:val="clear" w:color="auto" w:fill="D8D8D8"/>
          </w:tcPr>
          <w:p>
            <w:pPr>
              <w:jc w:val="right"/>
              <w:ind w:right="31"/>
              <w:spacing w:after="0"/>
              <w:rPr>
                <w:sz w:val="20"/>
                <w:szCs w:val="20"/>
                <w:color w:val="auto"/>
              </w:rPr>
            </w:pPr>
            <w:r>
              <w:rPr>
                <w:rFonts w:ascii="Arial" w:cs="Arial" w:eastAsia="Arial" w:hAnsi="Arial"/>
                <w:sz w:val="18"/>
                <w:szCs w:val="18"/>
                <w:b w:val="1"/>
                <w:bCs w:val="1"/>
                <w:color w:val="auto"/>
              </w:rPr>
              <w:t>10,097.4</w:t>
            </w:r>
          </w:p>
        </w:tc>
        <w:tc>
          <w:tcPr>
            <w:tcW w:w="300" w:type="dxa"/>
            <w:vAlign w:val="bottom"/>
            <w:tcBorders>
              <w:bottom w:val="single" w:sz="8" w:color="auto"/>
            </w:tcBorders>
            <w:shd w:val="clear" w:color="auto" w:fill="D8D8D8"/>
          </w:tcPr>
          <w:p>
            <w:pPr>
              <w:ind w:left="120"/>
              <w:spacing w:after="0"/>
              <w:rPr>
                <w:sz w:val="20"/>
                <w:szCs w:val="20"/>
                <w:color w:val="auto"/>
              </w:rPr>
            </w:pPr>
            <w:r>
              <w:rPr>
                <w:rFonts w:ascii="Arial" w:cs="Arial" w:eastAsia="Arial" w:hAnsi="Arial"/>
                <w:sz w:val="18"/>
                <w:szCs w:val="18"/>
                <w:b w:val="1"/>
                <w:bCs w:val="1"/>
                <w:color w:val="auto"/>
              </w:rPr>
              <w:t>$</w:t>
            </w:r>
          </w:p>
        </w:tc>
        <w:tc>
          <w:tcPr>
            <w:tcW w:w="1220" w:type="dxa"/>
            <w:vAlign w:val="bottom"/>
            <w:tcBorders>
              <w:bottom w:val="single" w:sz="8" w:color="auto"/>
            </w:tcBorders>
            <w:shd w:val="clear" w:color="auto" w:fill="D8D8D8"/>
          </w:tcPr>
          <w:p>
            <w:pPr>
              <w:jc w:val="right"/>
              <w:ind w:right="72"/>
              <w:spacing w:after="0"/>
              <w:rPr>
                <w:sz w:val="20"/>
                <w:szCs w:val="20"/>
                <w:color w:val="auto"/>
              </w:rPr>
            </w:pPr>
            <w:r>
              <w:rPr>
                <w:rFonts w:ascii="Arial" w:cs="Arial" w:eastAsia="Arial" w:hAnsi="Arial"/>
                <w:sz w:val="18"/>
                <w:szCs w:val="18"/>
                <w:b w:val="1"/>
                <w:bCs w:val="1"/>
                <w:color w:val="auto"/>
              </w:rPr>
              <w:t>9,861.3</w:t>
            </w:r>
          </w:p>
        </w:tc>
        <w:tc>
          <w:tcPr>
            <w:tcW w:w="380" w:type="dxa"/>
            <w:vAlign w:val="bottom"/>
            <w:tcBorders>
              <w:bottom w:val="single" w:sz="8" w:color="auto"/>
            </w:tcBorders>
            <w:shd w:val="clear" w:color="auto" w:fill="D8D8D8"/>
          </w:tcPr>
          <w:p>
            <w:pPr>
              <w:jc w:val="right"/>
              <w:ind w:right="11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tcBorders>
            <w:shd w:val="clear" w:color="auto" w:fill="D8D8D8"/>
          </w:tcPr>
          <w:p>
            <w:pPr>
              <w:jc w:val="right"/>
              <w:ind w:right="11"/>
              <w:spacing w:after="0"/>
              <w:rPr>
                <w:sz w:val="20"/>
                <w:szCs w:val="20"/>
                <w:color w:val="auto"/>
              </w:rPr>
            </w:pPr>
            <w:r>
              <w:rPr>
                <w:rFonts w:ascii="Arial" w:cs="Arial" w:eastAsia="Arial" w:hAnsi="Arial"/>
                <w:sz w:val="18"/>
                <w:szCs w:val="18"/>
                <w:b w:val="1"/>
                <w:bCs w:val="1"/>
                <w:color w:val="auto"/>
              </w:rPr>
              <w:t>19,958.7</w:t>
            </w:r>
          </w:p>
        </w:tc>
        <w:tc>
          <w:tcPr>
            <w:tcW w:w="320" w:type="dxa"/>
            <w:vAlign w:val="bottom"/>
            <w:tcBorders>
              <w:bottom w:val="single" w:sz="8" w:color="auto"/>
            </w:tcBorders>
            <w:shd w:val="clear" w:color="auto" w:fill="D8D8D8"/>
          </w:tcPr>
          <w:p>
            <w:pPr>
              <w:ind w:left="1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D8D8D8"/>
          </w:tcPr>
          <w:p>
            <w:pPr>
              <w:jc w:val="right"/>
              <w:ind w:right="12"/>
              <w:spacing w:after="0"/>
              <w:rPr>
                <w:sz w:val="20"/>
                <w:szCs w:val="20"/>
                <w:color w:val="auto"/>
              </w:rPr>
            </w:pPr>
            <w:r>
              <w:rPr>
                <w:rFonts w:ascii="Arial" w:cs="Arial" w:eastAsia="Arial" w:hAnsi="Arial"/>
                <w:sz w:val="18"/>
                <w:szCs w:val="18"/>
                <w:color w:val="auto"/>
              </w:rPr>
              <w:t>19,615.6</w:t>
            </w:r>
          </w:p>
        </w:tc>
        <w:tc>
          <w:tcPr>
            <w:tcW w:w="1740" w:type="dxa"/>
            <w:vAlign w:val="bottom"/>
            <w:tcBorders>
              <w:bottom w:val="single" w:sz="8" w:color="auto"/>
            </w:tcBorders>
            <w:shd w:val="clear" w:color="auto" w:fill="D8D8D8"/>
          </w:tcPr>
          <w:p>
            <w:pPr>
              <w:jc w:val="right"/>
              <w:ind w:right="353"/>
              <w:spacing w:after="0"/>
              <w:rPr>
                <w:sz w:val="20"/>
                <w:szCs w:val="20"/>
                <w:color w:val="auto"/>
              </w:rPr>
            </w:pPr>
            <w:r>
              <w:rPr>
                <w:rFonts w:ascii="Arial" w:cs="Arial" w:eastAsia="Arial" w:hAnsi="Arial"/>
                <w:sz w:val="18"/>
                <w:szCs w:val="18"/>
                <w:color w:val="auto"/>
              </w:rPr>
              <w:t>2</w:t>
            </w:r>
          </w:p>
        </w:tc>
      </w:tr>
    </w:tbl>
    <w:p>
      <w:pPr>
        <w:spacing w:after="0" w:line="82" w:lineRule="exact"/>
        <w:rPr>
          <w:sz w:val="20"/>
          <w:szCs w:val="20"/>
          <w:color w:val="auto"/>
        </w:rPr>
      </w:pPr>
    </w:p>
    <w:p>
      <w:pPr>
        <w:ind w:left="180" w:hanging="172"/>
        <w:spacing w:after="0"/>
        <w:tabs>
          <w:tab w:leader="none" w:pos="180" w:val="left"/>
        </w:tabs>
        <w:numPr>
          <w:ilvl w:val="0"/>
          <w:numId w:val="43"/>
        </w:numPr>
        <w:rPr>
          <w:rFonts w:ascii="Arial" w:cs="Arial" w:eastAsia="Arial" w:hAnsi="Arial"/>
          <w:sz w:val="18"/>
          <w:szCs w:val="18"/>
          <w:color w:val="auto"/>
          <w:vertAlign w:val="superscript"/>
        </w:rPr>
      </w:pPr>
      <w:r>
        <w:rPr>
          <w:rFonts w:ascii="Arial" w:cs="Arial" w:eastAsia="Arial" w:hAnsi="Arial"/>
          <w:sz w:val="14"/>
          <w:szCs w:val="14"/>
          <w:color w:val="auto"/>
        </w:rPr>
        <w:t>U.S. revenue includes revenue in Puerto Rico.</w:t>
      </w:r>
    </w:p>
    <w:p>
      <w:pPr>
        <w:spacing w:after="0" w:line="75" w:lineRule="exact"/>
        <w:rPr>
          <w:rFonts w:ascii="Arial" w:cs="Arial" w:eastAsia="Arial" w:hAnsi="Arial"/>
          <w:sz w:val="18"/>
          <w:szCs w:val="18"/>
          <w:color w:val="auto"/>
          <w:vertAlign w:val="superscript"/>
        </w:rPr>
      </w:pPr>
    </w:p>
    <w:p>
      <w:pPr>
        <w:ind w:left="180" w:right="120" w:hanging="172"/>
        <w:spacing w:after="0"/>
        <w:tabs>
          <w:tab w:leader="none" w:pos="153" w:val="left"/>
        </w:tabs>
        <w:numPr>
          <w:ilvl w:val="0"/>
          <w:numId w:val="43"/>
        </w:numPr>
        <w:rPr>
          <w:rFonts w:ascii="Arial" w:cs="Arial" w:eastAsia="Arial" w:hAnsi="Arial"/>
          <w:sz w:val="17"/>
          <w:szCs w:val="17"/>
          <w:color w:val="auto"/>
          <w:vertAlign w:val="superscript"/>
        </w:rPr>
      </w:pPr>
      <w:r>
        <w:rPr>
          <w:rFonts w:ascii="Arial" w:cs="Arial" w:eastAsia="Arial" w:hAnsi="Arial"/>
          <w:sz w:val="14"/>
          <w:szCs w:val="14"/>
          <w:color w:val="auto"/>
        </w:rPr>
        <w:t>Other pharmaceutical products includes revenue of $175.6 million and $46.1 million in 2015 and 2014, respectively, for Erbitux</w:t>
      </w:r>
      <w:r>
        <w:rPr>
          <w:rFonts w:ascii="Arial" w:cs="Arial" w:eastAsia="Arial" w:hAnsi="Arial"/>
          <w:sz w:val="16"/>
          <w:szCs w:val="16"/>
          <w:color w:val="auto"/>
          <w:vertAlign w:val="superscript"/>
        </w:rPr>
        <w:t>®</w:t>
      </w:r>
      <w:r>
        <w:rPr>
          <w:rFonts w:ascii="Arial" w:cs="Arial" w:eastAsia="Arial" w:hAnsi="Arial"/>
          <w:sz w:val="14"/>
          <w:szCs w:val="14"/>
          <w:color w:val="auto"/>
        </w:rPr>
        <w:t>. The 2015 revenue is primarily associated with net product revenue from third parties subsequent to the transfer of commercialization rights in the U.S. and Canada (collectively, North America) from Bristol-Myers Squibb Company and E.R. Squibb (collectively, BMS) to us in the fourth quarter. See Note 4 to the consolidated financial statements.</w:t>
      </w:r>
    </w:p>
    <w:p>
      <w:pPr>
        <w:spacing w:after="0" w:line="76" w:lineRule="exact"/>
        <w:rPr>
          <w:rFonts w:ascii="Arial" w:cs="Arial" w:eastAsia="Arial" w:hAnsi="Arial"/>
          <w:sz w:val="17"/>
          <w:szCs w:val="17"/>
          <w:color w:val="auto"/>
          <w:vertAlign w:val="superscript"/>
        </w:rPr>
      </w:pPr>
    </w:p>
    <w:p>
      <w:pPr>
        <w:ind w:left="180" w:right="60" w:hanging="172"/>
        <w:spacing w:after="0" w:line="235" w:lineRule="auto"/>
        <w:tabs>
          <w:tab w:leader="none" w:pos="180" w:val="left"/>
        </w:tabs>
        <w:numPr>
          <w:ilvl w:val="0"/>
          <w:numId w:val="43"/>
        </w:numPr>
        <w:rPr>
          <w:rFonts w:ascii="Arial" w:cs="Arial" w:eastAsia="Arial" w:hAnsi="Arial"/>
          <w:sz w:val="18"/>
          <w:szCs w:val="18"/>
          <w:color w:val="auto"/>
          <w:vertAlign w:val="superscript"/>
        </w:rPr>
      </w:pPr>
      <w:r>
        <w:rPr>
          <w:rFonts w:ascii="Arial" w:cs="Arial" w:eastAsia="Arial" w:hAnsi="Arial"/>
          <w:sz w:val="14"/>
          <w:szCs w:val="14"/>
          <w:color w:val="auto"/>
        </w:rPr>
        <w:t>Collaboration and other revenue consists primarily of revenue associated with Trajenta</w:t>
      </w:r>
      <w:r>
        <w:rPr>
          <w:rFonts w:ascii="Arial" w:cs="Arial" w:eastAsia="Arial" w:hAnsi="Arial"/>
          <w:sz w:val="17"/>
          <w:szCs w:val="17"/>
          <w:color w:val="auto"/>
          <w:vertAlign w:val="superscript"/>
        </w:rPr>
        <w:t>®</w:t>
      </w:r>
      <w:r>
        <w:rPr>
          <w:rFonts w:ascii="Arial" w:cs="Arial" w:eastAsia="Arial" w:hAnsi="Arial"/>
          <w:sz w:val="14"/>
          <w:szCs w:val="14"/>
          <w:color w:val="auto"/>
        </w:rPr>
        <w:t xml:space="preserve"> (which includes Jentadueto</w:t>
      </w:r>
      <w:r>
        <w:rPr>
          <w:rFonts w:ascii="Arial" w:cs="Arial" w:eastAsia="Arial" w:hAnsi="Arial"/>
          <w:sz w:val="17"/>
          <w:szCs w:val="17"/>
          <w:color w:val="auto"/>
          <w:vertAlign w:val="superscript"/>
        </w:rPr>
        <w:t>®</w:t>
      </w:r>
      <w:r>
        <w:rPr>
          <w:rFonts w:ascii="Arial" w:cs="Arial" w:eastAsia="Arial" w:hAnsi="Arial"/>
          <w:sz w:val="14"/>
          <w:szCs w:val="14"/>
          <w:color w:val="auto"/>
        </w:rPr>
        <w:t>) of $356.8 million and $328.8 million in 2015 and 2014, respectively, as well as royalties for Erbitux prior to the transfer of commercialization of rights in North America from BMS to us of $309.4 million and $327.2 million in 2015 and 2014, respectively. See Note 4 to the consolidated financial statements.</w:t>
      </w:r>
    </w:p>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NM - not meaningful</w:t>
      </w:r>
    </w:p>
    <w:p>
      <w:pPr>
        <w:spacing w:after="0" w:line="99"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Revenues of Humalog, our injectable human insulin analog for the treatment of diabetes, increased 9 percent in the U.S., driven by higher realized prices and, to a lesser extent, increased volume. Revenues outside the U.S. decreased 8 percent, driven by the unfavorable impact of foreign exchange rates, partially offset by higher volume.</w:t>
      </w:r>
    </w:p>
    <w:p>
      <w:pPr>
        <w:spacing w:after="0" w:line="55" w:lineRule="exact"/>
        <w:rPr>
          <w:sz w:val="20"/>
          <w:szCs w:val="20"/>
          <w:color w:val="auto"/>
        </w:rPr>
      </w:pPr>
    </w:p>
    <w:p>
      <w:pPr>
        <w:ind w:right="140"/>
        <w:spacing w:after="0" w:line="271" w:lineRule="auto"/>
        <w:rPr>
          <w:sz w:val="20"/>
          <w:szCs w:val="20"/>
          <w:color w:val="auto"/>
        </w:rPr>
      </w:pPr>
      <w:r>
        <w:rPr>
          <w:rFonts w:ascii="Arial" w:cs="Arial" w:eastAsia="Arial" w:hAnsi="Arial"/>
          <w:sz w:val="18"/>
          <w:szCs w:val="18"/>
          <w:color w:val="auto"/>
        </w:rPr>
        <w:t>Revenues of Alimta, a treatment for various cancers, decreased 5 percent in the U.S., driven by decreased demand and, to a lesser extent, lower realized prices. Revenues outside the U.S. decreased 15 percent, driven by the unfavorable impact of foreign exchange rates and, to a lesser extent, lower realized prices, partially offset by increased volume.</w:t>
      </w:r>
    </w:p>
    <w:p>
      <w:pPr>
        <w:spacing w:after="0" w:line="55" w:lineRule="exact"/>
        <w:rPr>
          <w:sz w:val="20"/>
          <w:szCs w:val="20"/>
          <w:color w:val="auto"/>
        </w:rPr>
      </w:pPr>
    </w:p>
    <w:p>
      <w:pPr>
        <w:ind w:right="300"/>
        <w:spacing w:after="0" w:line="292" w:lineRule="auto"/>
        <w:rPr>
          <w:sz w:val="20"/>
          <w:szCs w:val="20"/>
          <w:color w:val="auto"/>
        </w:rPr>
      </w:pPr>
      <w:r>
        <w:rPr>
          <w:rFonts w:ascii="Arial" w:cs="Arial" w:eastAsia="Arial" w:hAnsi="Arial"/>
          <w:sz w:val="18"/>
          <w:szCs w:val="18"/>
          <w:color w:val="auto"/>
        </w:rPr>
        <w:t>Revenues of Cialis, a treatment for erectile dysfunction and benign prostatic hyperplasia, increased 21 percent in the U.S., driven by higher realized prices. Revenues outside the U.S. decreased 16 percent, driven by the unfavorable impact of foreign exchange rates.</w:t>
      </w:r>
    </w:p>
    <w:p>
      <w:pPr>
        <w:spacing w:after="0" w:line="37"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Revenues of Forteo, an injectable treatment for osteoporosis in postmenopausal women and men at high risk for fracture and for glucocorticoid-induced osteoporosis in men and postmenopausal women, increased 14 percent in the U.S., driven by higher realized prices, partially offset by decreased volume. Revenues outside the U.S. decreased 6 percent, driven by the unfavorable impact of foreign exchange rates, partially offset by increased volume.</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40</w:t>
      </w:r>
    </w:p>
    <w:p>
      <w:pPr>
        <w:sectPr>
          <w:pgSz w:w="11900" w:h="16838" w:orient="portrait"/>
          <w:cols w:equalWidth="0" w:num="1">
            <w:col w:w="11360"/>
          </w:cols>
          <w:pgMar w:left="240" w:top="684" w:right="299" w:bottom="1440" w:gutter="0" w:footer="0" w:header="0"/>
        </w:sectPr>
      </w:pPr>
    </w:p>
    <w:bookmarkStart w:id="40" w:name="page41"/>
    <w:bookmarkEnd w:id="40"/>
    <w:p>
      <w:pPr>
        <w:ind w:right="440"/>
        <w:spacing w:after="0" w:line="264" w:lineRule="auto"/>
        <w:rPr>
          <w:sz w:val="20"/>
          <w:szCs w:val="20"/>
          <w:color w:val="auto"/>
        </w:rPr>
      </w:pPr>
      <w:r>
        <w:rPr>
          <w:rFonts w:ascii="Arial" w:cs="Arial" w:eastAsia="Arial" w:hAnsi="Arial"/>
          <w:sz w:val="18"/>
          <w:szCs w:val="18"/>
          <w:color w:val="auto"/>
        </w:rPr>
        <w:t>Revenues of Humulin, an injectable human insulin for the treatment of diabetes, increased 7 percent in the U.S., driven by higher realized prices and, to a lesser extent, wholesaler buying patterns, partially offset by decreased demand. Revenues outside the U.S. decreased 21 percent, driven by decreased volume, primarily due to the loss of a government contract in Brazil, and the unfavorable impact of foreign exchange rates.</w:t>
      </w:r>
    </w:p>
    <w:p>
      <w:pPr>
        <w:spacing w:after="0" w:line="62"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Revenues of Cymbalta, a product for the treatment of major depressive disorder, diabetic peripheral neuropathic pain, generalized anxiety disorder, chronic musculoskeletal pain, and the management of fibromyalgia, decreased 66 percent in the U.S. due to the loss of U.S. patent exclusivity in December 2013. Revenues outside the U.S. decreased 26 percent, driven by the unfavorable impact of foreign exchange rates and the loss of exclusivity in Europe in 2014.</w:t>
      </w:r>
    </w:p>
    <w:p>
      <w:pPr>
        <w:spacing w:after="0" w:line="62" w:lineRule="exact"/>
        <w:rPr>
          <w:sz w:val="20"/>
          <w:szCs w:val="20"/>
          <w:color w:val="auto"/>
        </w:rPr>
      </w:pPr>
    </w:p>
    <w:p>
      <w:pPr>
        <w:ind w:right="140"/>
        <w:spacing w:after="0" w:line="260" w:lineRule="auto"/>
        <w:rPr>
          <w:sz w:val="20"/>
          <w:szCs w:val="20"/>
          <w:color w:val="auto"/>
        </w:rPr>
      </w:pPr>
      <w:r>
        <w:rPr>
          <w:rFonts w:ascii="Arial" w:cs="Arial" w:eastAsia="Arial" w:hAnsi="Arial"/>
          <w:sz w:val="18"/>
          <w:szCs w:val="18"/>
          <w:color w:val="auto"/>
        </w:rPr>
        <w:t>Revenues of Zyprexa, a treatment for schizophrenia, acute mixed or manic episodes associated with bipolar I disorder, and bipolar maintenance, increased 31 percent in the U.S., driven by adjustments to the return reserve resulting from the expiration of the period to return expired product for credit. Revenues outside the U.S. decreased 15 percent, driven primarily by the unfavorable impact of foreign exchange rates. We lost patent exclusivity for Zyprexa in Japan in December 2015. Zyprexa revenues in Japan were $415.9 million in 2015, compared with $466.2 million in 2014. The revenue decrease in Japan was due to the unfavorable impact of foreign exchange rates.</w:t>
      </w:r>
    </w:p>
    <w:p>
      <w:pPr>
        <w:spacing w:after="0" w:line="67" w:lineRule="exact"/>
        <w:rPr>
          <w:sz w:val="20"/>
          <w:szCs w:val="20"/>
          <w:color w:val="auto"/>
        </w:rPr>
      </w:pPr>
    </w:p>
    <w:p>
      <w:pPr>
        <w:ind w:right="140"/>
        <w:spacing w:after="0" w:line="271" w:lineRule="auto"/>
        <w:rPr>
          <w:sz w:val="20"/>
          <w:szCs w:val="20"/>
          <w:color w:val="auto"/>
        </w:rPr>
      </w:pPr>
      <w:r>
        <w:rPr>
          <w:rFonts w:ascii="Arial" w:cs="Arial" w:eastAsia="Arial" w:hAnsi="Arial"/>
          <w:sz w:val="18"/>
          <w:szCs w:val="18"/>
          <w:color w:val="auto"/>
        </w:rPr>
        <w:t>Revenues of Strattera, a treatment for attention-deficit hyperactivity disorder, increased 11 percent in the U.S., driven by higher realized prices and, to a lesser extent, increased demand. Revenues outside the U.S. decreased 1 percent, driven by the unfavorable impact of foreign exchange rates, largely offset by increased volume.</w:t>
      </w:r>
    </w:p>
    <w:p>
      <w:pPr>
        <w:spacing w:after="0" w:line="5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Revenues of Effient, a product for the reduction of thrombotic cardiovascular events (including stent thrombosis) in patients with acute coronary syndrome who are managed with an artery-opening procedure known as percutaneous coronary intervention, including patients undergoing angioplasty, atherectomy, or stent placement, increased 6 percent in the U.S., driven by higher realized prices, partially offset by decreased demand. Revenues outside the U.S. decreased 17 percent, driven primarily by the unfavorable impact of foreign exchange rates.</w:t>
      </w:r>
    </w:p>
    <w:p>
      <w:pPr>
        <w:spacing w:after="0" w:line="62"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Revenues of Evista, a product for the prevention and treatment of osteoporosis in postmenopausal women and for reduction of risk of invasive breast cancer in postmenopausal women with osteoporosis and postmenopausal women at high risk for invasive breast cancer, decreased 70 percent in the U.S., due to the loss of patent exclusivity in March 2014. Revenues outside the U.S. decreased 17 percent, driven primarily by the unfavorable impact of foreign exchange rates.</w:t>
      </w:r>
    </w:p>
    <w:p>
      <w:pPr>
        <w:spacing w:after="0" w:line="62" w:lineRule="exact"/>
        <w:rPr>
          <w:sz w:val="20"/>
          <w:szCs w:val="20"/>
          <w:color w:val="auto"/>
        </w:rPr>
      </w:pPr>
    </w:p>
    <w:p>
      <w:pPr>
        <w:ind w:right="600"/>
        <w:spacing w:after="0" w:line="292" w:lineRule="auto"/>
        <w:rPr>
          <w:sz w:val="20"/>
          <w:szCs w:val="20"/>
          <w:color w:val="auto"/>
        </w:rPr>
      </w:pPr>
      <w:r>
        <w:rPr>
          <w:rFonts w:ascii="Arial" w:cs="Arial" w:eastAsia="Arial" w:hAnsi="Arial"/>
          <w:sz w:val="18"/>
          <w:szCs w:val="18"/>
          <w:color w:val="auto"/>
        </w:rPr>
        <w:t>Revenues of animal health products in the U.S. increased 21 percent and animal health product revenues outside the U.S. increased 53 percent. The increases were driven by the inclusion of revenue from Novartis AH.</w:t>
      </w:r>
    </w:p>
    <w:p>
      <w:pPr>
        <w:spacing w:after="0" w:line="3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On a pro forma basis, which reflects the 2014 revenues of Novartis AH as described in Note 3 to the consolidated financial statements, revenues of animal health products in the U.S. would have decreased 1 percent, driven primarily by decreased volume in food animal products. Revenues outside the U.S. would have decreased 13 percent, driven by the unfavorable impact of foreign exchange rates and decreased volume in companion animal products, partially offset by higher realized prices and volume for food animal products.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Margin, Costs, and Expenses</w:t>
      </w:r>
    </w:p>
    <w:p>
      <w:pPr>
        <w:spacing w:after="0" w:line="119" w:lineRule="exact"/>
        <w:rPr>
          <w:sz w:val="20"/>
          <w:szCs w:val="20"/>
          <w:color w:val="auto"/>
        </w:rPr>
      </w:pPr>
    </w:p>
    <w:p>
      <w:pPr>
        <w:ind w:right="340"/>
        <w:spacing w:after="0" w:line="271" w:lineRule="auto"/>
        <w:rPr>
          <w:sz w:val="20"/>
          <w:szCs w:val="20"/>
          <w:color w:val="auto"/>
        </w:rPr>
      </w:pPr>
      <w:r>
        <w:rPr>
          <w:rFonts w:ascii="Arial" w:cs="Arial" w:eastAsia="Arial" w:hAnsi="Arial"/>
          <w:sz w:val="18"/>
          <w:szCs w:val="18"/>
          <w:color w:val="auto"/>
        </w:rPr>
        <w:t>Gross margin as a percent of total revenue was 74.8 percent in 2015, essentially flat compared with 2014 as the unfavorable impacts of the inclusion of Novartis AH and inventory step-up and amortization costs were offset by the favorable impact of foreign exchange rates on international inventories sold.</w:t>
      </w:r>
    </w:p>
    <w:p>
      <w:pPr>
        <w:spacing w:after="0" w:line="55" w:lineRule="exact"/>
        <w:rPr>
          <w:sz w:val="20"/>
          <w:szCs w:val="20"/>
          <w:color w:val="auto"/>
        </w:rPr>
      </w:pPr>
    </w:p>
    <w:p>
      <w:pPr>
        <w:jc w:val="both"/>
        <w:ind w:right="240"/>
        <w:spacing w:after="0" w:line="271" w:lineRule="auto"/>
        <w:rPr>
          <w:sz w:val="20"/>
          <w:szCs w:val="20"/>
          <w:color w:val="auto"/>
        </w:rPr>
      </w:pPr>
      <w:r>
        <w:rPr>
          <w:rFonts w:ascii="Arial" w:cs="Arial" w:eastAsia="Arial" w:hAnsi="Arial"/>
          <w:sz w:val="18"/>
          <w:szCs w:val="18"/>
          <w:color w:val="auto"/>
        </w:rPr>
        <w:t>Research and development expenses increased 1 percent to $ 4.80 billion in 2015, driven primarily by higher late-stage clinical development costs, the inclusion of Novartis AH, and an increase in charges associated with the termination of late-stage molecules, primarily evacetrapib and basal insulin peglispro, of approximately $135 million, partially offset by the favorable impact of foreign exchange rates.</w:t>
      </w:r>
    </w:p>
    <w:p>
      <w:pPr>
        <w:spacing w:after="0" w:line="19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41</w:t>
      </w:r>
    </w:p>
    <w:p>
      <w:pPr>
        <w:sectPr>
          <w:pgSz w:w="11900" w:h="16838" w:orient="portrait"/>
          <w:cols w:equalWidth="0" w:num="1">
            <w:col w:w="11420"/>
          </w:cols>
          <w:pgMar w:left="240" w:top="684" w:right="239" w:bottom="1440" w:gutter="0" w:footer="0" w:header="0"/>
        </w:sectPr>
      </w:pPr>
    </w:p>
    <w:bookmarkStart w:id="41" w:name="page42"/>
    <w:bookmarkEnd w:id="41"/>
    <w:p>
      <w:pPr>
        <w:ind w:right="180"/>
        <w:spacing w:after="0" w:line="271" w:lineRule="auto"/>
        <w:rPr>
          <w:sz w:val="20"/>
          <w:szCs w:val="20"/>
          <w:color w:val="auto"/>
        </w:rPr>
      </w:pPr>
      <w:r>
        <w:rPr>
          <w:rFonts w:ascii="Arial" w:cs="Arial" w:eastAsia="Arial" w:hAnsi="Arial"/>
          <w:sz w:val="18"/>
          <w:szCs w:val="18"/>
          <w:color w:val="auto"/>
        </w:rPr>
        <w:t>Marketing, selling, and administrative expenses decreased 1 percent to $6.53 billion in 2015, due to the favorable impact of foreign exchange rates and a 2014 charge associated with the U.S. Drug Fee, partially offset by the inclusion of Novartis AH and expenses related to new product launches.</w:t>
      </w:r>
    </w:p>
    <w:p>
      <w:pPr>
        <w:spacing w:after="0" w:line="55" w:lineRule="exact"/>
        <w:rPr>
          <w:sz w:val="20"/>
          <w:szCs w:val="20"/>
          <w:color w:val="auto"/>
        </w:rPr>
      </w:pPr>
    </w:p>
    <w:p>
      <w:pPr>
        <w:ind w:right="40"/>
        <w:spacing w:after="0" w:line="260" w:lineRule="auto"/>
        <w:rPr>
          <w:sz w:val="20"/>
          <w:szCs w:val="20"/>
          <w:color w:val="auto"/>
        </w:rPr>
      </w:pPr>
      <w:r>
        <w:rPr>
          <w:rFonts w:ascii="Arial" w:cs="Arial" w:eastAsia="Arial" w:hAnsi="Arial"/>
          <w:sz w:val="18"/>
          <w:szCs w:val="18"/>
          <w:color w:val="auto"/>
        </w:rPr>
        <w:t>We recognized acquired IPR&amp;D charges of $535.0 million in 2015 resulting from various collaboration agreements, primarily with Pfizer, as well as the consideration paid to acquire the worldwide rights to Locemia's intranasal glucagon. There were $200.2 million of acquired IPR&amp;D charges in 2014 related to various collaboration agreements, including charges associated with the transfer of commercial rights to us, from Boehringer Ingelheim, of the new insulin glargine product in certain countries where it was not yet approved. See Notes 3 and 4 to the consolidated financial statements for additional information.</w:t>
      </w:r>
    </w:p>
    <w:p>
      <w:pPr>
        <w:spacing w:after="0" w:line="67" w:lineRule="exact"/>
        <w:rPr>
          <w:sz w:val="20"/>
          <w:szCs w:val="20"/>
          <w:color w:val="auto"/>
        </w:rPr>
      </w:pPr>
    </w:p>
    <w:p>
      <w:pPr>
        <w:ind w:right="80"/>
        <w:spacing w:after="0" w:line="260" w:lineRule="auto"/>
        <w:rPr>
          <w:sz w:val="20"/>
          <w:szCs w:val="20"/>
          <w:color w:val="auto"/>
        </w:rPr>
      </w:pPr>
      <w:r>
        <w:rPr>
          <w:rFonts w:ascii="Arial" w:cs="Arial" w:eastAsia="Arial" w:hAnsi="Arial"/>
          <w:sz w:val="18"/>
          <w:szCs w:val="18"/>
          <w:color w:val="auto"/>
        </w:rPr>
        <w:t>We recognized asset impairment, restructuring, and other special charges of $367.7 million in 2015. The charges relate to severance costs, integration costs for Novartis AH, and asset impairments. In 2014, we recognized charges of $468.7 million for asset impairment, restructuring, and other special charges. The charges included severance costs, asset impairments primarily associated with the closure of a manufacturing site in Puerto Rico, and integration costs for the then-pending acquisition of Novartis AH. See Note 5 to the consolidated financial statements for additional information.</w:t>
      </w:r>
    </w:p>
    <w:p>
      <w:pPr>
        <w:spacing w:after="0" w:line="67"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color w:val="auto"/>
        </w:rPr>
        <w:t>Other—net, (income) expense was income of $100.6 million in 2015, compared with income of $340.5 million in 2014. Other income in 2015 included net gains of $236.7 million on investments, partially offset by a net charge of $152.7 million related to the repurchase of $1.65 billion of debt. Other income in 2014 included net gains of $216.4 million on investments and $92.0 million of income associated with the transfer of commercial rights to linagliptin and empagliflozin in certain countries from us to Boehringer Ingelheim. See Notes 4 and 17 to the consolidated financial statements for additional information.</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Our effective tax rate was 13.7 percent in 2015, compared with 20.3 percent in 2014. The effective tax rate for 2014 reflects the impact of a</w:t>
      </w:r>
    </w:p>
    <w:p>
      <w:pPr>
        <w:spacing w:after="0" w:line="31" w:lineRule="exact"/>
        <w:rPr>
          <w:sz w:val="20"/>
          <w:szCs w:val="20"/>
          <w:color w:val="auto"/>
        </w:rPr>
      </w:pPr>
    </w:p>
    <w:p>
      <w:pPr>
        <w:ind w:right="120"/>
        <w:spacing w:after="0" w:line="258" w:lineRule="auto"/>
        <w:rPr>
          <w:sz w:val="20"/>
          <w:szCs w:val="20"/>
          <w:color w:val="auto"/>
        </w:rPr>
      </w:pPr>
      <w:r>
        <w:rPr>
          <w:rFonts w:ascii="Arial" w:cs="Arial" w:eastAsia="Arial" w:hAnsi="Arial"/>
          <w:sz w:val="18"/>
          <w:szCs w:val="18"/>
          <w:color w:val="auto"/>
        </w:rPr>
        <w:t>$119.0 million nondeductible charge associated with the U.S. Drug Fee. The decrease in the tax rate for 2015 compared with 2014 is primarily due to a favorable tax impact of the net charges related to the repurchase of debt, acquired IPR&amp;D, and asset impairment, restructuring, and other special charges. See Note 13 to the consolidated financial statements for additional information.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Operating Results—2014</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Results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key operating results: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2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rPr>
              <w:t>Year Ended,</w:t>
            </w:r>
          </w:p>
        </w:tc>
        <w:tc>
          <w:tcPr>
            <w:tcW w:w="940" w:type="dxa"/>
            <w:vAlign w:val="bottom"/>
          </w:tcPr>
          <w:p>
            <w:pPr>
              <w:spacing w:after="0"/>
              <w:rPr>
                <w:sz w:val="14"/>
                <w:szCs w:val="14"/>
                <w:color w:val="auto"/>
              </w:rPr>
            </w:pPr>
          </w:p>
        </w:tc>
        <w:tc>
          <w:tcPr>
            <w:tcW w:w="1600" w:type="dxa"/>
            <w:vAlign w:val="bottom"/>
          </w:tcPr>
          <w:p>
            <w:pPr>
              <w:ind w:left="300"/>
              <w:spacing w:after="0"/>
              <w:rPr>
                <w:sz w:val="20"/>
                <w:szCs w:val="20"/>
                <w:color w:val="auto"/>
              </w:rPr>
            </w:pPr>
            <w:r>
              <w:rPr>
                <w:rFonts w:ascii="Arial" w:cs="Arial" w:eastAsia="Arial" w:hAnsi="Arial"/>
                <w:sz w:val="14"/>
                <w:szCs w:val="14"/>
                <w:b w:val="1"/>
                <w:bCs w:val="1"/>
                <w:color w:val="auto"/>
              </w:rPr>
              <w:t>Percent Change</w:t>
            </w:r>
          </w:p>
        </w:tc>
      </w:tr>
      <w:tr>
        <w:trPr>
          <w:trHeight w:val="203"/>
        </w:trPr>
        <w:tc>
          <w:tcPr>
            <w:tcW w:w="68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December 31,</w:t>
            </w:r>
          </w:p>
        </w:tc>
        <w:tc>
          <w:tcPr>
            <w:tcW w:w="940" w:type="dxa"/>
            <w:vAlign w:val="bottom"/>
            <w:tcBorders>
              <w:bottom w:val="single" w:sz="8" w:color="auto"/>
            </w:tcBorders>
          </w:tcPr>
          <w:p>
            <w:pPr>
              <w:spacing w:after="0"/>
              <w:rPr>
                <w:sz w:val="17"/>
                <w:szCs w:val="17"/>
                <w:color w:val="auto"/>
              </w:rPr>
            </w:pPr>
          </w:p>
        </w:tc>
        <w:tc>
          <w:tcPr>
            <w:tcW w:w="1600" w:type="dxa"/>
            <w:vAlign w:val="bottom"/>
          </w:tcPr>
          <w:p>
            <w:pPr>
              <w:ind w:left="700"/>
              <w:spacing w:after="0"/>
              <w:rPr>
                <w:sz w:val="20"/>
                <w:szCs w:val="20"/>
                <w:color w:val="auto"/>
              </w:rPr>
            </w:pPr>
            <w:r>
              <w:rPr>
                <w:rFonts w:ascii="Arial" w:cs="Arial" w:eastAsia="Arial" w:hAnsi="Arial"/>
                <w:sz w:val="14"/>
                <w:szCs w:val="14"/>
                <w:b w:val="1"/>
                <w:bCs w:val="1"/>
                <w:color w:val="auto"/>
              </w:rPr>
              <w:t>from</w:t>
            </w:r>
          </w:p>
        </w:tc>
      </w:tr>
      <w:tr>
        <w:trPr>
          <w:trHeight w:val="264"/>
        </w:trPr>
        <w:tc>
          <w:tcPr>
            <w:tcW w:w="6820" w:type="dxa"/>
            <w:vAlign w:val="bottom"/>
            <w:tcBorders>
              <w:bottom w:val="single" w:sz="8" w:color="D8D8D8"/>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2014</w:t>
            </w:r>
          </w:p>
        </w:tc>
        <w:tc>
          <w:tcPr>
            <w:tcW w:w="5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2013</w:t>
            </w:r>
          </w:p>
        </w:tc>
        <w:tc>
          <w:tcPr>
            <w:tcW w:w="1600" w:type="dxa"/>
            <w:vAlign w:val="bottom"/>
            <w:tcBorders>
              <w:bottom w:val="single" w:sz="8" w:color="auto"/>
            </w:tcBorders>
          </w:tcPr>
          <w:p>
            <w:pPr>
              <w:ind w:left="700"/>
              <w:spacing w:after="0"/>
              <w:rPr>
                <w:sz w:val="20"/>
                <w:szCs w:val="20"/>
                <w:color w:val="auto"/>
              </w:rPr>
            </w:pPr>
            <w:r>
              <w:rPr>
                <w:rFonts w:ascii="Arial" w:cs="Arial" w:eastAsia="Arial" w:hAnsi="Arial"/>
                <w:sz w:val="14"/>
                <w:szCs w:val="14"/>
                <w:b w:val="1"/>
                <w:bCs w:val="1"/>
                <w:color w:val="auto"/>
              </w:rPr>
              <w:t>2013</w:t>
            </w:r>
          </w:p>
        </w:tc>
      </w:tr>
      <w:tr>
        <w:trPr>
          <w:trHeight w:val="265"/>
        </w:trPr>
        <w:tc>
          <w:tcPr>
            <w:tcW w:w="6820" w:type="dxa"/>
            <w:vAlign w:val="bottom"/>
            <w:shd w:val="clear" w:color="auto" w:fill="D8D8D8"/>
          </w:tcPr>
          <w:p>
            <w:pPr>
              <w:ind w:left="40"/>
              <w:spacing w:after="0"/>
              <w:rPr>
                <w:sz w:val="20"/>
                <w:szCs w:val="20"/>
                <w:color w:val="auto"/>
              </w:rPr>
            </w:pPr>
            <w:r>
              <w:rPr>
                <w:rFonts w:ascii="Arial" w:cs="Arial" w:eastAsia="Arial" w:hAnsi="Arial"/>
                <w:sz w:val="18"/>
                <w:szCs w:val="18"/>
                <w:color w:val="auto"/>
              </w:rPr>
              <w:t>Revenue</w:t>
            </w:r>
          </w:p>
        </w:tc>
        <w:tc>
          <w:tcPr>
            <w:tcW w:w="340" w:type="dxa"/>
            <w:vAlign w:val="bottom"/>
            <w:shd w:val="clear" w:color="auto" w:fill="D8D8D8"/>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shd w:val="clear" w:color="auto" w:fill="D8D8D8"/>
          </w:tcPr>
          <w:p>
            <w:pPr>
              <w:jc w:val="right"/>
              <w:ind w:right="155"/>
              <w:spacing w:after="0"/>
              <w:rPr>
                <w:sz w:val="20"/>
                <w:szCs w:val="20"/>
                <w:color w:val="auto"/>
              </w:rPr>
            </w:pPr>
            <w:r>
              <w:rPr>
                <w:rFonts w:ascii="Arial" w:cs="Arial" w:eastAsia="Arial" w:hAnsi="Arial"/>
                <w:sz w:val="18"/>
                <w:szCs w:val="18"/>
                <w:color w:val="auto"/>
              </w:rPr>
              <w:t>19,615.6</w:t>
            </w:r>
          </w:p>
        </w:tc>
        <w:tc>
          <w:tcPr>
            <w:tcW w:w="560" w:type="dxa"/>
            <w:vAlign w:val="bottom"/>
            <w:shd w:val="clear" w:color="auto" w:fill="D8D8D8"/>
          </w:tcPr>
          <w:p>
            <w:pPr>
              <w:jc w:val="right"/>
              <w:ind w:right="290"/>
              <w:spacing w:after="0"/>
              <w:rPr>
                <w:sz w:val="20"/>
                <w:szCs w:val="20"/>
                <w:color w:val="auto"/>
              </w:rPr>
            </w:pPr>
            <w:r>
              <w:rPr>
                <w:rFonts w:ascii="Arial" w:cs="Arial" w:eastAsia="Arial" w:hAnsi="Arial"/>
                <w:sz w:val="18"/>
                <w:szCs w:val="18"/>
                <w:color w:val="auto"/>
              </w:rPr>
              <w:t>$</w:t>
            </w:r>
          </w:p>
        </w:tc>
        <w:tc>
          <w:tcPr>
            <w:tcW w:w="940" w:type="dxa"/>
            <w:vAlign w:val="bottom"/>
            <w:shd w:val="clear" w:color="auto" w:fill="D8D8D8"/>
          </w:tcPr>
          <w:p>
            <w:pPr>
              <w:jc w:val="right"/>
              <w:ind w:right="92"/>
              <w:spacing w:after="0"/>
              <w:rPr>
                <w:sz w:val="20"/>
                <w:szCs w:val="20"/>
                <w:color w:val="auto"/>
              </w:rPr>
            </w:pPr>
            <w:r>
              <w:rPr>
                <w:rFonts w:ascii="Arial" w:cs="Arial" w:eastAsia="Arial" w:hAnsi="Arial"/>
                <w:sz w:val="18"/>
                <w:szCs w:val="18"/>
                <w:color w:val="auto"/>
              </w:rPr>
              <w:t>23,113.1</w:t>
            </w:r>
          </w:p>
        </w:tc>
        <w:tc>
          <w:tcPr>
            <w:tcW w:w="1600" w:type="dxa"/>
            <w:vAlign w:val="bottom"/>
            <w:shd w:val="clear" w:color="auto" w:fill="D8D8D8"/>
          </w:tcPr>
          <w:p>
            <w:pPr>
              <w:ind w:left="1080"/>
              <w:spacing w:after="0"/>
              <w:rPr>
                <w:sz w:val="20"/>
                <w:szCs w:val="20"/>
                <w:color w:val="auto"/>
              </w:rPr>
            </w:pPr>
            <w:r>
              <w:rPr>
                <w:rFonts w:ascii="Arial" w:cs="Arial" w:eastAsia="Arial" w:hAnsi="Arial"/>
                <w:sz w:val="18"/>
                <w:szCs w:val="18"/>
                <w:color w:val="auto"/>
              </w:rPr>
              <w:t>(15)%</w:t>
            </w:r>
          </w:p>
        </w:tc>
      </w:tr>
      <w:tr>
        <w:trPr>
          <w:trHeight w:val="265"/>
        </w:trPr>
        <w:tc>
          <w:tcPr>
            <w:tcW w:w="6820" w:type="dxa"/>
            <w:vAlign w:val="bottom"/>
          </w:tcPr>
          <w:p>
            <w:pPr>
              <w:ind w:left="40"/>
              <w:spacing w:after="0"/>
              <w:rPr>
                <w:sz w:val="20"/>
                <w:szCs w:val="20"/>
                <w:color w:val="auto"/>
              </w:rPr>
            </w:pPr>
            <w:r>
              <w:rPr>
                <w:rFonts w:ascii="Arial" w:cs="Arial" w:eastAsia="Arial" w:hAnsi="Arial"/>
                <w:sz w:val="18"/>
                <w:szCs w:val="18"/>
                <w:color w:val="auto"/>
              </w:rPr>
              <w:t>Gross margin</w:t>
            </w:r>
          </w:p>
        </w:tc>
        <w:tc>
          <w:tcPr>
            <w:tcW w:w="340" w:type="dxa"/>
            <w:vAlign w:val="bottom"/>
          </w:tcPr>
          <w:p>
            <w:pPr>
              <w:spacing w:after="0"/>
              <w:rPr>
                <w:sz w:val="23"/>
                <w:szCs w:val="23"/>
                <w:color w:val="auto"/>
              </w:rPr>
            </w:pPr>
          </w:p>
        </w:tc>
        <w:tc>
          <w:tcPr>
            <w:tcW w:w="1160" w:type="dxa"/>
            <w:vAlign w:val="bottom"/>
          </w:tcPr>
          <w:p>
            <w:pPr>
              <w:jc w:val="right"/>
              <w:ind w:right="155"/>
              <w:spacing w:after="0"/>
              <w:rPr>
                <w:sz w:val="20"/>
                <w:szCs w:val="20"/>
                <w:color w:val="auto"/>
              </w:rPr>
            </w:pPr>
            <w:r>
              <w:rPr>
                <w:rFonts w:ascii="Arial" w:cs="Arial" w:eastAsia="Arial" w:hAnsi="Arial"/>
                <w:sz w:val="18"/>
                <w:szCs w:val="18"/>
                <w:color w:val="auto"/>
              </w:rPr>
              <w:t>14,683.1</w:t>
            </w:r>
          </w:p>
        </w:tc>
        <w:tc>
          <w:tcPr>
            <w:tcW w:w="560" w:type="dxa"/>
            <w:vAlign w:val="bottom"/>
          </w:tcPr>
          <w:p>
            <w:pPr>
              <w:spacing w:after="0"/>
              <w:rPr>
                <w:sz w:val="23"/>
                <w:szCs w:val="23"/>
                <w:color w:val="auto"/>
              </w:rPr>
            </w:pPr>
          </w:p>
        </w:tc>
        <w:tc>
          <w:tcPr>
            <w:tcW w:w="940" w:type="dxa"/>
            <w:vAlign w:val="bottom"/>
          </w:tcPr>
          <w:p>
            <w:pPr>
              <w:jc w:val="right"/>
              <w:ind w:right="92"/>
              <w:spacing w:after="0"/>
              <w:rPr>
                <w:sz w:val="20"/>
                <w:szCs w:val="20"/>
                <w:color w:val="auto"/>
              </w:rPr>
            </w:pPr>
            <w:r>
              <w:rPr>
                <w:rFonts w:ascii="Arial" w:cs="Arial" w:eastAsia="Arial" w:hAnsi="Arial"/>
                <w:sz w:val="18"/>
                <w:szCs w:val="18"/>
                <w:color w:val="auto"/>
              </w:rPr>
              <w:t>18,205.0</w:t>
            </w:r>
          </w:p>
        </w:tc>
        <w:tc>
          <w:tcPr>
            <w:tcW w:w="1600" w:type="dxa"/>
            <w:vAlign w:val="bottom"/>
          </w:tcPr>
          <w:p>
            <w:pPr>
              <w:ind w:left="1080"/>
              <w:spacing w:after="0"/>
              <w:rPr>
                <w:sz w:val="20"/>
                <w:szCs w:val="20"/>
                <w:color w:val="auto"/>
              </w:rPr>
            </w:pPr>
            <w:r>
              <w:rPr>
                <w:rFonts w:ascii="Arial" w:cs="Arial" w:eastAsia="Arial" w:hAnsi="Arial"/>
                <w:sz w:val="18"/>
                <w:szCs w:val="18"/>
                <w:color w:val="auto"/>
              </w:rPr>
              <w:t>(19)%</w:t>
            </w:r>
          </w:p>
        </w:tc>
      </w:tr>
      <w:tr>
        <w:trPr>
          <w:trHeight w:val="275"/>
        </w:trPr>
        <w:tc>
          <w:tcPr>
            <w:tcW w:w="6820" w:type="dxa"/>
            <w:vAlign w:val="bottom"/>
            <w:shd w:val="clear" w:color="auto" w:fill="D8D8D8"/>
          </w:tcPr>
          <w:p>
            <w:pPr>
              <w:ind w:left="40"/>
              <w:spacing w:after="0"/>
              <w:rPr>
                <w:sz w:val="20"/>
                <w:szCs w:val="20"/>
                <w:color w:val="auto"/>
              </w:rPr>
            </w:pPr>
            <w:r>
              <w:rPr>
                <w:rFonts w:ascii="Arial" w:cs="Arial" w:eastAsia="Arial" w:hAnsi="Arial"/>
                <w:sz w:val="18"/>
                <w:szCs w:val="18"/>
                <w:color w:val="auto"/>
              </w:rPr>
              <w:t>Gross margin as percent of revenue</w:t>
            </w:r>
          </w:p>
        </w:tc>
        <w:tc>
          <w:tcPr>
            <w:tcW w:w="340" w:type="dxa"/>
            <w:vAlign w:val="bottom"/>
            <w:shd w:val="clear" w:color="auto" w:fill="D8D8D8"/>
          </w:tcPr>
          <w:p>
            <w:pPr>
              <w:spacing w:after="0"/>
              <w:rPr>
                <w:sz w:val="23"/>
                <w:szCs w:val="23"/>
                <w:color w:val="auto"/>
              </w:rPr>
            </w:pPr>
          </w:p>
        </w:tc>
        <w:tc>
          <w:tcPr>
            <w:tcW w:w="1160" w:type="dxa"/>
            <w:vAlign w:val="bottom"/>
            <w:shd w:val="clear" w:color="auto" w:fill="D8D8D8"/>
          </w:tcPr>
          <w:p>
            <w:pPr>
              <w:jc w:val="right"/>
              <w:spacing w:after="0"/>
              <w:rPr>
                <w:sz w:val="20"/>
                <w:szCs w:val="20"/>
                <w:color w:val="auto"/>
              </w:rPr>
            </w:pPr>
            <w:r>
              <w:rPr>
                <w:rFonts w:ascii="Arial" w:cs="Arial" w:eastAsia="Arial" w:hAnsi="Arial"/>
                <w:sz w:val="18"/>
                <w:szCs w:val="18"/>
                <w:color w:val="auto"/>
              </w:rPr>
              <w:t>74.9%</w:t>
            </w:r>
          </w:p>
        </w:tc>
        <w:tc>
          <w:tcPr>
            <w:tcW w:w="560" w:type="dxa"/>
            <w:vAlign w:val="bottom"/>
            <w:shd w:val="clear" w:color="auto" w:fill="D8D8D8"/>
          </w:tcPr>
          <w:p>
            <w:pPr>
              <w:spacing w:after="0"/>
              <w:rPr>
                <w:sz w:val="23"/>
                <w:szCs w:val="23"/>
                <w:color w:val="auto"/>
              </w:rPr>
            </w:pPr>
          </w:p>
        </w:tc>
        <w:tc>
          <w:tcPr>
            <w:tcW w:w="940" w:type="dxa"/>
            <w:vAlign w:val="bottom"/>
            <w:shd w:val="clear" w:color="auto" w:fill="D8D8D8"/>
          </w:tcPr>
          <w:p>
            <w:pPr>
              <w:jc w:val="right"/>
              <w:spacing w:after="0"/>
              <w:rPr>
                <w:sz w:val="20"/>
                <w:szCs w:val="20"/>
                <w:color w:val="auto"/>
              </w:rPr>
            </w:pPr>
            <w:r>
              <w:rPr>
                <w:rFonts w:ascii="Arial" w:cs="Arial" w:eastAsia="Arial" w:hAnsi="Arial"/>
                <w:sz w:val="18"/>
                <w:szCs w:val="18"/>
                <w:color w:val="auto"/>
              </w:rPr>
              <w:t>78.8%</w:t>
            </w:r>
          </w:p>
        </w:tc>
        <w:tc>
          <w:tcPr>
            <w:tcW w:w="1600" w:type="dxa"/>
            <w:vAlign w:val="bottom"/>
            <w:shd w:val="clear" w:color="auto" w:fill="D8D8D8"/>
          </w:tcPr>
          <w:p>
            <w:pPr>
              <w:spacing w:after="0"/>
              <w:rPr>
                <w:sz w:val="23"/>
                <w:szCs w:val="23"/>
                <w:color w:val="auto"/>
              </w:rPr>
            </w:pPr>
          </w:p>
        </w:tc>
      </w:tr>
      <w:tr>
        <w:trPr>
          <w:trHeight w:val="270"/>
        </w:trPr>
        <w:tc>
          <w:tcPr>
            <w:tcW w:w="6820" w:type="dxa"/>
            <w:vAlign w:val="bottom"/>
          </w:tcPr>
          <w:p>
            <w:pPr>
              <w:ind w:left="40"/>
              <w:spacing w:after="0"/>
              <w:rPr>
                <w:sz w:val="20"/>
                <w:szCs w:val="20"/>
                <w:color w:val="auto"/>
              </w:rPr>
            </w:pPr>
            <w:r>
              <w:rPr>
                <w:rFonts w:ascii="Arial" w:cs="Arial" w:eastAsia="Arial" w:hAnsi="Arial"/>
                <w:sz w:val="18"/>
                <w:szCs w:val="18"/>
                <w:color w:val="auto"/>
              </w:rPr>
              <w:t xml:space="preserve">Operating expense </w:t>
            </w:r>
            <w:r>
              <w:rPr>
                <w:rFonts w:ascii="Arial" w:cs="Arial" w:eastAsia="Arial" w:hAnsi="Arial"/>
                <w:sz w:val="21"/>
                <w:szCs w:val="21"/>
                <w:color w:val="auto"/>
                <w:vertAlign w:val="superscript"/>
              </w:rPr>
              <w:t>(1)</w:t>
            </w: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55"/>
              <w:spacing w:after="0"/>
              <w:rPr>
                <w:sz w:val="20"/>
                <w:szCs w:val="20"/>
                <w:color w:val="auto"/>
              </w:rPr>
            </w:pPr>
            <w:r>
              <w:rPr>
                <w:rFonts w:ascii="Arial" w:cs="Arial" w:eastAsia="Arial" w:hAnsi="Arial"/>
                <w:sz w:val="18"/>
                <w:szCs w:val="18"/>
                <w:color w:val="auto"/>
              </w:rPr>
              <w:t>11,354.4</w:t>
            </w:r>
          </w:p>
        </w:tc>
        <w:tc>
          <w:tcPr>
            <w:tcW w:w="56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92"/>
              <w:spacing w:after="0"/>
              <w:rPr>
                <w:sz w:val="20"/>
                <w:szCs w:val="20"/>
                <w:color w:val="auto"/>
              </w:rPr>
            </w:pPr>
            <w:r>
              <w:rPr>
                <w:rFonts w:ascii="Arial" w:cs="Arial" w:eastAsia="Arial" w:hAnsi="Arial"/>
                <w:sz w:val="18"/>
                <w:szCs w:val="18"/>
                <w:color w:val="auto"/>
              </w:rPr>
              <w:t>12,656.9</w:t>
            </w:r>
          </w:p>
        </w:tc>
        <w:tc>
          <w:tcPr>
            <w:tcW w:w="1600" w:type="dxa"/>
            <w:vAlign w:val="bottom"/>
          </w:tcPr>
          <w:p>
            <w:pPr>
              <w:ind w:left="1080"/>
              <w:spacing w:after="0"/>
              <w:rPr>
                <w:sz w:val="20"/>
                <w:szCs w:val="20"/>
                <w:color w:val="auto"/>
              </w:rPr>
            </w:pPr>
            <w:r>
              <w:rPr>
                <w:rFonts w:ascii="Arial" w:cs="Arial" w:eastAsia="Arial" w:hAnsi="Arial"/>
                <w:sz w:val="18"/>
                <w:szCs w:val="18"/>
                <w:color w:val="auto"/>
              </w:rPr>
              <w:t>(10)%</w:t>
            </w:r>
          </w:p>
        </w:tc>
      </w:tr>
      <w:tr>
        <w:trPr>
          <w:trHeight w:val="270"/>
        </w:trPr>
        <w:tc>
          <w:tcPr>
            <w:tcW w:w="6820" w:type="dxa"/>
            <w:vAlign w:val="bottom"/>
            <w:shd w:val="clear" w:color="auto" w:fill="D8D8D8"/>
          </w:tcPr>
          <w:p>
            <w:pPr>
              <w:ind w:left="40"/>
              <w:spacing w:after="0"/>
              <w:rPr>
                <w:sz w:val="20"/>
                <w:szCs w:val="20"/>
                <w:color w:val="auto"/>
              </w:rPr>
            </w:pPr>
            <w:r>
              <w:rPr>
                <w:rFonts w:ascii="Arial" w:cs="Arial" w:eastAsia="Arial" w:hAnsi="Arial"/>
                <w:sz w:val="18"/>
                <w:szCs w:val="18"/>
                <w:color w:val="auto"/>
              </w:rPr>
              <w:t>Acquired in-process research and development</w:t>
            </w:r>
          </w:p>
        </w:tc>
        <w:tc>
          <w:tcPr>
            <w:tcW w:w="340" w:type="dxa"/>
            <w:vAlign w:val="bottom"/>
            <w:shd w:val="clear" w:color="auto" w:fill="D8D8D8"/>
          </w:tcPr>
          <w:p>
            <w:pPr>
              <w:spacing w:after="0"/>
              <w:rPr>
                <w:sz w:val="23"/>
                <w:szCs w:val="23"/>
                <w:color w:val="auto"/>
              </w:rPr>
            </w:pPr>
          </w:p>
        </w:tc>
        <w:tc>
          <w:tcPr>
            <w:tcW w:w="1160" w:type="dxa"/>
            <w:vAlign w:val="bottom"/>
            <w:shd w:val="clear" w:color="auto" w:fill="D8D8D8"/>
          </w:tcPr>
          <w:p>
            <w:pPr>
              <w:jc w:val="right"/>
              <w:ind w:right="155"/>
              <w:spacing w:after="0"/>
              <w:rPr>
                <w:sz w:val="20"/>
                <w:szCs w:val="20"/>
                <w:color w:val="auto"/>
              </w:rPr>
            </w:pPr>
            <w:r>
              <w:rPr>
                <w:rFonts w:ascii="Arial" w:cs="Arial" w:eastAsia="Arial" w:hAnsi="Arial"/>
                <w:sz w:val="18"/>
                <w:szCs w:val="18"/>
                <w:color w:val="auto"/>
              </w:rPr>
              <w:t>200.2</w:t>
            </w:r>
          </w:p>
        </w:tc>
        <w:tc>
          <w:tcPr>
            <w:tcW w:w="560" w:type="dxa"/>
            <w:vAlign w:val="bottom"/>
            <w:shd w:val="clear" w:color="auto" w:fill="D8D8D8"/>
          </w:tcPr>
          <w:p>
            <w:pPr>
              <w:spacing w:after="0"/>
              <w:rPr>
                <w:sz w:val="23"/>
                <w:szCs w:val="23"/>
                <w:color w:val="auto"/>
              </w:rPr>
            </w:pPr>
          </w:p>
        </w:tc>
        <w:tc>
          <w:tcPr>
            <w:tcW w:w="940" w:type="dxa"/>
            <w:vAlign w:val="bottom"/>
            <w:shd w:val="clear" w:color="auto" w:fill="D8D8D8"/>
          </w:tcPr>
          <w:p>
            <w:pPr>
              <w:jc w:val="right"/>
              <w:ind w:right="92"/>
              <w:spacing w:after="0"/>
              <w:rPr>
                <w:sz w:val="20"/>
                <w:szCs w:val="20"/>
                <w:color w:val="auto"/>
              </w:rPr>
            </w:pPr>
            <w:r>
              <w:rPr>
                <w:rFonts w:ascii="Arial" w:cs="Arial" w:eastAsia="Arial" w:hAnsi="Arial"/>
                <w:sz w:val="18"/>
                <w:szCs w:val="18"/>
                <w:color w:val="auto"/>
              </w:rPr>
              <w:t>57.1</w:t>
            </w:r>
          </w:p>
        </w:tc>
        <w:tc>
          <w:tcPr>
            <w:tcW w:w="1600" w:type="dxa"/>
            <w:vAlign w:val="bottom"/>
            <w:shd w:val="clear" w:color="auto" w:fill="D8D8D8"/>
          </w:tcPr>
          <w:p>
            <w:pPr>
              <w:ind w:left="1060"/>
              <w:spacing w:after="0"/>
              <w:rPr>
                <w:sz w:val="20"/>
                <w:szCs w:val="20"/>
                <w:color w:val="auto"/>
              </w:rPr>
            </w:pPr>
            <w:r>
              <w:rPr>
                <w:rFonts w:ascii="Arial" w:cs="Arial" w:eastAsia="Arial" w:hAnsi="Arial"/>
                <w:sz w:val="18"/>
                <w:szCs w:val="18"/>
                <w:color w:val="auto"/>
              </w:rPr>
              <w:t>NM</w:t>
            </w:r>
          </w:p>
        </w:tc>
      </w:tr>
      <w:tr>
        <w:trPr>
          <w:trHeight w:val="265"/>
        </w:trPr>
        <w:tc>
          <w:tcPr>
            <w:tcW w:w="6820" w:type="dxa"/>
            <w:vAlign w:val="bottom"/>
          </w:tcPr>
          <w:p>
            <w:pPr>
              <w:ind w:left="40"/>
              <w:spacing w:after="0"/>
              <w:rPr>
                <w:sz w:val="20"/>
                <w:szCs w:val="20"/>
                <w:color w:val="auto"/>
              </w:rPr>
            </w:pPr>
            <w:r>
              <w:rPr>
                <w:rFonts w:ascii="Arial" w:cs="Arial" w:eastAsia="Arial" w:hAnsi="Arial"/>
                <w:sz w:val="18"/>
                <w:szCs w:val="18"/>
                <w:color w:val="auto"/>
              </w:rPr>
              <w:t>Asset impairment, restructuring, and other special charges</w:t>
            </w:r>
          </w:p>
        </w:tc>
        <w:tc>
          <w:tcPr>
            <w:tcW w:w="340" w:type="dxa"/>
            <w:vAlign w:val="bottom"/>
          </w:tcPr>
          <w:p>
            <w:pPr>
              <w:spacing w:after="0"/>
              <w:rPr>
                <w:sz w:val="23"/>
                <w:szCs w:val="23"/>
                <w:color w:val="auto"/>
              </w:rPr>
            </w:pPr>
          </w:p>
        </w:tc>
        <w:tc>
          <w:tcPr>
            <w:tcW w:w="1160" w:type="dxa"/>
            <w:vAlign w:val="bottom"/>
          </w:tcPr>
          <w:p>
            <w:pPr>
              <w:jc w:val="right"/>
              <w:ind w:right="155"/>
              <w:spacing w:after="0"/>
              <w:rPr>
                <w:sz w:val="20"/>
                <w:szCs w:val="20"/>
                <w:color w:val="auto"/>
              </w:rPr>
            </w:pPr>
            <w:r>
              <w:rPr>
                <w:rFonts w:ascii="Arial" w:cs="Arial" w:eastAsia="Arial" w:hAnsi="Arial"/>
                <w:sz w:val="18"/>
                <w:szCs w:val="18"/>
                <w:color w:val="auto"/>
              </w:rPr>
              <w:t>468.7</w:t>
            </w:r>
          </w:p>
        </w:tc>
        <w:tc>
          <w:tcPr>
            <w:tcW w:w="560" w:type="dxa"/>
            <w:vAlign w:val="bottom"/>
          </w:tcPr>
          <w:p>
            <w:pPr>
              <w:spacing w:after="0"/>
              <w:rPr>
                <w:sz w:val="23"/>
                <w:szCs w:val="23"/>
                <w:color w:val="auto"/>
              </w:rPr>
            </w:pPr>
          </w:p>
        </w:tc>
        <w:tc>
          <w:tcPr>
            <w:tcW w:w="940" w:type="dxa"/>
            <w:vAlign w:val="bottom"/>
          </w:tcPr>
          <w:p>
            <w:pPr>
              <w:jc w:val="right"/>
              <w:ind w:right="92"/>
              <w:spacing w:after="0"/>
              <w:rPr>
                <w:sz w:val="20"/>
                <w:szCs w:val="20"/>
                <w:color w:val="auto"/>
              </w:rPr>
            </w:pPr>
            <w:r>
              <w:rPr>
                <w:rFonts w:ascii="Arial" w:cs="Arial" w:eastAsia="Arial" w:hAnsi="Arial"/>
                <w:sz w:val="18"/>
                <w:szCs w:val="18"/>
                <w:color w:val="auto"/>
              </w:rPr>
              <w:t>120.6</w:t>
            </w:r>
          </w:p>
        </w:tc>
        <w:tc>
          <w:tcPr>
            <w:tcW w:w="1600" w:type="dxa"/>
            <w:vAlign w:val="bottom"/>
          </w:tcPr>
          <w:p>
            <w:pPr>
              <w:ind w:left="1060"/>
              <w:spacing w:after="0"/>
              <w:rPr>
                <w:sz w:val="20"/>
                <w:szCs w:val="20"/>
                <w:color w:val="auto"/>
              </w:rPr>
            </w:pPr>
            <w:r>
              <w:rPr>
                <w:rFonts w:ascii="Arial" w:cs="Arial" w:eastAsia="Arial" w:hAnsi="Arial"/>
                <w:sz w:val="18"/>
                <w:szCs w:val="18"/>
                <w:color w:val="auto"/>
              </w:rPr>
              <w:t>NM</w:t>
            </w:r>
          </w:p>
        </w:tc>
      </w:tr>
      <w:tr>
        <w:trPr>
          <w:trHeight w:val="275"/>
        </w:trPr>
        <w:tc>
          <w:tcPr>
            <w:tcW w:w="6820" w:type="dxa"/>
            <w:vAlign w:val="bottom"/>
            <w:shd w:val="clear" w:color="auto" w:fill="D8D8D8"/>
          </w:tcPr>
          <w:p>
            <w:pPr>
              <w:ind w:left="40"/>
              <w:spacing w:after="0"/>
              <w:rPr>
                <w:sz w:val="20"/>
                <w:szCs w:val="20"/>
                <w:color w:val="auto"/>
              </w:rPr>
            </w:pPr>
            <w:r>
              <w:rPr>
                <w:rFonts w:ascii="Arial" w:cs="Arial" w:eastAsia="Arial" w:hAnsi="Arial"/>
                <w:sz w:val="18"/>
                <w:szCs w:val="18"/>
                <w:color w:val="auto"/>
              </w:rPr>
              <w:t>Net income</w:t>
            </w:r>
          </w:p>
        </w:tc>
        <w:tc>
          <w:tcPr>
            <w:tcW w:w="340" w:type="dxa"/>
            <w:vAlign w:val="bottom"/>
            <w:shd w:val="clear" w:color="auto" w:fill="D8D8D8"/>
          </w:tcPr>
          <w:p>
            <w:pPr>
              <w:spacing w:after="0"/>
              <w:rPr>
                <w:sz w:val="23"/>
                <w:szCs w:val="23"/>
                <w:color w:val="auto"/>
              </w:rPr>
            </w:pPr>
          </w:p>
        </w:tc>
        <w:tc>
          <w:tcPr>
            <w:tcW w:w="1160" w:type="dxa"/>
            <w:vAlign w:val="bottom"/>
            <w:shd w:val="clear" w:color="auto" w:fill="D8D8D8"/>
          </w:tcPr>
          <w:p>
            <w:pPr>
              <w:jc w:val="right"/>
              <w:ind w:right="155"/>
              <w:spacing w:after="0"/>
              <w:rPr>
                <w:sz w:val="20"/>
                <w:szCs w:val="20"/>
                <w:color w:val="auto"/>
              </w:rPr>
            </w:pPr>
            <w:r>
              <w:rPr>
                <w:rFonts w:ascii="Arial" w:cs="Arial" w:eastAsia="Arial" w:hAnsi="Arial"/>
                <w:sz w:val="18"/>
                <w:szCs w:val="18"/>
                <w:color w:val="auto"/>
              </w:rPr>
              <w:t>2,390.5</w:t>
            </w:r>
          </w:p>
        </w:tc>
        <w:tc>
          <w:tcPr>
            <w:tcW w:w="560" w:type="dxa"/>
            <w:vAlign w:val="bottom"/>
            <w:shd w:val="clear" w:color="auto" w:fill="D8D8D8"/>
          </w:tcPr>
          <w:p>
            <w:pPr>
              <w:spacing w:after="0"/>
              <w:rPr>
                <w:sz w:val="23"/>
                <w:szCs w:val="23"/>
                <w:color w:val="auto"/>
              </w:rPr>
            </w:pPr>
          </w:p>
        </w:tc>
        <w:tc>
          <w:tcPr>
            <w:tcW w:w="940" w:type="dxa"/>
            <w:vAlign w:val="bottom"/>
            <w:shd w:val="clear" w:color="auto" w:fill="D8D8D8"/>
          </w:tcPr>
          <w:p>
            <w:pPr>
              <w:jc w:val="right"/>
              <w:ind w:right="92"/>
              <w:spacing w:after="0"/>
              <w:rPr>
                <w:sz w:val="20"/>
                <w:szCs w:val="20"/>
                <w:color w:val="auto"/>
              </w:rPr>
            </w:pPr>
            <w:r>
              <w:rPr>
                <w:rFonts w:ascii="Arial" w:cs="Arial" w:eastAsia="Arial" w:hAnsi="Arial"/>
                <w:sz w:val="18"/>
                <w:szCs w:val="18"/>
                <w:color w:val="auto"/>
              </w:rPr>
              <w:t>4,684.8</w:t>
            </w:r>
          </w:p>
        </w:tc>
        <w:tc>
          <w:tcPr>
            <w:tcW w:w="1600" w:type="dxa"/>
            <w:vAlign w:val="bottom"/>
            <w:shd w:val="clear" w:color="auto" w:fill="D8D8D8"/>
          </w:tcPr>
          <w:p>
            <w:pPr>
              <w:ind w:left="1080"/>
              <w:spacing w:after="0"/>
              <w:rPr>
                <w:sz w:val="20"/>
                <w:szCs w:val="20"/>
                <w:color w:val="auto"/>
              </w:rPr>
            </w:pPr>
            <w:r>
              <w:rPr>
                <w:rFonts w:ascii="Arial" w:cs="Arial" w:eastAsia="Arial" w:hAnsi="Arial"/>
                <w:sz w:val="18"/>
                <w:szCs w:val="18"/>
                <w:color w:val="auto"/>
              </w:rPr>
              <w:t>(49)%</w:t>
            </w:r>
          </w:p>
        </w:tc>
      </w:tr>
      <w:tr>
        <w:trPr>
          <w:trHeight w:val="261"/>
        </w:trPr>
        <w:tc>
          <w:tcPr>
            <w:tcW w:w="6820" w:type="dxa"/>
            <w:vAlign w:val="bottom"/>
          </w:tcPr>
          <w:p>
            <w:pPr>
              <w:ind w:left="40"/>
              <w:spacing w:after="0"/>
              <w:rPr>
                <w:sz w:val="20"/>
                <w:szCs w:val="20"/>
                <w:color w:val="auto"/>
              </w:rPr>
            </w:pPr>
            <w:r>
              <w:rPr>
                <w:rFonts w:ascii="Arial" w:cs="Arial" w:eastAsia="Arial" w:hAnsi="Arial"/>
                <w:sz w:val="18"/>
                <w:szCs w:val="18"/>
                <w:color w:val="auto"/>
              </w:rPr>
              <w:t>Earnings per share</w:t>
            </w:r>
          </w:p>
        </w:tc>
        <w:tc>
          <w:tcPr>
            <w:tcW w:w="340" w:type="dxa"/>
            <w:vAlign w:val="bottom"/>
          </w:tcPr>
          <w:p>
            <w:pPr>
              <w:spacing w:after="0"/>
              <w:rPr>
                <w:sz w:val="22"/>
                <w:szCs w:val="22"/>
                <w:color w:val="auto"/>
              </w:rPr>
            </w:pPr>
          </w:p>
        </w:tc>
        <w:tc>
          <w:tcPr>
            <w:tcW w:w="1160" w:type="dxa"/>
            <w:vAlign w:val="bottom"/>
          </w:tcPr>
          <w:p>
            <w:pPr>
              <w:jc w:val="right"/>
              <w:ind w:right="155"/>
              <w:spacing w:after="0"/>
              <w:rPr>
                <w:sz w:val="20"/>
                <w:szCs w:val="20"/>
                <w:color w:val="auto"/>
              </w:rPr>
            </w:pPr>
            <w:r>
              <w:rPr>
                <w:rFonts w:ascii="Arial" w:cs="Arial" w:eastAsia="Arial" w:hAnsi="Arial"/>
                <w:sz w:val="18"/>
                <w:szCs w:val="18"/>
                <w:color w:val="auto"/>
              </w:rPr>
              <w:t>2.23</w:t>
            </w:r>
          </w:p>
        </w:tc>
        <w:tc>
          <w:tcPr>
            <w:tcW w:w="560" w:type="dxa"/>
            <w:vAlign w:val="bottom"/>
          </w:tcPr>
          <w:p>
            <w:pPr>
              <w:spacing w:after="0"/>
              <w:rPr>
                <w:sz w:val="22"/>
                <w:szCs w:val="22"/>
                <w:color w:val="auto"/>
              </w:rPr>
            </w:pPr>
          </w:p>
        </w:tc>
        <w:tc>
          <w:tcPr>
            <w:tcW w:w="940" w:type="dxa"/>
            <w:vAlign w:val="bottom"/>
          </w:tcPr>
          <w:p>
            <w:pPr>
              <w:jc w:val="right"/>
              <w:ind w:right="92"/>
              <w:spacing w:after="0"/>
              <w:rPr>
                <w:sz w:val="20"/>
                <w:szCs w:val="20"/>
                <w:color w:val="auto"/>
              </w:rPr>
            </w:pPr>
            <w:r>
              <w:rPr>
                <w:rFonts w:ascii="Arial" w:cs="Arial" w:eastAsia="Arial" w:hAnsi="Arial"/>
                <w:sz w:val="18"/>
                <w:szCs w:val="18"/>
                <w:color w:val="auto"/>
              </w:rPr>
              <w:t>4.32</w:t>
            </w:r>
          </w:p>
        </w:tc>
        <w:tc>
          <w:tcPr>
            <w:tcW w:w="1600" w:type="dxa"/>
            <w:vAlign w:val="bottom"/>
          </w:tcPr>
          <w:p>
            <w:pPr>
              <w:ind w:left="1080"/>
              <w:spacing w:after="0"/>
              <w:rPr>
                <w:sz w:val="20"/>
                <w:szCs w:val="20"/>
                <w:color w:val="auto"/>
              </w:rPr>
            </w:pPr>
            <w:r>
              <w:rPr>
                <w:rFonts w:ascii="Arial" w:cs="Arial" w:eastAsia="Arial" w:hAnsi="Arial"/>
                <w:sz w:val="18"/>
                <w:szCs w:val="18"/>
                <w:color w:val="auto"/>
              </w:rPr>
              <w:t>(48)%</w:t>
            </w:r>
          </w:p>
        </w:tc>
      </w:tr>
    </w:tbl>
    <w:p>
      <w:pPr>
        <w:spacing w:after="0" w:line="104" w:lineRule="exact"/>
        <w:rPr>
          <w:sz w:val="20"/>
          <w:szCs w:val="20"/>
          <w:color w:val="auto"/>
        </w:rPr>
      </w:pPr>
    </w:p>
    <w:p>
      <w:pPr>
        <w:ind w:right="4220" w:firstLine="8"/>
        <w:spacing w:after="0" w:line="323" w:lineRule="auto"/>
        <w:tabs>
          <w:tab w:leader="none" w:pos="135" w:val="left"/>
        </w:tabs>
        <w:numPr>
          <w:ilvl w:val="0"/>
          <w:numId w:val="44"/>
        </w:numPr>
        <w:rPr>
          <w:rFonts w:ascii="Arial" w:cs="Arial" w:eastAsia="Arial" w:hAnsi="Arial"/>
          <w:sz w:val="15"/>
          <w:szCs w:val="15"/>
          <w:color w:val="auto"/>
          <w:vertAlign w:val="superscript"/>
        </w:rPr>
      </w:pPr>
      <w:r>
        <w:rPr>
          <w:rFonts w:ascii="Arial" w:cs="Arial" w:eastAsia="Arial" w:hAnsi="Arial"/>
          <w:sz w:val="12"/>
          <w:szCs w:val="12"/>
          <w:color w:val="auto"/>
        </w:rPr>
        <w:t>Operating expense consists of research and development and marketing, selling, and administrative expenses. NM - not meaningful</w:t>
      </w:r>
    </w:p>
    <w:p>
      <w:pPr>
        <w:spacing w:after="0" w:line="298"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Revenue and gross margin decreased in 2014. The decrease in operating expense in 2014 was due to decreases in both research and development and marketing, selling, and administrative expenses. The decreases in net income and EPS for 2015 were due to lower gross margin, higher asset impairment, restructuring, and other special charges, and decreased other income, partially offset by lower operating expenses, and income tax expense.</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42</w:t>
      </w:r>
    </w:p>
    <w:p>
      <w:pPr>
        <w:sectPr>
          <w:pgSz w:w="11900" w:h="16838" w:orient="portrait"/>
          <w:cols w:equalWidth="0" w:num="1">
            <w:col w:w="11420"/>
          </w:cols>
          <w:pgMar w:left="240" w:top="684" w:right="239" w:bottom="1440" w:gutter="0" w:footer="0" w:header="0"/>
        </w:sectPr>
      </w:pPr>
    </w:p>
    <w:bookmarkStart w:id="42" w:name="page43"/>
    <w:bookmarkEnd w:id="42"/>
    <w:p>
      <w:pPr>
        <w:ind w:right="40"/>
        <w:spacing w:after="0" w:line="292" w:lineRule="auto"/>
        <w:rPr>
          <w:sz w:val="20"/>
          <w:szCs w:val="20"/>
          <w:color w:val="auto"/>
        </w:rPr>
      </w:pPr>
      <w:r>
        <w:rPr>
          <w:rFonts w:ascii="Arial" w:cs="Arial" w:eastAsia="Arial" w:hAnsi="Arial"/>
          <w:sz w:val="18"/>
          <w:szCs w:val="18"/>
          <w:color w:val="auto"/>
        </w:rPr>
        <w:t>Certain items affect the comparisons of our 2014 and 2013 results. The 2014 highlighted items are summarized in the "Results of Operations— Executive Overview" section. The 2013 highlighted items are summarized as follows:</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color w:val="auto"/>
        </w:rPr>
        <w:t>Acquired IPR&amp;D (Note 3 to the consolidated financial statements)</w:t>
      </w:r>
    </w:p>
    <w:p>
      <w:pPr>
        <w:spacing w:after="0" w:line="117" w:lineRule="exact"/>
        <w:rPr>
          <w:sz w:val="20"/>
          <w:szCs w:val="20"/>
          <w:color w:val="auto"/>
        </w:rPr>
      </w:pPr>
    </w:p>
    <w:p>
      <w:pPr>
        <w:ind w:left="660" w:hanging="328"/>
        <w:spacing w:after="0" w:line="292"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recognized acquired IPR&amp;D charges of $57.1 million (pretax), or $0.03 per share, resulting from our acquisition of rights for a CGRP monoclonal antibody (see "Results of Operations—Executive Overview—Late-Stage Pipeline" section).</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color w:val="auto"/>
        </w:rPr>
        <w:t>Collaborations (Note 4 to the consolidated financial statements)</w:t>
      </w:r>
    </w:p>
    <w:p>
      <w:pPr>
        <w:spacing w:after="0" w:line="117" w:lineRule="exact"/>
        <w:rPr>
          <w:sz w:val="20"/>
          <w:szCs w:val="20"/>
          <w:color w:val="auto"/>
        </w:rPr>
      </w:pPr>
    </w:p>
    <w:p>
      <w:pPr>
        <w:ind w:left="660" w:right="20" w:hanging="328"/>
        <w:spacing w:after="0" w:line="292"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We recognized income of $495.4 million (pretax), or $0.29 per share, related to the transfer to Amylin Pharmaceuticals, Inc. (Amylin) of exenatide commercial rights in all markets outside the U.S.</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color w:val="auto"/>
        </w:rPr>
        <w:t>Asset Impairment, Restructuring, and Other Special Charges (Note 5 to the consolidated financial statements)</w:t>
      </w:r>
    </w:p>
    <w:p>
      <w:pPr>
        <w:spacing w:after="0" w:line="117" w:lineRule="exact"/>
        <w:rPr>
          <w:sz w:val="20"/>
          <w:szCs w:val="20"/>
          <w:color w:val="auto"/>
        </w:rPr>
      </w:pPr>
    </w:p>
    <w:p>
      <w:pPr>
        <w:ind w:left="660" w:right="40" w:hanging="328"/>
        <w:spacing w:after="0" w:line="292"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We recognized charges of $120.6 million (pretax), or $0.08 per share, primarily related to severance costs, as well as asset impairment costs associated with the closure of a packaging and distribution facility in Germany.</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revenue activity by jurisdiction:</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960" w:type="dxa"/>
            <w:vAlign w:val="bottom"/>
            <w:gridSpan w:val="2"/>
          </w:tcPr>
          <w:p>
            <w:pPr>
              <w:jc w:val="right"/>
              <w:ind w:right="110"/>
              <w:spacing w:after="0"/>
              <w:rPr>
                <w:sz w:val="20"/>
                <w:szCs w:val="20"/>
                <w:color w:val="auto"/>
              </w:rPr>
            </w:pPr>
            <w:r>
              <w:rPr>
                <w:rFonts w:ascii="Arial" w:cs="Arial" w:eastAsia="Arial" w:hAnsi="Arial"/>
                <w:sz w:val="14"/>
                <w:szCs w:val="14"/>
                <w:b w:val="1"/>
                <w:bCs w:val="1"/>
                <w:color w:val="auto"/>
              </w:rPr>
              <w:t>Year Ended,</w:t>
            </w: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203"/>
        </w:trPr>
        <w:tc>
          <w:tcPr>
            <w:tcW w:w="404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4"/>
                <w:szCs w:val="14"/>
                <w:b w:val="1"/>
                <w:bCs w:val="1"/>
                <w:color w:val="auto"/>
              </w:rPr>
              <w:t>December 31,</w:t>
            </w:r>
          </w:p>
        </w:tc>
        <w:tc>
          <w:tcPr>
            <w:tcW w:w="11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gridSpan w:val="2"/>
          </w:tcPr>
          <w:p>
            <w:pPr>
              <w:ind w:left="1160"/>
              <w:spacing w:after="0"/>
              <w:rPr>
                <w:sz w:val="20"/>
                <w:szCs w:val="20"/>
                <w:color w:val="auto"/>
              </w:rPr>
            </w:pPr>
            <w:r>
              <w:rPr>
                <w:rFonts w:ascii="Arial" w:cs="Arial" w:eastAsia="Arial" w:hAnsi="Arial"/>
                <w:sz w:val="14"/>
                <w:szCs w:val="14"/>
                <w:b w:val="1"/>
                <w:bCs w:val="1"/>
                <w:color w:val="auto"/>
              </w:rPr>
              <w:t>Change in</w:t>
            </w:r>
          </w:p>
        </w:tc>
        <w:tc>
          <w:tcPr>
            <w:tcW w:w="1380" w:type="dxa"/>
            <w:vAlign w:val="bottom"/>
            <w:tcBorders>
              <w:bottom w:val="single" w:sz="8" w:color="auto"/>
            </w:tcBorders>
          </w:tcPr>
          <w:p>
            <w:pPr>
              <w:spacing w:after="0"/>
              <w:rPr>
                <w:sz w:val="17"/>
                <w:szCs w:val="17"/>
                <w:color w:val="auto"/>
              </w:rPr>
            </w:pPr>
          </w:p>
        </w:tc>
      </w:tr>
      <w:tr>
        <w:trPr>
          <w:trHeight w:val="264"/>
        </w:trPr>
        <w:tc>
          <w:tcPr>
            <w:tcW w:w="4040" w:type="dxa"/>
            <w:vAlign w:val="bottom"/>
            <w:tcBorders>
              <w:bottom w:val="single" w:sz="8" w:color="D8D8D8"/>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19"/>
              <w:spacing w:after="0"/>
              <w:rPr>
                <w:sz w:val="20"/>
                <w:szCs w:val="20"/>
                <w:color w:val="auto"/>
              </w:rPr>
            </w:pPr>
            <w:r>
              <w:rPr>
                <w:rFonts w:ascii="Arial" w:cs="Arial" w:eastAsia="Arial" w:hAnsi="Arial"/>
                <w:sz w:val="14"/>
                <w:szCs w:val="14"/>
                <w:b w:val="1"/>
                <w:bCs w:val="1"/>
                <w:color w:val="auto"/>
              </w:rPr>
              <w:t>2014</w:t>
            </w:r>
          </w:p>
        </w:tc>
        <w:tc>
          <w:tcPr>
            <w:tcW w:w="6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2000" w:type="dxa"/>
            <w:vAlign w:val="bottom"/>
            <w:tcBorders>
              <w:bottom w:val="single" w:sz="8" w:color="auto"/>
            </w:tcBorders>
            <w:gridSpan w:val="2"/>
          </w:tcPr>
          <w:p>
            <w:pPr>
              <w:ind w:left="240"/>
              <w:spacing w:after="0"/>
              <w:rPr>
                <w:sz w:val="20"/>
                <w:szCs w:val="20"/>
                <w:color w:val="auto"/>
              </w:rPr>
            </w:pPr>
            <w:r>
              <w:rPr>
                <w:rFonts w:ascii="Arial" w:cs="Arial" w:eastAsia="Arial" w:hAnsi="Arial"/>
                <w:sz w:val="14"/>
                <w:szCs w:val="14"/>
                <w:b w:val="1"/>
                <w:bCs w:val="1"/>
                <w:color w:val="auto"/>
              </w:rPr>
              <w:t>Dollars</w:t>
            </w:r>
          </w:p>
        </w:tc>
        <w:tc>
          <w:tcPr>
            <w:tcW w:w="138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Percent</w:t>
            </w:r>
          </w:p>
        </w:tc>
      </w:tr>
      <w:tr>
        <w:trPr>
          <w:trHeight w:val="265"/>
        </w:trPr>
        <w:tc>
          <w:tcPr>
            <w:tcW w:w="4040" w:type="dxa"/>
            <w:vAlign w:val="bottom"/>
            <w:shd w:val="clear" w:color="auto" w:fill="D8D8D8"/>
          </w:tcPr>
          <w:p>
            <w:pPr>
              <w:ind w:left="40"/>
              <w:spacing w:after="0"/>
              <w:rPr>
                <w:sz w:val="20"/>
                <w:szCs w:val="20"/>
                <w:color w:val="auto"/>
              </w:rPr>
            </w:pPr>
            <w:r>
              <w:rPr>
                <w:rFonts w:ascii="Arial" w:cs="Arial" w:eastAsia="Arial" w:hAnsi="Arial"/>
                <w:sz w:val="18"/>
                <w:szCs w:val="18"/>
                <w:color w:val="auto"/>
              </w:rPr>
              <w:t xml:space="preserve">U.S. </w:t>
            </w:r>
            <w:r>
              <w:rPr>
                <w:rFonts w:ascii="Arial" w:cs="Arial" w:eastAsia="Arial" w:hAnsi="Arial"/>
                <w:sz w:val="21"/>
                <w:szCs w:val="21"/>
                <w:color w:val="auto"/>
                <w:vertAlign w:val="superscript"/>
              </w:rPr>
              <w:t>(1)</w:t>
            </w:r>
          </w:p>
        </w:tc>
        <w:tc>
          <w:tcPr>
            <w:tcW w:w="420" w:type="dxa"/>
            <w:vAlign w:val="bottom"/>
            <w:shd w:val="clear" w:color="auto" w:fill="D8D8D8"/>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shd w:val="clear" w:color="auto" w:fill="D8D8D8"/>
          </w:tcPr>
          <w:p>
            <w:pPr>
              <w:jc w:val="right"/>
              <w:ind w:right="39"/>
              <w:spacing w:after="0"/>
              <w:rPr>
                <w:sz w:val="20"/>
                <w:szCs w:val="20"/>
                <w:color w:val="auto"/>
              </w:rPr>
            </w:pPr>
            <w:r>
              <w:rPr>
                <w:rFonts w:ascii="Arial" w:cs="Arial" w:eastAsia="Arial" w:hAnsi="Arial"/>
                <w:sz w:val="18"/>
                <w:szCs w:val="18"/>
                <w:color w:val="auto"/>
              </w:rPr>
              <w:t>9,134.1</w:t>
            </w:r>
          </w:p>
        </w:tc>
        <w:tc>
          <w:tcPr>
            <w:tcW w:w="660" w:type="dxa"/>
            <w:vAlign w:val="bottom"/>
            <w:shd w:val="clear" w:color="auto" w:fill="D8D8D8"/>
          </w:tcPr>
          <w:p>
            <w:pPr>
              <w:jc w:val="right"/>
              <w:ind w:right="350"/>
              <w:spacing w:after="0"/>
              <w:rPr>
                <w:sz w:val="20"/>
                <w:szCs w:val="20"/>
                <w:color w:val="auto"/>
              </w:rPr>
            </w:pPr>
            <w:r>
              <w:rPr>
                <w:rFonts w:ascii="Arial" w:cs="Arial" w:eastAsia="Arial" w:hAnsi="Arial"/>
                <w:sz w:val="18"/>
                <w:szCs w:val="18"/>
                <w:color w:val="auto"/>
              </w:rPr>
              <w:t>$</w:t>
            </w:r>
          </w:p>
        </w:tc>
        <w:tc>
          <w:tcPr>
            <w:tcW w:w="1140" w:type="dxa"/>
            <w:vAlign w:val="bottom"/>
            <w:shd w:val="clear" w:color="auto" w:fill="D8D8D8"/>
          </w:tcPr>
          <w:p>
            <w:pPr>
              <w:jc w:val="right"/>
              <w:ind w:right="34"/>
              <w:spacing w:after="0"/>
              <w:rPr>
                <w:sz w:val="20"/>
                <w:szCs w:val="20"/>
                <w:color w:val="auto"/>
              </w:rPr>
            </w:pPr>
            <w:r>
              <w:rPr>
                <w:rFonts w:ascii="Arial" w:cs="Arial" w:eastAsia="Arial" w:hAnsi="Arial"/>
                <w:sz w:val="18"/>
                <w:szCs w:val="18"/>
                <w:color w:val="auto"/>
              </w:rPr>
              <w:t>12,889.7</w:t>
            </w:r>
          </w:p>
        </w:tc>
        <w:tc>
          <w:tcPr>
            <w:tcW w:w="100" w:type="dxa"/>
            <w:vAlign w:val="bottom"/>
            <w:shd w:val="clear" w:color="auto" w:fill="D8D8D8"/>
          </w:tcPr>
          <w:p>
            <w:pPr>
              <w:spacing w:after="0"/>
              <w:rPr>
                <w:sz w:val="23"/>
                <w:szCs w:val="23"/>
                <w:color w:val="auto"/>
              </w:rPr>
            </w:pPr>
          </w:p>
        </w:tc>
        <w:tc>
          <w:tcPr>
            <w:tcW w:w="380" w:type="dxa"/>
            <w:vAlign w:val="bottom"/>
            <w:shd w:val="clear" w:color="auto" w:fill="D8D8D8"/>
          </w:tcPr>
          <w:p>
            <w:pPr>
              <w:jc w:val="right"/>
              <w:ind w:right="150"/>
              <w:spacing w:after="0"/>
              <w:rPr>
                <w:sz w:val="20"/>
                <w:szCs w:val="20"/>
                <w:color w:val="auto"/>
              </w:rPr>
            </w:pPr>
            <w:r>
              <w:rPr>
                <w:rFonts w:ascii="Arial" w:cs="Arial" w:eastAsia="Arial" w:hAnsi="Arial"/>
                <w:sz w:val="18"/>
                <w:szCs w:val="18"/>
                <w:color w:val="auto"/>
              </w:rPr>
              <w:t>$</w:t>
            </w:r>
          </w:p>
        </w:tc>
        <w:tc>
          <w:tcPr>
            <w:tcW w:w="1320" w:type="dxa"/>
            <w:vAlign w:val="bottom"/>
            <w:shd w:val="clear" w:color="auto" w:fill="D8D8D8"/>
          </w:tcPr>
          <w:p>
            <w:pPr>
              <w:jc w:val="right"/>
              <w:spacing w:after="0"/>
              <w:rPr>
                <w:sz w:val="20"/>
                <w:szCs w:val="20"/>
                <w:color w:val="auto"/>
              </w:rPr>
            </w:pPr>
            <w:r>
              <w:rPr>
                <w:rFonts w:ascii="Arial" w:cs="Arial" w:eastAsia="Arial" w:hAnsi="Arial"/>
                <w:sz w:val="18"/>
                <w:szCs w:val="18"/>
                <w:color w:val="auto"/>
              </w:rPr>
              <w:t>(3,755.6)</w:t>
            </w:r>
          </w:p>
        </w:tc>
        <w:tc>
          <w:tcPr>
            <w:tcW w:w="680" w:type="dxa"/>
            <w:vAlign w:val="bottom"/>
            <w:shd w:val="clear" w:color="auto" w:fill="D8D8D8"/>
          </w:tcPr>
          <w:p>
            <w:pPr>
              <w:spacing w:after="0"/>
              <w:rPr>
                <w:sz w:val="23"/>
                <w:szCs w:val="23"/>
                <w:color w:val="auto"/>
              </w:rPr>
            </w:pPr>
          </w:p>
        </w:tc>
        <w:tc>
          <w:tcPr>
            <w:tcW w:w="13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(29)%</w:t>
            </w:r>
          </w:p>
        </w:tc>
      </w:tr>
      <w:tr>
        <w:trPr>
          <w:trHeight w:val="265"/>
        </w:trPr>
        <w:tc>
          <w:tcPr>
            <w:tcW w:w="4040" w:type="dxa"/>
            <w:vAlign w:val="bottom"/>
            <w:tcBorders>
              <w:bottom w:val="single" w:sz="8" w:color="D8D8D8"/>
            </w:tcBorders>
          </w:tcPr>
          <w:p>
            <w:pPr>
              <w:ind w:left="40"/>
              <w:spacing w:after="0"/>
              <w:rPr>
                <w:sz w:val="20"/>
                <w:szCs w:val="20"/>
                <w:color w:val="auto"/>
              </w:rPr>
            </w:pPr>
            <w:r>
              <w:rPr>
                <w:rFonts w:ascii="Arial" w:cs="Arial" w:eastAsia="Arial" w:hAnsi="Arial"/>
                <w:sz w:val="18"/>
                <w:szCs w:val="18"/>
                <w:color w:val="auto"/>
              </w:rPr>
              <w:t>Outside U.S.</w:t>
            </w:r>
          </w:p>
        </w:tc>
        <w:tc>
          <w:tcPr>
            <w:tcW w:w="42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color w:val="auto"/>
              </w:rPr>
              <w:t>10,481.5</w:t>
            </w:r>
          </w:p>
        </w:tc>
        <w:tc>
          <w:tcPr>
            <w:tcW w:w="6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10,223.4</w:t>
            </w:r>
          </w:p>
        </w:tc>
        <w:tc>
          <w:tcPr>
            <w:tcW w:w="100" w:type="dxa"/>
            <w:vAlign w:val="bottom"/>
            <w:tcBorders>
              <w:bottom w:val="single" w:sz="8" w:color="auto"/>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258.1</w:t>
            </w:r>
          </w:p>
        </w:tc>
        <w:tc>
          <w:tcPr>
            <w:tcW w:w="680" w:type="dxa"/>
            <w:vAlign w:val="bottom"/>
            <w:tcBorders>
              <w:bottom w:val="single" w:sz="8" w:color="D8D8D8"/>
            </w:tcBorders>
          </w:tcPr>
          <w:p>
            <w:pPr>
              <w:spacing w:after="0"/>
              <w:rPr>
                <w:sz w:val="23"/>
                <w:szCs w:val="23"/>
                <w:color w:val="auto"/>
              </w:rPr>
            </w:pPr>
          </w:p>
        </w:tc>
        <w:tc>
          <w:tcPr>
            <w:tcW w:w="1380" w:type="dxa"/>
            <w:vAlign w:val="bottom"/>
            <w:tcBorders>
              <w:bottom w:val="single" w:sz="8" w:color="D8D8D8"/>
            </w:tcBorders>
          </w:tcPr>
          <w:p>
            <w:pPr>
              <w:jc w:val="right"/>
              <w:spacing w:after="0"/>
              <w:rPr>
                <w:sz w:val="20"/>
                <w:szCs w:val="20"/>
                <w:color w:val="auto"/>
              </w:rPr>
            </w:pPr>
            <w:r>
              <w:rPr>
                <w:rFonts w:ascii="Arial" w:cs="Arial" w:eastAsia="Arial" w:hAnsi="Arial"/>
                <w:sz w:val="18"/>
                <w:szCs w:val="18"/>
                <w:color w:val="auto"/>
              </w:rPr>
              <w:t>3 %</w:t>
            </w:r>
          </w:p>
        </w:tc>
      </w:tr>
      <w:tr>
        <w:trPr>
          <w:trHeight w:val="275"/>
        </w:trPr>
        <w:tc>
          <w:tcPr>
            <w:tcW w:w="4040" w:type="dxa"/>
            <w:vAlign w:val="bottom"/>
            <w:tcBorders>
              <w:bottom w:val="single" w:sz="8" w:color="D8D8D8"/>
            </w:tcBorders>
            <w:shd w:val="clear" w:color="auto" w:fill="D8D8D8"/>
          </w:tcPr>
          <w:p>
            <w:pPr>
              <w:ind w:left="40"/>
              <w:spacing w:after="0"/>
              <w:rPr>
                <w:sz w:val="20"/>
                <w:szCs w:val="20"/>
                <w:color w:val="auto"/>
              </w:rPr>
            </w:pPr>
            <w:r>
              <w:rPr>
                <w:rFonts w:ascii="Arial" w:cs="Arial" w:eastAsia="Arial" w:hAnsi="Arial"/>
                <w:sz w:val="18"/>
                <w:szCs w:val="18"/>
                <w:color w:val="auto"/>
              </w:rPr>
              <w:t>Revenue</w:t>
            </w:r>
          </w:p>
        </w:tc>
        <w:tc>
          <w:tcPr>
            <w:tcW w:w="420" w:type="dxa"/>
            <w:vAlign w:val="bottom"/>
            <w:tcBorders>
              <w:bottom w:val="single" w:sz="8" w:color="auto"/>
            </w:tcBorders>
            <w:shd w:val="clear" w:color="auto" w:fill="D8D8D8"/>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D8D8D8"/>
          </w:tcPr>
          <w:p>
            <w:pPr>
              <w:jc w:val="right"/>
              <w:ind w:right="39"/>
              <w:spacing w:after="0"/>
              <w:rPr>
                <w:sz w:val="20"/>
                <w:szCs w:val="20"/>
                <w:color w:val="auto"/>
              </w:rPr>
            </w:pPr>
            <w:r>
              <w:rPr>
                <w:rFonts w:ascii="Arial" w:cs="Arial" w:eastAsia="Arial" w:hAnsi="Arial"/>
                <w:sz w:val="18"/>
                <w:szCs w:val="18"/>
                <w:color w:val="auto"/>
              </w:rPr>
              <w:t>19,615.6</w:t>
            </w:r>
          </w:p>
        </w:tc>
        <w:tc>
          <w:tcPr>
            <w:tcW w:w="660" w:type="dxa"/>
            <w:vAlign w:val="bottom"/>
            <w:tcBorders>
              <w:bottom w:val="single" w:sz="8" w:color="auto"/>
            </w:tcBorders>
            <w:shd w:val="clear" w:color="auto" w:fill="D8D8D8"/>
          </w:tcPr>
          <w:p>
            <w:pPr>
              <w:jc w:val="right"/>
              <w:ind w:right="35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D8D8D8"/>
          </w:tcPr>
          <w:p>
            <w:pPr>
              <w:jc w:val="right"/>
              <w:ind w:right="34"/>
              <w:spacing w:after="0"/>
              <w:rPr>
                <w:sz w:val="20"/>
                <w:szCs w:val="20"/>
                <w:color w:val="auto"/>
              </w:rPr>
            </w:pPr>
            <w:r>
              <w:rPr>
                <w:rFonts w:ascii="Arial" w:cs="Arial" w:eastAsia="Arial" w:hAnsi="Arial"/>
                <w:sz w:val="18"/>
                <w:szCs w:val="18"/>
                <w:color w:val="auto"/>
              </w:rPr>
              <w:t>23,113.1</w:t>
            </w:r>
          </w:p>
        </w:tc>
        <w:tc>
          <w:tcPr>
            <w:tcW w:w="100" w:type="dxa"/>
            <w:vAlign w:val="bottom"/>
            <w:tcBorders>
              <w:bottom w:val="single" w:sz="8" w:color="auto"/>
            </w:tcBorders>
            <w:shd w:val="clear" w:color="auto" w:fill="D8D8D8"/>
          </w:tcPr>
          <w:p>
            <w:pPr>
              <w:spacing w:after="0"/>
              <w:rPr>
                <w:sz w:val="23"/>
                <w:szCs w:val="23"/>
                <w:color w:val="auto"/>
              </w:rPr>
            </w:pPr>
          </w:p>
        </w:tc>
        <w:tc>
          <w:tcPr>
            <w:tcW w:w="380" w:type="dxa"/>
            <w:vAlign w:val="bottom"/>
            <w:tcBorders>
              <w:bottom w:val="single" w:sz="8" w:color="auto"/>
            </w:tcBorders>
            <w:shd w:val="clear" w:color="auto" w:fill="D8D8D8"/>
          </w:tcPr>
          <w:p>
            <w:pPr>
              <w:jc w:val="right"/>
              <w:ind w:right="15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(3,497.5)</w:t>
            </w:r>
          </w:p>
        </w:tc>
        <w:tc>
          <w:tcPr>
            <w:tcW w:w="680" w:type="dxa"/>
            <w:vAlign w:val="bottom"/>
            <w:tcBorders>
              <w:bottom w:val="single" w:sz="8" w:color="auto"/>
            </w:tcBorders>
            <w:shd w:val="clear" w:color="auto" w:fill="D8D8D8"/>
          </w:tcPr>
          <w:p>
            <w:pPr>
              <w:spacing w:after="0"/>
              <w:rPr>
                <w:sz w:val="23"/>
                <w:szCs w:val="23"/>
                <w:color w:val="auto"/>
              </w:rPr>
            </w:pPr>
          </w:p>
        </w:tc>
        <w:tc>
          <w:tcPr>
            <w:tcW w:w="138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(15)%</w:t>
            </w:r>
          </w:p>
        </w:tc>
      </w:tr>
    </w:tbl>
    <w:p>
      <w:pPr>
        <w:spacing w:after="0" w:line="95" w:lineRule="exact"/>
        <w:rPr>
          <w:sz w:val="20"/>
          <w:szCs w:val="20"/>
          <w:color w:val="auto"/>
        </w:rPr>
      </w:pPr>
    </w:p>
    <w:p>
      <w:pPr>
        <w:spacing w:after="0"/>
        <w:rPr>
          <w:sz w:val="20"/>
          <w:szCs w:val="20"/>
          <w:color w:val="auto"/>
        </w:rPr>
      </w:pPr>
      <w:r>
        <w:rPr>
          <w:rFonts w:ascii="Arial" w:cs="Arial" w:eastAsia="Arial" w:hAnsi="Arial"/>
          <w:sz w:val="14"/>
          <w:szCs w:val="14"/>
          <w:color w:val="auto"/>
        </w:rPr>
        <w:t>Numbers may not add due to rounding.</w:t>
      </w:r>
    </w:p>
    <w:p>
      <w:pPr>
        <w:spacing w:after="0" w:line="109" w:lineRule="exact"/>
        <w:rPr>
          <w:sz w:val="20"/>
          <w:szCs w:val="20"/>
          <w:color w:val="auto"/>
        </w:rPr>
      </w:pPr>
    </w:p>
    <w:p>
      <w:pPr>
        <w:ind w:left="140" w:hanging="132"/>
        <w:spacing w:after="0"/>
        <w:tabs>
          <w:tab w:leader="none" w:pos="140" w:val="left"/>
        </w:tabs>
        <w:numPr>
          <w:ilvl w:val="0"/>
          <w:numId w:val="48"/>
        </w:numPr>
        <w:rPr>
          <w:rFonts w:ascii="Arial" w:cs="Arial" w:eastAsia="Arial" w:hAnsi="Arial"/>
          <w:sz w:val="16"/>
          <w:szCs w:val="16"/>
          <w:color w:val="auto"/>
          <w:vertAlign w:val="superscript"/>
        </w:rPr>
      </w:pPr>
      <w:r>
        <w:rPr>
          <w:rFonts w:ascii="Arial" w:cs="Arial" w:eastAsia="Arial" w:hAnsi="Arial"/>
          <w:sz w:val="13"/>
          <w:szCs w:val="13"/>
          <w:color w:val="auto"/>
        </w:rPr>
        <w:t>U.S. revenue includes revenue in Puerto Rico.</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components of the change in revenue compared to the prior year:</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00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2014 vs. 2013</w:t>
            </w:r>
          </w:p>
        </w:tc>
        <w:tc>
          <w:tcPr>
            <w:tcW w:w="1360" w:type="dxa"/>
            <w:vAlign w:val="bottom"/>
            <w:tcBorders>
              <w:bottom w:val="single" w:sz="8" w:color="auto"/>
            </w:tcBorders>
          </w:tcPr>
          <w:p>
            <w:pPr>
              <w:spacing w:after="0"/>
              <w:rPr>
                <w:sz w:val="17"/>
                <w:szCs w:val="17"/>
                <w:color w:val="auto"/>
              </w:rPr>
            </w:pPr>
          </w:p>
        </w:tc>
      </w:tr>
      <w:tr>
        <w:trPr>
          <w:trHeight w:val="250"/>
        </w:trPr>
        <w:tc>
          <w:tcPr>
            <w:tcW w:w="7000" w:type="dxa"/>
            <w:vAlign w:val="bottom"/>
            <w:tcBorders>
              <w:bottom w:val="single" w:sz="8" w:color="D8D8D8"/>
            </w:tcBorders>
          </w:tcPr>
          <w:p>
            <w:pPr>
              <w:spacing w:after="0"/>
              <w:rPr>
                <w:sz w:val="21"/>
                <w:szCs w:val="21"/>
                <w:color w:val="auto"/>
              </w:rPr>
            </w:pPr>
          </w:p>
        </w:tc>
        <w:tc>
          <w:tcPr>
            <w:tcW w:w="900" w:type="dxa"/>
            <w:vAlign w:val="bottom"/>
            <w:tcBorders>
              <w:bottom w:val="single" w:sz="8" w:color="auto"/>
            </w:tcBorders>
          </w:tcPr>
          <w:p>
            <w:pPr>
              <w:ind w:left="600"/>
              <w:spacing w:after="0"/>
              <w:rPr>
                <w:sz w:val="20"/>
                <w:szCs w:val="20"/>
                <w:color w:val="auto"/>
              </w:rPr>
            </w:pPr>
            <w:r>
              <w:rPr>
                <w:rFonts w:ascii="Arial" w:cs="Arial" w:eastAsia="Arial" w:hAnsi="Arial"/>
                <w:sz w:val="14"/>
                <w:szCs w:val="14"/>
                <w:b w:val="1"/>
                <w:bCs w:val="1"/>
                <w:color w:val="auto"/>
              </w:rPr>
              <w:t>U.S.</w:t>
            </w:r>
          </w:p>
        </w:tc>
        <w:tc>
          <w:tcPr>
            <w:tcW w:w="70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Outside U.S.</w:t>
            </w:r>
          </w:p>
        </w:tc>
        <w:tc>
          <w:tcPr>
            <w:tcW w:w="13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Consolidated</w:t>
            </w:r>
          </w:p>
        </w:tc>
      </w:tr>
      <w:tr>
        <w:trPr>
          <w:trHeight w:val="251"/>
        </w:trPr>
        <w:tc>
          <w:tcPr>
            <w:tcW w:w="7900" w:type="dxa"/>
            <w:vAlign w:val="bottom"/>
            <w:gridSpan w:val="2"/>
            <w:shd w:val="clear" w:color="auto" w:fill="D8D8D8"/>
          </w:tcPr>
          <w:p>
            <w:pPr>
              <w:ind w:left="40"/>
              <w:spacing w:after="0"/>
              <w:rPr>
                <w:sz w:val="20"/>
                <w:szCs w:val="20"/>
                <w:color w:val="auto"/>
              </w:rPr>
            </w:pPr>
            <w:r>
              <w:rPr>
                <w:rFonts w:ascii="Arial" w:cs="Arial" w:eastAsia="Arial" w:hAnsi="Arial"/>
                <w:sz w:val="18"/>
                <w:szCs w:val="18"/>
                <w:color w:val="auto"/>
              </w:rPr>
              <w:t>Volume</w:t>
            </w:r>
          </w:p>
        </w:tc>
        <w:tc>
          <w:tcPr>
            <w:tcW w:w="700" w:type="dxa"/>
            <w:vAlign w:val="bottom"/>
            <w:shd w:val="clear" w:color="auto" w:fill="D8D8D8"/>
          </w:tcPr>
          <w:p>
            <w:pPr>
              <w:jc w:val="right"/>
              <w:ind w:right="90"/>
              <w:spacing w:after="0"/>
              <w:rPr>
                <w:sz w:val="20"/>
                <w:szCs w:val="20"/>
                <w:color w:val="auto"/>
              </w:rPr>
            </w:pPr>
            <w:r>
              <w:rPr>
                <w:rFonts w:ascii="Arial" w:cs="Arial" w:eastAsia="Arial" w:hAnsi="Arial"/>
                <w:sz w:val="18"/>
                <w:szCs w:val="18"/>
                <w:color w:val="auto"/>
              </w:rPr>
              <w:t>(28)%</w:t>
            </w:r>
          </w:p>
        </w:tc>
        <w:tc>
          <w:tcPr>
            <w:tcW w:w="1460" w:type="dxa"/>
            <w:vAlign w:val="bottom"/>
            <w:shd w:val="clear" w:color="auto" w:fill="D8D8D8"/>
          </w:tcPr>
          <w:p>
            <w:pPr>
              <w:jc w:val="right"/>
              <w:ind w:right="96"/>
              <w:spacing w:after="0"/>
              <w:rPr>
                <w:sz w:val="20"/>
                <w:szCs w:val="20"/>
                <w:color w:val="auto"/>
              </w:rPr>
            </w:pPr>
            <w:r>
              <w:rPr>
                <w:rFonts w:ascii="Arial" w:cs="Arial" w:eastAsia="Arial" w:hAnsi="Arial"/>
                <w:sz w:val="18"/>
                <w:szCs w:val="18"/>
                <w:color w:val="auto"/>
              </w:rPr>
              <w:t>7 %</w:t>
            </w:r>
          </w:p>
        </w:tc>
        <w:tc>
          <w:tcPr>
            <w:tcW w:w="1360" w:type="dxa"/>
            <w:vAlign w:val="bottom"/>
            <w:shd w:val="clear" w:color="auto" w:fill="D8D8D8"/>
          </w:tcPr>
          <w:p>
            <w:pPr>
              <w:jc w:val="right"/>
              <w:spacing w:after="0"/>
              <w:rPr>
                <w:sz w:val="20"/>
                <w:szCs w:val="20"/>
                <w:color w:val="auto"/>
              </w:rPr>
            </w:pPr>
            <w:r>
              <w:rPr>
                <w:rFonts w:ascii="Arial" w:cs="Arial" w:eastAsia="Arial" w:hAnsi="Arial"/>
                <w:sz w:val="18"/>
                <w:szCs w:val="18"/>
                <w:color w:val="auto"/>
              </w:rPr>
              <w:t>(13)%</w:t>
            </w:r>
          </w:p>
        </w:tc>
      </w:tr>
      <w:tr>
        <w:trPr>
          <w:trHeight w:val="252"/>
        </w:trPr>
        <w:tc>
          <w:tcPr>
            <w:tcW w:w="7900" w:type="dxa"/>
            <w:vAlign w:val="bottom"/>
            <w:gridSpan w:val="2"/>
          </w:tcPr>
          <w:p>
            <w:pPr>
              <w:ind w:left="40"/>
              <w:spacing w:after="0"/>
              <w:rPr>
                <w:sz w:val="20"/>
                <w:szCs w:val="20"/>
                <w:color w:val="auto"/>
              </w:rPr>
            </w:pPr>
            <w:r>
              <w:rPr>
                <w:rFonts w:ascii="Arial" w:cs="Arial" w:eastAsia="Arial" w:hAnsi="Arial"/>
                <w:sz w:val="18"/>
                <w:szCs w:val="18"/>
                <w:color w:val="auto"/>
              </w:rPr>
              <w:t>Price</w:t>
            </w:r>
          </w:p>
        </w:tc>
        <w:tc>
          <w:tcPr>
            <w:tcW w:w="700" w:type="dxa"/>
            <w:vAlign w:val="bottom"/>
          </w:tcPr>
          <w:p>
            <w:pPr>
              <w:jc w:val="right"/>
              <w:ind w:right="90"/>
              <w:spacing w:after="0"/>
              <w:rPr>
                <w:sz w:val="20"/>
                <w:szCs w:val="20"/>
                <w:color w:val="auto"/>
              </w:rPr>
            </w:pPr>
            <w:r>
              <w:rPr>
                <w:rFonts w:ascii="Arial" w:cs="Arial" w:eastAsia="Arial" w:hAnsi="Arial"/>
                <w:sz w:val="18"/>
                <w:szCs w:val="18"/>
                <w:color w:val="auto"/>
              </w:rPr>
              <w:t>(1)%</w:t>
            </w:r>
          </w:p>
        </w:tc>
        <w:tc>
          <w:tcPr>
            <w:tcW w:w="1460" w:type="dxa"/>
            <w:vAlign w:val="bottom"/>
          </w:tcPr>
          <w:p>
            <w:pPr>
              <w:jc w:val="right"/>
              <w:ind w:right="76"/>
              <w:spacing w:after="0"/>
              <w:rPr>
                <w:sz w:val="20"/>
                <w:szCs w:val="20"/>
                <w:color w:val="auto"/>
              </w:rPr>
            </w:pPr>
            <w:r>
              <w:rPr>
                <w:rFonts w:ascii="Arial" w:cs="Arial" w:eastAsia="Arial" w:hAnsi="Arial"/>
                <w:sz w:val="18"/>
                <w:szCs w:val="18"/>
                <w:color w:val="auto"/>
              </w:rPr>
              <w:t>(1)%</w:t>
            </w:r>
          </w:p>
        </w:tc>
        <w:tc>
          <w:tcPr>
            <w:tcW w:w="13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57"/>
        </w:trPr>
        <w:tc>
          <w:tcPr>
            <w:tcW w:w="7000" w:type="dxa"/>
            <w:vAlign w:val="bottom"/>
            <w:shd w:val="clear" w:color="auto" w:fill="D8D8D8"/>
          </w:tcPr>
          <w:p>
            <w:pPr>
              <w:ind w:left="40"/>
              <w:spacing w:after="0"/>
              <w:rPr>
                <w:sz w:val="20"/>
                <w:szCs w:val="20"/>
                <w:color w:val="auto"/>
              </w:rPr>
            </w:pPr>
            <w:r>
              <w:rPr>
                <w:rFonts w:ascii="Arial" w:cs="Arial" w:eastAsia="Arial" w:hAnsi="Arial"/>
                <w:sz w:val="18"/>
                <w:szCs w:val="18"/>
                <w:color w:val="auto"/>
              </w:rPr>
              <w:t>Foreign exchange rates</w:t>
            </w:r>
          </w:p>
        </w:tc>
        <w:tc>
          <w:tcPr>
            <w:tcW w:w="900" w:type="dxa"/>
            <w:vAlign w:val="bottom"/>
            <w:tcBorders>
              <w:bottom w:val="single" w:sz="8" w:color="auto"/>
            </w:tcBorders>
            <w:shd w:val="clear" w:color="auto" w:fill="D8D8D8"/>
          </w:tcPr>
          <w:p>
            <w:pPr>
              <w:spacing w:after="0"/>
              <w:rPr>
                <w:sz w:val="22"/>
                <w:szCs w:val="22"/>
                <w:color w:val="auto"/>
              </w:rPr>
            </w:pPr>
          </w:p>
        </w:tc>
        <w:tc>
          <w:tcPr>
            <w:tcW w:w="700" w:type="dxa"/>
            <w:vAlign w:val="bottom"/>
            <w:tcBorders>
              <w:bottom w:val="single" w:sz="8" w:color="auto"/>
            </w:tcBorders>
            <w:shd w:val="clear" w:color="auto" w:fill="D8D8D8"/>
          </w:tcPr>
          <w:p>
            <w:pPr>
              <w:jc w:val="right"/>
              <w:ind w:right="90"/>
              <w:spacing w:after="0"/>
              <w:rPr>
                <w:sz w:val="20"/>
                <w:szCs w:val="20"/>
                <w:color w:val="auto"/>
              </w:rPr>
            </w:pPr>
            <w:r>
              <w:rPr>
                <w:rFonts w:ascii="Arial" w:cs="Arial" w:eastAsia="Arial" w:hAnsi="Arial"/>
                <w:sz w:val="18"/>
                <w:szCs w:val="18"/>
                <w:color w:val="auto"/>
              </w:rPr>
              <w:t>— %</w:t>
            </w:r>
          </w:p>
        </w:tc>
        <w:tc>
          <w:tcPr>
            <w:tcW w:w="1460" w:type="dxa"/>
            <w:vAlign w:val="bottom"/>
            <w:tcBorders>
              <w:bottom w:val="single" w:sz="8" w:color="auto"/>
            </w:tcBorders>
            <w:shd w:val="clear" w:color="auto" w:fill="D8D8D8"/>
          </w:tcPr>
          <w:p>
            <w:pPr>
              <w:jc w:val="right"/>
              <w:ind w:right="76"/>
              <w:spacing w:after="0"/>
              <w:rPr>
                <w:sz w:val="20"/>
                <w:szCs w:val="20"/>
                <w:color w:val="auto"/>
              </w:rPr>
            </w:pPr>
            <w:r>
              <w:rPr>
                <w:rFonts w:ascii="Arial" w:cs="Arial" w:eastAsia="Arial" w:hAnsi="Arial"/>
                <w:sz w:val="18"/>
                <w:szCs w:val="18"/>
                <w:color w:val="auto"/>
              </w:rPr>
              <w:t>(3)%</w:t>
            </w:r>
          </w:p>
        </w:tc>
        <w:tc>
          <w:tcPr>
            <w:tcW w:w="136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(2)%</w:t>
            </w:r>
          </w:p>
        </w:tc>
      </w:tr>
      <w:tr>
        <w:trPr>
          <w:trHeight w:val="250"/>
        </w:trPr>
        <w:tc>
          <w:tcPr>
            <w:tcW w:w="7000" w:type="dxa"/>
            <w:vAlign w:val="bottom"/>
          </w:tcPr>
          <w:p>
            <w:pPr>
              <w:ind w:left="40"/>
              <w:spacing w:after="0"/>
              <w:rPr>
                <w:sz w:val="20"/>
                <w:szCs w:val="20"/>
                <w:color w:val="auto"/>
              </w:rPr>
            </w:pPr>
            <w:r>
              <w:rPr>
                <w:rFonts w:ascii="Arial" w:cs="Arial" w:eastAsia="Arial" w:hAnsi="Arial"/>
                <w:sz w:val="18"/>
                <w:szCs w:val="18"/>
                <w:color w:val="auto"/>
              </w:rPr>
              <w:t>Percent change</w:t>
            </w:r>
          </w:p>
        </w:tc>
        <w:tc>
          <w:tcPr>
            <w:tcW w:w="9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(29)%</w:t>
            </w:r>
          </w:p>
        </w:tc>
        <w:tc>
          <w:tcPr>
            <w:tcW w:w="1460" w:type="dxa"/>
            <w:vAlign w:val="bottom"/>
            <w:tcBorders>
              <w:bottom w:val="single" w:sz="8" w:color="auto"/>
            </w:tcBorders>
          </w:tcPr>
          <w:p>
            <w:pPr>
              <w:jc w:val="right"/>
              <w:ind w:right="96"/>
              <w:spacing w:after="0"/>
              <w:rPr>
                <w:sz w:val="20"/>
                <w:szCs w:val="20"/>
                <w:color w:val="auto"/>
              </w:rPr>
            </w:pPr>
            <w:r>
              <w:rPr>
                <w:rFonts w:ascii="Arial" w:cs="Arial" w:eastAsia="Arial" w:hAnsi="Arial"/>
                <w:sz w:val="18"/>
                <w:szCs w:val="18"/>
                <w:color w:val="auto"/>
              </w:rPr>
              <w:t>3 %</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r>
    </w:tbl>
    <w:p>
      <w:pPr>
        <w:spacing w:after="0" w:line="95" w:lineRule="exact"/>
        <w:rPr>
          <w:sz w:val="20"/>
          <w:szCs w:val="20"/>
          <w:color w:val="auto"/>
        </w:rPr>
      </w:pPr>
    </w:p>
    <w:p>
      <w:pPr>
        <w:spacing w:after="0"/>
        <w:rPr>
          <w:sz w:val="20"/>
          <w:szCs w:val="20"/>
          <w:color w:val="auto"/>
        </w:rPr>
      </w:pPr>
      <w:r>
        <w:rPr>
          <w:rFonts w:ascii="Arial" w:cs="Arial" w:eastAsia="Arial" w:hAnsi="Arial"/>
          <w:sz w:val="14"/>
          <w:szCs w:val="14"/>
          <w:color w:val="auto"/>
        </w:rPr>
        <w:t>Numbers may not add due to rounding.</w:t>
      </w:r>
    </w:p>
    <w:p>
      <w:pPr>
        <w:spacing w:after="0" w:line="99" w:lineRule="exact"/>
        <w:rPr>
          <w:sz w:val="20"/>
          <w:szCs w:val="20"/>
          <w:color w:val="auto"/>
        </w:rPr>
      </w:pPr>
    </w:p>
    <w:p>
      <w:pPr>
        <w:ind w:right="580"/>
        <w:spacing w:after="0" w:line="292" w:lineRule="auto"/>
        <w:rPr>
          <w:sz w:val="20"/>
          <w:szCs w:val="20"/>
          <w:color w:val="auto"/>
        </w:rPr>
      </w:pPr>
      <w:r>
        <w:rPr>
          <w:rFonts w:ascii="Arial" w:cs="Arial" w:eastAsia="Arial" w:hAnsi="Arial"/>
          <w:sz w:val="18"/>
          <w:szCs w:val="18"/>
          <w:color w:val="auto"/>
        </w:rPr>
        <w:t>In the U.S., the volume decrease in 2014 was due to lower demand for Cymbalta and Evista following patent expirations, and to a lesser extent, to wholesaler buying patterns.</w:t>
      </w:r>
    </w:p>
    <w:p>
      <w:pPr>
        <w:spacing w:after="0" w:line="17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43</w:t>
      </w:r>
    </w:p>
    <w:p>
      <w:pPr>
        <w:sectPr>
          <w:pgSz w:w="11900" w:h="16838" w:orient="portrait"/>
          <w:cols w:equalWidth="0" w:num="1">
            <w:col w:w="11420"/>
          </w:cols>
          <w:pgMar w:left="240" w:top="738"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color w:val="auto"/>
        </w:rPr>
        <w:t>The following table summarizes our revenue activity in 2014 compared with 2013:</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jc w:val="right"/>
              <w:ind w:right="252"/>
              <w:spacing w:after="0"/>
              <w:rPr>
                <w:sz w:val="20"/>
                <w:szCs w:val="20"/>
                <w:color w:val="auto"/>
              </w:rPr>
            </w:pPr>
            <w:r>
              <w:rPr>
                <w:rFonts w:ascii="Arial" w:cs="Arial" w:eastAsia="Arial" w:hAnsi="Arial"/>
                <w:sz w:val="14"/>
                <w:szCs w:val="14"/>
                <w:b w:val="1"/>
                <w:bCs w:val="1"/>
                <w:color w:val="auto"/>
              </w:rPr>
              <w:t>Year Ended</w:t>
            </w:r>
          </w:p>
        </w:tc>
        <w:tc>
          <w:tcPr>
            <w:tcW w:w="3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jc w:val="right"/>
              <w:ind w:right="192"/>
              <w:spacing w:after="0"/>
              <w:rPr>
                <w:sz w:val="20"/>
                <w:szCs w:val="20"/>
                <w:color w:val="auto"/>
              </w:rPr>
            </w:pPr>
            <w:r>
              <w:rPr>
                <w:rFonts w:ascii="Arial" w:cs="Arial" w:eastAsia="Arial" w:hAnsi="Arial"/>
                <w:sz w:val="14"/>
                <w:szCs w:val="14"/>
                <w:b w:val="1"/>
                <w:bCs w:val="1"/>
                <w:color w:val="auto"/>
              </w:rPr>
              <w:t>Year Ended</w:t>
            </w:r>
          </w:p>
        </w:tc>
        <w:tc>
          <w:tcPr>
            <w:tcW w:w="1760" w:type="dxa"/>
            <w:vAlign w:val="bottom"/>
          </w:tcPr>
          <w:p>
            <w:pPr>
              <w:spacing w:after="0"/>
              <w:rPr>
                <w:sz w:val="17"/>
                <w:szCs w:val="17"/>
                <w:color w:val="auto"/>
              </w:rPr>
            </w:pPr>
          </w:p>
        </w:tc>
      </w:tr>
      <w:tr>
        <w:trPr>
          <w:trHeight w:val="176"/>
        </w:trPr>
        <w:tc>
          <w:tcPr>
            <w:tcW w:w="39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760" w:type="dxa"/>
            <w:vAlign w:val="bottom"/>
          </w:tcPr>
          <w:p>
            <w:pPr>
              <w:jc w:val="center"/>
              <w:ind w:left="33"/>
              <w:spacing w:after="0"/>
              <w:rPr>
                <w:sz w:val="20"/>
                <w:szCs w:val="20"/>
                <w:color w:val="auto"/>
              </w:rPr>
            </w:pPr>
            <w:r>
              <w:rPr>
                <w:rFonts w:ascii="Arial" w:cs="Arial" w:eastAsia="Arial" w:hAnsi="Arial"/>
                <w:sz w:val="14"/>
                <w:szCs w:val="14"/>
                <w:b w:val="1"/>
                <w:bCs w:val="1"/>
                <w:color w:val="auto"/>
              </w:rPr>
              <w:t>Percent</w:t>
            </w:r>
          </w:p>
        </w:tc>
      </w:tr>
      <w:tr>
        <w:trPr>
          <w:trHeight w:val="203"/>
        </w:trPr>
        <w:tc>
          <w:tcPr>
            <w:tcW w:w="39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December 31, 2014</w:t>
            </w:r>
          </w:p>
        </w:tc>
        <w:tc>
          <w:tcPr>
            <w:tcW w:w="3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460" w:type="dxa"/>
            <w:vAlign w:val="bottom"/>
            <w:gridSpan w:val="2"/>
          </w:tcPr>
          <w:p>
            <w:pPr>
              <w:ind w:left="140"/>
              <w:spacing w:after="0"/>
              <w:rPr>
                <w:sz w:val="20"/>
                <w:szCs w:val="20"/>
                <w:color w:val="auto"/>
              </w:rPr>
            </w:pPr>
            <w:r>
              <w:rPr>
                <w:rFonts w:ascii="Arial" w:cs="Arial" w:eastAsia="Arial" w:hAnsi="Arial"/>
                <w:sz w:val="14"/>
                <w:szCs w:val="14"/>
                <w:b w:val="1"/>
                <w:bCs w:val="1"/>
                <w:color w:val="auto"/>
              </w:rPr>
              <w:t>December 31, 2013</w:t>
            </w:r>
          </w:p>
        </w:tc>
        <w:tc>
          <w:tcPr>
            <w:tcW w:w="1760" w:type="dxa"/>
            <w:vAlign w:val="bottom"/>
          </w:tcPr>
          <w:p>
            <w:pPr>
              <w:jc w:val="center"/>
              <w:spacing w:after="0"/>
              <w:rPr>
                <w:sz w:val="20"/>
                <w:szCs w:val="20"/>
                <w:color w:val="auto"/>
              </w:rPr>
            </w:pPr>
            <w:r>
              <w:rPr>
                <w:rFonts w:ascii="Arial" w:cs="Arial" w:eastAsia="Arial" w:hAnsi="Arial"/>
                <w:sz w:val="14"/>
                <w:szCs w:val="14"/>
                <w:b w:val="1"/>
                <w:bCs w:val="1"/>
                <w:color w:val="auto"/>
              </w:rPr>
              <w:t>Change from</w:t>
            </w:r>
          </w:p>
        </w:tc>
      </w:tr>
      <w:tr>
        <w:trPr>
          <w:trHeight w:val="265"/>
        </w:trPr>
        <w:tc>
          <w:tcPr>
            <w:tcW w:w="39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Product</w:t>
            </w:r>
          </w:p>
        </w:tc>
        <w:tc>
          <w:tcPr>
            <w:tcW w:w="3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U.S.</w:t>
            </w:r>
            <w:r>
              <w:rPr>
                <w:rFonts w:ascii="Arial" w:cs="Arial" w:eastAsia="Arial" w:hAnsi="Arial"/>
                <w:sz w:val="17"/>
                <w:szCs w:val="17"/>
                <w:b w:val="1"/>
                <w:bCs w:val="1"/>
                <w:color w:val="auto"/>
                <w:vertAlign w:val="superscript"/>
              </w:rPr>
              <w:t>(1)</w:t>
            </w:r>
          </w:p>
        </w:tc>
        <w:tc>
          <w:tcPr>
            <w:tcW w:w="28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Outside U.S.</w:t>
            </w:r>
          </w:p>
        </w:tc>
        <w:tc>
          <w:tcPr>
            <w:tcW w:w="36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Total</w:t>
            </w:r>
          </w:p>
        </w:tc>
        <w:tc>
          <w:tcPr>
            <w:tcW w:w="30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Total</w:t>
            </w:r>
          </w:p>
        </w:tc>
        <w:tc>
          <w:tcPr>
            <w:tcW w:w="1760" w:type="dxa"/>
            <w:vAlign w:val="bottom"/>
            <w:tcBorders>
              <w:bottom w:val="single" w:sz="8" w:color="auto"/>
            </w:tcBorders>
          </w:tcPr>
          <w:p>
            <w:pPr>
              <w:jc w:val="center"/>
              <w:ind w:left="33"/>
              <w:spacing w:after="0"/>
              <w:rPr>
                <w:sz w:val="20"/>
                <w:szCs w:val="20"/>
                <w:color w:val="auto"/>
              </w:rPr>
            </w:pPr>
            <w:r>
              <w:rPr>
                <w:rFonts w:ascii="Arial" w:cs="Arial" w:eastAsia="Arial" w:hAnsi="Arial"/>
                <w:sz w:val="14"/>
                <w:szCs w:val="14"/>
                <w:b w:val="1"/>
                <w:bCs w:val="1"/>
                <w:color w:val="auto"/>
              </w:rPr>
              <w:t>2013</w:t>
            </w:r>
          </w:p>
        </w:tc>
      </w:tr>
      <w:tr>
        <w:trPr>
          <w:trHeight w:val="264"/>
        </w:trPr>
        <w:tc>
          <w:tcPr>
            <w:tcW w:w="3920" w:type="dxa"/>
            <w:vAlign w:val="bottom"/>
            <w:shd w:val="clear" w:color="auto" w:fill="D8D8D8"/>
          </w:tcPr>
          <w:p>
            <w:pPr>
              <w:ind w:left="40"/>
              <w:spacing w:after="0"/>
              <w:rPr>
                <w:sz w:val="20"/>
                <w:szCs w:val="20"/>
                <w:color w:val="auto"/>
              </w:rPr>
            </w:pPr>
            <w:r>
              <w:rPr>
                <w:rFonts w:ascii="Arial" w:cs="Arial" w:eastAsia="Arial" w:hAnsi="Arial"/>
                <w:sz w:val="18"/>
                <w:szCs w:val="18"/>
                <w:color w:val="auto"/>
              </w:rPr>
              <w:t>Alimta</w:t>
            </w:r>
          </w:p>
        </w:tc>
        <w:tc>
          <w:tcPr>
            <w:tcW w:w="300" w:type="dxa"/>
            <w:vAlign w:val="bottom"/>
            <w:shd w:val="clear" w:color="auto" w:fill="D8D8D8"/>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D8D8D8"/>
          </w:tcPr>
          <w:p>
            <w:pPr>
              <w:jc w:val="right"/>
              <w:ind w:right="31"/>
              <w:spacing w:after="0"/>
              <w:rPr>
                <w:sz w:val="20"/>
                <w:szCs w:val="20"/>
                <w:color w:val="auto"/>
              </w:rPr>
            </w:pPr>
            <w:r>
              <w:rPr>
                <w:rFonts w:ascii="Arial" w:cs="Arial" w:eastAsia="Arial" w:hAnsi="Arial"/>
                <w:sz w:val="18"/>
                <w:szCs w:val="18"/>
                <w:color w:val="auto"/>
              </w:rPr>
              <w:t>1,229.5</w:t>
            </w:r>
          </w:p>
        </w:tc>
        <w:tc>
          <w:tcPr>
            <w:tcW w:w="280" w:type="dxa"/>
            <w:vAlign w:val="bottom"/>
            <w:shd w:val="clear" w:color="auto" w:fill="D8D8D8"/>
          </w:tcPr>
          <w:p>
            <w:pPr>
              <w:ind w:left="1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D8D8D8"/>
          </w:tcPr>
          <w:p>
            <w:pPr>
              <w:jc w:val="right"/>
              <w:ind w:right="92"/>
              <w:spacing w:after="0"/>
              <w:rPr>
                <w:sz w:val="20"/>
                <w:szCs w:val="20"/>
                <w:color w:val="auto"/>
              </w:rPr>
            </w:pPr>
            <w:r>
              <w:rPr>
                <w:rFonts w:ascii="Arial" w:cs="Arial" w:eastAsia="Arial" w:hAnsi="Arial"/>
                <w:sz w:val="18"/>
                <w:szCs w:val="18"/>
                <w:color w:val="auto"/>
              </w:rPr>
              <w:t>1,562.5</w:t>
            </w:r>
          </w:p>
        </w:tc>
        <w:tc>
          <w:tcPr>
            <w:tcW w:w="360" w:type="dxa"/>
            <w:vAlign w:val="bottom"/>
            <w:shd w:val="clear" w:color="auto" w:fill="D8D8D8"/>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D8D8D8"/>
          </w:tcPr>
          <w:p>
            <w:pPr>
              <w:jc w:val="right"/>
              <w:ind w:right="31"/>
              <w:spacing w:after="0"/>
              <w:rPr>
                <w:sz w:val="20"/>
                <w:szCs w:val="20"/>
                <w:color w:val="auto"/>
              </w:rPr>
            </w:pPr>
            <w:r>
              <w:rPr>
                <w:rFonts w:ascii="Arial" w:cs="Arial" w:eastAsia="Arial" w:hAnsi="Arial"/>
                <w:sz w:val="18"/>
                <w:szCs w:val="18"/>
                <w:color w:val="auto"/>
              </w:rPr>
              <w:t>2,792.0</w:t>
            </w:r>
          </w:p>
        </w:tc>
        <w:tc>
          <w:tcPr>
            <w:tcW w:w="300" w:type="dxa"/>
            <w:vAlign w:val="bottom"/>
            <w:shd w:val="clear" w:color="auto" w:fill="D8D8D8"/>
          </w:tcPr>
          <w:p>
            <w:pPr>
              <w:ind w:left="1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D8D8D8"/>
          </w:tcPr>
          <w:p>
            <w:pPr>
              <w:jc w:val="right"/>
              <w:ind w:right="12"/>
              <w:spacing w:after="0"/>
              <w:rPr>
                <w:sz w:val="20"/>
                <w:szCs w:val="20"/>
                <w:color w:val="auto"/>
              </w:rPr>
            </w:pPr>
            <w:r>
              <w:rPr>
                <w:rFonts w:ascii="Arial" w:cs="Arial" w:eastAsia="Arial" w:hAnsi="Arial"/>
                <w:sz w:val="18"/>
                <w:szCs w:val="18"/>
                <w:color w:val="auto"/>
              </w:rPr>
              <w:t>2,703.0</w:t>
            </w:r>
          </w:p>
        </w:tc>
        <w:tc>
          <w:tcPr>
            <w:tcW w:w="1760" w:type="dxa"/>
            <w:vAlign w:val="bottom"/>
            <w:shd w:val="clear" w:color="auto" w:fill="D8D8D8"/>
          </w:tcPr>
          <w:p>
            <w:pPr>
              <w:jc w:val="right"/>
              <w:ind w:right="353"/>
              <w:spacing w:after="0"/>
              <w:rPr>
                <w:sz w:val="20"/>
                <w:szCs w:val="20"/>
                <w:color w:val="auto"/>
              </w:rPr>
            </w:pPr>
            <w:r>
              <w:rPr>
                <w:rFonts w:ascii="Arial" w:cs="Arial" w:eastAsia="Arial" w:hAnsi="Arial"/>
                <w:sz w:val="18"/>
                <w:szCs w:val="18"/>
                <w:color w:val="auto"/>
              </w:rPr>
              <w:t>3</w:t>
            </w:r>
          </w:p>
        </w:tc>
      </w:tr>
      <w:tr>
        <w:trPr>
          <w:trHeight w:val="265"/>
        </w:trPr>
        <w:tc>
          <w:tcPr>
            <w:tcW w:w="3920" w:type="dxa"/>
            <w:vAlign w:val="bottom"/>
          </w:tcPr>
          <w:p>
            <w:pPr>
              <w:ind w:left="40"/>
              <w:spacing w:after="0"/>
              <w:rPr>
                <w:sz w:val="20"/>
                <w:szCs w:val="20"/>
                <w:color w:val="auto"/>
              </w:rPr>
            </w:pPr>
            <w:r>
              <w:rPr>
                <w:rFonts w:ascii="Arial" w:cs="Arial" w:eastAsia="Arial" w:hAnsi="Arial"/>
                <w:sz w:val="18"/>
                <w:szCs w:val="18"/>
                <w:color w:val="auto"/>
              </w:rPr>
              <w:t>Humalog</w:t>
            </w:r>
          </w:p>
        </w:tc>
        <w:tc>
          <w:tcPr>
            <w:tcW w:w="300" w:type="dxa"/>
            <w:vAlign w:val="bottom"/>
          </w:tcPr>
          <w:p>
            <w:pPr>
              <w:spacing w:after="0"/>
              <w:rPr>
                <w:sz w:val="23"/>
                <w:szCs w:val="23"/>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1,627.6</w:t>
            </w:r>
          </w:p>
        </w:tc>
        <w:tc>
          <w:tcPr>
            <w:tcW w:w="280" w:type="dxa"/>
            <w:vAlign w:val="bottom"/>
          </w:tcPr>
          <w:p>
            <w:pPr>
              <w:spacing w:after="0"/>
              <w:rPr>
                <w:sz w:val="23"/>
                <w:szCs w:val="23"/>
                <w:color w:val="auto"/>
              </w:rPr>
            </w:pPr>
          </w:p>
        </w:tc>
        <w:tc>
          <w:tcPr>
            <w:tcW w:w="1240" w:type="dxa"/>
            <w:vAlign w:val="bottom"/>
          </w:tcPr>
          <w:p>
            <w:pPr>
              <w:jc w:val="right"/>
              <w:ind w:right="92"/>
              <w:spacing w:after="0"/>
              <w:rPr>
                <w:sz w:val="20"/>
                <w:szCs w:val="20"/>
                <w:color w:val="auto"/>
              </w:rPr>
            </w:pPr>
            <w:r>
              <w:rPr>
                <w:rFonts w:ascii="Arial" w:cs="Arial" w:eastAsia="Arial" w:hAnsi="Arial"/>
                <w:sz w:val="18"/>
                <w:szCs w:val="18"/>
                <w:color w:val="auto"/>
              </w:rPr>
              <w:t>1,157.6</w:t>
            </w:r>
          </w:p>
        </w:tc>
        <w:tc>
          <w:tcPr>
            <w:tcW w:w="360" w:type="dxa"/>
            <w:vAlign w:val="bottom"/>
          </w:tcPr>
          <w:p>
            <w:pPr>
              <w:spacing w:after="0"/>
              <w:rPr>
                <w:sz w:val="23"/>
                <w:szCs w:val="23"/>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2,785.2</w:t>
            </w:r>
          </w:p>
        </w:tc>
        <w:tc>
          <w:tcPr>
            <w:tcW w:w="300" w:type="dxa"/>
            <w:vAlign w:val="bottom"/>
          </w:tcPr>
          <w:p>
            <w:pPr>
              <w:spacing w:after="0"/>
              <w:rPr>
                <w:sz w:val="23"/>
                <w:szCs w:val="23"/>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2,611.2</w:t>
            </w:r>
          </w:p>
        </w:tc>
        <w:tc>
          <w:tcPr>
            <w:tcW w:w="1760" w:type="dxa"/>
            <w:vAlign w:val="bottom"/>
          </w:tcPr>
          <w:p>
            <w:pPr>
              <w:jc w:val="right"/>
              <w:ind w:right="353"/>
              <w:spacing w:after="0"/>
              <w:rPr>
                <w:sz w:val="20"/>
                <w:szCs w:val="20"/>
                <w:color w:val="auto"/>
              </w:rPr>
            </w:pPr>
            <w:r>
              <w:rPr>
                <w:rFonts w:ascii="Arial" w:cs="Arial" w:eastAsia="Arial" w:hAnsi="Arial"/>
                <w:sz w:val="18"/>
                <w:szCs w:val="18"/>
                <w:color w:val="auto"/>
              </w:rPr>
              <w:t>7</w:t>
            </w:r>
          </w:p>
        </w:tc>
      </w:tr>
      <w:tr>
        <w:trPr>
          <w:trHeight w:val="275"/>
        </w:trPr>
        <w:tc>
          <w:tcPr>
            <w:tcW w:w="3920" w:type="dxa"/>
            <w:vAlign w:val="bottom"/>
            <w:shd w:val="clear" w:color="auto" w:fill="D8D8D8"/>
          </w:tcPr>
          <w:p>
            <w:pPr>
              <w:ind w:left="40"/>
              <w:spacing w:after="0"/>
              <w:rPr>
                <w:sz w:val="20"/>
                <w:szCs w:val="20"/>
                <w:color w:val="auto"/>
              </w:rPr>
            </w:pPr>
            <w:r>
              <w:rPr>
                <w:rFonts w:ascii="Arial" w:cs="Arial" w:eastAsia="Arial" w:hAnsi="Arial"/>
                <w:sz w:val="18"/>
                <w:szCs w:val="18"/>
                <w:color w:val="auto"/>
              </w:rPr>
              <w:t>Cialis</w:t>
            </w:r>
          </w:p>
        </w:tc>
        <w:tc>
          <w:tcPr>
            <w:tcW w:w="300" w:type="dxa"/>
            <w:vAlign w:val="bottom"/>
            <w:shd w:val="clear" w:color="auto" w:fill="D8D8D8"/>
          </w:tcPr>
          <w:p>
            <w:pPr>
              <w:spacing w:after="0"/>
              <w:rPr>
                <w:sz w:val="23"/>
                <w:szCs w:val="23"/>
                <w:color w:val="auto"/>
              </w:rPr>
            </w:pPr>
          </w:p>
        </w:tc>
        <w:tc>
          <w:tcPr>
            <w:tcW w:w="1060" w:type="dxa"/>
            <w:vAlign w:val="bottom"/>
            <w:shd w:val="clear" w:color="auto" w:fill="D8D8D8"/>
          </w:tcPr>
          <w:p>
            <w:pPr>
              <w:jc w:val="right"/>
              <w:ind w:right="31"/>
              <w:spacing w:after="0"/>
              <w:rPr>
                <w:sz w:val="20"/>
                <w:szCs w:val="20"/>
                <w:color w:val="auto"/>
              </w:rPr>
            </w:pPr>
            <w:r>
              <w:rPr>
                <w:rFonts w:ascii="Arial" w:cs="Arial" w:eastAsia="Arial" w:hAnsi="Arial"/>
                <w:sz w:val="18"/>
                <w:szCs w:val="18"/>
                <w:color w:val="auto"/>
              </w:rPr>
              <w:t>1,039.9</w:t>
            </w:r>
          </w:p>
        </w:tc>
        <w:tc>
          <w:tcPr>
            <w:tcW w:w="280" w:type="dxa"/>
            <w:vAlign w:val="bottom"/>
            <w:shd w:val="clear" w:color="auto" w:fill="D8D8D8"/>
          </w:tcPr>
          <w:p>
            <w:pPr>
              <w:spacing w:after="0"/>
              <w:rPr>
                <w:sz w:val="23"/>
                <w:szCs w:val="23"/>
                <w:color w:val="auto"/>
              </w:rPr>
            </w:pPr>
          </w:p>
        </w:tc>
        <w:tc>
          <w:tcPr>
            <w:tcW w:w="1240" w:type="dxa"/>
            <w:vAlign w:val="bottom"/>
            <w:shd w:val="clear" w:color="auto" w:fill="D8D8D8"/>
          </w:tcPr>
          <w:p>
            <w:pPr>
              <w:jc w:val="right"/>
              <w:ind w:right="92"/>
              <w:spacing w:after="0"/>
              <w:rPr>
                <w:sz w:val="20"/>
                <w:szCs w:val="20"/>
                <w:color w:val="auto"/>
              </w:rPr>
            </w:pPr>
            <w:r>
              <w:rPr>
                <w:rFonts w:ascii="Arial" w:cs="Arial" w:eastAsia="Arial" w:hAnsi="Arial"/>
                <w:sz w:val="18"/>
                <w:szCs w:val="18"/>
                <w:color w:val="auto"/>
              </w:rPr>
              <w:t>1,251.1</w:t>
            </w:r>
          </w:p>
        </w:tc>
        <w:tc>
          <w:tcPr>
            <w:tcW w:w="360" w:type="dxa"/>
            <w:vAlign w:val="bottom"/>
            <w:shd w:val="clear" w:color="auto" w:fill="D8D8D8"/>
          </w:tcPr>
          <w:p>
            <w:pPr>
              <w:spacing w:after="0"/>
              <w:rPr>
                <w:sz w:val="23"/>
                <w:szCs w:val="23"/>
                <w:color w:val="auto"/>
              </w:rPr>
            </w:pPr>
          </w:p>
        </w:tc>
        <w:tc>
          <w:tcPr>
            <w:tcW w:w="1040" w:type="dxa"/>
            <w:vAlign w:val="bottom"/>
            <w:shd w:val="clear" w:color="auto" w:fill="D8D8D8"/>
          </w:tcPr>
          <w:p>
            <w:pPr>
              <w:jc w:val="right"/>
              <w:ind w:right="31"/>
              <w:spacing w:after="0"/>
              <w:rPr>
                <w:sz w:val="20"/>
                <w:szCs w:val="20"/>
                <w:color w:val="auto"/>
              </w:rPr>
            </w:pPr>
            <w:r>
              <w:rPr>
                <w:rFonts w:ascii="Arial" w:cs="Arial" w:eastAsia="Arial" w:hAnsi="Arial"/>
                <w:sz w:val="18"/>
                <w:szCs w:val="18"/>
                <w:color w:val="auto"/>
              </w:rPr>
              <w:t>2,291.0</w:t>
            </w:r>
          </w:p>
        </w:tc>
        <w:tc>
          <w:tcPr>
            <w:tcW w:w="300" w:type="dxa"/>
            <w:vAlign w:val="bottom"/>
            <w:shd w:val="clear" w:color="auto" w:fill="D8D8D8"/>
          </w:tcPr>
          <w:p>
            <w:pPr>
              <w:spacing w:after="0"/>
              <w:rPr>
                <w:sz w:val="23"/>
                <w:szCs w:val="23"/>
                <w:color w:val="auto"/>
              </w:rPr>
            </w:pPr>
          </w:p>
        </w:tc>
        <w:tc>
          <w:tcPr>
            <w:tcW w:w="1160" w:type="dxa"/>
            <w:vAlign w:val="bottom"/>
            <w:shd w:val="clear" w:color="auto" w:fill="D8D8D8"/>
          </w:tcPr>
          <w:p>
            <w:pPr>
              <w:jc w:val="right"/>
              <w:ind w:right="12"/>
              <w:spacing w:after="0"/>
              <w:rPr>
                <w:sz w:val="20"/>
                <w:szCs w:val="20"/>
                <w:color w:val="auto"/>
              </w:rPr>
            </w:pPr>
            <w:r>
              <w:rPr>
                <w:rFonts w:ascii="Arial" w:cs="Arial" w:eastAsia="Arial" w:hAnsi="Arial"/>
                <w:sz w:val="18"/>
                <w:szCs w:val="18"/>
                <w:color w:val="auto"/>
              </w:rPr>
              <w:t>2,159.4</w:t>
            </w:r>
          </w:p>
        </w:tc>
        <w:tc>
          <w:tcPr>
            <w:tcW w:w="1760" w:type="dxa"/>
            <w:vAlign w:val="bottom"/>
            <w:shd w:val="clear" w:color="auto" w:fill="D8D8D8"/>
          </w:tcPr>
          <w:p>
            <w:pPr>
              <w:jc w:val="right"/>
              <w:ind w:right="353"/>
              <w:spacing w:after="0"/>
              <w:rPr>
                <w:sz w:val="20"/>
                <w:szCs w:val="20"/>
                <w:color w:val="auto"/>
              </w:rPr>
            </w:pPr>
            <w:r>
              <w:rPr>
                <w:rFonts w:ascii="Arial" w:cs="Arial" w:eastAsia="Arial" w:hAnsi="Arial"/>
                <w:sz w:val="18"/>
                <w:szCs w:val="18"/>
                <w:color w:val="auto"/>
              </w:rPr>
              <w:t>6</w:t>
            </w:r>
          </w:p>
        </w:tc>
      </w:tr>
      <w:tr>
        <w:trPr>
          <w:trHeight w:val="265"/>
        </w:trPr>
        <w:tc>
          <w:tcPr>
            <w:tcW w:w="3920" w:type="dxa"/>
            <w:vAlign w:val="bottom"/>
          </w:tcPr>
          <w:p>
            <w:pPr>
              <w:ind w:left="40"/>
              <w:spacing w:after="0"/>
              <w:rPr>
                <w:sz w:val="20"/>
                <w:szCs w:val="20"/>
                <w:color w:val="auto"/>
              </w:rPr>
            </w:pPr>
            <w:r>
              <w:rPr>
                <w:rFonts w:ascii="Arial" w:cs="Arial" w:eastAsia="Arial" w:hAnsi="Arial"/>
                <w:sz w:val="18"/>
                <w:szCs w:val="18"/>
                <w:color w:val="auto"/>
              </w:rPr>
              <w:t>Cymbalta</w:t>
            </w:r>
          </w:p>
        </w:tc>
        <w:tc>
          <w:tcPr>
            <w:tcW w:w="300" w:type="dxa"/>
            <w:vAlign w:val="bottom"/>
          </w:tcPr>
          <w:p>
            <w:pPr>
              <w:spacing w:after="0"/>
              <w:rPr>
                <w:sz w:val="23"/>
                <w:szCs w:val="23"/>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420.5</w:t>
            </w:r>
          </w:p>
        </w:tc>
        <w:tc>
          <w:tcPr>
            <w:tcW w:w="280" w:type="dxa"/>
            <w:vAlign w:val="bottom"/>
          </w:tcPr>
          <w:p>
            <w:pPr>
              <w:spacing w:after="0"/>
              <w:rPr>
                <w:sz w:val="23"/>
                <w:szCs w:val="23"/>
                <w:color w:val="auto"/>
              </w:rPr>
            </w:pPr>
          </w:p>
        </w:tc>
        <w:tc>
          <w:tcPr>
            <w:tcW w:w="1240" w:type="dxa"/>
            <w:vAlign w:val="bottom"/>
          </w:tcPr>
          <w:p>
            <w:pPr>
              <w:jc w:val="right"/>
              <w:ind w:right="92"/>
              <w:spacing w:after="0"/>
              <w:rPr>
                <w:sz w:val="20"/>
                <w:szCs w:val="20"/>
                <w:color w:val="auto"/>
              </w:rPr>
            </w:pPr>
            <w:r>
              <w:rPr>
                <w:rFonts w:ascii="Arial" w:cs="Arial" w:eastAsia="Arial" w:hAnsi="Arial"/>
                <w:sz w:val="18"/>
                <w:szCs w:val="18"/>
                <w:color w:val="auto"/>
              </w:rPr>
              <w:t>1,194.2</w:t>
            </w:r>
          </w:p>
        </w:tc>
        <w:tc>
          <w:tcPr>
            <w:tcW w:w="360" w:type="dxa"/>
            <w:vAlign w:val="bottom"/>
          </w:tcPr>
          <w:p>
            <w:pPr>
              <w:spacing w:after="0"/>
              <w:rPr>
                <w:sz w:val="23"/>
                <w:szCs w:val="23"/>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1,614.7</w:t>
            </w:r>
          </w:p>
        </w:tc>
        <w:tc>
          <w:tcPr>
            <w:tcW w:w="300" w:type="dxa"/>
            <w:vAlign w:val="bottom"/>
          </w:tcPr>
          <w:p>
            <w:pPr>
              <w:spacing w:after="0"/>
              <w:rPr>
                <w:sz w:val="23"/>
                <w:szCs w:val="23"/>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5,084.4</w:t>
            </w:r>
          </w:p>
        </w:tc>
        <w:tc>
          <w:tcPr>
            <w:tcW w:w="1760" w:type="dxa"/>
            <w:vAlign w:val="bottom"/>
          </w:tcPr>
          <w:p>
            <w:pPr>
              <w:jc w:val="right"/>
              <w:ind w:right="293"/>
              <w:spacing w:after="0"/>
              <w:rPr>
                <w:sz w:val="20"/>
                <w:szCs w:val="20"/>
                <w:color w:val="auto"/>
              </w:rPr>
            </w:pPr>
            <w:r>
              <w:rPr>
                <w:rFonts w:ascii="Arial" w:cs="Arial" w:eastAsia="Arial" w:hAnsi="Arial"/>
                <w:sz w:val="18"/>
                <w:szCs w:val="18"/>
                <w:color w:val="auto"/>
              </w:rPr>
              <w:t>(68)</w:t>
            </w:r>
          </w:p>
        </w:tc>
      </w:tr>
      <w:tr>
        <w:trPr>
          <w:trHeight w:val="275"/>
        </w:trPr>
        <w:tc>
          <w:tcPr>
            <w:tcW w:w="3920" w:type="dxa"/>
            <w:vAlign w:val="bottom"/>
            <w:shd w:val="clear" w:color="auto" w:fill="D8D8D8"/>
          </w:tcPr>
          <w:p>
            <w:pPr>
              <w:ind w:left="40"/>
              <w:spacing w:after="0"/>
              <w:rPr>
                <w:sz w:val="20"/>
                <w:szCs w:val="20"/>
                <w:color w:val="auto"/>
              </w:rPr>
            </w:pPr>
            <w:r>
              <w:rPr>
                <w:rFonts w:ascii="Arial" w:cs="Arial" w:eastAsia="Arial" w:hAnsi="Arial"/>
                <w:sz w:val="18"/>
                <w:szCs w:val="18"/>
                <w:color w:val="auto"/>
              </w:rPr>
              <w:t>Humulin</w:t>
            </w:r>
          </w:p>
        </w:tc>
        <w:tc>
          <w:tcPr>
            <w:tcW w:w="300" w:type="dxa"/>
            <w:vAlign w:val="bottom"/>
            <w:shd w:val="clear" w:color="auto" w:fill="D8D8D8"/>
          </w:tcPr>
          <w:p>
            <w:pPr>
              <w:spacing w:after="0"/>
              <w:rPr>
                <w:sz w:val="23"/>
                <w:szCs w:val="23"/>
                <w:color w:val="auto"/>
              </w:rPr>
            </w:pPr>
          </w:p>
        </w:tc>
        <w:tc>
          <w:tcPr>
            <w:tcW w:w="1060" w:type="dxa"/>
            <w:vAlign w:val="bottom"/>
            <w:shd w:val="clear" w:color="auto" w:fill="D8D8D8"/>
          </w:tcPr>
          <w:p>
            <w:pPr>
              <w:jc w:val="right"/>
              <w:ind w:right="31"/>
              <w:spacing w:after="0"/>
              <w:rPr>
                <w:sz w:val="20"/>
                <w:szCs w:val="20"/>
                <w:color w:val="auto"/>
              </w:rPr>
            </w:pPr>
            <w:r>
              <w:rPr>
                <w:rFonts w:ascii="Arial" w:cs="Arial" w:eastAsia="Arial" w:hAnsi="Arial"/>
                <w:sz w:val="18"/>
                <w:szCs w:val="18"/>
                <w:color w:val="auto"/>
              </w:rPr>
              <w:t>713.1</w:t>
            </w:r>
          </w:p>
        </w:tc>
        <w:tc>
          <w:tcPr>
            <w:tcW w:w="280" w:type="dxa"/>
            <w:vAlign w:val="bottom"/>
            <w:shd w:val="clear" w:color="auto" w:fill="D8D8D8"/>
          </w:tcPr>
          <w:p>
            <w:pPr>
              <w:spacing w:after="0"/>
              <w:rPr>
                <w:sz w:val="23"/>
                <w:szCs w:val="23"/>
                <w:color w:val="auto"/>
              </w:rPr>
            </w:pPr>
          </w:p>
        </w:tc>
        <w:tc>
          <w:tcPr>
            <w:tcW w:w="1240" w:type="dxa"/>
            <w:vAlign w:val="bottom"/>
            <w:shd w:val="clear" w:color="auto" w:fill="D8D8D8"/>
          </w:tcPr>
          <w:p>
            <w:pPr>
              <w:jc w:val="right"/>
              <w:ind w:right="92"/>
              <w:spacing w:after="0"/>
              <w:rPr>
                <w:sz w:val="20"/>
                <w:szCs w:val="20"/>
                <w:color w:val="auto"/>
              </w:rPr>
            </w:pPr>
            <w:r>
              <w:rPr>
                <w:rFonts w:ascii="Arial" w:cs="Arial" w:eastAsia="Arial" w:hAnsi="Arial"/>
                <w:sz w:val="18"/>
                <w:szCs w:val="18"/>
                <w:color w:val="auto"/>
              </w:rPr>
              <w:t>687.0</w:t>
            </w:r>
          </w:p>
        </w:tc>
        <w:tc>
          <w:tcPr>
            <w:tcW w:w="360" w:type="dxa"/>
            <w:vAlign w:val="bottom"/>
            <w:shd w:val="clear" w:color="auto" w:fill="D8D8D8"/>
          </w:tcPr>
          <w:p>
            <w:pPr>
              <w:spacing w:after="0"/>
              <w:rPr>
                <w:sz w:val="23"/>
                <w:szCs w:val="23"/>
                <w:color w:val="auto"/>
              </w:rPr>
            </w:pPr>
          </w:p>
        </w:tc>
        <w:tc>
          <w:tcPr>
            <w:tcW w:w="1040" w:type="dxa"/>
            <w:vAlign w:val="bottom"/>
            <w:shd w:val="clear" w:color="auto" w:fill="D8D8D8"/>
          </w:tcPr>
          <w:p>
            <w:pPr>
              <w:jc w:val="right"/>
              <w:ind w:right="31"/>
              <w:spacing w:after="0"/>
              <w:rPr>
                <w:sz w:val="20"/>
                <w:szCs w:val="20"/>
                <w:color w:val="auto"/>
              </w:rPr>
            </w:pPr>
            <w:r>
              <w:rPr>
                <w:rFonts w:ascii="Arial" w:cs="Arial" w:eastAsia="Arial" w:hAnsi="Arial"/>
                <w:sz w:val="18"/>
                <w:szCs w:val="18"/>
                <w:color w:val="auto"/>
              </w:rPr>
              <w:t>1,400.1</w:t>
            </w:r>
          </w:p>
        </w:tc>
        <w:tc>
          <w:tcPr>
            <w:tcW w:w="300" w:type="dxa"/>
            <w:vAlign w:val="bottom"/>
            <w:shd w:val="clear" w:color="auto" w:fill="D8D8D8"/>
          </w:tcPr>
          <w:p>
            <w:pPr>
              <w:spacing w:after="0"/>
              <w:rPr>
                <w:sz w:val="23"/>
                <w:szCs w:val="23"/>
                <w:color w:val="auto"/>
              </w:rPr>
            </w:pPr>
          </w:p>
        </w:tc>
        <w:tc>
          <w:tcPr>
            <w:tcW w:w="1160" w:type="dxa"/>
            <w:vAlign w:val="bottom"/>
            <w:shd w:val="clear" w:color="auto" w:fill="D8D8D8"/>
          </w:tcPr>
          <w:p>
            <w:pPr>
              <w:jc w:val="right"/>
              <w:ind w:right="12"/>
              <w:spacing w:after="0"/>
              <w:rPr>
                <w:sz w:val="20"/>
                <w:szCs w:val="20"/>
                <w:color w:val="auto"/>
              </w:rPr>
            </w:pPr>
            <w:r>
              <w:rPr>
                <w:rFonts w:ascii="Arial" w:cs="Arial" w:eastAsia="Arial" w:hAnsi="Arial"/>
                <w:sz w:val="18"/>
                <w:szCs w:val="18"/>
                <w:color w:val="auto"/>
              </w:rPr>
              <w:t>1,315.8</w:t>
            </w:r>
          </w:p>
        </w:tc>
        <w:tc>
          <w:tcPr>
            <w:tcW w:w="1760" w:type="dxa"/>
            <w:vAlign w:val="bottom"/>
            <w:shd w:val="clear" w:color="auto" w:fill="D8D8D8"/>
          </w:tcPr>
          <w:p>
            <w:pPr>
              <w:jc w:val="right"/>
              <w:ind w:right="353"/>
              <w:spacing w:after="0"/>
              <w:rPr>
                <w:sz w:val="20"/>
                <w:szCs w:val="20"/>
                <w:color w:val="auto"/>
              </w:rPr>
            </w:pPr>
            <w:r>
              <w:rPr>
                <w:rFonts w:ascii="Arial" w:cs="Arial" w:eastAsia="Arial" w:hAnsi="Arial"/>
                <w:sz w:val="18"/>
                <w:szCs w:val="18"/>
                <w:color w:val="auto"/>
              </w:rPr>
              <w:t>6</w:t>
            </w:r>
          </w:p>
        </w:tc>
      </w:tr>
      <w:tr>
        <w:trPr>
          <w:trHeight w:val="265"/>
        </w:trPr>
        <w:tc>
          <w:tcPr>
            <w:tcW w:w="3920" w:type="dxa"/>
            <w:vAlign w:val="bottom"/>
          </w:tcPr>
          <w:p>
            <w:pPr>
              <w:ind w:left="40"/>
              <w:spacing w:after="0"/>
              <w:rPr>
                <w:sz w:val="20"/>
                <w:szCs w:val="20"/>
                <w:color w:val="auto"/>
              </w:rPr>
            </w:pPr>
            <w:r>
              <w:rPr>
                <w:rFonts w:ascii="Arial" w:cs="Arial" w:eastAsia="Arial" w:hAnsi="Arial"/>
                <w:sz w:val="18"/>
                <w:szCs w:val="18"/>
                <w:color w:val="auto"/>
              </w:rPr>
              <w:t>Forteo</w:t>
            </w:r>
          </w:p>
        </w:tc>
        <w:tc>
          <w:tcPr>
            <w:tcW w:w="300" w:type="dxa"/>
            <w:vAlign w:val="bottom"/>
          </w:tcPr>
          <w:p>
            <w:pPr>
              <w:spacing w:after="0"/>
              <w:rPr>
                <w:sz w:val="23"/>
                <w:szCs w:val="23"/>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539.0</w:t>
            </w:r>
          </w:p>
        </w:tc>
        <w:tc>
          <w:tcPr>
            <w:tcW w:w="280" w:type="dxa"/>
            <w:vAlign w:val="bottom"/>
          </w:tcPr>
          <w:p>
            <w:pPr>
              <w:spacing w:after="0"/>
              <w:rPr>
                <w:sz w:val="23"/>
                <w:szCs w:val="23"/>
                <w:color w:val="auto"/>
              </w:rPr>
            </w:pPr>
          </w:p>
        </w:tc>
        <w:tc>
          <w:tcPr>
            <w:tcW w:w="1240" w:type="dxa"/>
            <w:vAlign w:val="bottom"/>
          </w:tcPr>
          <w:p>
            <w:pPr>
              <w:jc w:val="right"/>
              <w:ind w:right="92"/>
              <w:spacing w:after="0"/>
              <w:rPr>
                <w:sz w:val="20"/>
                <w:szCs w:val="20"/>
                <w:color w:val="auto"/>
              </w:rPr>
            </w:pPr>
            <w:r>
              <w:rPr>
                <w:rFonts w:ascii="Arial" w:cs="Arial" w:eastAsia="Arial" w:hAnsi="Arial"/>
                <w:sz w:val="18"/>
                <w:szCs w:val="18"/>
                <w:color w:val="auto"/>
              </w:rPr>
              <w:t>783.0</w:t>
            </w:r>
          </w:p>
        </w:tc>
        <w:tc>
          <w:tcPr>
            <w:tcW w:w="360" w:type="dxa"/>
            <w:vAlign w:val="bottom"/>
          </w:tcPr>
          <w:p>
            <w:pPr>
              <w:spacing w:after="0"/>
              <w:rPr>
                <w:sz w:val="23"/>
                <w:szCs w:val="23"/>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1,322.0</w:t>
            </w:r>
          </w:p>
        </w:tc>
        <w:tc>
          <w:tcPr>
            <w:tcW w:w="300" w:type="dxa"/>
            <w:vAlign w:val="bottom"/>
          </w:tcPr>
          <w:p>
            <w:pPr>
              <w:spacing w:after="0"/>
              <w:rPr>
                <w:sz w:val="23"/>
                <w:szCs w:val="23"/>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1,244.9</w:t>
            </w:r>
          </w:p>
        </w:tc>
        <w:tc>
          <w:tcPr>
            <w:tcW w:w="1760" w:type="dxa"/>
            <w:vAlign w:val="bottom"/>
          </w:tcPr>
          <w:p>
            <w:pPr>
              <w:jc w:val="right"/>
              <w:ind w:right="353"/>
              <w:spacing w:after="0"/>
              <w:rPr>
                <w:sz w:val="20"/>
                <w:szCs w:val="20"/>
                <w:color w:val="auto"/>
              </w:rPr>
            </w:pPr>
            <w:r>
              <w:rPr>
                <w:rFonts w:ascii="Arial" w:cs="Arial" w:eastAsia="Arial" w:hAnsi="Arial"/>
                <w:sz w:val="18"/>
                <w:szCs w:val="18"/>
                <w:color w:val="auto"/>
              </w:rPr>
              <w:t>6</w:t>
            </w:r>
          </w:p>
        </w:tc>
      </w:tr>
      <w:tr>
        <w:trPr>
          <w:trHeight w:val="275"/>
        </w:trPr>
        <w:tc>
          <w:tcPr>
            <w:tcW w:w="3920" w:type="dxa"/>
            <w:vAlign w:val="bottom"/>
            <w:shd w:val="clear" w:color="auto" w:fill="D8D8D8"/>
          </w:tcPr>
          <w:p>
            <w:pPr>
              <w:ind w:left="40"/>
              <w:spacing w:after="0"/>
              <w:rPr>
                <w:sz w:val="20"/>
                <w:szCs w:val="20"/>
                <w:color w:val="auto"/>
              </w:rPr>
            </w:pPr>
            <w:r>
              <w:rPr>
                <w:rFonts w:ascii="Arial" w:cs="Arial" w:eastAsia="Arial" w:hAnsi="Arial"/>
                <w:sz w:val="18"/>
                <w:szCs w:val="18"/>
                <w:color w:val="auto"/>
              </w:rPr>
              <w:t>Zyprexa</w:t>
            </w:r>
          </w:p>
        </w:tc>
        <w:tc>
          <w:tcPr>
            <w:tcW w:w="300" w:type="dxa"/>
            <w:vAlign w:val="bottom"/>
            <w:shd w:val="clear" w:color="auto" w:fill="D8D8D8"/>
          </w:tcPr>
          <w:p>
            <w:pPr>
              <w:spacing w:after="0"/>
              <w:rPr>
                <w:sz w:val="23"/>
                <w:szCs w:val="23"/>
                <w:color w:val="auto"/>
              </w:rPr>
            </w:pPr>
          </w:p>
        </w:tc>
        <w:tc>
          <w:tcPr>
            <w:tcW w:w="1060" w:type="dxa"/>
            <w:vAlign w:val="bottom"/>
            <w:shd w:val="clear" w:color="auto" w:fill="D8D8D8"/>
          </w:tcPr>
          <w:p>
            <w:pPr>
              <w:jc w:val="right"/>
              <w:ind w:right="31"/>
              <w:spacing w:after="0"/>
              <w:rPr>
                <w:sz w:val="20"/>
                <w:szCs w:val="20"/>
                <w:color w:val="auto"/>
              </w:rPr>
            </w:pPr>
            <w:r>
              <w:rPr>
                <w:rFonts w:ascii="Arial" w:cs="Arial" w:eastAsia="Arial" w:hAnsi="Arial"/>
                <w:sz w:val="18"/>
                <w:szCs w:val="18"/>
                <w:color w:val="auto"/>
              </w:rPr>
              <w:t>119.8</w:t>
            </w:r>
          </w:p>
        </w:tc>
        <w:tc>
          <w:tcPr>
            <w:tcW w:w="280" w:type="dxa"/>
            <w:vAlign w:val="bottom"/>
            <w:shd w:val="clear" w:color="auto" w:fill="D8D8D8"/>
          </w:tcPr>
          <w:p>
            <w:pPr>
              <w:spacing w:after="0"/>
              <w:rPr>
                <w:sz w:val="23"/>
                <w:szCs w:val="23"/>
                <w:color w:val="auto"/>
              </w:rPr>
            </w:pPr>
          </w:p>
        </w:tc>
        <w:tc>
          <w:tcPr>
            <w:tcW w:w="1240" w:type="dxa"/>
            <w:vAlign w:val="bottom"/>
            <w:shd w:val="clear" w:color="auto" w:fill="D8D8D8"/>
          </w:tcPr>
          <w:p>
            <w:pPr>
              <w:jc w:val="right"/>
              <w:ind w:right="92"/>
              <w:spacing w:after="0"/>
              <w:rPr>
                <w:sz w:val="20"/>
                <w:szCs w:val="20"/>
                <w:color w:val="auto"/>
              </w:rPr>
            </w:pPr>
            <w:r>
              <w:rPr>
                <w:rFonts w:ascii="Arial" w:cs="Arial" w:eastAsia="Arial" w:hAnsi="Arial"/>
                <w:sz w:val="18"/>
                <w:szCs w:val="18"/>
                <w:color w:val="auto"/>
              </w:rPr>
              <w:t>917.5</w:t>
            </w:r>
          </w:p>
        </w:tc>
        <w:tc>
          <w:tcPr>
            <w:tcW w:w="360" w:type="dxa"/>
            <w:vAlign w:val="bottom"/>
            <w:shd w:val="clear" w:color="auto" w:fill="D8D8D8"/>
          </w:tcPr>
          <w:p>
            <w:pPr>
              <w:spacing w:after="0"/>
              <w:rPr>
                <w:sz w:val="23"/>
                <w:szCs w:val="23"/>
                <w:color w:val="auto"/>
              </w:rPr>
            </w:pPr>
          </w:p>
        </w:tc>
        <w:tc>
          <w:tcPr>
            <w:tcW w:w="1040" w:type="dxa"/>
            <w:vAlign w:val="bottom"/>
            <w:shd w:val="clear" w:color="auto" w:fill="D8D8D8"/>
          </w:tcPr>
          <w:p>
            <w:pPr>
              <w:jc w:val="right"/>
              <w:ind w:right="31"/>
              <w:spacing w:after="0"/>
              <w:rPr>
                <w:sz w:val="20"/>
                <w:szCs w:val="20"/>
                <w:color w:val="auto"/>
              </w:rPr>
            </w:pPr>
            <w:r>
              <w:rPr>
                <w:rFonts w:ascii="Arial" w:cs="Arial" w:eastAsia="Arial" w:hAnsi="Arial"/>
                <w:sz w:val="18"/>
                <w:szCs w:val="18"/>
                <w:color w:val="auto"/>
              </w:rPr>
              <w:t>1,037.3</w:t>
            </w:r>
          </w:p>
        </w:tc>
        <w:tc>
          <w:tcPr>
            <w:tcW w:w="300" w:type="dxa"/>
            <w:vAlign w:val="bottom"/>
            <w:shd w:val="clear" w:color="auto" w:fill="D8D8D8"/>
          </w:tcPr>
          <w:p>
            <w:pPr>
              <w:spacing w:after="0"/>
              <w:rPr>
                <w:sz w:val="23"/>
                <w:szCs w:val="23"/>
                <w:color w:val="auto"/>
              </w:rPr>
            </w:pPr>
          </w:p>
        </w:tc>
        <w:tc>
          <w:tcPr>
            <w:tcW w:w="1160" w:type="dxa"/>
            <w:vAlign w:val="bottom"/>
            <w:shd w:val="clear" w:color="auto" w:fill="D8D8D8"/>
          </w:tcPr>
          <w:p>
            <w:pPr>
              <w:jc w:val="right"/>
              <w:ind w:right="12"/>
              <w:spacing w:after="0"/>
              <w:rPr>
                <w:sz w:val="20"/>
                <w:szCs w:val="20"/>
                <w:color w:val="auto"/>
              </w:rPr>
            </w:pPr>
            <w:r>
              <w:rPr>
                <w:rFonts w:ascii="Arial" w:cs="Arial" w:eastAsia="Arial" w:hAnsi="Arial"/>
                <w:sz w:val="18"/>
                <w:szCs w:val="18"/>
                <w:color w:val="auto"/>
              </w:rPr>
              <w:t>1,194.8</w:t>
            </w:r>
          </w:p>
        </w:tc>
        <w:tc>
          <w:tcPr>
            <w:tcW w:w="1760" w:type="dxa"/>
            <w:vAlign w:val="bottom"/>
            <w:shd w:val="clear" w:color="auto" w:fill="D8D8D8"/>
          </w:tcPr>
          <w:p>
            <w:pPr>
              <w:jc w:val="right"/>
              <w:ind w:right="293"/>
              <w:spacing w:after="0"/>
              <w:rPr>
                <w:sz w:val="20"/>
                <w:szCs w:val="20"/>
                <w:color w:val="auto"/>
              </w:rPr>
            </w:pPr>
            <w:r>
              <w:rPr>
                <w:rFonts w:ascii="Arial" w:cs="Arial" w:eastAsia="Arial" w:hAnsi="Arial"/>
                <w:sz w:val="18"/>
                <w:szCs w:val="18"/>
                <w:color w:val="auto"/>
              </w:rPr>
              <w:t>(13)</w:t>
            </w:r>
          </w:p>
        </w:tc>
      </w:tr>
      <w:tr>
        <w:trPr>
          <w:trHeight w:val="265"/>
        </w:trPr>
        <w:tc>
          <w:tcPr>
            <w:tcW w:w="3920" w:type="dxa"/>
            <w:vAlign w:val="bottom"/>
          </w:tcPr>
          <w:p>
            <w:pPr>
              <w:ind w:left="40"/>
              <w:spacing w:after="0"/>
              <w:rPr>
                <w:sz w:val="20"/>
                <w:szCs w:val="20"/>
                <w:color w:val="auto"/>
              </w:rPr>
            </w:pPr>
            <w:r>
              <w:rPr>
                <w:rFonts w:ascii="Arial" w:cs="Arial" w:eastAsia="Arial" w:hAnsi="Arial"/>
                <w:sz w:val="18"/>
                <w:szCs w:val="18"/>
                <w:color w:val="auto"/>
              </w:rPr>
              <w:t>Strattera</w:t>
            </w:r>
          </w:p>
        </w:tc>
        <w:tc>
          <w:tcPr>
            <w:tcW w:w="300" w:type="dxa"/>
            <w:vAlign w:val="bottom"/>
          </w:tcPr>
          <w:p>
            <w:pPr>
              <w:spacing w:after="0"/>
              <w:rPr>
                <w:sz w:val="23"/>
                <w:szCs w:val="23"/>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452.5</w:t>
            </w:r>
          </w:p>
        </w:tc>
        <w:tc>
          <w:tcPr>
            <w:tcW w:w="280" w:type="dxa"/>
            <w:vAlign w:val="bottom"/>
          </w:tcPr>
          <w:p>
            <w:pPr>
              <w:spacing w:after="0"/>
              <w:rPr>
                <w:sz w:val="23"/>
                <w:szCs w:val="23"/>
                <w:color w:val="auto"/>
              </w:rPr>
            </w:pPr>
          </w:p>
        </w:tc>
        <w:tc>
          <w:tcPr>
            <w:tcW w:w="1240" w:type="dxa"/>
            <w:vAlign w:val="bottom"/>
          </w:tcPr>
          <w:p>
            <w:pPr>
              <w:jc w:val="right"/>
              <w:ind w:right="92"/>
              <w:spacing w:after="0"/>
              <w:rPr>
                <w:sz w:val="20"/>
                <w:szCs w:val="20"/>
                <w:color w:val="auto"/>
              </w:rPr>
            </w:pPr>
            <w:r>
              <w:rPr>
                <w:rFonts w:ascii="Arial" w:cs="Arial" w:eastAsia="Arial" w:hAnsi="Arial"/>
                <w:sz w:val="18"/>
                <w:szCs w:val="18"/>
                <w:color w:val="auto"/>
              </w:rPr>
              <w:t>286.0</w:t>
            </w:r>
          </w:p>
        </w:tc>
        <w:tc>
          <w:tcPr>
            <w:tcW w:w="360" w:type="dxa"/>
            <w:vAlign w:val="bottom"/>
          </w:tcPr>
          <w:p>
            <w:pPr>
              <w:spacing w:after="0"/>
              <w:rPr>
                <w:sz w:val="23"/>
                <w:szCs w:val="23"/>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738.5</w:t>
            </w:r>
          </w:p>
        </w:tc>
        <w:tc>
          <w:tcPr>
            <w:tcW w:w="300" w:type="dxa"/>
            <w:vAlign w:val="bottom"/>
          </w:tcPr>
          <w:p>
            <w:pPr>
              <w:spacing w:after="0"/>
              <w:rPr>
                <w:sz w:val="23"/>
                <w:szCs w:val="23"/>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709.2</w:t>
            </w:r>
          </w:p>
        </w:tc>
        <w:tc>
          <w:tcPr>
            <w:tcW w:w="1760" w:type="dxa"/>
            <w:vAlign w:val="bottom"/>
          </w:tcPr>
          <w:p>
            <w:pPr>
              <w:jc w:val="right"/>
              <w:ind w:right="353"/>
              <w:spacing w:after="0"/>
              <w:rPr>
                <w:sz w:val="20"/>
                <w:szCs w:val="20"/>
                <w:color w:val="auto"/>
              </w:rPr>
            </w:pPr>
            <w:r>
              <w:rPr>
                <w:rFonts w:ascii="Arial" w:cs="Arial" w:eastAsia="Arial" w:hAnsi="Arial"/>
                <w:sz w:val="18"/>
                <w:szCs w:val="18"/>
                <w:color w:val="auto"/>
              </w:rPr>
              <w:t>4</w:t>
            </w:r>
          </w:p>
        </w:tc>
      </w:tr>
      <w:tr>
        <w:trPr>
          <w:trHeight w:val="275"/>
        </w:trPr>
        <w:tc>
          <w:tcPr>
            <w:tcW w:w="3920" w:type="dxa"/>
            <w:vAlign w:val="bottom"/>
            <w:shd w:val="clear" w:color="auto" w:fill="D8D8D8"/>
          </w:tcPr>
          <w:p>
            <w:pPr>
              <w:ind w:left="40"/>
              <w:spacing w:after="0"/>
              <w:rPr>
                <w:sz w:val="20"/>
                <w:szCs w:val="20"/>
                <w:color w:val="auto"/>
              </w:rPr>
            </w:pPr>
            <w:r>
              <w:rPr>
                <w:rFonts w:ascii="Arial" w:cs="Arial" w:eastAsia="Arial" w:hAnsi="Arial"/>
                <w:sz w:val="18"/>
                <w:szCs w:val="18"/>
                <w:color w:val="auto"/>
              </w:rPr>
              <w:t>Effient</w:t>
            </w:r>
          </w:p>
        </w:tc>
        <w:tc>
          <w:tcPr>
            <w:tcW w:w="300" w:type="dxa"/>
            <w:vAlign w:val="bottom"/>
            <w:shd w:val="clear" w:color="auto" w:fill="D8D8D8"/>
          </w:tcPr>
          <w:p>
            <w:pPr>
              <w:spacing w:after="0"/>
              <w:rPr>
                <w:sz w:val="23"/>
                <w:szCs w:val="23"/>
                <w:color w:val="auto"/>
              </w:rPr>
            </w:pPr>
          </w:p>
        </w:tc>
        <w:tc>
          <w:tcPr>
            <w:tcW w:w="1060" w:type="dxa"/>
            <w:vAlign w:val="bottom"/>
            <w:shd w:val="clear" w:color="auto" w:fill="D8D8D8"/>
          </w:tcPr>
          <w:p>
            <w:pPr>
              <w:jc w:val="right"/>
              <w:ind w:right="31"/>
              <w:spacing w:after="0"/>
              <w:rPr>
                <w:sz w:val="20"/>
                <w:szCs w:val="20"/>
                <w:color w:val="auto"/>
              </w:rPr>
            </w:pPr>
            <w:r>
              <w:rPr>
                <w:rFonts w:ascii="Arial" w:cs="Arial" w:eastAsia="Arial" w:hAnsi="Arial"/>
                <w:sz w:val="18"/>
                <w:szCs w:val="18"/>
                <w:color w:val="auto"/>
              </w:rPr>
              <w:t>394.5</w:t>
            </w:r>
          </w:p>
        </w:tc>
        <w:tc>
          <w:tcPr>
            <w:tcW w:w="280" w:type="dxa"/>
            <w:vAlign w:val="bottom"/>
            <w:shd w:val="clear" w:color="auto" w:fill="D8D8D8"/>
          </w:tcPr>
          <w:p>
            <w:pPr>
              <w:spacing w:after="0"/>
              <w:rPr>
                <w:sz w:val="23"/>
                <w:szCs w:val="23"/>
                <w:color w:val="auto"/>
              </w:rPr>
            </w:pPr>
          </w:p>
        </w:tc>
        <w:tc>
          <w:tcPr>
            <w:tcW w:w="1240" w:type="dxa"/>
            <w:vAlign w:val="bottom"/>
            <w:shd w:val="clear" w:color="auto" w:fill="D8D8D8"/>
          </w:tcPr>
          <w:p>
            <w:pPr>
              <w:jc w:val="right"/>
              <w:ind w:right="92"/>
              <w:spacing w:after="0"/>
              <w:rPr>
                <w:sz w:val="20"/>
                <w:szCs w:val="20"/>
                <w:color w:val="auto"/>
              </w:rPr>
            </w:pPr>
            <w:r>
              <w:rPr>
                <w:rFonts w:ascii="Arial" w:cs="Arial" w:eastAsia="Arial" w:hAnsi="Arial"/>
                <w:sz w:val="18"/>
                <w:szCs w:val="18"/>
                <w:color w:val="auto"/>
              </w:rPr>
              <w:t>127.7</w:t>
            </w:r>
          </w:p>
        </w:tc>
        <w:tc>
          <w:tcPr>
            <w:tcW w:w="360" w:type="dxa"/>
            <w:vAlign w:val="bottom"/>
            <w:shd w:val="clear" w:color="auto" w:fill="D8D8D8"/>
          </w:tcPr>
          <w:p>
            <w:pPr>
              <w:spacing w:after="0"/>
              <w:rPr>
                <w:sz w:val="23"/>
                <w:szCs w:val="23"/>
                <w:color w:val="auto"/>
              </w:rPr>
            </w:pPr>
          </w:p>
        </w:tc>
        <w:tc>
          <w:tcPr>
            <w:tcW w:w="1040" w:type="dxa"/>
            <w:vAlign w:val="bottom"/>
            <w:shd w:val="clear" w:color="auto" w:fill="D8D8D8"/>
          </w:tcPr>
          <w:p>
            <w:pPr>
              <w:jc w:val="right"/>
              <w:ind w:right="31"/>
              <w:spacing w:after="0"/>
              <w:rPr>
                <w:sz w:val="20"/>
                <w:szCs w:val="20"/>
                <w:color w:val="auto"/>
              </w:rPr>
            </w:pPr>
            <w:r>
              <w:rPr>
                <w:rFonts w:ascii="Arial" w:cs="Arial" w:eastAsia="Arial" w:hAnsi="Arial"/>
                <w:sz w:val="18"/>
                <w:szCs w:val="18"/>
                <w:color w:val="auto"/>
              </w:rPr>
              <w:t>522.2</w:t>
            </w:r>
          </w:p>
        </w:tc>
        <w:tc>
          <w:tcPr>
            <w:tcW w:w="300" w:type="dxa"/>
            <w:vAlign w:val="bottom"/>
            <w:shd w:val="clear" w:color="auto" w:fill="D8D8D8"/>
          </w:tcPr>
          <w:p>
            <w:pPr>
              <w:spacing w:after="0"/>
              <w:rPr>
                <w:sz w:val="23"/>
                <w:szCs w:val="23"/>
                <w:color w:val="auto"/>
              </w:rPr>
            </w:pPr>
          </w:p>
        </w:tc>
        <w:tc>
          <w:tcPr>
            <w:tcW w:w="1160" w:type="dxa"/>
            <w:vAlign w:val="bottom"/>
            <w:shd w:val="clear" w:color="auto" w:fill="D8D8D8"/>
          </w:tcPr>
          <w:p>
            <w:pPr>
              <w:jc w:val="right"/>
              <w:ind w:right="12"/>
              <w:spacing w:after="0"/>
              <w:rPr>
                <w:sz w:val="20"/>
                <w:szCs w:val="20"/>
                <w:color w:val="auto"/>
              </w:rPr>
            </w:pPr>
            <w:r>
              <w:rPr>
                <w:rFonts w:ascii="Arial" w:cs="Arial" w:eastAsia="Arial" w:hAnsi="Arial"/>
                <w:sz w:val="18"/>
                <w:szCs w:val="18"/>
                <w:color w:val="auto"/>
              </w:rPr>
              <w:t>508.7</w:t>
            </w:r>
          </w:p>
        </w:tc>
        <w:tc>
          <w:tcPr>
            <w:tcW w:w="1760" w:type="dxa"/>
            <w:vAlign w:val="bottom"/>
            <w:shd w:val="clear" w:color="auto" w:fill="D8D8D8"/>
          </w:tcPr>
          <w:p>
            <w:pPr>
              <w:jc w:val="right"/>
              <w:ind w:right="353"/>
              <w:spacing w:after="0"/>
              <w:rPr>
                <w:sz w:val="20"/>
                <w:szCs w:val="20"/>
                <w:color w:val="auto"/>
              </w:rPr>
            </w:pPr>
            <w:r>
              <w:rPr>
                <w:rFonts w:ascii="Arial" w:cs="Arial" w:eastAsia="Arial" w:hAnsi="Arial"/>
                <w:sz w:val="18"/>
                <w:szCs w:val="18"/>
                <w:color w:val="auto"/>
              </w:rPr>
              <w:t>3</w:t>
            </w:r>
          </w:p>
        </w:tc>
      </w:tr>
      <w:tr>
        <w:trPr>
          <w:trHeight w:val="265"/>
        </w:trPr>
        <w:tc>
          <w:tcPr>
            <w:tcW w:w="3920" w:type="dxa"/>
            <w:vAlign w:val="bottom"/>
          </w:tcPr>
          <w:p>
            <w:pPr>
              <w:ind w:left="40"/>
              <w:spacing w:after="0"/>
              <w:rPr>
                <w:sz w:val="20"/>
                <w:szCs w:val="20"/>
                <w:color w:val="auto"/>
              </w:rPr>
            </w:pPr>
            <w:r>
              <w:rPr>
                <w:rFonts w:ascii="Arial" w:cs="Arial" w:eastAsia="Arial" w:hAnsi="Arial"/>
                <w:sz w:val="18"/>
                <w:szCs w:val="18"/>
                <w:color w:val="auto"/>
              </w:rPr>
              <w:t>Evista</w:t>
            </w:r>
          </w:p>
        </w:tc>
        <w:tc>
          <w:tcPr>
            <w:tcW w:w="300" w:type="dxa"/>
            <w:vAlign w:val="bottom"/>
          </w:tcPr>
          <w:p>
            <w:pPr>
              <w:spacing w:after="0"/>
              <w:rPr>
                <w:sz w:val="23"/>
                <w:szCs w:val="23"/>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207.2</w:t>
            </w:r>
          </w:p>
        </w:tc>
        <w:tc>
          <w:tcPr>
            <w:tcW w:w="280" w:type="dxa"/>
            <w:vAlign w:val="bottom"/>
          </w:tcPr>
          <w:p>
            <w:pPr>
              <w:spacing w:after="0"/>
              <w:rPr>
                <w:sz w:val="23"/>
                <w:szCs w:val="23"/>
                <w:color w:val="auto"/>
              </w:rPr>
            </w:pPr>
          </w:p>
        </w:tc>
        <w:tc>
          <w:tcPr>
            <w:tcW w:w="1240" w:type="dxa"/>
            <w:vAlign w:val="bottom"/>
          </w:tcPr>
          <w:p>
            <w:pPr>
              <w:jc w:val="right"/>
              <w:ind w:right="92"/>
              <w:spacing w:after="0"/>
              <w:rPr>
                <w:sz w:val="20"/>
                <w:szCs w:val="20"/>
                <w:color w:val="auto"/>
              </w:rPr>
            </w:pPr>
            <w:r>
              <w:rPr>
                <w:rFonts w:ascii="Arial" w:cs="Arial" w:eastAsia="Arial" w:hAnsi="Arial"/>
                <w:sz w:val="18"/>
                <w:szCs w:val="18"/>
                <w:color w:val="auto"/>
              </w:rPr>
              <w:t>212.6</w:t>
            </w:r>
          </w:p>
        </w:tc>
        <w:tc>
          <w:tcPr>
            <w:tcW w:w="360" w:type="dxa"/>
            <w:vAlign w:val="bottom"/>
          </w:tcPr>
          <w:p>
            <w:pPr>
              <w:spacing w:after="0"/>
              <w:rPr>
                <w:sz w:val="23"/>
                <w:szCs w:val="23"/>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419.8</w:t>
            </w:r>
          </w:p>
        </w:tc>
        <w:tc>
          <w:tcPr>
            <w:tcW w:w="300" w:type="dxa"/>
            <w:vAlign w:val="bottom"/>
          </w:tcPr>
          <w:p>
            <w:pPr>
              <w:spacing w:after="0"/>
              <w:rPr>
                <w:sz w:val="23"/>
                <w:szCs w:val="23"/>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1,050.4</w:t>
            </w:r>
          </w:p>
        </w:tc>
        <w:tc>
          <w:tcPr>
            <w:tcW w:w="1760" w:type="dxa"/>
            <w:vAlign w:val="bottom"/>
          </w:tcPr>
          <w:p>
            <w:pPr>
              <w:jc w:val="right"/>
              <w:ind w:right="293"/>
              <w:spacing w:after="0"/>
              <w:rPr>
                <w:sz w:val="20"/>
                <w:szCs w:val="20"/>
                <w:color w:val="auto"/>
              </w:rPr>
            </w:pPr>
            <w:r>
              <w:rPr>
                <w:rFonts w:ascii="Arial" w:cs="Arial" w:eastAsia="Arial" w:hAnsi="Arial"/>
                <w:sz w:val="18"/>
                <w:szCs w:val="18"/>
                <w:color w:val="auto"/>
              </w:rPr>
              <w:t>(60)</w:t>
            </w:r>
          </w:p>
        </w:tc>
      </w:tr>
      <w:tr>
        <w:trPr>
          <w:trHeight w:val="275"/>
        </w:trPr>
        <w:tc>
          <w:tcPr>
            <w:tcW w:w="3920" w:type="dxa"/>
            <w:vAlign w:val="bottom"/>
            <w:shd w:val="clear" w:color="auto" w:fill="D8D8D8"/>
          </w:tcPr>
          <w:p>
            <w:pPr>
              <w:ind w:left="40"/>
              <w:spacing w:after="0"/>
              <w:rPr>
                <w:sz w:val="20"/>
                <w:szCs w:val="20"/>
                <w:color w:val="auto"/>
              </w:rPr>
            </w:pPr>
            <w:r>
              <w:rPr>
                <w:rFonts w:ascii="Arial" w:cs="Arial" w:eastAsia="Arial" w:hAnsi="Arial"/>
                <w:sz w:val="18"/>
                <w:szCs w:val="18"/>
                <w:color w:val="auto"/>
              </w:rPr>
              <w:t>Other pharmaceutical products</w:t>
            </w:r>
          </w:p>
        </w:tc>
        <w:tc>
          <w:tcPr>
            <w:tcW w:w="300" w:type="dxa"/>
            <w:vAlign w:val="bottom"/>
            <w:shd w:val="clear" w:color="auto" w:fill="D8D8D8"/>
          </w:tcPr>
          <w:p>
            <w:pPr>
              <w:spacing w:after="0"/>
              <w:rPr>
                <w:sz w:val="23"/>
                <w:szCs w:val="23"/>
                <w:color w:val="auto"/>
              </w:rPr>
            </w:pPr>
          </w:p>
        </w:tc>
        <w:tc>
          <w:tcPr>
            <w:tcW w:w="1060" w:type="dxa"/>
            <w:vAlign w:val="bottom"/>
            <w:shd w:val="clear" w:color="auto" w:fill="D8D8D8"/>
          </w:tcPr>
          <w:p>
            <w:pPr>
              <w:jc w:val="right"/>
              <w:ind w:right="31"/>
              <w:spacing w:after="0"/>
              <w:rPr>
                <w:sz w:val="20"/>
                <w:szCs w:val="20"/>
                <w:color w:val="auto"/>
              </w:rPr>
            </w:pPr>
            <w:r>
              <w:rPr>
                <w:rFonts w:ascii="Arial" w:cs="Arial" w:eastAsia="Arial" w:hAnsi="Arial"/>
                <w:sz w:val="18"/>
                <w:szCs w:val="18"/>
                <w:color w:val="auto"/>
              </w:rPr>
              <w:t>647.5</w:t>
            </w:r>
          </w:p>
        </w:tc>
        <w:tc>
          <w:tcPr>
            <w:tcW w:w="280" w:type="dxa"/>
            <w:vAlign w:val="bottom"/>
            <w:shd w:val="clear" w:color="auto" w:fill="D8D8D8"/>
          </w:tcPr>
          <w:p>
            <w:pPr>
              <w:spacing w:after="0"/>
              <w:rPr>
                <w:sz w:val="23"/>
                <w:szCs w:val="23"/>
                <w:color w:val="auto"/>
              </w:rPr>
            </w:pPr>
          </w:p>
        </w:tc>
        <w:tc>
          <w:tcPr>
            <w:tcW w:w="1240" w:type="dxa"/>
            <w:vAlign w:val="bottom"/>
            <w:shd w:val="clear" w:color="auto" w:fill="D8D8D8"/>
          </w:tcPr>
          <w:p>
            <w:pPr>
              <w:jc w:val="right"/>
              <w:ind w:right="92"/>
              <w:spacing w:after="0"/>
              <w:rPr>
                <w:sz w:val="20"/>
                <w:szCs w:val="20"/>
                <w:color w:val="auto"/>
              </w:rPr>
            </w:pPr>
            <w:r>
              <w:rPr>
                <w:rFonts w:ascii="Arial" w:cs="Arial" w:eastAsia="Arial" w:hAnsi="Arial"/>
                <w:sz w:val="18"/>
                <w:szCs w:val="18"/>
                <w:color w:val="auto"/>
              </w:rPr>
              <w:t>910.3</w:t>
            </w:r>
          </w:p>
        </w:tc>
        <w:tc>
          <w:tcPr>
            <w:tcW w:w="360" w:type="dxa"/>
            <w:vAlign w:val="bottom"/>
            <w:shd w:val="clear" w:color="auto" w:fill="D8D8D8"/>
          </w:tcPr>
          <w:p>
            <w:pPr>
              <w:spacing w:after="0"/>
              <w:rPr>
                <w:sz w:val="23"/>
                <w:szCs w:val="23"/>
                <w:color w:val="auto"/>
              </w:rPr>
            </w:pPr>
          </w:p>
        </w:tc>
        <w:tc>
          <w:tcPr>
            <w:tcW w:w="1040" w:type="dxa"/>
            <w:vAlign w:val="bottom"/>
            <w:shd w:val="clear" w:color="auto" w:fill="D8D8D8"/>
          </w:tcPr>
          <w:p>
            <w:pPr>
              <w:jc w:val="right"/>
              <w:ind w:right="31"/>
              <w:spacing w:after="0"/>
              <w:rPr>
                <w:sz w:val="20"/>
                <w:szCs w:val="20"/>
                <w:color w:val="auto"/>
              </w:rPr>
            </w:pPr>
            <w:r>
              <w:rPr>
                <w:rFonts w:ascii="Arial" w:cs="Arial" w:eastAsia="Arial" w:hAnsi="Arial"/>
                <w:sz w:val="18"/>
                <w:szCs w:val="18"/>
                <w:color w:val="auto"/>
              </w:rPr>
              <w:t>1,557.8</w:t>
            </w:r>
          </w:p>
        </w:tc>
        <w:tc>
          <w:tcPr>
            <w:tcW w:w="300" w:type="dxa"/>
            <w:vAlign w:val="bottom"/>
            <w:shd w:val="clear" w:color="auto" w:fill="D8D8D8"/>
          </w:tcPr>
          <w:p>
            <w:pPr>
              <w:spacing w:after="0"/>
              <w:rPr>
                <w:sz w:val="23"/>
                <w:szCs w:val="23"/>
                <w:color w:val="auto"/>
              </w:rPr>
            </w:pPr>
          </w:p>
        </w:tc>
        <w:tc>
          <w:tcPr>
            <w:tcW w:w="1160" w:type="dxa"/>
            <w:vAlign w:val="bottom"/>
            <w:shd w:val="clear" w:color="auto" w:fill="D8D8D8"/>
          </w:tcPr>
          <w:p>
            <w:pPr>
              <w:jc w:val="right"/>
              <w:ind w:right="12"/>
              <w:spacing w:after="0"/>
              <w:rPr>
                <w:sz w:val="20"/>
                <w:szCs w:val="20"/>
                <w:color w:val="auto"/>
              </w:rPr>
            </w:pPr>
            <w:r>
              <w:rPr>
                <w:rFonts w:ascii="Arial" w:cs="Arial" w:eastAsia="Arial" w:hAnsi="Arial"/>
                <w:sz w:val="18"/>
                <w:szCs w:val="18"/>
                <w:color w:val="auto"/>
              </w:rPr>
              <w:t>1,672.3</w:t>
            </w:r>
          </w:p>
        </w:tc>
        <w:tc>
          <w:tcPr>
            <w:tcW w:w="1760" w:type="dxa"/>
            <w:vAlign w:val="bottom"/>
            <w:shd w:val="clear" w:color="auto" w:fill="D8D8D8"/>
          </w:tcPr>
          <w:p>
            <w:pPr>
              <w:jc w:val="right"/>
              <w:ind w:right="293"/>
              <w:spacing w:after="0"/>
              <w:rPr>
                <w:sz w:val="20"/>
                <w:szCs w:val="20"/>
                <w:color w:val="auto"/>
              </w:rPr>
            </w:pPr>
            <w:r>
              <w:rPr>
                <w:rFonts w:ascii="Arial" w:cs="Arial" w:eastAsia="Arial" w:hAnsi="Arial"/>
                <w:sz w:val="18"/>
                <w:szCs w:val="18"/>
                <w:color w:val="auto"/>
              </w:rPr>
              <w:t>(7)</w:t>
            </w:r>
          </w:p>
        </w:tc>
      </w:tr>
      <w:tr>
        <w:trPr>
          <w:trHeight w:val="265"/>
        </w:trPr>
        <w:tc>
          <w:tcPr>
            <w:tcW w:w="3920" w:type="dxa"/>
            <w:vAlign w:val="bottom"/>
            <w:tcBorders>
              <w:bottom w:val="single" w:sz="8" w:color="D8D8D8"/>
            </w:tcBorders>
          </w:tcPr>
          <w:p>
            <w:pPr>
              <w:ind w:left="40"/>
              <w:spacing w:after="0"/>
              <w:rPr>
                <w:sz w:val="20"/>
                <w:szCs w:val="20"/>
                <w:color w:val="auto"/>
              </w:rPr>
            </w:pPr>
            <w:r>
              <w:rPr>
                <w:rFonts w:ascii="Arial" w:cs="Arial" w:eastAsia="Arial" w:hAnsi="Arial"/>
                <w:sz w:val="18"/>
                <w:szCs w:val="18"/>
                <w:color w:val="auto"/>
              </w:rPr>
              <w:t>Animal health products</w:t>
            </w:r>
          </w:p>
        </w:tc>
        <w:tc>
          <w:tcPr>
            <w:tcW w:w="3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1,274.4</w:t>
            </w:r>
          </w:p>
        </w:tc>
        <w:tc>
          <w:tcPr>
            <w:tcW w:w="28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1,072.2</w:t>
            </w:r>
          </w:p>
        </w:tc>
        <w:tc>
          <w:tcPr>
            <w:tcW w:w="36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2,346.6</w:t>
            </w:r>
          </w:p>
        </w:tc>
        <w:tc>
          <w:tcPr>
            <w:tcW w:w="30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2,151.5</w:t>
            </w:r>
          </w:p>
        </w:tc>
        <w:tc>
          <w:tcPr>
            <w:tcW w:w="1760" w:type="dxa"/>
            <w:vAlign w:val="bottom"/>
            <w:tcBorders>
              <w:bottom w:val="single" w:sz="8" w:color="D8D8D8"/>
            </w:tcBorders>
          </w:tcPr>
          <w:p>
            <w:pPr>
              <w:jc w:val="right"/>
              <w:ind w:right="353"/>
              <w:spacing w:after="0"/>
              <w:rPr>
                <w:sz w:val="20"/>
                <w:szCs w:val="20"/>
                <w:color w:val="auto"/>
              </w:rPr>
            </w:pPr>
            <w:r>
              <w:rPr>
                <w:rFonts w:ascii="Arial" w:cs="Arial" w:eastAsia="Arial" w:hAnsi="Arial"/>
                <w:sz w:val="18"/>
                <w:szCs w:val="18"/>
                <w:color w:val="auto"/>
              </w:rPr>
              <w:t>9</w:t>
            </w:r>
          </w:p>
        </w:tc>
      </w:tr>
      <w:tr>
        <w:trPr>
          <w:trHeight w:val="268"/>
        </w:trPr>
        <w:tc>
          <w:tcPr>
            <w:tcW w:w="3920" w:type="dxa"/>
            <w:vAlign w:val="bottom"/>
            <w:shd w:val="clear" w:color="auto" w:fill="D8D8D8"/>
          </w:tcPr>
          <w:p>
            <w:pPr>
              <w:ind w:left="280"/>
              <w:spacing w:after="0"/>
              <w:rPr>
                <w:sz w:val="20"/>
                <w:szCs w:val="20"/>
                <w:color w:val="auto"/>
              </w:rPr>
            </w:pPr>
            <w:r>
              <w:rPr>
                <w:rFonts w:ascii="Arial" w:cs="Arial" w:eastAsia="Arial" w:hAnsi="Arial"/>
                <w:sz w:val="18"/>
                <w:szCs w:val="18"/>
                <w:color w:val="auto"/>
              </w:rPr>
              <w:t>Total net product revenue</w:t>
            </w:r>
          </w:p>
        </w:tc>
        <w:tc>
          <w:tcPr>
            <w:tcW w:w="300" w:type="dxa"/>
            <w:vAlign w:val="bottom"/>
            <w:shd w:val="clear" w:color="auto" w:fill="D8D8D8"/>
          </w:tcPr>
          <w:p>
            <w:pPr>
              <w:spacing w:after="0"/>
              <w:rPr>
                <w:sz w:val="23"/>
                <w:szCs w:val="23"/>
                <w:color w:val="auto"/>
              </w:rPr>
            </w:pPr>
          </w:p>
        </w:tc>
        <w:tc>
          <w:tcPr>
            <w:tcW w:w="1060" w:type="dxa"/>
            <w:vAlign w:val="bottom"/>
            <w:shd w:val="clear" w:color="auto" w:fill="D8D8D8"/>
          </w:tcPr>
          <w:p>
            <w:pPr>
              <w:jc w:val="right"/>
              <w:ind w:right="31"/>
              <w:spacing w:after="0"/>
              <w:rPr>
                <w:sz w:val="20"/>
                <w:szCs w:val="20"/>
                <w:color w:val="auto"/>
              </w:rPr>
            </w:pPr>
            <w:r>
              <w:rPr>
                <w:rFonts w:ascii="Arial" w:cs="Arial" w:eastAsia="Arial" w:hAnsi="Arial"/>
                <w:sz w:val="18"/>
                <w:szCs w:val="18"/>
                <w:color w:val="auto"/>
              </w:rPr>
              <w:t>8,665.5</w:t>
            </w:r>
          </w:p>
        </w:tc>
        <w:tc>
          <w:tcPr>
            <w:tcW w:w="280" w:type="dxa"/>
            <w:vAlign w:val="bottom"/>
            <w:shd w:val="clear" w:color="auto" w:fill="D8D8D8"/>
          </w:tcPr>
          <w:p>
            <w:pPr>
              <w:spacing w:after="0"/>
              <w:rPr>
                <w:sz w:val="23"/>
                <w:szCs w:val="23"/>
                <w:color w:val="auto"/>
              </w:rPr>
            </w:pPr>
          </w:p>
        </w:tc>
        <w:tc>
          <w:tcPr>
            <w:tcW w:w="1240" w:type="dxa"/>
            <w:vAlign w:val="bottom"/>
            <w:shd w:val="clear" w:color="auto" w:fill="D8D8D8"/>
          </w:tcPr>
          <w:p>
            <w:pPr>
              <w:jc w:val="right"/>
              <w:ind w:right="92"/>
              <w:spacing w:after="0"/>
              <w:rPr>
                <w:sz w:val="20"/>
                <w:szCs w:val="20"/>
                <w:color w:val="auto"/>
              </w:rPr>
            </w:pPr>
            <w:r>
              <w:rPr>
                <w:rFonts w:ascii="Arial" w:cs="Arial" w:eastAsia="Arial" w:hAnsi="Arial"/>
                <w:sz w:val="18"/>
                <w:szCs w:val="18"/>
                <w:color w:val="auto"/>
              </w:rPr>
              <w:t>10,161.7</w:t>
            </w:r>
          </w:p>
        </w:tc>
        <w:tc>
          <w:tcPr>
            <w:tcW w:w="360" w:type="dxa"/>
            <w:vAlign w:val="bottom"/>
            <w:shd w:val="clear" w:color="auto" w:fill="D8D8D8"/>
          </w:tcPr>
          <w:p>
            <w:pPr>
              <w:spacing w:after="0"/>
              <w:rPr>
                <w:sz w:val="23"/>
                <w:szCs w:val="23"/>
                <w:color w:val="auto"/>
              </w:rPr>
            </w:pPr>
          </w:p>
        </w:tc>
        <w:tc>
          <w:tcPr>
            <w:tcW w:w="1040" w:type="dxa"/>
            <w:vAlign w:val="bottom"/>
            <w:shd w:val="clear" w:color="auto" w:fill="D8D8D8"/>
          </w:tcPr>
          <w:p>
            <w:pPr>
              <w:jc w:val="right"/>
              <w:ind w:right="31"/>
              <w:spacing w:after="0"/>
              <w:rPr>
                <w:sz w:val="20"/>
                <w:szCs w:val="20"/>
                <w:color w:val="auto"/>
              </w:rPr>
            </w:pPr>
            <w:r>
              <w:rPr>
                <w:rFonts w:ascii="Arial" w:cs="Arial" w:eastAsia="Arial" w:hAnsi="Arial"/>
                <w:sz w:val="18"/>
                <w:szCs w:val="18"/>
                <w:color w:val="auto"/>
              </w:rPr>
              <w:t>18,827.2</w:t>
            </w:r>
          </w:p>
        </w:tc>
        <w:tc>
          <w:tcPr>
            <w:tcW w:w="300" w:type="dxa"/>
            <w:vAlign w:val="bottom"/>
            <w:shd w:val="clear" w:color="auto" w:fill="D8D8D8"/>
          </w:tcPr>
          <w:p>
            <w:pPr>
              <w:spacing w:after="0"/>
              <w:rPr>
                <w:sz w:val="23"/>
                <w:szCs w:val="23"/>
                <w:color w:val="auto"/>
              </w:rPr>
            </w:pPr>
          </w:p>
        </w:tc>
        <w:tc>
          <w:tcPr>
            <w:tcW w:w="1160" w:type="dxa"/>
            <w:vAlign w:val="bottom"/>
            <w:shd w:val="clear" w:color="auto" w:fill="D8D8D8"/>
          </w:tcPr>
          <w:p>
            <w:pPr>
              <w:jc w:val="right"/>
              <w:ind w:right="12"/>
              <w:spacing w:after="0"/>
              <w:rPr>
                <w:sz w:val="20"/>
                <w:szCs w:val="20"/>
                <w:color w:val="auto"/>
              </w:rPr>
            </w:pPr>
            <w:r>
              <w:rPr>
                <w:rFonts w:ascii="Arial" w:cs="Arial" w:eastAsia="Arial" w:hAnsi="Arial"/>
                <w:sz w:val="18"/>
                <w:szCs w:val="18"/>
                <w:color w:val="auto"/>
              </w:rPr>
              <w:t>22,405.6</w:t>
            </w:r>
          </w:p>
        </w:tc>
        <w:tc>
          <w:tcPr>
            <w:tcW w:w="1760" w:type="dxa"/>
            <w:vAlign w:val="bottom"/>
            <w:shd w:val="clear" w:color="auto" w:fill="D8D8D8"/>
          </w:tcPr>
          <w:p>
            <w:pPr>
              <w:jc w:val="right"/>
              <w:ind w:right="293"/>
              <w:spacing w:after="0"/>
              <w:rPr>
                <w:sz w:val="20"/>
                <w:szCs w:val="20"/>
                <w:color w:val="auto"/>
              </w:rPr>
            </w:pPr>
            <w:r>
              <w:rPr>
                <w:rFonts w:ascii="Arial" w:cs="Arial" w:eastAsia="Arial" w:hAnsi="Arial"/>
                <w:sz w:val="18"/>
                <w:szCs w:val="18"/>
                <w:color w:val="auto"/>
              </w:rPr>
              <w:t>(16)</w:t>
            </w:r>
          </w:p>
        </w:tc>
      </w:tr>
      <w:tr>
        <w:trPr>
          <w:trHeight w:val="270"/>
        </w:trPr>
        <w:tc>
          <w:tcPr>
            <w:tcW w:w="3920" w:type="dxa"/>
            <w:vAlign w:val="bottom"/>
            <w:tcBorders>
              <w:bottom w:val="single" w:sz="8" w:color="D8D8D8"/>
            </w:tcBorders>
          </w:tcPr>
          <w:p>
            <w:pPr>
              <w:ind w:left="40"/>
              <w:spacing w:after="0"/>
              <w:rPr>
                <w:sz w:val="20"/>
                <w:szCs w:val="20"/>
                <w:color w:val="auto"/>
              </w:rPr>
            </w:pPr>
            <w:r>
              <w:rPr>
                <w:rFonts w:ascii="Arial" w:cs="Arial" w:eastAsia="Arial" w:hAnsi="Arial"/>
                <w:sz w:val="18"/>
                <w:szCs w:val="18"/>
                <w:color w:val="auto"/>
              </w:rPr>
              <w:t>Collaboration and other revenue</w:t>
            </w:r>
            <w:r>
              <w:rPr>
                <w:rFonts w:ascii="Arial" w:cs="Arial" w:eastAsia="Arial" w:hAnsi="Arial"/>
                <w:sz w:val="21"/>
                <w:szCs w:val="21"/>
                <w:color w:val="auto"/>
                <w:vertAlign w:val="superscript"/>
              </w:rPr>
              <w:t>(2)</w:t>
            </w:r>
          </w:p>
        </w:tc>
        <w:tc>
          <w:tcPr>
            <w:tcW w:w="3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468.6</w:t>
            </w:r>
          </w:p>
        </w:tc>
        <w:tc>
          <w:tcPr>
            <w:tcW w:w="28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319.8</w:t>
            </w:r>
          </w:p>
        </w:tc>
        <w:tc>
          <w:tcPr>
            <w:tcW w:w="36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788.4</w:t>
            </w:r>
          </w:p>
        </w:tc>
        <w:tc>
          <w:tcPr>
            <w:tcW w:w="30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707.5</w:t>
            </w:r>
          </w:p>
        </w:tc>
        <w:tc>
          <w:tcPr>
            <w:tcW w:w="1760" w:type="dxa"/>
            <w:vAlign w:val="bottom"/>
            <w:tcBorders>
              <w:bottom w:val="single" w:sz="8" w:color="D8D8D8"/>
            </w:tcBorders>
          </w:tcPr>
          <w:p>
            <w:pPr>
              <w:jc w:val="right"/>
              <w:ind w:right="353"/>
              <w:spacing w:after="0"/>
              <w:rPr>
                <w:sz w:val="20"/>
                <w:szCs w:val="20"/>
                <w:color w:val="auto"/>
              </w:rPr>
            </w:pPr>
            <w:r>
              <w:rPr>
                <w:rFonts w:ascii="Arial" w:cs="Arial" w:eastAsia="Arial" w:hAnsi="Arial"/>
                <w:sz w:val="18"/>
                <w:szCs w:val="18"/>
                <w:color w:val="auto"/>
              </w:rPr>
              <w:t>11</w:t>
            </w:r>
          </w:p>
        </w:tc>
      </w:tr>
      <w:tr>
        <w:trPr>
          <w:trHeight w:val="271"/>
        </w:trPr>
        <w:tc>
          <w:tcPr>
            <w:tcW w:w="3920" w:type="dxa"/>
            <w:vAlign w:val="bottom"/>
            <w:tcBorders>
              <w:bottom w:val="single" w:sz="8" w:color="D8D8D8"/>
            </w:tcBorders>
            <w:shd w:val="clear" w:color="auto" w:fill="D8D8D8"/>
          </w:tcPr>
          <w:p>
            <w:pPr>
              <w:ind w:left="280"/>
              <w:spacing w:after="0"/>
              <w:rPr>
                <w:sz w:val="20"/>
                <w:szCs w:val="20"/>
                <w:color w:val="auto"/>
              </w:rPr>
            </w:pPr>
            <w:r>
              <w:rPr>
                <w:rFonts w:ascii="Arial" w:cs="Arial" w:eastAsia="Arial" w:hAnsi="Arial"/>
                <w:sz w:val="18"/>
                <w:szCs w:val="18"/>
                <w:color w:val="auto"/>
              </w:rPr>
              <w:t>Revenue</w:t>
            </w:r>
          </w:p>
        </w:tc>
        <w:tc>
          <w:tcPr>
            <w:tcW w:w="300" w:type="dxa"/>
            <w:vAlign w:val="bottom"/>
            <w:tcBorders>
              <w:bottom w:val="single" w:sz="8" w:color="auto"/>
            </w:tcBorders>
            <w:shd w:val="clear" w:color="auto" w:fill="D8D8D8"/>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D8D8D8"/>
          </w:tcPr>
          <w:p>
            <w:pPr>
              <w:jc w:val="right"/>
              <w:ind w:right="31"/>
              <w:spacing w:after="0"/>
              <w:rPr>
                <w:sz w:val="20"/>
                <w:szCs w:val="20"/>
                <w:color w:val="auto"/>
              </w:rPr>
            </w:pPr>
            <w:r>
              <w:rPr>
                <w:rFonts w:ascii="Arial" w:cs="Arial" w:eastAsia="Arial" w:hAnsi="Arial"/>
                <w:sz w:val="18"/>
                <w:szCs w:val="18"/>
                <w:color w:val="auto"/>
              </w:rPr>
              <w:t>9,134.1</w:t>
            </w:r>
          </w:p>
        </w:tc>
        <w:tc>
          <w:tcPr>
            <w:tcW w:w="280" w:type="dxa"/>
            <w:vAlign w:val="bottom"/>
            <w:tcBorders>
              <w:bottom w:val="single" w:sz="8" w:color="auto"/>
            </w:tcBorders>
            <w:shd w:val="clear" w:color="auto" w:fill="D8D8D8"/>
          </w:tcPr>
          <w:p>
            <w:pPr>
              <w:ind w:left="1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D8D8D8"/>
          </w:tcPr>
          <w:p>
            <w:pPr>
              <w:jc w:val="right"/>
              <w:ind w:right="92"/>
              <w:spacing w:after="0"/>
              <w:rPr>
                <w:sz w:val="20"/>
                <w:szCs w:val="20"/>
                <w:color w:val="auto"/>
              </w:rPr>
            </w:pPr>
            <w:r>
              <w:rPr>
                <w:rFonts w:ascii="Arial" w:cs="Arial" w:eastAsia="Arial" w:hAnsi="Arial"/>
                <w:sz w:val="18"/>
                <w:szCs w:val="18"/>
                <w:color w:val="auto"/>
              </w:rPr>
              <w:t>10,481.5</w:t>
            </w:r>
          </w:p>
        </w:tc>
        <w:tc>
          <w:tcPr>
            <w:tcW w:w="360" w:type="dxa"/>
            <w:vAlign w:val="bottom"/>
            <w:tcBorders>
              <w:bottom w:val="single" w:sz="8" w:color="auto"/>
            </w:tcBorders>
            <w:shd w:val="clear" w:color="auto" w:fill="D8D8D8"/>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D8D8D8"/>
          </w:tcPr>
          <w:p>
            <w:pPr>
              <w:jc w:val="right"/>
              <w:ind w:right="31"/>
              <w:spacing w:after="0"/>
              <w:rPr>
                <w:sz w:val="20"/>
                <w:szCs w:val="20"/>
                <w:color w:val="auto"/>
              </w:rPr>
            </w:pPr>
            <w:r>
              <w:rPr>
                <w:rFonts w:ascii="Arial" w:cs="Arial" w:eastAsia="Arial" w:hAnsi="Arial"/>
                <w:sz w:val="18"/>
                <w:szCs w:val="18"/>
                <w:color w:val="auto"/>
              </w:rPr>
              <w:t>19,615.6</w:t>
            </w:r>
          </w:p>
        </w:tc>
        <w:tc>
          <w:tcPr>
            <w:tcW w:w="300" w:type="dxa"/>
            <w:vAlign w:val="bottom"/>
            <w:tcBorders>
              <w:bottom w:val="single" w:sz="8" w:color="auto"/>
            </w:tcBorders>
            <w:shd w:val="clear" w:color="auto" w:fill="D8D8D8"/>
          </w:tcPr>
          <w:p>
            <w:pPr>
              <w:ind w:left="1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D8D8D8"/>
          </w:tcPr>
          <w:p>
            <w:pPr>
              <w:jc w:val="right"/>
              <w:ind w:right="12"/>
              <w:spacing w:after="0"/>
              <w:rPr>
                <w:sz w:val="20"/>
                <w:szCs w:val="20"/>
                <w:color w:val="auto"/>
              </w:rPr>
            </w:pPr>
            <w:r>
              <w:rPr>
                <w:rFonts w:ascii="Arial" w:cs="Arial" w:eastAsia="Arial" w:hAnsi="Arial"/>
                <w:sz w:val="18"/>
                <w:szCs w:val="18"/>
                <w:color w:val="auto"/>
              </w:rPr>
              <w:t>23,113.1</w:t>
            </w:r>
          </w:p>
        </w:tc>
        <w:tc>
          <w:tcPr>
            <w:tcW w:w="1760" w:type="dxa"/>
            <w:vAlign w:val="bottom"/>
            <w:tcBorders>
              <w:bottom w:val="single" w:sz="8" w:color="auto"/>
            </w:tcBorders>
            <w:shd w:val="clear" w:color="auto" w:fill="D8D8D8"/>
          </w:tcPr>
          <w:p>
            <w:pPr>
              <w:jc w:val="right"/>
              <w:ind w:right="293"/>
              <w:spacing w:after="0"/>
              <w:rPr>
                <w:sz w:val="20"/>
                <w:szCs w:val="20"/>
                <w:color w:val="auto"/>
              </w:rPr>
            </w:pPr>
            <w:r>
              <w:rPr>
                <w:rFonts w:ascii="Arial" w:cs="Arial" w:eastAsia="Arial" w:hAnsi="Arial"/>
                <w:sz w:val="18"/>
                <w:szCs w:val="18"/>
                <w:color w:val="auto"/>
              </w:rPr>
              <w:t>(15)</w:t>
            </w:r>
          </w:p>
        </w:tc>
      </w:tr>
    </w:tbl>
    <w:p>
      <w:pPr>
        <w:spacing w:after="0" w:line="95" w:lineRule="exact"/>
        <w:rPr>
          <w:sz w:val="20"/>
          <w:szCs w:val="20"/>
          <w:color w:val="auto"/>
        </w:rPr>
      </w:pPr>
    </w:p>
    <w:p>
      <w:pPr>
        <w:ind w:left="140" w:hanging="132"/>
        <w:spacing w:after="0"/>
        <w:tabs>
          <w:tab w:leader="none" w:pos="140" w:val="left"/>
        </w:tabs>
        <w:numPr>
          <w:ilvl w:val="0"/>
          <w:numId w:val="49"/>
        </w:numPr>
        <w:rPr>
          <w:rFonts w:ascii="Arial" w:cs="Arial" w:eastAsia="Arial" w:hAnsi="Arial"/>
          <w:sz w:val="16"/>
          <w:szCs w:val="16"/>
          <w:color w:val="auto"/>
          <w:vertAlign w:val="superscript"/>
        </w:rPr>
      </w:pPr>
      <w:r>
        <w:rPr>
          <w:rFonts w:ascii="Arial" w:cs="Arial" w:eastAsia="Arial" w:hAnsi="Arial"/>
          <w:sz w:val="13"/>
          <w:szCs w:val="13"/>
          <w:color w:val="auto"/>
        </w:rPr>
        <w:t>U.S. revenue includes revenue in Puerto Rico.</w:t>
      </w:r>
    </w:p>
    <w:p>
      <w:pPr>
        <w:spacing w:after="0" w:line="86" w:lineRule="exact"/>
        <w:rPr>
          <w:rFonts w:ascii="Arial" w:cs="Arial" w:eastAsia="Arial" w:hAnsi="Arial"/>
          <w:sz w:val="16"/>
          <w:szCs w:val="16"/>
          <w:color w:val="auto"/>
          <w:vertAlign w:val="superscript"/>
        </w:rPr>
      </w:pPr>
    </w:p>
    <w:p>
      <w:pPr>
        <w:ind w:left="140" w:hanging="132"/>
        <w:spacing w:after="0"/>
        <w:tabs>
          <w:tab w:leader="none" w:pos="140" w:val="left"/>
        </w:tabs>
        <w:numPr>
          <w:ilvl w:val="0"/>
          <w:numId w:val="49"/>
        </w:numPr>
        <w:rPr>
          <w:rFonts w:ascii="Arial" w:cs="Arial" w:eastAsia="Arial" w:hAnsi="Arial"/>
          <w:sz w:val="16"/>
          <w:szCs w:val="16"/>
          <w:color w:val="auto"/>
          <w:vertAlign w:val="superscript"/>
        </w:rPr>
      </w:pPr>
      <w:r>
        <w:rPr>
          <w:rFonts w:ascii="Arial" w:cs="Arial" w:eastAsia="Arial" w:hAnsi="Arial"/>
          <w:sz w:val="13"/>
          <w:szCs w:val="13"/>
          <w:color w:val="auto"/>
        </w:rPr>
        <w:t>Collaboration and other revenue consists primarily of royalties for Erbitux and revenue associated with Trajenta.</w:t>
      </w:r>
    </w:p>
    <w:p>
      <w:pPr>
        <w:spacing w:after="0" w:line="76" w:lineRule="exact"/>
        <w:rPr>
          <w:sz w:val="20"/>
          <w:szCs w:val="20"/>
          <w:color w:val="auto"/>
        </w:rPr>
      </w:pPr>
    </w:p>
    <w:p>
      <w:pPr>
        <w:ind w:right="340"/>
        <w:spacing w:after="0" w:line="292" w:lineRule="auto"/>
        <w:rPr>
          <w:sz w:val="20"/>
          <w:szCs w:val="20"/>
          <w:color w:val="auto"/>
        </w:rPr>
      </w:pPr>
      <w:r>
        <w:rPr>
          <w:rFonts w:ascii="Arial" w:cs="Arial" w:eastAsia="Arial" w:hAnsi="Arial"/>
          <w:sz w:val="18"/>
          <w:szCs w:val="18"/>
          <w:color w:val="auto"/>
        </w:rPr>
        <w:t>Revenues of Alimta increased 2 percent in the U.S., driven by increased volume. Revenues outside the U.S. increased 5 percent, driven by increased volume, partially offset by the unfavorable impact of foreign exchange rates and lower realized prices.</w:t>
      </w:r>
    </w:p>
    <w:p>
      <w:pPr>
        <w:spacing w:after="0" w:line="3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Revenues of Humalog increased 7 percent in the U.S., driven by increased demand, partially offset by lower realized prices as a result of payer contracts and greater Medicaid and Medicare utilization, as well as wholesaler buying patterns. Revenues outside the U.S. increased 6 percent, driven by increased volume and, to a lesser extent, higher realized prices, partially offset by the unfavorable impact of foreign exchange rates.</w:t>
      </w:r>
    </w:p>
    <w:p>
      <w:pPr>
        <w:spacing w:after="0" w:line="62" w:lineRule="exact"/>
        <w:rPr>
          <w:sz w:val="20"/>
          <w:szCs w:val="20"/>
          <w:color w:val="auto"/>
        </w:rPr>
      </w:pPr>
    </w:p>
    <w:p>
      <w:pPr>
        <w:ind w:right="140"/>
        <w:spacing w:after="0" w:line="271" w:lineRule="auto"/>
        <w:rPr>
          <w:sz w:val="20"/>
          <w:szCs w:val="20"/>
          <w:color w:val="auto"/>
        </w:rPr>
      </w:pPr>
      <w:r>
        <w:rPr>
          <w:rFonts w:ascii="Arial" w:cs="Arial" w:eastAsia="Arial" w:hAnsi="Arial"/>
          <w:sz w:val="18"/>
          <w:szCs w:val="18"/>
          <w:color w:val="auto"/>
        </w:rPr>
        <w:t>Revenues of Cialis increased 10 percent in the U.S., driven by higher realized prices, partially offset by wholesaler buying patterns. Revenues outside the U.S. increased 3 percent, driven by higher realized prices and increased volume, partially offset by the unfavorable impact of foreign exchange rates.</w:t>
      </w:r>
    </w:p>
    <w:p>
      <w:pPr>
        <w:spacing w:after="0" w:line="55" w:lineRule="exact"/>
        <w:rPr>
          <w:sz w:val="20"/>
          <w:szCs w:val="20"/>
          <w:color w:val="auto"/>
        </w:rPr>
      </w:pPr>
    </w:p>
    <w:p>
      <w:pPr>
        <w:ind w:right="300"/>
        <w:spacing w:after="0" w:line="292" w:lineRule="auto"/>
        <w:rPr>
          <w:sz w:val="20"/>
          <w:szCs w:val="20"/>
          <w:color w:val="auto"/>
        </w:rPr>
      </w:pPr>
      <w:r>
        <w:rPr>
          <w:rFonts w:ascii="Arial" w:cs="Arial" w:eastAsia="Arial" w:hAnsi="Arial"/>
          <w:sz w:val="18"/>
          <w:szCs w:val="18"/>
          <w:color w:val="auto"/>
        </w:rPr>
        <w:t>Revenues of Cymbalta decreased 89 percent in the U.S. due to the loss of U.S. patent exclusivity in December 2013. Revenues outside the U.S. increased 6 percent, driven by increased volume, partially offset by the unfavorable impact of foreign exchange rates.</w:t>
      </w:r>
    </w:p>
    <w:p>
      <w:pPr>
        <w:spacing w:after="0" w:line="37" w:lineRule="exact"/>
        <w:rPr>
          <w:sz w:val="20"/>
          <w:szCs w:val="20"/>
          <w:color w:val="auto"/>
        </w:rPr>
      </w:pPr>
    </w:p>
    <w:p>
      <w:pPr>
        <w:jc w:val="both"/>
        <w:ind w:right="380"/>
        <w:spacing w:after="0" w:line="271" w:lineRule="auto"/>
        <w:rPr>
          <w:sz w:val="20"/>
          <w:szCs w:val="20"/>
          <w:color w:val="auto"/>
        </w:rPr>
      </w:pPr>
      <w:r>
        <w:rPr>
          <w:rFonts w:ascii="Arial" w:cs="Arial" w:eastAsia="Arial" w:hAnsi="Arial"/>
          <w:sz w:val="18"/>
          <w:szCs w:val="18"/>
          <w:color w:val="auto"/>
        </w:rPr>
        <w:t>Revenues of Humulin increased 5 percent in the U.S., primarily driven by increased demand, partially offset by wholesaler buying patterns. Revenues outside the U.S. increased 8 percent, driven by increased volume, partially offset by the unfavorable impact of foreign exchange rates.</w:t>
      </w:r>
    </w:p>
    <w:p>
      <w:pPr>
        <w:spacing w:after="0" w:line="55" w:lineRule="exact"/>
        <w:rPr>
          <w:sz w:val="20"/>
          <w:szCs w:val="20"/>
          <w:color w:val="auto"/>
        </w:rPr>
      </w:pPr>
    </w:p>
    <w:p>
      <w:pPr>
        <w:ind w:right="200"/>
        <w:spacing w:after="0" w:line="271" w:lineRule="auto"/>
        <w:rPr>
          <w:sz w:val="20"/>
          <w:szCs w:val="20"/>
          <w:color w:val="auto"/>
        </w:rPr>
      </w:pPr>
      <w:r>
        <w:rPr>
          <w:rFonts w:ascii="Arial" w:cs="Arial" w:eastAsia="Arial" w:hAnsi="Arial"/>
          <w:sz w:val="18"/>
          <w:szCs w:val="18"/>
          <w:color w:val="auto"/>
        </w:rPr>
        <w:t>Revenues of Forteo increased 5 percent in the U.S., driven by higher realized prices, partially offset by decreased volume. Revenues outside the U.S. increased 7 percent, driven by increased volume, primarily in Japan, partially offset by the unfavorable impact of foreign exchange rates, primarily the Japanese yen.</w:t>
      </w:r>
    </w:p>
    <w:p>
      <w:pPr>
        <w:spacing w:after="0" w:line="55" w:lineRule="exact"/>
        <w:rPr>
          <w:sz w:val="20"/>
          <w:szCs w:val="20"/>
          <w:color w:val="auto"/>
        </w:rPr>
      </w:pPr>
    </w:p>
    <w:p>
      <w:pPr>
        <w:ind w:right="440"/>
        <w:spacing w:after="0" w:line="292" w:lineRule="auto"/>
        <w:rPr>
          <w:sz w:val="20"/>
          <w:szCs w:val="20"/>
          <w:color w:val="auto"/>
        </w:rPr>
      </w:pPr>
      <w:r>
        <w:rPr>
          <w:rFonts w:ascii="Arial" w:cs="Arial" w:eastAsia="Arial" w:hAnsi="Arial"/>
          <w:sz w:val="18"/>
          <w:szCs w:val="18"/>
          <w:color w:val="auto"/>
        </w:rPr>
        <w:t>Revenues of Zyprexa decreased 3 percent in the U.S. Revenues outside the U.S. decreased 14 percent, driven by decreased volume, the unfavorable impact of foreign exchange rates, primarily the Japanese yen, and lower realized prices.</w:t>
      </w:r>
    </w:p>
    <w:p>
      <w:pPr>
        <w:spacing w:after="0" w:line="37"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Revenues of Strattera increased 1 percent in the U.S., driven by higher realized prices, partially offset by decreased volume. Revenues outside the U.S. increased 9 percent, driven by increased volume, primarily in Japan, partially offset by the unfavorable impact of foreign exchange rates, primarily the Japanese yen.</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44</w:t>
      </w:r>
    </w:p>
    <w:p>
      <w:pPr>
        <w:sectPr>
          <w:pgSz w:w="11900" w:h="16838" w:orient="portrait"/>
          <w:cols w:equalWidth="0" w:num="1">
            <w:col w:w="11420"/>
          </w:cols>
          <w:pgMar w:left="240" w:top="684" w:right="239" w:bottom="1440" w:gutter="0" w:footer="0" w:header="0"/>
        </w:sectPr>
      </w:pPr>
    </w:p>
    <w:bookmarkStart w:id="44" w:name="page45"/>
    <w:bookmarkEnd w:id="44"/>
    <w:p>
      <w:pPr>
        <w:ind w:right="180"/>
        <w:spacing w:after="0" w:line="292" w:lineRule="auto"/>
        <w:rPr>
          <w:sz w:val="20"/>
          <w:szCs w:val="20"/>
          <w:color w:val="auto"/>
        </w:rPr>
      </w:pPr>
      <w:r>
        <w:rPr>
          <w:rFonts w:ascii="Arial" w:cs="Arial" w:eastAsia="Arial" w:hAnsi="Arial"/>
          <w:sz w:val="18"/>
          <w:szCs w:val="18"/>
          <w:color w:val="auto"/>
        </w:rPr>
        <w:t>Revenues of Effient increased 5 percent in the U.S., driven by higher realized prices, partially offset by wholesaler buying patterns. Revenues outside the U.S. decreased 3 percent, driven by lower volume.</w:t>
      </w:r>
    </w:p>
    <w:p>
      <w:pPr>
        <w:spacing w:after="0" w:line="37"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Revenues of Evista decreased 73 percent in the U.S., due to the loss of U.S. patent exclusivity in March 2014. Revenues outside the U.S. decreased 24 percent, driven primarily by the expiration of a supply agreement in 2013, and to a lesser extent the unfavorable impact of foreign exchange rates.</w:t>
      </w:r>
    </w:p>
    <w:p>
      <w:pPr>
        <w:spacing w:after="0" w:line="55"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Animal health product revenues in the U.S. increased 4 percent, driven by increased volume in food animal products and higher realized prices, partially offset by decreased volume in companion animal products due to competitive pressure. Revenues outside the U.S. increased 16 percent, driven by increased volume in food animal products, due in part to the acquisition of Lohmann SE and, to a lesser extent, higher realized prices, partially offset by the unfavorable impact of foreign exchange rates.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Margin, Costs, and Expenses</w:t>
      </w:r>
    </w:p>
    <w:p>
      <w:pPr>
        <w:spacing w:after="0" w:line="119" w:lineRule="exact"/>
        <w:rPr>
          <w:sz w:val="20"/>
          <w:szCs w:val="20"/>
          <w:color w:val="auto"/>
        </w:rPr>
      </w:pPr>
    </w:p>
    <w:p>
      <w:pPr>
        <w:ind w:right="700"/>
        <w:spacing w:after="0" w:line="292" w:lineRule="auto"/>
        <w:rPr>
          <w:sz w:val="20"/>
          <w:szCs w:val="20"/>
          <w:color w:val="auto"/>
        </w:rPr>
      </w:pPr>
      <w:r>
        <w:rPr>
          <w:rFonts w:ascii="Arial" w:cs="Arial" w:eastAsia="Arial" w:hAnsi="Arial"/>
          <w:sz w:val="18"/>
          <w:szCs w:val="18"/>
          <w:color w:val="auto"/>
        </w:rPr>
        <w:t>Gross margin as a percent of total revenue was 74.9 percent in 2014, a decrease of 3.9 percentage points compared with 2013, driven primarily by lower sales of Cymbalta and Evista following U.S. patent expirations.</w:t>
      </w:r>
    </w:p>
    <w:p>
      <w:pPr>
        <w:spacing w:after="0" w:line="37" w:lineRule="exact"/>
        <w:rPr>
          <w:sz w:val="20"/>
          <w:szCs w:val="20"/>
          <w:color w:val="auto"/>
        </w:rPr>
      </w:pPr>
    </w:p>
    <w:p>
      <w:pPr>
        <w:ind w:right="200"/>
        <w:spacing w:after="0" w:line="271" w:lineRule="auto"/>
        <w:rPr>
          <w:sz w:val="20"/>
          <w:szCs w:val="20"/>
          <w:color w:val="auto"/>
        </w:rPr>
      </w:pPr>
      <w:r>
        <w:rPr>
          <w:rFonts w:ascii="Arial" w:cs="Arial" w:eastAsia="Arial" w:hAnsi="Arial"/>
          <w:sz w:val="18"/>
          <w:szCs w:val="18"/>
          <w:color w:val="auto"/>
        </w:rPr>
        <w:t>Research and development expenses decreased 14 percent to $4.73 billion in 2014, driven primarily by lower late-stage clinical development costs. Research and development expenses in 2013 included $97.2 million of milestone payments made to Boehringer Ingelheim following regulatory submissions for empagliflozin.</w:t>
      </w:r>
    </w:p>
    <w:p>
      <w:pPr>
        <w:spacing w:after="0" w:line="5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Marketing, selling, and administrative expenses decreased 7 percent to $6.62 billion in 2014, driven primarily by the reduction in U.S. sales and marketing activities for Cymbalta and Evista, as well as ongoing cost containment efforts, partially offset by an additional $119.0 million charge in 2014 associated with the U.S. Drug Fee, an annual non-tax deductible fee enacted by the Patient Protection and Affordable Care Act that is imposed on us and others engaged in the business of manufacturing or importing branded prescription drugs. The final regulations issued by the IRS in 2014, accelerated the expense recognition criteria for the fee obligation by one year, from the year in which the fee is paid to the year in which the sales used to calculate the fee occur. This change resulted in the need to expense two years of the U.S. Drug Fee in 2014 to account for the fee imposed and paid in 2014 and the fee that would be imposed and paid in 2015.</w:t>
      </w:r>
    </w:p>
    <w:p>
      <w:pPr>
        <w:spacing w:after="0" w:line="69" w:lineRule="exact"/>
        <w:rPr>
          <w:sz w:val="20"/>
          <w:szCs w:val="20"/>
          <w:color w:val="auto"/>
        </w:rPr>
      </w:pPr>
    </w:p>
    <w:p>
      <w:pPr>
        <w:ind w:right="180"/>
        <w:spacing w:after="0" w:line="260" w:lineRule="auto"/>
        <w:rPr>
          <w:sz w:val="20"/>
          <w:szCs w:val="20"/>
          <w:color w:val="auto"/>
        </w:rPr>
      </w:pPr>
      <w:r>
        <w:rPr>
          <w:rFonts w:ascii="Arial" w:cs="Arial" w:eastAsia="Arial" w:hAnsi="Arial"/>
          <w:sz w:val="18"/>
          <w:szCs w:val="18"/>
          <w:color w:val="auto"/>
        </w:rPr>
        <w:t>We recognized acquired IPR&amp;D charges of $ 200.2 million in 2014 resulting from our collaboration agreements with Adocia, AstraZeneca UK Limited, and Immunocore Limited in addition to charges associated with the transfer of commercial rights to us, from Boehringer Ingelheim, of the new insulin glargine product in certain countries where it was not yet approved. There were $57.1 million of acquired IPR&amp;D charges in 2013 related to the acquisition of rights for the CGRP antibody. See Notes 3 and 4 to the consolidated financial statements for additional information.</w:t>
      </w:r>
    </w:p>
    <w:p>
      <w:pPr>
        <w:spacing w:after="0" w:line="67"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color w:val="auto"/>
        </w:rPr>
        <w:t>We recognized asset impairment, restructuring, and other special charges of $468.7 million in 2014. These charges included $225.5 million of severance costs and $243.2 million of asset impairment and other special charges consisting primarily of a $180.8 million asset impairment charge related to our decision to close and sell a manufacturing plant located in Puerto Rico. In 2013, we recognized asset impairment, restructuring, and other special charges of $120.6 million. These charges included $30.0 million of asset impairments primarily associated with the closure of a packaging and distribution facility in Germany and $90.6 million of severance costs. See Note 5 to the consolidated financial statements for additional information.</w:t>
      </w:r>
    </w:p>
    <w:p>
      <w:pPr>
        <w:spacing w:after="0" w:line="69" w:lineRule="exact"/>
        <w:rPr>
          <w:sz w:val="20"/>
          <w:szCs w:val="20"/>
          <w:color w:val="auto"/>
        </w:rPr>
      </w:pPr>
    </w:p>
    <w:p>
      <w:pPr>
        <w:ind w:right="220"/>
        <w:spacing w:after="0" w:line="260" w:lineRule="auto"/>
        <w:rPr>
          <w:sz w:val="20"/>
          <w:szCs w:val="20"/>
          <w:color w:val="auto"/>
        </w:rPr>
      </w:pPr>
      <w:r>
        <w:rPr>
          <w:rFonts w:ascii="Arial" w:cs="Arial" w:eastAsia="Arial" w:hAnsi="Arial"/>
          <w:sz w:val="18"/>
          <w:szCs w:val="18"/>
          <w:color w:val="auto"/>
        </w:rPr>
        <w:t>Other—net, (income) expense was income of $340.5 million in 2014, compared with income of $518.9 million in 2013. Other income in 2014 included net gains of $216.4 million on investments and $92.0 million of income related to the transfer of commercial rights to linagliptin and empagliflozin in certain countries from us to Boehringer Ingelheim. Other income in 2013 was primarily comprised of $495.4 million related to the termination of the exenatide collaboration with Amylin. See Notes 4 and 17 to the consolidated financial statements for additional information.</w:t>
      </w:r>
    </w:p>
    <w:p>
      <w:pPr>
        <w:spacing w:after="0" w:line="67" w:lineRule="exact"/>
        <w:rPr>
          <w:sz w:val="20"/>
          <w:szCs w:val="20"/>
          <w:color w:val="auto"/>
        </w:rPr>
      </w:pPr>
    </w:p>
    <w:p>
      <w:pPr>
        <w:ind w:right="160"/>
        <w:spacing w:after="0" w:line="292" w:lineRule="auto"/>
        <w:rPr>
          <w:sz w:val="20"/>
          <w:szCs w:val="20"/>
          <w:color w:val="auto"/>
        </w:rPr>
      </w:pPr>
      <w:r>
        <w:rPr>
          <w:rFonts w:ascii="Arial" w:cs="Arial" w:eastAsia="Arial" w:hAnsi="Arial"/>
          <w:sz w:val="18"/>
          <w:szCs w:val="18"/>
          <w:color w:val="auto"/>
        </w:rPr>
        <w:t>Our effective tax rate was 20.3 percent in 2014, compared with 20.5 percent in 2013. See Note 13 to the consolidated financial statements for additional information.</w:t>
      </w:r>
    </w:p>
    <w:p>
      <w:pPr>
        <w:spacing w:after="0" w:line="38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45</w:t>
      </w:r>
    </w:p>
    <w:p>
      <w:pPr>
        <w:sectPr>
          <w:pgSz w:w="11900" w:h="16838" w:orient="portrait"/>
          <w:cols w:equalWidth="0" w:num="1">
            <w:col w:w="11420"/>
          </w:cols>
          <w:pgMar w:left="240" w:top="684"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CC0000"/>
        </w:rPr>
        <w:t>FINANCIAL CONDITION</w:t>
      </w:r>
    </w:p>
    <w:p>
      <w:pPr>
        <w:spacing w:after="0" w:line="173"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color w:val="auto"/>
        </w:rPr>
        <w:t>As of December 31, 2015, cash and cash equivalents was $3.67 billion, a decrease of $ 205.2 million, compared with $3.87 billion at December 31, 2014. Refer to the Consolidated Statements of Cash Flows for additional details on the significant sources and uses of cash for the years ended December 31, 2015 and December 31, 2014.</w:t>
      </w:r>
    </w:p>
    <w:p>
      <w:pPr>
        <w:spacing w:after="0" w:line="55" w:lineRule="exact"/>
        <w:rPr>
          <w:sz w:val="20"/>
          <w:szCs w:val="20"/>
          <w:color w:val="auto"/>
        </w:rPr>
      </w:pPr>
    </w:p>
    <w:p>
      <w:pPr>
        <w:ind w:right="760"/>
        <w:spacing w:after="0" w:line="292" w:lineRule="auto"/>
        <w:rPr>
          <w:sz w:val="20"/>
          <w:szCs w:val="20"/>
          <w:color w:val="auto"/>
        </w:rPr>
      </w:pPr>
      <w:r>
        <w:rPr>
          <w:rFonts w:ascii="Arial" w:cs="Arial" w:eastAsia="Arial" w:hAnsi="Arial"/>
          <w:sz w:val="18"/>
          <w:szCs w:val="18"/>
          <w:color w:val="auto"/>
        </w:rPr>
        <w:t>In addition to our cash and cash equivalents, we held total investments of $4.43 billion and $5.52 billion as of December 31, 2015 and December 31, 2014, respectively. See Note 7 to the consolidated financial statements for additional details.</w:t>
      </w:r>
    </w:p>
    <w:p>
      <w:pPr>
        <w:spacing w:after="0" w:line="3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As of December 31, 2015, total debt was $7.98 billion, a slight decrease of $43.0 million compared with $8.02 billion at December 31, 2014. This decrease is due primarily to $ 2.68 billion of net repayments of short-term commercial paper borrowings, the repayment of $1.78 billion of fixed-rate notes in connection with the purchase and redemption of certain U.S. dollar-denominated notes in June 2015, and, to a lesser extent, the decrease in fair value of our hedged debt. These decreases were largely offset by the issuance of $4.45 billion of fixed-rate notes during 2015. At December 31, 2015, we had a total of $1.30 billion of unused committed bank credit facilities, $1.20 billion of which is available to support our commercial paper program. See Note 10 to the consolidated financial statements for additional details. We believe that amounts accessible through existing commercial paper markets should be adequate to fund short-term borrowing needs.</w:t>
      </w:r>
    </w:p>
    <w:p>
      <w:pPr>
        <w:spacing w:after="0" w:line="69"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For the 130th consecutive year, we distributed dividends to our shareholders. Dividends of $2.00 per share and $1.96 per share were paid in 2015 and 2014, respectively. In the fourth quarter of 2015, effective for the dividend to be paid in the first quarter of 2016, the quarterly dividend was increased to $0.51 per share, resulting in an indicated annual rate for 2016 of $2.04 per share.</w:t>
      </w:r>
    </w:p>
    <w:p>
      <w:pPr>
        <w:spacing w:after="0" w:line="55" w:lineRule="exact"/>
        <w:rPr>
          <w:sz w:val="20"/>
          <w:szCs w:val="20"/>
          <w:color w:val="auto"/>
        </w:rPr>
      </w:pPr>
    </w:p>
    <w:p>
      <w:pPr>
        <w:ind w:right="1120"/>
        <w:spacing w:after="0" w:line="292" w:lineRule="auto"/>
        <w:rPr>
          <w:sz w:val="20"/>
          <w:szCs w:val="20"/>
          <w:color w:val="auto"/>
        </w:rPr>
      </w:pPr>
      <w:r>
        <w:rPr>
          <w:rFonts w:ascii="Arial" w:cs="Arial" w:eastAsia="Arial" w:hAnsi="Arial"/>
          <w:sz w:val="18"/>
          <w:szCs w:val="18"/>
          <w:color w:val="auto"/>
        </w:rPr>
        <w:t>Capital expenditures of $1.07 billion during 2015 were $96.4 million less than in 2014. We expect 2016 capital expenditures to be approximately $1.1 billion.</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color w:val="auto"/>
        </w:rPr>
        <w:t>In 2015, we repurchased $749.5 million of shares under the $5.00 billion share repurchase program previously announced in October 2013.</w:t>
      </w:r>
    </w:p>
    <w:p>
      <w:pPr>
        <w:spacing w:after="0" w:line="117" w:lineRule="exact"/>
        <w:rPr>
          <w:sz w:val="20"/>
          <w:szCs w:val="20"/>
          <w:color w:val="auto"/>
        </w:rPr>
      </w:pPr>
    </w:p>
    <w:p>
      <w:pPr>
        <w:ind w:right="80"/>
        <w:spacing w:after="0" w:line="292" w:lineRule="auto"/>
        <w:rPr>
          <w:sz w:val="20"/>
          <w:szCs w:val="20"/>
          <w:color w:val="auto"/>
        </w:rPr>
      </w:pPr>
      <w:r>
        <w:rPr>
          <w:rFonts w:ascii="Arial" w:cs="Arial" w:eastAsia="Arial" w:hAnsi="Arial"/>
          <w:sz w:val="18"/>
          <w:szCs w:val="18"/>
          <w:color w:val="auto"/>
        </w:rPr>
        <w:t>See "Results of Operations—Executive Overview—Other Matters" section for information regarding the actual or anticipated effect of losses of exclusivity for Cymbalta (U.S. and Europe), Evista (U.S.), Alimta (U.S., Europe, and Japan), and Zyprexa (Japan).</w:t>
      </w:r>
    </w:p>
    <w:p>
      <w:pPr>
        <w:spacing w:after="0" w:line="37"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At December 31, 2015, we had an aggregate of $7.12 billion of cash and investments at our foreign subsidiaries. A significant portion of this amount would be subject to tax payments if such cash and investments were repatriated to the U.S. We record U.S. deferred tax liabilities for certain unremitted earnings, but when foreign earnings are expected to be indefinitely reinvested outside the U.S., no accrual for U.S. income taxes is provided. We believe cash provided by operating activities in the U.S. and planned repatriations of foreign earnings for which tax has been provided should be sufficient to fund our domestic operating needs, dividends paid to shareholders, share repurchases, and capital expenditures. Various risks and uncertainties, including those discussed in "Forward-Looking Statements" and Item 1A, “Risk Factors,” may, however, affect our operating results and cash generated from operations.</w:t>
      </w:r>
    </w:p>
    <w:p>
      <w:pPr>
        <w:spacing w:after="0" w:line="69"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Both domestically and abroad, we continue to monitor the potential impacts of the economic environment; the creditworthiness of our wholesalers and other customers, including foreign government-backed agencies and suppliers; the uncertain impact of health care legislation; and various international government funding levels.</w:t>
      </w:r>
    </w:p>
    <w:p>
      <w:pPr>
        <w:spacing w:after="0" w:line="5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In the normal course of business, our operations are exposed to fluctuations in interest rates and currency values. These fluctuations can vary the costs of financing, investing, and operating. We address a portion of these risks through a controlled program of risk management that includes the use of derivative financial instruments. The objective of controlling these risks is to limit the impact on earnings of fluctuations in interest and currency exchange rates. All derivative activities are for purposes other than trading.</w:t>
      </w:r>
    </w:p>
    <w:p>
      <w:pPr>
        <w:spacing w:after="0" w:line="62" w:lineRule="exact"/>
        <w:rPr>
          <w:sz w:val="20"/>
          <w:szCs w:val="20"/>
          <w:color w:val="auto"/>
        </w:rPr>
      </w:pPr>
    </w:p>
    <w:p>
      <w:pPr>
        <w:ind w:right="140"/>
        <w:spacing w:after="0" w:line="258" w:lineRule="auto"/>
        <w:rPr>
          <w:sz w:val="20"/>
          <w:szCs w:val="20"/>
          <w:color w:val="auto"/>
        </w:rPr>
      </w:pPr>
      <w:r>
        <w:rPr>
          <w:rFonts w:ascii="Arial" w:cs="Arial" w:eastAsia="Arial" w:hAnsi="Arial"/>
          <w:sz w:val="18"/>
          <w:szCs w:val="18"/>
          <w:color w:val="auto"/>
        </w:rPr>
        <w:t>Our primary interest rate risk exposure results from changes in short-term U.S. dollar interest rates. In an effort to manage interest rate exposures, we strive to achieve an acceptable balance between fixed and floating rate debt positions and may enter into interest rate derivatives to help maintain that balance. Based on our overall interest rate exposure at December 31, 2015 and 2014, including derivatives and other interest rate risk-sensitive instruments, a hypothetical 10 percent change in interest rates applied to the fair value of the instruments as of December 31, 2015 and 2014, respectively, would not have a material impact on earnings, cash flows, or fair values of interest rate risk-sensitive instruments over a one-year period.</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46</w:t>
      </w:r>
    </w:p>
    <w:p>
      <w:pPr>
        <w:sectPr>
          <w:pgSz w:w="11900" w:h="16838" w:orient="portrait"/>
          <w:cols w:equalWidth="0" w:num="1">
            <w:col w:w="11400"/>
          </w:cols>
          <w:pgMar w:left="240" w:top="574" w:right="259" w:bottom="1440" w:gutter="0" w:footer="0" w:header="0"/>
        </w:sectPr>
      </w:pPr>
    </w:p>
    <w:bookmarkStart w:id="46" w:name="page47"/>
    <w:bookmarkEnd w:id="46"/>
    <w:p>
      <w:pPr>
        <w:ind w:right="20"/>
        <w:spacing w:after="0" w:line="254" w:lineRule="auto"/>
        <w:rPr>
          <w:sz w:val="20"/>
          <w:szCs w:val="20"/>
          <w:color w:val="auto"/>
        </w:rPr>
      </w:pPr>
      <w:r>
        <w:rPr>
          <w:rFonts w:ascii="Arial" w:cs="Arial" w:eastAsia="Arial" w:hAnsi="Arial"/>
          <w:sz w:val="18"/>
          <w:szCs w:val="18"/>
          <w:color w:val="auto"/>
        </w:rPr>
        <w:t>Our foreign currency risk exposure results from fluctuating currency exchange rates, primarily the U.S. dollar against the euro, Japanese yen, and British pound, and the British pound against the euro. We face foreign currency exchange exposures when we enter into transactions arising from subsidiary trade and loan payables and receivables denominated in foreign currencies. We also face currency exposure that arises from translating the results of our global operations to the U.S. dollar at exchange rates that have fluctuated from the beginning of the period. We may enter into foreign currency forward or option derivative contracts to reduce the effect of fluctuating currency exchange rates (principally the euro, the British pound, and the Japanese yen). Our corporate risk-management policy outlines the minimum and maximum hedge coverage of such exposures. Gains and losses on these derivative contracts offset, in part, the impact of currency fluctuations on the existing assets and liabilities. We periodically analyze the fair values of the outstanding foreign currency derivative contracts to determine their sensitivity to changes in foreign exchange rates. A hypothetical 10 percent change in exchange rates (primarily against the U.S. dollar) applied to the fair values of our outstanding foreign currency derivative contracts as of December 31, 2015 and 2014, would not have a material impact on earnings, cash flows, or financial position over a one-year period. This sensitivity analysis does not consider the impact that hypothetical changes in exchange rates would have on the underlying foreign currency denominated transactions.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 and Contractual Obligations</w:t>
      </w:r>
    </w:p>
    <w:p>
      <w:pPr>
        <w:spacing w:after="0" w:line="11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have no off-balance sheet arrangements that have a material current effect or that are reasonably likely to have a material future effect on our financial condition, changes in financial condition, revenues or expenses, results of operations, liquidity, capital expenditures, or capital resources. We acquire and collaborate on potential products still in development and enter into research and development arrangements with third parties that often require milestone and royalty payments to the third party contingent upon the occurrence of certain future events linked to the success of the asset in development. Milestone payments may be required contingent upon the successful achievement of an important point in the development life cycle of the pharmaceutical product (e.g., approval for marketing by the appropriate regulatory agency or upon the achievement of certain sales levels). If required by the arrangement, we may make royalty payments based upon a percentage of the sales of the pharmaceutical product in the event that regulatory approval for marketing is obtained. Because of the contingent nature of these payments, they are not included in the table of contractual obligations below.</w:t>
      </w:r>
    </w:p>
    <w:p>
      <w:pPr>
        <w:spacing w:after="0" w:line="7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Individually, these arrangements are not material in any one annual reporting period. However, if milestones for multiple products covered by these arrangements were reached in the same reporting period, the aggregate charge to expense could be material to the results of operations or cash flows in that period. See Note 4 to the consolidated financial statements for additional details. These arrangements often give us the discretion to unilaterally terminate development of the product, which would allow us to avoid making the contingent payments; however, we are unlikely to cease development if the compound successfully achieves milestone objectives. We also note that, from a business perspective, we view these payments as positive because they signify that the product is successfully moving through development and is now generating or is more likely to generate cash flows from sales of products.</w:t>
      </w:r>
    </w:p>
    <w:p>
      <w:pPr>
        <w:spacing w:after="0" w:line="20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47</w:t>
      </w:r>
    </w:p>
    <w:p>
      <w:pPr>
        <w:sectPr>
          <w:pgSz w:w="11900" w:h="16838" w:orient="portrait"/>
          <w:cols w:equalWidth="0" w:num="1">
            <w:col w:w="11420"/>
          </w:cols>
          <w:pgMar w:left="240" w:top="684"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color w:val="auto"/>
        </w:rPr>
        <w:t>Our current noncancelable contractual obligations that will require future cash payments are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6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gridSpan w:val="3"/>
          </w:tcPr>
          <w:p>
            <w:pPr>
              <w:jc w:val="center"/>
              <w:ind w:right="70"/>
              <w:spacing w:after="0"/>
              <w:rPr>
                <w:sz w:val="20"/>
                <w:szCs w:val="20"/>
                <w:color w:val="auto"/>
              </w:rPr>
            </w:pPr>
            <w:r>
              <w:rPr>
                <w:rFonts w:ascii="Arial" w:cs="Arial" w:eastAsia="Arial" w:hAnsi="Arial"/>
                <w:sz w:val="14"/>
                <w:szCs w:val="14"/>
                <w:b w:val="1"/>
                <w:bCs w:val="1"/>
                <w:color w:val="auto"/>
              </w:rPr>
              <w:t>Payments Due by Period</w:t>
            </w:r>
          </w:p>
        </w:tc>
        <w:tc>
          <w:tcPr>
            <w:tcW w:w="10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r>
      <w:tr>
        <w:trPr>
          <w:trHeight w:val="168"/>
        </w:trPr>
        <w:tc>
          <w:tcPr>
            <w:tcW w:w="4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ind w:right="94"/>
              <w:spacing w:after="0"/>
              <w:rPr>
                <w:sz w:val="20"/>
                <w:szCs w:val="20"/>
                <w:color w:val="auto"/>
              </w:rPr>
            </w:pPr>
            <w:r>
              <w:rPr>
                <w:rFonts w:ascii="Arial" w:cs="Arial" w:eastAsia="Arial" w:hAnsi="Arial"/>
                <w:sz w:val="14"/>
                <w:szCs w:val="14"/>
                <w:b w:val="1"/>
                <w:bCs w:val="1"/>
                <w:color w:val="auto"/>
              </w:rPr>
              <w:t>Less Than</w:t>
            </w:r>
          </w:p>
        </w:tc>
        <w:tc>
          <w:tcPr>
            <w:tcW w:w="500" w:type="dxa"/>
            <w:vAlign w:val="bottom"/>
          </w:tcPr>
          <w:p>
            <w:pPr>
              <w:spacing w:after="0"/>
              <w:rPr>
                <w:sz w:val="14"/>
                <w:szCs w:val="14"/>
                <w:color w:val="auto"/>
              </w:rPr>
            </w:pPr>
          </w:p>
        </w:tc>
        <w:tc>
          <w:tcPr>
            <w:tcW w:w="1000" w:type="dxa"/>
            <w:vAlign w:val="bottom"/>
          </w:tcPr>
          <w:p>
            <w:pPr>
              <w:jc w:val="center"/>
              <w:ind w:right="214"/>
              <w:spacing w:after="0"/>
              <w:rPr>
                <w:sz w:val="20"/>
                <w:szCs w:val="20"/>
                <w:color w:val="auto"/>
              </w:rPr>
            </w:pPr>
            <w:r>
              <w:rPr>
                <w:rFonts w:ascii="Arial" w:cs="Arial" w:eastAsia="Arial" w:hAnsi="Arial"/>
                <w:sz w:val="14"/>
                <w:szCs w:val="14"/>
                <w:b w:val="1"/>
                <w:bCs w:val="1"/>
                <w:color w:val="auto"/>
              </w:rPr>
              <w:t>1-3</w:t>
            </w:r>
          </w:p>
        </w:tc>
        <w:tc>
          <w:tcPr>
            <w:tcW w:w="380" w:type="dxa"/>
            <w:vAlign w:val="bottom"/>
          </w:tcPr>
          <w:p>
            <w:pPr>
              <w:spacing w:after="0"/>
              <w:rPr>
                <w:sz w:val="14"/>
                <w:szCs w:val="14"/>
                <w:color w:val="auto"/>
              </w:rPr>
            </w:pPr>
          </w:p>
        </w:tc>
        <w:tc>
          <w:tcPr>
            <w:tcW w:w="1000" w:type="dxa"/>
            <w:vAlign w:val="bottom"/>
          </w:tcPr>
          <w:p>
            <w:pPr>
              <w:jc w:val="right"/>
              <w:ind w:right="454"/>
              <w:spacing w:after="0"/>
              <w:rPr>
                <w:sz w:val="20"/>
                <w:szCs w:val="20"/>
                <w:color w:val="auto"/>
              </w:rPr>
            </w:pPr>
            <w:r>
              <w:rPr>
                <w:rFonts w:ascii="Arial" w:cs="Arial" w:eastAsia="Arial" w:hAnsi="Arial"/>
                <w:sz w:val="14"/>
                <w:szCs w:val="14"/>
                <w:b w:val="1"/>
                <w:bCs w:val="1"/>
                <w:color w:val="auto"/>
              </w:rPr>
              <w:t>3-5</w:t>
            </w:r>
          </w:p>
        </w:tc>
        <w:tc>
          <w:tcPr>
            <w:tcW w:w="280" w:type="dxa"/>
            <w:vAlign w:val="bottom"/>
          </w:tcPr>
          <w:p>
            <w:pPr>
              <w:spacing w:after="0"/>
              <w:rPr>
                <w:sz w:val="14"/>
                <w:szCs w:val="14"/>
                <w:color w:val="auto"/>
              </w:rPr>
            </w:pPr>
          </w:p>
        </w:tc>
        <w:tc>
          <w:tcPr>
            <w:tcW w:w="1080" w:type="dxa"/>
            <w:vAlign w:val="bottom"/>
          </w:tcPr>
          <w:p>
            <w:pPr>
              <w:jc w:val="right"/>
              <w:ind w:right="194"/>
              <w:spacing w:after="0"/>
              <w:rPr>
                <w:sz w:val="20"/>
                <w:szCs w:val="20"/>
                <w:color w:val="auto"/>
              </w:rPr>
            </w:pPr>
            <w:r>
              <w:rPr>
                <w:rFonts w:ascii="Arial" w:cs="Arial" w:eastAsia="Arial" w:hAnsi="Arial"/>
                <w:sz w:val="14"/>
                <w:szCs w:val="14"/>
                <w:b w:val="1"/>
                <w:bCs w:val="1"/>
                <w:color w:val="auto"/>
              </w:rPr>
              <w:t>More Than</w:t>
            </w:r>
          </w:p>
        </w:tc>
      </w:tr>
      <w:tr>
        <w:trPr>
          <w:trHeight w:val="203"/>
        </w:trPr>
        <w:tc>
          <w:tcPr>
            <w:tcW w:w="46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Total</w:t>
            </w: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1 Year</w:t>
            </w:r>
          </w:p>
        </w:tc>
        <w:tc>
          <w:tcPr>
            <w:tcW w:w="5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214"/>
              <w:spacing w:after="0"/>
              <w:rPr>
                <w:sz w:val="20"/>
                <w:szCs w:val="20"/>
                <w:color w:val="auto"/>
              </w:rPr>
            </w:pPr>
            <w:r>
              <w:rPr>
                <w:rFonts w:ascii="Arial" w:cs="Arial" w:eastAsia="Arial" w:hAnsi="Arial"/>
                <w:sz w:val="14"/>
                <w:szCs w:val="14"/>
                <w:b w:val="1"/>
                <w:bCs w:val="1"/>
                <w:color w:val="auto"/>
                <w:w w:val="99"/>
              </w:rPr>
              <w:t>Years</w:t>
            </w:r>
          </w:p>
        </w:tc>
        <w:tc>
          <w:tcPr>
            <w:tcW w:w="3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Years</w:t>
            </w:r>
          </w:p>
        </w:tc>
        <w:tc>
          <w:tcPr>
            <w:tcW w:w="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5 Years</w:t>
            </w:r>
          </w:p>
        </w:tc>
      </w:tr>
      <w:tr>
        <w:trPr>
          <w:trHeight w:val="265"/>
        </w:trPr>
        <w:tc>
          <w:tcPr>
            <w:tcW w:w="4640" w:type="dxa"/>
            <w:vAlign w:val="bottom"/>
            <w:shd w:val="clear" w:color="auto" w:fill="D8D8D8"/>
          </w:tcPr>
          <w:p>
            <w:pPr>
              <w:ind w:left="40"/>
              <w:spacing w:after="0"/>
              <w:rPr>
                <w:sz w:val="20"/>
                <w:szCs w:val="20"/>
                <w:color w:val="auto"/>
              </w:rPr>
            </w:pPr>
            <w:r>
              <w:rPr>
                <w:rFonts w:ascii="Arial" w:cs="Arial" w:eastAsia="Arial" w:hAnsi="Arial"/>
                <w:sz w:val="18"/>
                <w:szCs w:val="18"/>
                <w:color w:val="auto"/>
              </w:rPr>
              <w:t>Long-term debt, including interest payments</w:t>
            </w:r>
            <w:r>
              <w:rPr>
                <w:rFonts w:ascii="Arial" w:cs="Arial" w:eastAsia="Arial" w:hAnsi="Arial"/>
                <w:sz w:val="21"/>
                <w:szCs w:val="21"/>
                <w:color w:val="auto"/>
                <w:vertAlign w:val="superscript"/>
              </w:rPr>
              <w:t>(1)</w:t>
            </w:r>
          </w:p>
        </w:tc>
        <w:tc>
          <w:tcPr>
            <w:tcW w:w="300" w:type="dxa"/>
            <w:vAlign w:val="bottom"/>
            <w:shd w:val="clear" w:color="auto" w:fill="D8D8D8"/>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D8D8D8"/>
          </w:tcPr>
          <w:p>
            <w:pPr>
              <w:jc w:val="right"/>
              <w:ind w:right="33"/>
              <w:spacing w:after="0"/>
              <w:rPr>
                <w:sz w:val="20"/>
                <w:szCs w:val="20"/>
                <w:color w:val="auto"/>
              </w:rPr>
            </w:pPr>
            <w:r>
              <w:rPr>
                <w:rFonts w:ascii="Arial" w:cs="Arial" w:eastAsia="Arial" w:hAnsi="Arial"/>
                <w:sz w:val="18"/>
                <w:szCs w:val="18"/>
                <w:color w:val="auto"/>
              </w:rPr>
              <w:t>10,880.2</w:t>
            </w:r>
          </w:p>
        </w:tc>
        <w:tc>
          <w:tcPr>
            <w:tcW w:w="3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D8D8D8"/>
          </w:tcPr>
          <w:p>
            <w:pPr>
              <w:jc w:val="right"/>
              <w:spacing w:after="0"/>
              <w:rPr>
                <w:sz w:val="20"/>
                <w:szCs w:val="20"/>
                <w:color w:val="auto"/>
              </w:rPr>
            </w:pPr>
            <w:r>
              <w:rPr>
                <w:rFonts w:ascii="Arial" w:cs="Arial" w:eastAsia="Arial" w:hAnsi="Arial"/>
                <w:sz w:val="18"/>
                <w:szCs w:val="18"/>
                <w:color w:val="auto"/>
              </w:rPr>
              <w:t>192.0</w:t>
            </w:r>
          </w:p>
        </w:tc>
        <w:tc>
          <w:tcPr>
            <w:tcW w:w="500" w:type="dxa"/>
            <w:vAlign w:val="bottom"/>
            <w:shd w:val="clear" w:color="auto" w:fill="D8D8D8"/>
          </w:tcPr>
          <w:p>
            <w:pPr>
              <w:jc w:val="right"/>
              <w:ind w:right="76"/>
              <w:spacing w:after="0"/>
              <w:rPr>
                <w:sz w:val="20"/>
                <w:szCs w:val="20"/>
                <w:color w:val="auto"/>
              </w:rPr>
            </w:pPr>
            <w:r>
              <w:rPr>
                <w:rFonts w:ascii="Arial" w:cs="Arial" w:eastAsia="Arial" w:hAnsi="Arial"/>
                <w:sz w:val="18"/>
                <w:szCs w:val="18"/>
                <w:color w:val="auto"/>
              </w:rPr>
              <w:t>$</w:t>
            </w:r>
          </w:p>
        </w:tc>
        <w:tc>
          <w:tcPr>
            <w:tcW w:w="1000" w:type="dxa"/>
            <w:vAlign w:val="bottom"/>
            <w:shd w:val="clear" w:color="auto" w:fill="D8D8D8"/>
          </w:tcPr>
          <w:p>
            <w:pPr>
              <w:jc w:val="right"/>
              <w:ind w:right="34"/>
              <w:spacing w:after="0"/>
              <w:rPr>
                <w:sz w:val="20"/>
                <w:szCs w:val="20"/>
                <w:color w:val="auto"/>
              </w:rPr>
            </w:pPr>
            <w:r>
              <w:rPr>
                <w:rFonts w:ascii="Arial" w:cs="Arial" w:eastAsia="Arial" w:hAnsi="Arial"/>
                <w:sz w:val="18"/>
                <w:szCs w:val="18"/>
                <w:color w:val="auto"/>
              </w:rPr>
              <w:t>1,792.4</w:t>
            </w:r>
          </w:p>
        </w:tc>
        <w:tc>
          <w:tcPr>
            <w:tcW w:w="380" w:type="dxa"/>
            <w:vAlign w:val="bottom"/>
            <w:shd w:val="clear" w:color="auto" w:fill="D8D8D8"/>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D8D8D8"/>
          </w:tcPr>
          <w:p>
            <w:pPr>
              <w:jc w:val="right"/>
              <w:ind w:right="34"/>
              <w:spacing w:after="0"/>
              <w:rPr>
                <w:sz w:val="20"/>
                <w:szCs w:val="20"/>
                <w:color w:val="auto"/>
              </w:rPr>
            </w:pPr>
            <w:r>
              <w:rPr>
                <w:rFonts w:ascii="Arial" w:cs="Arial" w:eastAsia="Arial" w:hAnsi="Arial"/>
                <w:sz w:val="18"/>
                <w:szCs w:val="18"/>
                <w:color w:val="auto"/>
              </w:rPr>
              <w:t>939.2</w:t>
            </w:r>
          </w:p>
        </w:tc>
        <w:tc>
          <w:tcPr>
            <w:tcW w:w="2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D8D8D8"/>
          </w:tcPr>
          <w:p>
            <w:pPr>
              <w:jc w:val="right"/>
              <w:ind w:right="14"/>
              <w:spacing w:after="0"/>
              <w:rPr>
                <w:sz w:val="20"/>
                <w:szCs w:val="20"/>
                <w:color w:val="auto"/>
              </w:rPr>
            </w:pPr>
            <w:r>
              <w:rPr>
                <w:rFonts w:ascii="Arial" w:cs="Arial" w:eastAsia="Arial" w:hAnsi="Arial"/>
                <w:sz w:val="18"/>
                <w:szCs w:val="18"/>
                <w:color w:val="auto"/>
              </w:rPr>
              <w:t>7,956.6</w:t>
            </w:r>
          </w:p>
        </w:tc>
      </w:tr>
      <w:tr>
        <w:trPr>
          <w:trHeight w:val="265"/>
        </w:trPr>
        <w:tc>
          <w:tcPr>
            <w:tcW w:w="4640" w:type="dxa"/>
            <w:vAlign w:val="bottom"/>
          </w:tcPr>
          <w:p>
            <w:pPr>
              <w:ind w:left="40"/>
              <w:spacing w:after="0"/>
              <w:rPr>
                <w:sz w:val="20"/>
                <w:szCs w:val="20"/>
                <w:color w:val="auto"/>
              </w:rPr>
            </w:pPr>
            <w:r>
              <w:rPr>
                <w:rFonts w:ascii="Arial" w:cs="Arial" w:eastAsia="Arial" w:hAnsi="Arial"/>
                <w:sz w:val="18"/>
                <w:szCs w:val="18"/>
                <w:color w:val="auto"/>
              </w:rPr>
              <w:t>Capital lease obligations</w:t>
            </w:r>
          </w:p>
        </w:tc>
        <w:tc>
          <w:tcPr>
            <w:tcW w:w="300" w:type="dxa"/>
            <w:vAlign w:val="bottom"/>
          </w:tcPr>
          <w:p>
            <w:pPr>
              <w:spacing w:after="0"/>
              <w:rPr>
                <w:sz w:val="23"/>
                <w:szCs w:val="23"/>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15.8</w:t>
            </w: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4.9</w:t>
            </w:r>
          </w:p>
        </w:tc>
        <w:tc>
          <w:tcPr>
            <w:tcW w:w="500" w:type="dxa"/>
            <w:vAlign w:val="bottom"/>
          </w:tcPr>
          <w:p>
            <w:pPr>
              <w:spacing w:after="0"/>
              <w:rPr>
                <w:sz w:val="23"/>
                <w:szCs w:val="23"/>
                <w:color w:val="auto"/>
              </w:rPr>
            </w:pP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8.5</w:t>
            </w:r>
          </w:p>
        </w:tc>
        <w:tc>
          <w:tcPr>
            <w:tcW w:w="380" w:type="dxa"/>
            <w:vAlign w:val="bottom"/>
          </w:tcPr>
          <w:p>
            <w:pPr>
              <w:spacing w:after="0"/>
              <w:rPr>
                <w:sz w:val="23"/>
                <w:szCs w:val="23"/>
                <w:color w:val="auto"/>
              </w:rPr>
            </w:pP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2.4</w:t>
            </w:r>
          </w:p>
        </w:tc>
        <w:tc>
          <w:tcPr>
            <w:tcW w:w="280" w:type="dxa"/>
            <w:vAlign w:val="bottom"/>
          </w:tcPr>
          <w:p>
            <w:pPr>
              <w:spacing w:after="0"/>
              <w:rPr>
                <w:sz w:val="23"/>
                <w:szCs w:val="23"/>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5"/>
        </w:trPr>
        <w:tc>
          <w:tcPr>
            <w:tcW w:w="4640" w:type="dxa"/>
            <w:vAlign w:val="bottom"/>
            <w:shd w:val="clear" w:color="auto" w:fill="D8D8D8"/>
          </w:tcPr>
          <w:p>
            <w:pPr>
              <w:ind w:left="40"/>
              <w:spacing w:after="0"/>
              <w:rPr>
                <w:sz w:val="20"/>
                <w:szCs w:val="20"/>
                <w:color w:val="auto"/>
              </w:rPr>
            </w:pPr>
            <w:r>
              <w:rPr>
                <w:rFonts w:ascii="Arial" w:cs="Arial" w:eastAsia="Arial" w:hAnsi="Arial"/>
                <w:sz w:val="18"/>
                <w:szCs w:val="18"/>
                <w:color w:val="auto"/>
              </w:rPr>
              <w:t>Operating leases</w:t>
            </w:r>
          </w:p>
        </w:tc>
        <w:tc>
          <w:tcPr>
            <w:tcW w:w="300" w:type="dxa"/>
            <w:vAlign w:val="bottom"/>
            <w:shd w:val="clear" w:color="auto" w:fill="D8D8D8"/>
          </w:tcPr>
          <w:p>
            <w:pPr>
              <w:spacing w:after="0"/>
              <w:rPr>
                <w:sz w:val="23"/>
                <w:szCs w:val="23"/>
                <w:color w:val="auto"/>
              </w:rPr>
            </w:pPr>
          </w:p>
        </w:tc>
        <w:tc>
          <w:tcPr>
            <w:tcW w:w="980" w:type="dxa"/>
            <w:vAlign w:val="bottom"/>
            <w:shd w:val="clear" w:color="auto" w:fill="D8D8D8"/>
          </w:tcPr>
          <w:p>
            <w:pPr>
              <w:jc w:val="right"/>
              <w:ind w:right="33"/>
              <w:spacing w:after="0"/>
              <w:rPr>
                <w:sz w:val="20"/>
                <w:szCs w:val="20"/>
                <w:color w:val="auto"/>
              </w:rPr>
            </w:pPr>
            <w:r>
              <w:rPr>
                <w:rFonts w:ascii="Arial" w:cs="Arial" w:eastAsia="Arial" w:hAnsi="Arial"/>
                <w:sz w:val="18"/>
                <w:szCs w:val="18"/>
                <w:color w:val="auto"/>
              </w:rPr>
              <w:t>934.4</w:t>
            </w:r>
          </w:p>
        </w:tc>
        <w:tc>
          <w:tcPr>
            <w:tcW w:w="300" w:type="dxa"/>
            <w:vAlign w:val="bottom"/>
            <w:shd w:val="clear" w:color="auto" w:fill="D8D8D8"/>
          </w:tcPr>
          <w:p>
            <w:pPr>
              <w:spacing w:after="0"/>
              <w:rPr>
                <w:sz w:val="23"/>
                <w:szCs w:val="23"/>
                <w:color w:val="auto"/>
              </w:rPr>
            </w:pPr>
          </w:p>
        </w:tc>
        <w:tc>
          <w:tcPr>
            <w:tcW w:w="960" w:type="dxa"/>
            <w:vAlign w:val="bottom"/>
            <w:shd w:val="clear" w:color="auto" w:fill="D8D8D8"/>
          </w:tcPr>
          <w:p>
            <w:pPr>
              <w:jc w:val="right"/>
              <w:spacing w:after="0"/>
              <w:rPr>
                <w:sz w:val="20"/>
                <w:szCs w:val="20"/>
                <w:color w:val="auto"/>
              </w:rPr>
            </w:pPr>
            <w:r>
              <w:rPr>
                <w:rFonts w:ascii="Arial" w:cs="Arial" w:eastAsia="Arial" w:hAnsi="Arial"/>
                <w:sz w:val="18"/>
                <w:szCs w:val="18"/>
                <w:color w:val="auto"/>
              </w:rPr>
              <w:t>132.5</w:t>
            </w:r>
          </w:p>
        </w:tc>
        <w:tc>
          <w:tcPr>
            <w:tcW w:w="500" w:type="dxa"/>
            <w:vAlign w:val="bottom"/>
            <w:shd w:val="clear" w:color="auto" w:fill="D8D8D8"/>
          </w:tcPr>
          <w:p>
            <w:pPr>
              <w:spacing w:after="0"/>
              <w:rPr>
                <w:sz w:val="23"/>
                <w:szCs w:val="23"/>
                <w:color w:val="auto"/>
              </w:rPr>
            </w:pPr>
          </w:p>
        </w:tc>
        <w:tc>
          <w:tcPr>
            <w:tcW w:w="1000" w:type="dxa"/>
            <w:vAlign w:val="bottom"/>
            <w:shd w:val="clear" w:color="auto" w:fill="D8D8D8"/>
          </w:tcPr>
          <w:p>
            <w:pPr>
              <w:jc w:val="right"/>
              <w:ind w:right="34"/>
              <w:spacing w:after="0"/>
              <w:rPr>
                <w:sz w:val="20"/>
                <w:szCs w:val="20"/>
                <w:color w:val="auto"/>
              </w:rPr>
            </w:pPr>
            <w:r>
              <w:rPr>
                <w:rFonts w:ascii="Arial" w:cs="Arial" w:eastAsia="Arial" w:hAnsi="Arial"/>
                <w:sz w:val="18"/>
                <w:szCs w:val="18"/>
                <w:color w:val="auto"/>
              </w:rPr>
              <w:t>244.9</w:t>
            </w:r>
          </w:p>
        </w:tc>
        <w:tc>
          <w:tcPr>
            <w:tcW w:w="380" w:type="dxa"/>
            <w:vAlign w:val="bottom"/>
            <w:shd w:val="clear" w:color="auto" w:fill="D8D8D8"/>
          </w:tcPr>
          <w:p>
            <w:pPr>
              <w:spacing w:after="0"/>
              <w:rPr>
                <w:sz w:val="23"/>
                <w:szCs w:val="23"/>
                <w:color w:val="auto"/>
              </w:rPr>
            </w:pPr>
          </w:p>
        </w:tc>
        <w:tc>
          <w:tcPr>
            <w:tcW w:w="1000" w:type="dxa"/>
            <w:vAlign w:val="bottom"/>
            <w:shd w:val="clear" w:color="auto" w:fill="D8D8D8"/>
          </w:tcPr>
          <w:p>
            <w:pPr>
              <w:jc w:val="right"/>
              <w:ind w:right="34"/>
              <w:spacing w:after="0"/>
              <w:rPr>
                <w:sz w:val="20"/>
                <w:szCs w:val="20"/>
                <w:color w:val="auto"/>
              </w:rPr>
            </w:pPr>
            <w:r>
              <w:rPr>
                <w:rFonts w:ascii="Arial" w:cs="Arial" w:eastAsia="Arial" w:hAnsi="Arial"/>
                <w:sz w:val="18"/>
                <w:szCs w:val="18"/>
                <w:color w:val="auto"/>
              </w:rPr>
              <w:t>181.1</w:t>
            </w:r>
          </w:p>
        </w:tc>
        <w:tc>
          <w:tcPr>
            <w:tcW w:w="280" w:type="dxa"/>
            <w:vAlign w:val="bottom"/>
            <w:shd w:val="clear" w:color="auto" w:fill="D8D8D8"/>
          </w:tcPr>
          <w:p>
            <w:pPr>
              <w:spacing w:after="0"/>
              <w:rPr>
                <w:sz w:val="23"/>
                <w:szCs w:val="23"/>
                <w:color w:val="auto"/>
              </w:rPr>
            </w:pPr>
          </w:p>
        </w:tc>
        <w:tc>
          <w:tcPr>
            <w:tcW w:w="1080" w:type="dxa"/>
            <w:vAlign w:val="bottom"/>
            <w:shd w:val="clear" w:color="auto" w:fill="D8D8D8"/>
          </w:tcPr>
          <w:p>
            <w:pPr>
              <w:jc w:val="right"/>
              <w:ind w:right="14"/>
              <w:spacing w:after="0"/>
              <w:rPr>
                <w:sz w:val="20"/>
                <w:szCs w:val="20"/>
                <w:color w:val="auto"/>
              </w:rPr>
            </w:pPr>
            <w:r>
              <w:rPr>
                <w:rFonts w:ascii="Arial" w:cs="Arial" w:eastAsia="Arial" w:hAnsi="Arial"/>
                <w:sz w:val="18"/>
                <w:szCs w:val="18"/>
                <w:color w:val="auto"/>
              </w:rPr>
              <w:t>375.9</w:t>
            </w:r>
          </w:p>
        </w:tc>
      </w:tr>
      <w:tr>
        <w:trPr>
          <w:trHeight w:val="270"/>
        </w:trPr>
        <w:tc>
          <w:tcPr>
            <w:tcW w:w="4640" w:type="dxa"/>
            <w:vAlign w:val="bottom"/>
          </w:tcPr>
          <w:p>
            <w:pPr>
              <w:ind w:left="40"/>
              <w:spacing w:after="0"/>
              <w:rPr>
                <w:sz w:val="20"/>
                <w:szCs w:val="20"/>
                <w:color w:val="auto"/>
              </w:rPr>
            </w:pPr>
            <w:r>
              <w:rPr>
                <w:rFonts w:ascii="Arial" w:cs="Arial" w:eastAsia="Arial" w:hAnsi="Arial"/>
                <w:sz w:val="18"/>
                <w:szCs w:val="18"/>
                <w:color w:val="auto"/>
              </w:rPr>
              <w:t>Purchase obligations</w:t>
            </w:r>
            <w:r>
              <w:rPr>
                <w:rFonts w:ascii="Arial" w:cs="Arial" w:eastAsia="Arial" w:hAnsi="Arial"/>
                <w:sz w:val="21"/>
                <w:szCs w:val="21"/>
                <w:color w:val="auto"/>
                <w:vertAlign w:val="superscript"/>
              </w:rPr>
              <w:t>(2)</w:t>
            </w:r>
          </w:p>
        </w:tc>
        <w:tc>
          <w:tcPr>
            <w:tcW w:w="300" w:type="dxa"/>
            <w:vAlign w:val="bottom"/>
          </w:tcPr>
          <w:p>
            <w:pPr>
              <w:spacing w:after="0"/>
              <w:rPr>
                <w:sz w:val="23"/>
                <w:szCs w:val="23"/>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13,786.7</w:t>
            </w: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12,982.2</w:t>
            </w:r>
          </w:p>
        </w:tc>
        <w:tc>
          <w:tcPr>
            <w:tcW w:w="500" w:type="dxa"/>
            <w:vAlign w:val="bottom"/>
          </w:tcPr>
          <w:p>
            <w:pPr>
              <w:spacing w:after="0"/>
              <w:rPr>
                <w:sz w:val="23"/>
                <w:szCs w:val="23"/>
                <w:color w:val="auto"/>
              </w:rPr>
            </w:pP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678.9</w:t>
            </w:r>
          </w:p>
        </w:tc>
        <w:tc>
          <w:tcPr>
            <w:tcW w:w="380" w:type="dxa"/>
            <w:vAlign w:val="bottom"/>
          </w:tcPr>
          <w:p>
            <w:pPr>
              <w:spacing w:after="0"/>
              <w:rPr>
                <w:sz w:val="23"/>
                <w:szCs w:val="23"/>
                <w:color w:val="auto"/>
              </w:rPr>
            </w:pP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122.7</w:t>
            </w:r>
          </w:p>
        </w:tc>
        <w:tc>
          <w:tcPr>
            <w:tcW w:w="280" w:type="dxa"/>
            <w:vAlign w:val="bottom"/>
          </w:tcPr>
          <w:p>
            <w:pPr>
              <w:spacing w:after="0"/>
              <w:rPr>
                <w:sz w:val="23"/>
                <w:szCs w:val="23"/>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2.9</w:t>
            </w:r>
          </w:p>
        </w:tc>
      </w:tr>
      <w:tr>
        <w:trPr>
          <w:trHeight w:val="207"/>
        </w:trPr>
        <w:tc>
          <w:tcPr>
            <w:tcW w:w="4640" w:type="dxa"/>
            <w:vAlign w:val="bottom"/>
            <w:shd w:val="clear" w:color="auto" w:fill="D8D8D8"/>
          </w:tcPr>
          <w:p>
            <w:pPr>
              <w:ind w:left="40"/>
              <w:spacing w:after="0"/>
              <w:rPr>
                <w:sz w:val="20"/>
                <w:szCs w:val="20"/>
                <w:color w:val="auto"/>
              </w:rPr>
            </w:pPr>
            <w:r>
              <w:rPr>
                <w:rFonts w:ascii="Arial" w:cs="Arial" w:eastAsia="Arial" w:hAnsi="Arial"/>
                <w:sz w:val="18"/>
                <w:szCs w:val="18"/>
                <w:color w:val="auto"/>
              </w:rPr>
              <w:t>Other long-term liabilities reflected on our balance</w:t>
            </w:r>
          </w:p>
        </w:tc>
        <w:tc>
          <w:tcPr>
            <w:tcW w:w="300" w:type="dxa"/>
            <w:vAlign w:val="bottom"/>
            <w:shd w:val="clear" w:color="auto" w:fill="D8D8D8"/>
          </w:tcPr>
          <w:p>
            <w:pPr>
              <w:spacing w:after="0"/>
              <w:rPr>
                <w:sz w:val="17"/>
                <w:szCs w:val="17"/>
                <w:color w:val="auto"/>
              </w:rPr>
            </w:pPr>
          </w:p>
        </w:tc>
        <w:tc>
          <w:tcPr>
            <w:tcW w:w="980" w:type="dxa"/>
            <w:vAlign w:val="bottom"/>
            <w:shd w:val="clear" w:color="auto" w:fill="D8D8D8"/>
          </w:tcPr>
          <w:p>
            <w:pPr>
              <w:spacing w:after="0"/>
              <w:rPr>
                <w:sz w:val="17"/>
                <w:szCs w:val="17"/>
                <w:color w:val="auto"/>
              </w:rPr>
            </w:pPr>
          </w:p>
        </w:tc>
        <w:tc>
          <w:tcPr>
            <w:tcW w:w="300" w:type="dxa"/>
            <w:vAlign w:val="bottom"/>
            <w:shd w:val="clear" w:color="auto" w:fill="D8D8D8"/>
          </w:tcPr>
          <w:p>
            <w:pPr>
              <w:spacing w:after="0"/>
              <w:rPr>
                <w:sz w:val="17"/>
                <w:szCs w:val="17"/>
                <w:color w:val="auto"/>
              </w:rPr>
            </w:pPr>
          </w:p>
        </w:tc>
        <w:tc>
          <w:tcPr>
            <w:tcW w:w="960" w:type="dxa"/>
            <w:vAlign w:val="bottom"/>
            <w:shd w:val="clear" w:color="auto" w:fill="D8D8D8"/>
          </w:tcPr>
          <w:p>
            <w:pPr>
              <w:spacing w:after="0"/>
              <w:rPr>
                <w:sz w:val="17"/>
                <w:szCs w:val="17"/>
                <w:color w:val="auto"/>
              </w:rPr>
            </w:pPr>
          </w:p>
        </w:tc>
        <w:tc>
          <w:tcPr>
            <w:tcW w:w="500" w:type="dxa"/>
            <w:vAlign w:val="bottom"/>
            <w:shd w:val="clear" w:color="auto" w:fill="D8D8D8"/>
          </w:tcPr>
          <w:p>
            <w:pPr>
              <w:spacing w:after="0"/>
              <w:rPr>
                <w:sz w:val="17"/>
                <w:szCs w:val="17"/>
                <w:color w:val="auto"/>
              </w:rPr>
            </w:pPr>
          </w:p>
        </w:tc>
        <w:tc>
          <w:tcPr>
            <w:tcW w:w="1000" w:type="dxa"/>
            <w:vAlign w:val="bottom"/>
            <w:shd w:val="clear" w:color="auto" w:fill="D8D8D8"/>
          </w:tcPr>
          <w:p>
            <w:pPr>
              <w:spacing w:after="0"/>
              <w:rPr>
                <w:sz w:val="17"/>
                <w:szCs w:val="17"/>
                <w:color w:val="auto"/>
              </w:rPr>
            </w:pPr>
          </w:p>
        </w:tc>
        <w:tc>
          <w:tcPr>
            <w:tcW w:w="380" w:type="dxa"/>
            <w:vAlign w:val="bottom"/>
            <w:shd w:val="clear" w:color="auto" w:fill="D8D8D8"/>
          </w:tcPr>
          <w:p>
            <w:pPr>
              <w:spacing w:after="0"/>
              <w:rPr>
                <w:sz w:val="17"/>
                <w:szCs w:val="17"/>
                <w:color w:val="auto"/>
              </w:rPr>
            </w:pPr>
          </w:p>
        </w:tc>
        <w:tc>
          <w:tcPr>
            <w:tcW w:w="1000" w:type="dxa"/>
            <w:vAlign w:val="bottom"/>
            <w:shd w:val="clear" w:color="auto" w:fill="D8D8D8"/>
          </w:tcPr>
          <w:p>
            <w:pPr>
              <w:spacing w:after="0"/>
              <w:rPr>
                <w:sz w:val="17"/>
                <w:szCs w:val="17"/>
                <w:color w:val="auto"/>
              </w:rPr>
            </w:pPr>
          </w:p>
        </w:tc>
        <w:tc>
          <w:tcPr>
            <w:tcW w:w="280" w:type="dxa"/>
            <w:vAlign w:val="bottom"/>
            <w:shd w:val="clear" w:color="auto" w:fill="D8D8D8"/>
          </w:tcPr>
          <w:p>
            <w:pPr>
              <w:spacing w:after="0"/>
              <w:rPr>
                <w:sz w:val="17"/>
                <w:szCs w:val="17"/>
                <w:color w:val="auto"/>
              </w:rPr>
            </w:pPr>
          </w:p>
        </w:tc>
        <w:tc>
          <w:tcPr>
            <w:tcW w:w="1080" w:type="dxa"/>
            <w:vAlign w:val="bottom"/>
            <w:shd w:val="clear" w:color="auto" w:fill="D8D8D8"/>
          </w:tcPr>
          <w:p>
            <w:pPr>
              <w:spacing w:after="0"/>
              <w:rPr>
                <w:sz w:val="17"/>
                <w:szCs w:val="17"/>
                <w:color w:val="auto"/>
              </w:rPr>
            </w:pPr>
          </w:p>
        </w:tc>
      </w:tr>
      <w:tr>
        <w:trPr>
          <w:trHeight w:val="252"/>
        </w:trPr>
        <w:tc>
          <w:tcPr>
            <w:tcW w:w="4640" w:type="dxa"/>
            <w:vAlign w:val="bottom"/>
            <w:shd w:val="clear" w:color="auto" w:fill="D8D8D8"/>
          </w:tcPr>
          <w:p>
            <w:pPr>
              <w:ind w:left="40"/>
              <w:spacing w:after="0"/>
              <w:rPr>
                <w:sz w:val="20"/>
                <w:szCs w:val="20"/>
                <w:color w:val="auto"/>
              </w:rPr>
            </w:pPr>
            <w:r>
              <w:rPr>
                <w:rFonts w:ascii="Arial" w:cs="Arial" w:eastAsia="Arial" w:hAnsi="Arial"/>
                <w:sz w:val="18"/>
                <w:szCs w:val="18"/>
                <w:color w:val="auto"/>
              </w:rPr>
              <w:t>sheet</w:t>
            </w:r>
            <w:r>
              <w:rPr>
                <w:rFonts w:ascii="Arial" w:cs="Arial" w:eastAsia="Arial" w:hAnsi="Arial"/>
                <w:sz w:val="21"/>
                <w:szCs w:val="21"/>
                <w:color w:val="auto"/>
                <w:vertAlign w:val="superscript"/>
              </w:rPr>
              <w:t>(3)</w:t>
            </w:r>
          </w:p>
        </w:tc>
        <w:tc>
          <w:tcPr>
            <w:tcW w:w="300" w:type="dxa"/>
            <w:vAlign w:val="bottom"/>
            <w:tcBorders>
              <w:bottom w:val="single" w:sz="8" w:color="auto"/>
            </w:tcBorders>
            <w:shd w:val="clear" w:color="auto" w:fill="D8D8D8"/>
          </w:tcPr>
          <w:p>
            <w:pPr>
              <w:spacing w:after="0"/>
              <w:rPr>
                <w:sz w:val="21"/>
                <w:szCs w:val="21"/>
                <w:color w:val="auto"/>
              </w:rPr>
            </w:pPr>
          </w:p>
        </w:tc>
        <w:tc>
          <w:tcPr>
            <w:tcW w:w="980" w:type="dxa"/>
            <w:vAlign w:val="bottom"/>
            <w:tcBorders>
              <w:bottom w:val="single" w:sz="8" w:color="auto"/>
            </w:tcBorders>
            <w:shd w:val="clear" w:color="auto" w:fill="D8D8D8"/>
          </w:tcPr>
          <w:p>
            <w:pPr>
              <w:jc w:val="right"/>
              <w:ind w:right="33"/>
              <w:spacing w:after="0"/>
              <w:rPr>
                <w:sz w:val="20"/>
                <w:szCs w:val="20"/>
                <w:color w:val="auto"/>
              </w:rPr>
            </w:pPr>
            <w:r>
              <w:rPr>
                <w:rFonts w:ascii="Arial" w:cs="Arial" w:eastAsia="Arial" w:hAnsi="Arial"/>
                <w:sz w:val="18"/>
                <w:szCs w:val="18"/>
                <w:color w:val="auto"/>
              </w:rPr>
              <w:t>2,054.8</w:t>
            </w:r>
          </w:p>
        </w:tc>
        <w:tc>
          <w:tcPr>
            <w:tcW w:w="300" w:type="dxa"/>
            <w:vAlign w:val="bottom"/>
            <w:tcBorders>
              <w:bottom w:val="single" w:sz="8" w:color="auto"/>
            </w:tcBorders>
            <w:shd w:val="clear" w:color="auto" w:fill="D8D8D8"/>
          </w:tcPr>
          <w:p>
            <w:pPr>
              <w:spacing w:after="0"/>
              <w:rPr>
                <w:sz w:val="21"/>
                <w:szCs w:val="21"/>
                <w:color w:val="auto"/>
              </w:rPr>
            </w:pPr>
          </w:p>
        </w:tc>
        <w:tc>
          <w:tcPr>
            <w:tcW w:w="96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shd w:val="clear" w:color="auto" w:fill="D8D8D8"/>
          </w:tcPr>
          <w:p>
            <w:pPr>
              <w:spacing w:after="0"/>
              <w:rPr>
                <w:sz w:val="21"/>
                <w:szCs w:val="21"/>
                <w:color w:val="auto"/>
              </w:rPr>
            </w:pPr>
          </w:p>
        </w:tc>
        <w:tc>
          <w:tcPr>
            <w:tcW w:w="1000" w:type="dxa"/>
            <w:vAlign w:val="bottom"/>
            <w:tcBorders>
              <w:bottom w:val="single" w:sz="8" w:color="auto"/>
            </w:tcBorders>
            <w:shd w:val="clear" w:color="auto" w:fill="D8D8D8"/>
          </w:tcPr>
          <w:p>
            <w:pPr>
              <w:jc w:val="right"/>
              <w:ind w:right="34"/>
              <w:spacing w:after="0"/>
              <w:rPr>
                <w:sz w:val="20"/>
                <w:szCs w:val="20"/>
                <w:color w:val="auto"/>
              </w:rPr>
            </w:pPr>
            <w:r>
              <w:rPr>
                <w:rFonts w:ascii="Arial" w:cs="Arial" w:eastAsia="Arial" w:hAnsi="Arial"/>
                <w:sz w:val="18"/>
                <w:szCs w:val="18"/>
                <w:color w:val="auto"/>
              </w:rPr>
              <w:t>381.2</w:t>
            </w:r>
          </w:p>
        </w:tc>
        <w:tc>
          <w:tcPr>
            <w:tcW w:w="380" w:type="dxa"/>
            <w:vAlign w:val="bottom"/>
            <w:tcBorders>
              <w:bottom w:val="single" w:sz="8" w:color="auto"/>
            </w:tcBorders>
            <w:shd w:val="clear" w:color="auto" w:fill="D8D8D8"/>
          </w:tcPr>
          <w:p>
            <w:pPr>
              <w:spacing w:after="0"/>
              <w:rPr>
                <w:sz w:val="21"/>
                <w:szCs w:val="21"/>
                <w:color w:val="auto"/>
              </w:rPr>
            </w:pPr>
          </w:p>
        </w:tc>
        <w:tc>
          <w:tcPr>
            <w:tcW w:w="1000" w:type="dxa"/>
            <w:vAlign w:val="bottom"/>
            <w:tcBorders>
              <w:bottom w:val="single" w:sz="8" w:color="auto"/>
            </w:tcBorders>
            <w:shd w:val="clear" w:color="auto" w:fill="D8D8D8"/>
          </w:tcPr>
          <w:p>
            <w:pPr>
              <w:jc w:val="right"/>
              <w:ind w:right="34"/>
              <w:spacing w:after="0"/>
              <w:rPr>
                <w:sz w:val="20"/>
                <w:szCs w:val="20"/>
                <w:color w:val="auto"/>
              </w:rPr>
            </w:pPr>
            <w:r>
              <w:rPr>
                <w:rFonts w:ascii="Arial" w:cs="Arial" w:eastAsia="Arial" w:hAnsi="Arial"/>
                <w:sz w:val="18"/>
                <w:szCs w:val="18"/>
                <w:color w:val="auto"/>
              </w:rPr>
              <w:t>189.5</w:t>
            </w:r>
          </w:p>
        </w:tc>
        <w:tc>
          <w:tcPr>
            <w:tcW w:w="280" w:type="dxa"/>
            <w:vAlign w:val="bottom"/>
            <w:tcBorders>
              <w:bottom w:val="single" w:sz="8" w:color="auto"/>
            </w:tcBorders>
            <w:shd w:val="clear" w:color="auto" w:fill="D8D8D8"/>
          </w:tcPr>
          <w:p>
            <w:pPr>
              <w:spacing w:after="0"/>
              <w:rPr>
                <w:sz w:val="21"/>
                <w:szCs w:val="21"/>
                <w:color w:val="auto"/>
              </w:rPr>
            </w:pPr>
          </w:p>
        </w:tc>
        <w:tc>
          <w:tcPr>
            <w:tcW w:w="1080" w:type="dxa"/>
            <w:vAlign w:val="bottom"/>
            <w:tcBorders>
              <w:bottom w:val="single" w:sz="8" w:color="auto"/>
            </w:tcBorders>
            <w:shd w:val="clear" w:color="auto" w:fill="D8D8D8"/>
          </w:tcPr>
          <w:p>
            <w:pPr>
              <w:jc w:val="right"/>
              <w:ind w:right="14"/>
              <w:spacing w:after="0"/>
              <w:rPr>
                <w:sz w:val="20"/>
                <w:szCs w:val="20"/>
                <w:color w:val="auto"/>
              </w:rPr>
            </w:pPr>
            <w:r>
              <w:rPr>
                <w:rFonts w:ascii="Arial" w:cs="Arial" w:eastAsia="Arial" w:hAnsi="Arial"/>
                <w:sz w:val="18"/>
                <w:szCs w:val="18"/>
                <w:color w:val="auto"/>
              </w:rPr>
              <w:t>1,484.1</w:t>
            </w:r>
          </w:p>
        </w:tc>
      </w:tr>
      <w:tr>
        <w:trPr>
          <w:trHeight w:val="271"/>
        </w:trPr>
        <w:tc>
          <w:tcPr>
            <w:tcW w:w="4640" w:type="dxa"/>
            <w:vAlign w:val="bottom"/>
          </w:tcPr>
          <w:p>
            <w:pPr>
              <w:ind w:left="4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27,671.9</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13,311.6</w:t>
            </w:r>
          </w:p>
        </w:tc>
        <w:tc>
          <w:tcPr>
            <w:tcW w:w="500" w:type="dxa"/>
            <w:vAlign w:val="bottom"/>
            <w:tcBorders>
              <w:bottom w:val="single" w:sz="8" w:color="auto"/>
            </w:tcBorders>
          </w:tcPr>
          <w:p>
            <w:pPr>
              <w:jc w:val="right"/>
              <w:ind w:right="76"/>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3,105.9</w:t>
            </w:r>
          </w:p>
        </w:tc>
        <w:tc>
          <w:tcPr>
            <w:tcW w:w="3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1,434.9</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9,819.5</w:t>
            </w:r>
          </w:p>
        </w:tc>
      </w:tr>
    </w:tbl>
    <w:p>
      <w:pPr>
        <w:spacing w:after="0" w:line="95" w:lineRule="exact"/>
        <w:rPr>
          <w:sz w:val="20"/>
          <w:szCs w:val="20"/>
          <w:color w:val="auto"/>
        </w:rPr>
      </w:pPr>
    </w:p>
    <w:p>
      <w:pPr>
        <w:ind w:left="180" w:right="80" w:hanging="172"/>
        <w:spacing w:after="0" w:line="239" w:lineRule="auto"/>
        <w:tabs>
          <w:tab w:leader="none" w:pos="153" w:val="left"/>
        </w:tabs>
        <w:numPr>
          <w:ilvl w:val="0"/>
          <w:numId w:val="50"/>
        </w:numPr>
        <w:rPr>
          <w:rFonts w:ascii="Arial" w:cs="Arial" w:eastAsia="Arial" w:hAnsi="Arial"/>
          <w:sz w:val="17"/>
          <w:szCs w:val="17"/>
          <w:color w:val="auto"/>
          <w:vertAlign w:val="superscript"/>
        </w:rPr>
      </w:pPr>
      <w:r>
        <w:rPr>
          <w:rFonts w:ascii="Arial" w:cs="Arial" w:eastAsia="Arial" w:hAnsi="Arial"/>
          <w:sz w:val="14"/>
          <w:szCs w:val="14"/>
          <w:color w:val="auto"/>
        </w:rPr>
        <w:t>Our long-term debt obligations include both our expected principal and interest obligations and our interest rate swaps. We used the interest rate forward curve at December 31, 2015, to compute the amount of the contractual obligation for interest on the variable rate debt instruments and swaps.</w:t>
      </w:r>
    </w:p>
    <w:p>
      <w:pPr>
        <w:spacing w:after="0" w:line="77" w:lineRule="exact"/>
        <w:rPr>
          <w:rFonts w:ascii="Arial" w:cs="Arial" w:eastAsia="Arial" w:hAnsi="Arial"/>
          <w:sz w:val="17"/>
          <w:szCs w:val="17"/>
          <w:color w:val="auto"/>
          <w:vertAlign w:val="superscript"/>
        </w:rPr>
      </w:pPr>
    </w:p>
    <w:p>
      <w:pPr>
        <w:ind w:left="140" w:hanging="132"/>
        <w:spacing w:after="0"/>
        <w:tabs>
          <w:tab w:leader="none" w:pos="140" w:val="left"/>
        </w:tabs>
        <w:numPr>
          <w:ilvl w:val="0"/>
          <w:numId w:val="50"/>
        </w:numPr>
        <w:rPr>
          <w:rFonts w:ascii="Arial" w:cs="Arial" w:eastAsia="Arial" w:hAnsi="Arial"/>
          <w:sz w:val="16"/>
          <w:szCs w:val="16"/>
          <w:color w:val="auto"/>
          <w:vertAlign w:val="superscript"/>
        </w:rPr>
      </w:pPr>
      <w:r>
        <w:rPr>
          <w:rFonts w:ascii="Arial" w:cs="Arial" w:eastAsia="Arial" w:hAnsi="Arial"/>
          <w:sz w:val="13"/>
          <w:szCs w:val="13"/>
          <w:color w:val="auto"/>
        </w:rPr>
        <w:t>We have included the following:</w:t>
      </w:r>
    </w:p>
    <w:p>
      <w:pPr>
        <w:spacing w:after="0" w:line="86" w:lineRule="exact"/>
        <w:rPr>
          <w:rFonts w:ascii="Arial" w:cs="Arial" w:eastAsia="Arial" w:hAnsi="Arial"/>
          <w:sz w:val="16"/>
          <w:szCs w:val="16"/>
          <w:color w:val="auto"/>
          <w:vertAlign w:val="superscript"/>
        </w:rPr>
      </w:pPr>
    </w:p>
    <w:p>
      <w:pPr>
        <w:ind w:left="820" w:right="380" w:hanging="326"/>
        <w:spacing w:after="0" w:line="291" w:lineRule="auto"/>
        <w:tabs>
          <w:tab w:leader="none" w:pos="820" w:val="left"/>
        </w:tabs>
        <w:numPr>
          <w:ilvl w:val="1"/>
          <w:numId w:val="50"/>
        </w:numPr>
        <w:rPr>
          <w:rFonts w:ascii="Arial" w:cs="Arial" w:eastAsia="Arial" w:hAnsi="Arial"/>
          <w:sz w:val="14"/>
          <w:szCs w:val="14"/>
          <w:color w:val="auto"/>
        </w:rPr>
      </w:pPr>
      <w:r>
        <w:rPr>
          <w:rFonts w:ascii="Arial" w:cs="Arial" w:eastAsia="Arial" w:hAnsi="Arial"/>
          <w:sz w:val="14"/>
          <w:szCs w:val="14"/>
          <w:color w:val="auto"/>
        </w:rPr>
        <w:t>Purchase obligations consisting primarily of all open purchase orders as of December 31, 2015. Some of these purchase orders may be cancelable; however, for purposes of this disclosure, we have not distinguished between cancelable and noncancelable purchase obligations.</w:t>
      </w:r>
    </w:p>
    <w:p>
      <w:pPr>
        <w:spacing w:after="0" w:line="41" w:lineRule="exact"/>
        <w:rPr>
          <w:rFonts w:ascii="Arial" w:cs="Arial" w:eastAsia="Arial" w:hAnsi="Arial"/>
          <w:sz w:val="14"/>
          <w:szCs w:val="14"/>
          <w:color w:val="auto"/>
        </w:rPr>
      </w:pPr>
    </w:p>
    <w:p>
      <w:pPr>
        <w:ind w:left="820" w:hanging="326"/>
        <w:spacing w:after="0"/>
        <w:tabs>
          <w:tab w:leader="none" w:pos="820" w:val="left"/>
        </w:tabs>
        <w:numPr>
          <w:ilvl w:val="1"/>
          <w:numId w:val="50"/>
        </w:numPr>
        <w:rPr>
          <w:rFonts w:ascii="Arial" w:cs="Arial" w:eastAsia="Arial" w:hAnsi="Arial"/>
          <w:sz w:val="14"/>
          <w:szCs w:val="14"/>
          <w:color w:val="auto"/>
        </w:rPr>
      </w:pPr>
      <w:r>
        <w:rPr>
          <w:rFonts w:ascii="Arial" w:cs="Arial" w:eastAsia="Arial" w:hAnsi="Arial"/>
          <w:sz w:val="14"/>
          <w:szCs w:val="14"/>
          <w:color w:val="auto"/>
        </w:rPr>
        <w:t>Contractual payment obligations with each of our significant vendors, which are noncancelable and are not contingent.</w:t>
      </w:r>
    </w:p>
    <w:p>
      <w:pPr>
        <w:spacing w:after="0" w:line="109" w:lineRule="exact"/>
        <w:rPr>
          <w:rFonts w:ascii="Arial" w:cs="Arial" w:eastAsia="Arial" w:hAnsi="Arial"/>
          <w:sz w:val="14"/>
          <w:szCs w:val="14"/>
          <w:color w:val="auto"/>
        </w:rPr>
      </w:pPr>
    </w:p>
    <w:p>
      <w:pPr>
        <w:ind w:left="180" w:right="300" w:hanging="172"/>
        <w:spacing w:after="0" w:line="239" w:lineRule="auto"/>
        <w:tabs>
          <w:tab w:leader="none" w:pos="153" w:val="left"/>
        </w:tabs>
        <w:numPr>
          <w:ilvl w:val="0"/>
          <w:numId w:val="50"/>
        </w:numPr>
        <w:rPr>
          <w:rFonts w:ascii="Arial" w:cs="Arial" w:eastAsia="Arial" w:hAnsi="Arial"/>
          <w:sz w:val="17"/>
          <w:szCs w:val="17"/>
          <w:color w:val="auto"/>
          <w:vertAlign w:val="superscript"/>
        </w:rPr>
      </w:pPr>
      <w:r>
        <w:rPr>
          <w:rFonts w:ascii="Arial" w:cs="Arial" w:eastAsia="Arial" w:hAnsi="Arial"/>
          <w:sz w:val="14"/>
          <w:szCs w:val="14"/>
          <w:color w:val="auto"/>
        </w:rPr>
        <w:t>We have included long-term liabilities consisting primarily of our nonqualified supplemental pension funding requirements and deferred compensation liabilities. We excluded long-term income taxes payable of $868.9 million, because we cannot reasonably estimate the timing of future cash outflows associated with those liabilities.</w:t>
      </w:r>
    </w:p>
    <w:p>
      <w:pPr>
        <w:spacing w:after="0" w:line="68" w:lineRule="exact"/>
        <w:rPr>
          <w:sz w:val="20"/>
          <w:szCs w:val="20"/>
          <w:color w:val="auto"/>
        </w:rPr>
      </w:pPr>
    </w:p>
    <w:p>
      <w:pPr>
        <w:spacing w:after="0" w:line="292" w:lineRule="auto"/>
        <w:rPr>
          <w:sz w:val="20"/>
          <w:szCs w:val="20"/>
          <w:color w:val="auto"/>
        </w:rPr>
      </w:pPr>
      <w:r>
        <w:rPr>
          <w:rFonts w:ascii="Arial" w:cs="Arial" w:eastAsia="Arial" w:hAnsi="Arial"/>
          <w:sz w:val="18"/>
          <w:szCs w:val="18"/>
          <w:color w:val="auto"/>
        </w:rPr>
        <w:t>The contractual obligations table is current as of December 31, 2015. We expect the amount of these obligations to change materially over time as new contracts are initiated and existing contracts are completed, terminated, or modified.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APPLICATION OF CRITICAL ACCOUNTING ESTIMATES</w:t>
      </w:r>
    </w:p>
    <w:p>
      <w:pPr>
        <w:spacing w:after="0" w:line="173"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In preparing our financial statements in accordance with accounting principles generally accepted in the U.S., we must often make estimates and assumptions that affect the reported amounts of assets, liabilities, revenues, expenses, and related disclosures. Some of those judgments can be subjective and complex, and consequently actual results could differ from those estimates. For any given individual estimate or assumption we make, it is possible that other people applying reasonable judgment to the same facts and circumstances could develop different estimates. We believe that, given current facts and circumstances, it is unlikely that applying any such other reasonable judgment would cause a material adverse effect on our consolidated results of operations, financial position, or liquidity for the periods presented in this report. Our most critical accounting estimates have been discussed with our audit committee and are described below.</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Revenue Recognition and Sales Return, Rebate, and Discount Accruals</w:t>
      </w:r>
    </w:p>
    <w:p>
      <w:pPr>
        <w:spacing w:after="0" w:line="119" w:lineRule="exact"/>
        <w:rPr>
          <w:sz w:val="20"/>
          <w:szCs w:val="20"/>
          <w:color w:val="auto"/>
        </w:rPr>
      </w:pPr>
    </w:p>
    <w:p>
      <w:pPr>
        <w:ind w:right="320"/>
        <w:spacing w:after="0" w:line="292" w:lineRule="auto"/>
        <w:rPr>
          <w:sz w:val="20"/>
          <w:szCs w:val="20"/>
          <w:color w:val="auto"/>
        </w:rPr>
      </w:pPr>
      <w:r>
        <w:rPr>
          <w:rFonts w:ascii="Arial" w:cs="Arial" w:eastAsia="Arial" w:hAnsi="Arial"/>
          <w:sz w:val="18"/>
          <w:szCs w:val="18"/>
          <w:color w:val="auto"/>
        </w:rPr>
        <w:t>We recognize revenue from sales of products at the time title of goods passes to the buyer and the buyer assumes the risks and rewards of ownership. Provisions for returns, rebates, and discounts are established in the same period the related sales are recorded.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48</w:t>
      </w:r>
    </w:p>
    <w:p>
      <w:pPr>
        <w:sectPr>
          <w:pgSz w:w="11900" w:h="16838" w:orient="portrait"/>
          <w:cols w:equalWidth="0" w:num="1">
            <w:col w:w="11420"/>
          </w:cols>
          <w:pgMar w:left="240" w:top="684"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i w:val="1"/>
          <w:iCs w:val="1"/>
          <w:color w:val="auto"/>
        </w:rPr>
        <w:t>Sales Returns - Background and Uncertainties</w:t>
      </w:r>
    </w:p>
    <w:p>
      <w:pPr>
        <w:spacing w:after="0" w:line="11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We regularly review the supply levels of our significant products sold to major wholesalers in the U.S. and in major markets outside the U.S., primarily by reviewing periodic inventory reports supplied by our major wholesalers and available prescription volume information for our products, or alternative approaches. We attempt to maintain U.S. wholesaler inventory levels at an average of approximately one month or less on a consistent basis across our product portfolio. Causes of unusual wholesaler buying patterns include actual or anticipated product-supply issues, weather patterns, anticipated changes in the transportation network, redundant holiday stocking, and changes in wholesaler business operations. In the U.S., the current structure of our arrangements does not provide an incentive for speculative wholesaler buying and provides us with data on inventory levels at our wholesalers. When we believe wholesaler purchasing patterns have caused an unusual increase or decrease in the sales of a major product compared with underlying demand, we disclose this in our product sales discussion if we believe the amount is material to the product sales trend; however, we are not always able to accurately quantify the amount of stocking or destocking in the retail channel. Wholesaler stocking and destocking activity historically has not caused any material changes in the rate of actual product returns.</w:t>
      </w:r>
    </w:p>
    <w:p>
      <w:pPr>
        <w:spacing w:after="0" w:line="75"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When sales occur, we estimate a reserve for future product returns related to those sales. This estimate is based on several factors, including: historical return rates, expiration date by product (generally, 24 to 36 months after the initial sale of a product to our customer), and estimated levels of inventory in the wholesale and retail channels, among others, as well as any other specifically-identified anticipated returns due to known factors such as the loss of patent exclusivity, product recalls and discontinuances, or a changing competitive environment. We maintain a returns policy that allows U.S. pharmaceutical customers to return product for dating issues within a specified period prior to and subsequent to the product's expiration date. Following the loss of exclusivity for a patent-dependent product, we expect to experience an elevated level of product returns as product inventory remaining in the wholesale and retail channels expires. Adjustments to the returns reserve may be required in the future based on revised estimates to our assumptions, which would have an impact on our consolidated results of operations. We record the return amounts as a deduction to arrive at our net product sales. Once the product is returned, it is destroyed. Actual product returns have been less than 2 percent of our net sales over the past three years and have not fluctuated significantly as a percentage of sales. We expect the ratio of actual product returns as a percentage of net sales to increase in future periods as we begin to experience elevated return levels for Cymbalta following the loss of patent exclusivity in the U.S. market.</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Rebates and Discounts - Background and Uncertainties</w:t>
      </w:r>
    </w:p>
    <w:p>
      <w:pPr>
        <w:spacing w:after="0" w:line="115" w:lineRule="exact"/>
        <w:rPr>
          <w:sz w:val="20"/>
          <w:szCs w:val="20"/>
          <w:color w:val="auto"/>
        </w:rPr>
      </w:pPr>
    </w:p>
    <w:p>
      <w:pPr>
        <w:jc w:val="both"/>
        <w:ind w:right="120"/>
        <w:spacing w:after="0" w:line="260" w:lineRule="auto"/>
        <w:rPr>
          <w:sz w:val="20"/>
          <w:szCs w:val="20"/>
          <w:color w:val="auto"/>
        </w:rPr>
      </w:pPr>
      <w:r>
        <w:rPr>
          <w:rFonts w:ascii="Arial" w:cs="Arial" w:eastAsia="Arial" w:hAnsi="Arial"/>
          <w:sz w:val="18"/>
          <w:szCs w:val="18"/>
          <w:color w:val="auto"/>
        </w:rPr>
        <w:t>We establish sales rebate and discount accruals in the same period as the related sales. The rebate and discount amounts are recorded as a deduction to arrive at our net product sales. Sales rebates and discounts that require the use of judgment in the establishment of the accrual include Medicaid, managed care, Medicare, chargebacks, long-term care, hospital, patient assistance programs, and various other programs. We base these accruals primarily upon our historical rebate and discount payments made to our customer segment groups and the provisions of current rebate and discount contracts.</w:t>
      </w:r>
    </w:p>
    <w:p>
      <w:pPr>
        <w:spacing w:after="0" w:line="6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largest of our sales rebate and discount amounts are rebates associated with sales covered by Medicaid and managed care contracts. In determining the appropriate accrual amount, we consider our historical Medicaid and managed care rebate payments by product as a percentage of our historical sales as well as any significant changes in sales trends (e.g., patent expiries), an evaluation of the current Medicaid and managed care contracts, the percentage of our products that are sold via Medicaid and managed care contracts, and our product pricing. Although we accrue a liability for Medicaid and managed care rebates at the time we record the sale (when the product is shipped), the Medicaid and managed care rebate related to that sale is typically paid up to six months later. Because of this time lag, in any particular period our rebate adjustments may incorporate revisions of accruals for several periods.</w:t>
      </w:r>
    </w:p>
    <w:p>
      <w:pPr>
        <w:spacing w:after="0" w:line="69" w:lineRule="exact"/>
        <w:rPr>
          <w:sz w:val="20"/>
          <w:szCs w:val="20"/>
          <w:color w:val="auto"/>
        </w:rPr>
      </w:pPr>
    </w:p>
    <w:p>
      <w:pPr>
        <w:ind w:right="120"/>
        <w:spacing w:after="0" w:line="260" w:lineRule="auto"/>
        <w:rPr>
          <w:sz w:val="20"/>
          <w:szCs w:val="20"/>
          <w:color w:val="auto"/>
        </w:rPr>
      </w:pPr>
      <w:r>
        <w:rPr>
          <w:rFonts w:ascii="Arial" w:cs="Arial" w:eastAsia="Arial" w:hAnsi="Arial"/>
          <w:sz w:val="18"/>
          <w:szCs w:val="18"/>
          <w:color w:val="auto"/>
        </w:rPr>
        <w:t>Most of our rebates outside the U.S. are contractual or legislatively mandated and are estimated and recognized in the same period as the related sales. In some large European countries, government rebates are based on the anticipated budget for pharmaceutical payments in the country. A best estimate of these rebates, updated as governmental authorities revise budgeted deficits, is recognized in the same period as the related sale. If our estimates are not reflective of the actual pharmaceutical costs incurred by the government, we adjust our rebate reserves.</w:t>
      </w:r>
    </w:p>
    <w:p>
      <w:pPr>
        <w:spacing w:after="0" w:line="20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49</w:t>
      </w:r>
    </w:p>
    <w:p>
      <w:pPr>
        <w:sectPr>
          <w:pgSz w:w="11900" w:h="16838" w:orient="portrait"/>
          <w:cols w:equalWidth="0" w:num="1">
            <w:col w:w="11420"/>
          </w:cols>
          <w:pgMar w:left="240" w:top="686" w:right="239" w:bottom="1440" w:gutter="0" w:footer="0" w:header="0"/>
        </w:sectPr>
      </w:pPr>
    </w:p>
    <w:bookmarkStart w:id="49" w:name="page50"/>
    <w:bookmarkEnd w:id="49"/>
    <w:p>
      <w:pPr>
        <w:spacing w:after="0"/>
        <w:rPr>
          <w:sz w:val="20"/>
          <w:szCs w:val="20"/>
          <w:color w:val="auto"/>
        </w:rPr>
      </w:pPr>
      <w:r>
        <w:rPr>
          <w:rFonts w:ascii="Arial" w:cs="Arial" w:eastAsia="Arial" w:hAnsi="Arial"/>
          <w:sz w:val="18"/>
          <w:szCs w:val="18"/>
          <w:i w:val="1"/>
          <w:iCs w:val="1"/>
          <w:color w:val="auto"/>
        </w:rPr>
        <w:t>Financial Statement Impact</w:t>
      </w:r>
    </w:p>
    <w:p>
      <w:pPr>
        <w:spacing w:after="0" w:line="115" w:lineRule="exact"/>
        <w:rPr>
          <w:sz w:val="20"/>
          <w:szCs w:val="20"/>
          <w:color w:val="auto"/>
        </w:rPr>
      </w:pPr>
    </w:p>
    <w:p>
      <w:pPr>
        <w:ind w:right="80"/>
        <w:spacing w:after="0" w:line="260" w:lineRule="auto"/>
        <w:rPr>
          <w:sz w:val="20"/>
          <w:szCs w:val="20"/>
          <w:color w:val="auto"/>
        </w:rPr>
      </w:pPr>
      <w:r>
        <w:rPr>
          <w:rFonts w:ascii="Arial" w:cs="Arial" w:eastAsia="Arial" w:hAnsi="Arial"/>
          <w:sz w:val="18"/>
          <w:szCs w:val="18"/>
          <w:color w:val="auto"/>
        </w:rPr>
        <w:t>We believe that our accruals for sales returns, rebates, and discounts are reasonable and appropriate based on current facts and circumstances. Our global rebate and discount liabilities are included in sales rebates and discounts on our consolidated balance sheet. Our global sales return liability is included in other current liabilities and other noncurrent liabilities on our consolidated balance sheet. As of December 31, 2015, a 5 percent change in our global sales return, rebate, and discount liability would have led to an approximate $158 million effect on our income before income taxes.</w:t>
      </w:r>
    </w:p>
    <w:p>
      <w:pPr>
        <w:spacing w:after="0" w:line="67" w:lineRule="exact"/>
        <w:rPr>
          <w:sz w:val="20"/>
          <w:szCs w:val="20"/>
          <w:color w:val="auto"/>
        </w:rPr>
      </w:pPr>
    </w:p>
    <w:p>
      <w:pPr>
        <w:ind w:right="500"/>
        <w:spacing w:after="0" w:line="292" w:lineRule="auto"/>
        <w:rPr>
          <w:sz w:val="20"/>
          <w:szCs w:val="20"/>
          <w:color w:val="auto"/>
        </w:rPr>
      </w:pPr>
      <w:r>
        <w:rPr>
          <w:rFonts w:ascii="Arial" w:cs="Arial" w:eastAsia="Arial" w:hAnsi="Arial"/>
          <w:sz w:val="18"/>
          <w:szCs w:val="18"/>
          <w:color w:val="auto"/>
        </w:rPr>
        <w:t>The portion of our global sales return, rebate, and discount liability resulting from sales of our products in the U.S. was 87 percent and 88 percent as of December 31, 2015 and 2014, respectively.</w:t>
      </w:r>
    </w:p>
    <w:p>
      <w:pPr>
        <w:spacing w:after="0" w:line="37" w:lineRule="exact"/>
        <w:rPr>
          <w:sz w:val="20"/>
          <w:szCs w:val="20"/>
          <w:color w:val="auto"/>
        </w:rPr>
      </w:pPr>
    </w:p>
    <w:p>
      <w:pPr>
        <w:ind w:right="720"/>
        <w:spacing w:after="0" w:line="292" w:lineRule="auto"/>
        <w:rPr>
          <w:sz w:val="20"/>
          <w:szCs w:val="20"/>
          <w:color w:val="auto"/>
        </w:rPr>
      </w:pPr>
      <w:r>
        <w:rPr>
          <w:rFonts w:ascii="Arial" w:cs="Arial" w:eastAsia="Arial" w:hAnsi="Arial"/>
          <w:sz w:val="18"/>
          <w:szCs w:val="18"/>
          <w:color w:val="auto"/>
        </w:rPr>
        <w:t>The following represents a roll-forward of our most significant U.S. pharmaceutical sales return, rebate, and discount liability balances, including Medicaid and managed care:</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7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2015</w:t>
            </w:r>
          </w:p>
        </w:tc>
        <w:tc>
          <w:tcPr>
            <w:tcW w:w="3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2014</w:t>
            </w:r>
          </w:p>
        </w:tc>
      </w:tr>
      <w:tr>
        <w:trPr>
          <w:trHeight w:val="265"/>
        </w:trPr>
        <w:tc>
          <w:tcPr>
            <w:tcW w:w="8780" w:type="dxa"/>
            <w:vAlign w:val="bottom"/>
            <w:shd w:val="clear" w:color="auto" w:fill="D8D8D8"/>
          </w:tcPr>
          <w:p>
            <w:pPr>
              <w:ind w:left="40"/>
              <w:spacing w:after="0"/>
              <w:rPr>
                <w:sz w:val="20"/>
                <w:szCs w:val="20"/>
                <w:color w:val="auto"/>
              </w:rPr>
            </w:pPr>
            <w:r>
              <w:rPr>
                <w:rFonts w:ascii="Arial" w:cs="Arial" w:eastAsia="Arial" w:hAnsi="Arial"/>
                <w:sz w:val="18"/>
                <w:szCs w:val="18"/>
                <w:color w:val="auto"/>
              </w:rPr>
              <w:t>Sales return, rebate, and discount liabilities, beginning of year</w:t>
            </w:r>
          </w:p>
        </w:tc>
        <w:tc>
          <w:tcPr>
            <w:tcW w:w="300" w:type="dxa"/>
            <w:vAlign w:val="bottom"/>
            <w:shd w:val="clear" w:color="auto" w:fill="D8D8D8"/>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00" w:type="dxa"/>
            <w:vAlign w:val="bottom"/>
            <w:shd w:val="clear" w:color="auto" w:fill="D8D8D8"/>
          </w:tcPr>
          <w:p>
            <w:pPr>
              <w:jc w:val="right"/>
              <w:ind w:right="74"/>
              <w:spacing w:after="0"/>
              <w:rPr>
                <w:sz w:val="20"/>
                <w:szCs w:val="20"/>
                <w:color w:val="auto"/>
              </w:rPr>
            </w:pPr>
            <w:r>
              <w:rPr>
                <w:rFonts w:ascii="Arial" w:cs="Arial" w:eastAsia="Arial" w:hAnsi="Arial"/>
                <w:sz w:val="18"/>
                <w:szCs w:val="18"/>
                <w:b w:val="1"/>
                <w:bCs w:val="1"/>
                <w:color w:val="auto"/>
              </w:rPr>
              <w:t>2,241.4</w:t>
            </w:r>
          </w:p>
        </w:tc>
        <w:tc>
          <w:tcPr>
            <w:tcW w:w="360" w:type="dxa"/>
            <w:vAlign w:val="bottom"/>
            <w:shd w:val="clear" w:color="auto" w:fill="D8D8D8"/>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shd w:val="clear" w:color="auto" w:fill="D8D8D8"/>
          </w:tcPr>
          <w:p>
            <w:pPr>
              <w:jc w:val="right"/>
              <w:ind w:right="34"/>
              <w:spacing w:after="0"/>
              <w:rPr>
                <w:sz w:val="20"/>
                <w:szCs w:val="20"/>
                <w:color w:val="auto"/>
              </w:rPr>
            </w:pPr>
            <w:r>
              <w:rPr>
                <w:rFonts w:ascii="Arial" w:cs="Arial" w:eastAsia="Arial" w:hAnsi="Arial"/>
                <w:sz w:val="18"/>
                <w:szCs w:val="18"/>
                <w:color w:val="auto"/>
              </w:rPr>
              <w:t>2,215.5</w:t>
            </w:r>
          </w:p>
        </w:tc>
      </w:tr>
      <w:tr>
        <w:trPr>
          <w:trHeight w:val="270"/>
        </w:trPr>
        <w:tc>
          <w:tcPr>
            <w:tcW w:w="8780" w:type="dxa"/>
            <w:vAlign w:val="bottom"/>
          </w:tcPr>
          <w:p>
            <w:pPr>
              <w:ind w:left="280"/>
              <w:spacing w:after="0"/>
              <w:rPr>
                <w:sz w:val="20"/>
                <w:szCs w:val="20"/>
                <w:color w:val="auto"/>
              </w:rPr>
            </w:pPr>
            <w:r>
              <w:rPr>
                <w:rFonts w:ascii="Arial" w:cs="Arial" w:eastAsia="Arial" w:hAnsi="Arial"/>
                <w:sz w:val="18"/>
                <w:szCs w:val="18"/>
                <w:color w:val="auto"/>
              </w:rPr>
              <w:t>Reduction of net sales due to sales returns, discounts, and rebates</w:t>
            </w:r>
            <w:r>
              <w:rPr>
                <w:rFonts w:ascii="Arial" w:cs="Arial" w:eastAsia="Arial" w:hAnsi="Arial"/>
                <w:sz w:val="21"/>
                <w:szCs w:val="21"/>
                <w:color w:val="auto"/>
                <w:vertAlign w:val="superscript"/>
              </w:rPr>
              <w:t>(1)</w:t>
            </w:r>
          </w:p>
        </w:tc>
        <w:tc>
          <w:tcPr>
            <w:tcW w:w="300" w:type="dxa"/>
            <w:vAlign w:val="bottom"/>
          </w:tcPr>
          <w:p>
            <w:pPr>
              <w:spacing w:after="0"/>
              <w:rPr>
                <w:sz w:val="23"/>
                <w:szCs w:val="23"/>
                <w:color w:val="auto"/>
              </w:rPr>
            </w:pPr>
          </w:p>
        </w:tc>
        <w:tc>
          <w:tcPr>
            <w:tcW w:w="1000" w:type="dxa"/>
            <w:vAlign w:val="bottom"/>
          </w:tcPr>
          <w:p>
            <w:pPr>
              <w:jc w:val="right"/>
              <w:ind w:right="74"/>
              <w:spacing w:after="0"/>
              <w:rPr>
                <w:sz w:val="20"/>
                <w:szCs w:val="20"/>
                <w:color w:val="auto"/>
              </w:rPr>
            </w:pPr>
            <w:r>
              <w:rPr>
                <w:rFonts w:ascii="Arial" w:cs="Arial" w:eastAsia="Arial" w:hAnsi="Arial"/>
                <w:sz w:val="18"/>
                <w:szCs w:val="18"/>
                <w:b w:val="1"/>
                <w:bCs w:val="1"/>
                <w:color w:val="auto"/>
              </w:rPr>
              <w:t>6,245.1</w:t>
            </w:r>
          </w:p>
        </w:tc>
        <w:tc>
          <w:tcPr>
            <w:tcW w:w="360" w:type="dxa"/>
            <w:vAlign w:val="bottom"/>
          </w:tcPr>
          <w:p>
            <w:pPr>
              <w:spacing w:after="0"/>
              <w:rPr>
                <w:sz w:val="23"/>
                <w:szCs w:val="23"/>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4,707.8</w:t>
            </w:r>
          </w:p>
        </w:tc>
      </w:tr>
      <w:tr>
        <w:trPr>
          <w:trHeight w:val="270"/>
        </w:trPr>
        <w:tc>
          <w:tcPr>
            <w:tcW w:w="8780" w:type="dxa"/>
            <w:vAlign w:val="bottom"/>
            <w:shd w:val="clear" w:color="auto" w:fill="D8D8D8"/>
          </w:tcPr>
          <w:p>
            <w:pPr>
              <w:ind w:left="280"/>
              <w:spacing w:after="0"/>
              <w:rPr>
                <w:sz w:val="20"/>
                <w:szCs w:val="20"/>
                <w:color w:val="auto"/>
              </w:rPr>
            </w:pPr>
            <w:r>
              <w:rPr>
                <w:rFonts w:ascii="Arial" w:cs="Arial" w:eastAsia="Arial" w:hAnsi="Arial"/>
                <w:sz w:val="18"/>
                <w:szCs w:val="18"/>
                <w:color w:val="auto"/>
              </w:rPr>
              <w:t>Cash payments of discounts and rebates</w:t>
            </w:r>
          </w:p>
        </w:tc>
        <w:tc>
          <w:tcPr>
            <w:tcW w:w="300" w:type="dxa"/>
            <w:vAlign w:val="bottom"/>
            <w:tcBorders>
              <w:bottom w:val="single" w:sz="8" w:color="auto"/>
            </w:tcBorders>
            <w:shd w:val="clear" w:color="auto" w:fill="D8D8D8"/>
          </w:tcPr>
          <w:p>
            <w:pPr>
              <w:spacing w:after="0"/>
              <w:rPr>
                <w:sz w:val="23"/>
                <w:szCs w:val="23"/>
                <w:color w:val="auto"/>
              </w:rPr>
            </w:pPr>
          </w:p>
        </w:tc>
        <w:tc>
          <w:tcPr>
            <w:tcW w:w="1000" w:type="dxa"/>
            <w:vAlign w:val="bottom"/>
            <w:tcBorders>
              <w:bottom w:val="single" w:sz="8" w:color="auto"/>
            </w:tcBorders>
            <w:shd w:val="clear" w:color="auto" w:fill="D8D8D8"/>
          </w:tcPr>
          <w:p>
            <w:pPr>
              <w:jc w:val="right"/>
              <w:ind w:right="14"/>
              <w:spacing w:after="0"/>
              <w:rPr>
                <w:sz w:val="20"/>
                <w:szCs w:val="20"/>
                <w:color w:val="auto"/>
              </w:rPr>
            </w:pPr>
            <w:r>
              <w:rPr>
                <w:rFonts w:ascii="Arial" w:cs="Arial" w:eastAsia="Arial" w:hAnsi="Arial"/>
                <w:sz w:val="18"/>
                <w:szCs w:val="18"/>
                <w:b w:val="1"/>
                <w:bCs w:val="1"/>
                <w:color w:val="auto"/>
              </w:rPr>
              <w:t>(5,927.9)</w:t>
            </w:r>
          </w:p>
        </w:tc>
        <w:tc>
          <w:tcPr>
            <w:tcW w:w="360" w:type="dxa"/>
            <w:vAlign w:val="bottom"/>
            <w:tcBorders>
              <w:bottom w:val="single" w:sz="8" w:color="auto"/>
            </w:tcBorders>
            <w:shd w:val="clear" w:color="auto" w:fill="D8D8D8"/>
          </w:tcPr>
          <w:p>
            <w:pPr>
              <w:spacing w:after="0"/>
              <w:rPr>
                <w:sz w:val="23"/>
                <w:szCs w:val="23"/>
                <w:color w:val="auto"/>
              </w:rPr>
            </w:pPr>
          </w:p>
        </w:tc>
        <w:tc>
          <w:tcPr>
            <w:tcW w:w="96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(4,681.9)</w:t>
            </w:r>
          </w:p>
        </w:tc>
      </w:tr>
      <w:tr>
        <w:trPr>
          <w:trHeight w:val="271"/>
        </w:trPr>
        <w:tc>
          <w:tcPr>
            <w:tcW w:w="8780" w:type="dxa"/>
            <w:vAlign w:val="bottom"/>
          </w:tcPr>
          <w:p>
            <w:pPr>
              <w:ind w:left="40"/>
              <w:spacing w:after="0"/>
              <w:rPr>
                <w:sz w:val="20"/>
                <w:szCs w:val="20"/>
                <w:color w:val="auto"/>
              </w:rPr>
            </w:pPr>
            <w:r>
              <w:rPr>
                <w:rFonts w:ascii="Arial" w:cs="Arial" w:eastAsia="Arial" w:hAnsi="Arial"/>
                <w:sz w:val="18"/>
                <w:szCs w:val="18"/>
                <w:color w:val="auto"/>
              </w:rPr>
              <w:t>Sales return, rebate, and discount liabilities, end of year</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b w:val="1"/>
                <w:bCs w:val="1"/>
                <w:color w:val="auto"/>
              </w:rPr>
              <w:t>2,558.6</w:t>
            </w:r>
          </w:p>
        </w:tc>
        <w:tc>
          <w:tcPr>
            <w:tcW w:w="3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2,241.4</w:t>
            </w:r>
          </w:p>
        </w:tc>
      </w:tr>
    </w:tbl>
    <w:p>
      <w:pPr>
        <w:spacing w:after="0" w:line="28" w:lineRule="exact"/>
        <w:rPr>
          <w:sz w:val="20"/>
          <w:szCs w:val="20"/>
          <w:color w:val="auto"/>
        </w:rPr>
      </w:pPr>
    </w:p>
    <w:p>
      <w:pPr>
        <w:ind w:left="160" w:hanging="152"/>
        <w:spacing w:after="0"/>
        <w:tabs>
          <w:tab w:leader="none" w:pos="160" w:val="left"/>
        </w:tabs>
        <w:numPr>
          <w:ilvl w:val="0"/>
          <w:numId w:val="51"/>
        </w:numPr>
        <w:rPr>
          <w:rFonts w:ascii="Arial" w:cs="Arial" w:eastAsia="Arial" w:hAnsi="Arial"/>
          <w:sz w:val="18"/>
          <w:szCs w:val="18"/>
          <w:color w:val="auto"/>
          <w:vertAlign w:val="superscript"/>
        </w:rPr>
      </w:pPr>
      <w:r>
        <w:rPr>
          <w:rFonts w:ascii="Arial" w:cs="Arial" w:eastAsia="Arial" w:hAnsi="Arial"/>
          <w:sz w:val="14"/>
          <w:szCs w:val="14"/>
          <w:color w:val="auto"/>
        </w:rPr>
        <w:t>Adjustments of the estimates for these returns, rebates, and discounts to actual results were less than 1.5 percent of consolidated net sales for each of the years presented.</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Product Litigation Liabilities and Other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Background and Uncertainties</w:t>
      </w:r>
    </w:p>
    <w:p>
      <w:pPr>
        <w:spacing w:after="0" w:line="11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Product litigation liabilities and other contingencies are, by their nature, uncertain and are based upon complex judgments and probabilities. The factors we consider in developing our product litigation liability reserves and other contingent liability amounts include the merits and jurisdiction of the litigation, the nature and the number of other similar current and past litigation cases, the nature of the product and the current assessment of the science subject to the litigation, and the likelihood of settlement and current state of settlement discussions, if any. In addition, we accrue for certain product liability claims incurred, but not filed, to the extent we can formulate a reasonable estimate of their costs based primarily on historical claims experience and data regarding product usage. We accrue legal defense costs expected to be incurred in connection with significant product liability contingencies when both probable and reasonably estimable.</w:t>
      </w:r>
    </w:p>
    <w:p>
      <w:pPr>
        <w:spacing w:after="0" w:line="69"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color w:val="auto"/>
        </w:rPr>
        <w:t>We also consider the insurance coverage we have to diminish the exposure for periods covered by insurance. In assessing our insurance coverage, we consider the policy coverage limits and exclusions, the potential for denial of coverage by the insurance company, the financial condition of the insurers, and the possibility of and length of time for collection. Due to a very restrictive market for product liability insurance, we are self-insured for product liability losses for all our currently marketed products. In addition to insurance coverage, we also consider any third-party indemnification to which we are entitled, including the nature of the indemnification, the financial condition of the indemnifying party, and the possibility of and length of time for collection.</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Statement Impact</w:t>
      </w:r>
    </w:p>
    <w:p>
      <w:pPr>
        <w:spacing w:after="0" w:line="115" w:lineRule="exact"/>
        <w:rPr>
          <w:sz w:val="20"/>
          <w:szCs w:val="20"/>
          <w:color w:val="auto"/>
        </w:rPr>
      </w:pPr>
    </w:p>
    <w:p>
      <w:pPr>
        <w:ind w:right="160"/>
        <w:spacing w:after="0" w:line="292" w:lineRule="auto"/>
        <w:rPr>
          <w:sz w:val="20"/>
          <w:szCs w:val="20"/>
          <w:color w:val="auto"/>
        </w:rPr>
      </w:pPr>
      <w:r>
        <w:rPr>
          <w:rFonts w:ascii="Arial" w:cs="Arial" w:eastAsia="Arial" w:hAnsi="Arial"/>
          <w:sz w:val="18"/>
          <w:szCs w:val="18"/>
          <w:color w:val="auto"/>
        </w:rPr>
        <w:t>The litigation accruals and environmental liabilities and the related estimated insurance recoverables have been reflected on a gross basis as liabilities and assets, respectively, on our consolidated balance sheets.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Retirement Benefits Assumptions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Background and Uncertainties</w:t>
      </w:r>
    </w:p>
    <w:p>
      <w:pPr>
        <w:spacing w:after="0" w:line="115" w:lineRule="exact"/>
        <w:rPr>
          <w:sz w:val="20"/>
          <w:szCs w:val="20"/>
          <w:color w:val="auto"/>
        </w:rPr>
      </w:pPr>
    </w:p>
    <w:p>
      <w:pPr>
        <w:ind w:right="200"/>
        <w:spacing w:after="0" w:line="271" w:lineRule="auto"/>
        <w:rPr>
          <w:sz w:val="20"/>
          <w:szCs w:val="20"/>
          <w:color w:val="auto"/>
        </w:rPr>
      </w:pPr>
      <w:r>
        <w:rPr>
          <w:rFonts w:ascii="Arial" w:cs="Arial" w:eastAsia="Arial" w:hAnsi="Arial"/>
          <w:sz w:val="18"/>
          <w:szCs w:val="18"/>
          <w:color w:val="auto"/>
        </w:rPr>
        <w:t>Defined benefit pension plan and retiree health benefit plan costs include assumptions for the discount rate, retirement age, and expected return on plan assets. These assumptions have a significant effect on the amounts reported. In addition to the analysis below, see Note 14 to the consolidated financial statements for additional information regarding our retirement benefits.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50</w:t>
      </w:r>
    </w:p>
    <w:p>
      <w:pPr>
        <w:sectPr>
          <w:pgSz w:w="11900" w:h="16838" w:orient="portrait"/>
          <w:cols w:equalWidth="0" w:num="1">
            <w:col w:w="11400"/>
          </w:cols>
          <w:pgMar w:left="240" w:top="686" w:right="259" w:bottom="1440" w:gutter="0" w:footer="0" w:header="0"/>
        </w:sectPr>
      </w:pPr>
    </w:p>
    <w:bookmarkStart w:id="50" w:name="page51"/>
    <w:bookmarkEnd w:id="50"/>
    <w:p>
      <w:pPr>
        <w:ind w:right="20"/>
        <w:spacing w:after="0" w:line="257" w:lineRule="auto"/>
        <w:rPr>
          <w:sz w:val="20"/>
          <w:szCs w:val="20"/>
          <w:color w:val="auto"/>
        </w:rPr>
      </w:pPr>
      <w:r>
        <w:rPr>
          <w:rFonts w:ascii="Arial" w:cs="Arial" w:eastAsia="Arial" w:hAnsi="Arial"/>
          <w:sz w:val="18"/>
          <w:szCs w:val="18"/>
          <w:color w:val="auto"/>
        </w:rPr>
        <w:t>Annually, we evaluate the discount rate and the expected return on plan assets in our defined benefit pension and retiree health benefit plans. We use an actuarially determined, plan-specific yield curve of high quality, fixed income debt instruments to determine the discount rates. In evaluating the expected return on plan assets, we consider many factors, with a primary analysis of current and projected market conditions, asset returns and asset allocations (approximately 80 percent of which are growth investments); and the views of leading financial advisers and economists. We may also review our historical assumptions compared with actual results, as well as the discount rates and expected return on plan assets of other companies, where applicable. In evaluating our expected retirement age assumption, we consider the retirement ages of our past employees eligible for pension and medical benefits together with our expectations of future retirement ages.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Statement Impact</w:t>
      </w:r>
    </w:p>
    <w:p>
      <w:pPr>
        <w:spacing w:after="0" w:line="11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If the 2015 discount rate for the U.S. defined benefit pension and retiree health benefit plans (U.S. plans) were to change by a quarter percentage point, income before income taxes would change by $42.9 million. As of January 1, 2016, we changed the method used to estimate the service and interest cost components of the net periodic pension and retiree health benefit plan costs. Prior to this change, the service and interest costs were determined using a single weighted-average discount rate based on yield curves of high quality, fixed income debt instruments used to measure the benefit obligation at the beginning of the period. This new method uses the spot yield curve approach to estimate the service and interest costs by applying the specific spot rates along the yield curve to the projected cash outflows of our obligations. The new method provides a more precise measure of interest and service costs by improving the correlation between the projected benefit cash flows and the specific spot yield curve rates. The change does not affect the measurement of the total benefit obligations as the change in service and interest costs is recorded in the actuarial gains and losses recorded in accumulated other comprehensive loss. We will account for this as a change in estimate prospectively beginning in the first quarter of 2016. The decrease in the 2016 service and interest costs is expected to be approximately $110 million compared to the previous method.</w:t>
      </w:r>
    </w:p>
    <w:p>
      <w:pPr>
        <w:spacing w:after="0" w:line="75"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If the 2015 expected return on plan assets for U.S. plans were to change by a quarter percentage point, income before income taxes would change by $22.7 million. If our assumption regarding the 2015 expected age of future retirees for U.S. plans were adjusted by one year, our income before income taxes would be affected by $50.4 million. The U.S. plans, including Puerto Rico, represent approximately 75 percent of both the total projected benefit obligation and total plan assets at December 31, 2015.</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Impairment of Indefinite-Lived and Long-Lived Assets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Background and Uncertainties</w:t>
      </w:r>
    </w:p>
    <w:p>
      <w:pPr>
        <w:spacing w:after="0" w:line="11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We review the carrying value of long-lived assets (both intangible and tangible) for potential impairment on a periodic basis and whenever events or changes in circumstances indicate the carrying value of an asset may not be recoverable. We determine impairment by comparing the projected undiscounted cash flows to be generated by the asset to its carrying value. If an impairment is identified, a loss is recorded equal to the excess of the asset’s net book value over its fair value, and the cost basis is adjusted.</w:t>
      </w:r>
    </w:p>
    <w:p>
      <w:pPr>
        <w:spacing w:after="0" w:line="62" w:lineRule="exact"/>
        <w:rPr>
          <w:sz w:val="20"/>
          <w:szCs w:val="20"/>
          <w:color w:val="auto"/>
        </w:rPr>
      </w:pPr>
    </w:p>
    <w:p>
      <w:pPr>
        <w:ind w:right="180"/>
        <w:spacing w:after="0" w:line="292" w:lineRule="auto"/>
        <w:rPr>
          <w:sz w:val="20"/>
          <w:szCs w:val="20"/>
          <w:color w:val="auto"/>
        </w:rPr>
      </w:pPr>
      <w:r>
        <w:rPr>
          <w:rFonts w:ascii="Arial" w:cs="Arial" w:eastAsia="Arial" w:hAnsi="Arial"/>
          <w:sz w:val="18"/>
          <w:szCs w:val="18"/>
          <w:color w:val="auto"/>
        </w:rPr>
        <w:t>Goodwill and indefinite-lived intangible assets are reviewed for impairment at least annually and when certain impairment indicators are present. When required, a comparison of fair value to the carrying amount of assets is performed to determine the amount of any impairment.</w:t>
      </w:r>
    </w:p>
    <w:p>
      <w:pPr>
        <w:spacing w:after="0" w:line="37" w:lineRule="exact"/>
        <w:rPr>
          <w:sz w:val="20"/>
          <w:szCs w:val="20"/>
          <w:color w:val="auto"/>
        </w:rPr>
      </w:pPr>
    </w:p>
    <w:p>
      <w:pPr>
        <w:ind w:right="260"/>
        <w:spacing w:after="0" w:line="292" w:lineRule="auto"/>
        <w:rPr>
          <w:sz w:val="20"/>
          <w:szCs w:val="20"/>
          <w:color w:val="auto"/>
        </w:rPr>
      </w:pPr>
      <w:r>
        <w:rPr>
          <w:rFonts w:ascii="Arial" w:cs="Arial" w:eastAsia="Arial" w:hAnsi="Arial"/>
          <w:sz w:val="18"/>
          <w:szCs w:val="18"/>
          <w:color w:val="auto"/>
        </w:rPr>
        <w:t>Several methods may be used to determine the estimated fair value of acquired IPR&amp;D, all of which require multiple assumptions. We utilize the “income method,” as described in Note 8 to the consolidated financial statements.</w:t>
      </w:r>
    </w:p>
    <w:p>
      <w:pPr>
        <w:spacing w:after="0" w:line="3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For acquired IPR&amp;D assets, the risk of failure has been factored into the fair value measure and there can be no certainty that these assets ultimately will yield a successful product, as discussed previously in the “Late-Stage Pipeline” section. The nature of the pharmaceutical business is high-risk and requires that we invest in a large number of projects to build a successful portfolio of approved products. As such, it is likely that some acquired IPR&amp;D assets will become impaired in the future.</w:t>
      </w:r>
    </w:p>
    <w:p>
      <w:pPr>
        <w:spacing w:after="0" w:line="62" w:lineRule="exact"/>
        <w:rPr>
          <w:sz w:val="20"/>
          <w:szCs w:val="20"/>
          <w:color w:val="auto"/>
        </w:rPr>
      </w:pPr>
    </w:p>
    <w:p>
      <w:pPr>
        <w:ind w:right="1120"/>
        <w:spacing w:after="0" w:line="292" w:lineRule="auto"/>
        <w:rPr>
          <w:sz w:val="20"/>
          <w:szCs w:val="20"/>
          <w:color w:val="auto"/>
        </w:rPr>
      </w:pPr>
      <w:r>
        <w:rPr>
          <w:rFonts w:ascii="Arial" w:cs="Arial" w:eastAsia="Arial" w:hAnsi="Arial"/>
          <w:sz w:val="18"/>
          <w:szCs w:val="18"/>
          <w:color w:val="auto"/>
        </w:rPr>
        <w:t>Estimates of future cash flows, based on what we believe to be reasonable and supportable assumptions and projections, require management’s judgment. Actual results could vary materially from these estimates.</w:t>
      </w:r>
    </w:p>
    <w:p>
      <w:pPr>
        <w:spacing w:after="0" w:line="17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51</w:t>
      </w:r>
    </w:p>
    <w:p>
      <w:pPr>
        <w:sectPr>
          <w:pgSz w:w="11900" w:h="16838" w:orient="portrait"/>
          <w:cols w:equalWidth="0" w:num="1">
            <w:col w:w="11420"/>
          </w:cols>
          <w:pgMar w:left="240" w:top="684" w:right="2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CC0000"/>
        </w:rPr>
        <w:t>Income Taxes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Background and Uncertainties</w:t>
      </w:r>
    </w:p>
    <w:p>
      <w:pPr>
        <w:spacing w:after="0" w:line="11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We prepare and file tax returns based on our interpretation of tax laws and regulations and record estimates based on these judgments and interpretations. In the normal course of business, our tax returns are subject to examination by various taxing authorities, which may result in future tax, interest, and penalty assessments by these authorities. Inherent uncertainties exist in estimates of many tax positions due to changes in tax law resulting from legislation, regulation, and/or as concluded through the various jurisdictions’ tax court systems. We recognize the tax benefit from an uncertain tax position only if it is more likely than not that the tax position will be sustained on examination by the taxing authorities, based on the technical merits of the position. The tax benefits recognized in the financial statements from such a position are measured based on the largest benefit that has a greater than 50 percent likelihood of being realized upon ultimate resolution. The amount of unrecognized tax benefits is adjusted for changes in facts and circumstances. For example, adjustments could result from significant amendments to existing tax law, the issuance of regulations or interpretations by the taxing authorities, new information obtained during a tax examination, or resolution of an examination. We believe our estimates for uncertain tax positions are appropriate and sufficient to pay assessments that may result from examinations of our tax returns. We recognize both accrued interest and penalties related to unrecognized tax benefits in income tax expense.</w:t>
      </w:r>
    </w:p>
    <w:p>
      <w:pPr>
        <w:spacing w:after="0" w:line="72"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color w:val="auto"/>
        </w:rPr>
        <w:t>We have recorded valuation allowances against certain of our deferred tax assets, primarily those that have been generated from net operating losses and tax credit carryforwards in certain taxing jurisdictions. In evaluating whether we would more likely than not recover these deferred tax assets, we have not assumed any future taxable income or tax planning strategies in the jurisdictions associated with these carryforwards where history does not support such an assumption. Implementation of tax planning strategies to recover these deferred tax assets or future income generation in these jurisdictions could lead to the reversal of these valuation allowances and a reduction of income tax expense.</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Statement Impact</w:t>
      </w:r>
    </w:p>
    <w:p>
      <w:pPr>
        <w:spacing w:after="0" w:line="115" w:lineRule="exact"/>
        <w:rPr>
          <w:sz w:val="20"/>
          <w:szCs w:val="20"/>
          <w:color w:val="auto"/>
        </w:rPr>
      </w:pPr>
    </w:p>
    <w:p>
      <w:pPr>
        <w:ind w:right="600"/>
        <w:spacing w:after="0" w:line="292" w:lineRule="auto"/>
        <w:rPr>
          <w:sz w:val="20"/>
          <w:szCs w:val="20"/>
          <w:color w:val="auto"/>
        </w:rPr>
      </w:pPr>
      <w:r>
        <w:rPr>
          <w:rFonts w:ascii="Arial" w:cs="Arial" w:eastAsia="Arial" w:hAnsi="Arial"/>
          <w:sz w:val="18"/>
          <w:szCs w:val="18"/>
          <w:color w:val="auto"/>
        </w:rPr>
        <w:t>As of December 31, 2015, a 5 percent change in the amount of the uncertain tax positions and the valuation allowance would result in a change in net income of $20.2 million and $29.5 million, respectively.</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Acquisitions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Background and Uncertainties</w:t>
      </w:r>
    </w:p>
    <w:p>
      <w:pPr>
        <w:spacing w:after="0" w:line="115"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To determine whether acquisitions or licensing transactions qualify as a business combination or as an asset acquisition, we make certain judgments, which include assessing whether the acquired set of activities would meet the definition of a business under the relevant accounting rules. This involves determining the inputs, processes, and outputs associated with the acquired set of activities.</w:t>
      </w:r>
    </w:p>
    <w:p>
      <w:pPr>
        <w:spacing w:after="0" w:line="55" w:lineRule="exact"/>
        <w:rPr>
          <w:sz w:val="20"/>
          <w:szCs w:val="20"/>
          <w:color w:val="auto"/>
        </w:rPr>
      </w:pPr>
    </w:p>
    <w:p>
      <w:pPr>
        <w:ind w:right="100"/>
        <w:spacing w:after="0" w:line="260" w:lineRule="auto"/>
        <w:rPr>
          <w:sz w:val="20"/>
          <w:szCs w:val="20"/>
          <w:color w:val="auto"/>
        </w:rPr>
      </w:pPr>
      <w:r>
        <w:rPr>
          <w:rFonts w:ascii="Arial" w:cs="Arial" w:eastAsia="Arial" w:hAnsi="Arial"/>
          <w:sz w:val="18"/>
          <w:szCs w:val="18"/>
          <w:color w:val="auto"/>
        </w:rPr>
        <w:t>If the acquired set of activities meets the definition of a business, assets acquired and liabilities assumed are required to be recorded at their respective fair values as of the acquisition date. The excess of the purchase price over the fair value of the acquired net assets, where applicable, is recorded as goodwill. If the acquired set of activities does not meet the definition of a business, the transaction is recorded as an acquisition of assets and, therefore, any acquired IPR&amp;D that does not have an alternative future use is charged to expense at the acquisition date, and goodwill is not recorded. Refer to Note 3 to the consolidated financial statements for additional information.</w:t>
      </w:r>
    </w:p>
    <w:p>
      <w:pPr>
        <w:spacing w:after="0" w:line="67" w:lineRule="exact"/>
        <w:rPr>
          <w:sz w:val="20"/>
          <w:szCs w:val="20"/>
          <w:color w:val="auto"/>
        </w:rPr>
      </w:pPr>
    </w:p>
    <w:p>
      <w:pPr>
        <w:ind w:right="260"/>
        <w:spacing w:after="0" w:line="260" w:lineRule="auto"/>
        <w:rPr>
          <w:sz w:val="20"/>
          <w:szCs w:val="20"/>
          <w:color w:val="auto"/>
        </w:rPr>
      </w:pPr>
      <w:r>
        <w:rPr>
          <w:rFonts w:ascii="Arial" w:cs="Arial" w:eastAsia="Arial" w:hAnsi="Arial"/>
          <w:sz w:val="18"/>
          <w:szCs w:val="18"/>
          <w:color w:val="auto"/>
        </w:rPr>
        <w:t>The judgments made in determining estimated fair values assigned to assets acquired and liabilities assumed in a business combination, as well as estimated asset lives, can materially affect our consolidated results of operations. The fair values of intangible assets, including acquired IPR&amp;D, are determined using information available near the acquisition date based on expectations and assumptions that are deemed reasonable by management. Depending on the facts and circumstances, we may deem it necessary to engage an independent valuation expert to assist in valuing significant assets and liabilities.</w:t>
      </w:r>
    </w:p>
    <w:p>
      <w:pPr>
        <w:spacing w:after="0" w:line="67" w:lineRule="exact"/>
        <w:rPr>
          <w:sz w:val="20"/>
          <w:szCs w:val="20"/>
          <w:color w:val="auto"/>
        </w:rPr>
      </w:pPr>
    </w:p>
    <w:p>
      <w:pPr>
        <w:ind w:right="120"/>
        <w:spacing w:after="0" w:line="292" w:lineRule="auto"/>
        <w:rPr>
          <w:sz w:val="20"/>
          <w:szCs w:val="20"/>
          <w:color w:val="auto"/>
        </w:rPr>
      </w:pPr>
      <w:r>
        <w:rPr>
          <w:rFonts w:ascii="Arial" w:cs="Arial" w:eastAsia="Arial" w:hAnsi="Arial"/>
          <w:sz w:val="18"/>
          <w:szCs w:val="18"/>
          <w:color w:val="auto"/>
        </w:rPr>
        <w:t>The fair values of identifiable intangible assets are primarily determined using an "income method," as described in Note 8 to the consolidated financial statements.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52</w:t>
      </w:r>
    </w:p>
    <w:p>
      <w:pPr>
        <w:sectPr>
          <w:pgSz w:w="11900" w:h="16838" w:orient="portrait"/>
          <w:cols w:equalWidth="0" w:num="1">
            <w:col w:w="11400"/>
          </w:cols>
          <w:pgMar w:left="240" w:top="736" w:right="259" w:bottom="1440" w:gutter="0" w:footer="0" w:header="0"/>
        </w:sectPr>
      </w:pPr>
    </w:p>
    <w:bookmarkStart w:id="52" w:name="page53"/>
    <w:bookmarkEnd w:id="52"/>
    <w:p>
      <w:pPr>
        <w:jc w:val="both"/>
        <w:spacing w:after="0" w:line="264" w:lineRule="auto"/>
        <w:rPr>
          <w:sz w:val="20"/>
          <w:szCs w:val="20"/>
          <w:color w:val="auto"/>
        </w:rPr>
      </w:pPr>
      <w:r>
        <w:rPr>
          <w:rFonts w:ascii="Arial" w:cs="Arial" w:eastAsia="Arial" w:hAnsi="Arial"/>
          <w:sz w:val="18"/>
          <w:szCs w:val="18"/>
          <w:color w:val="auto"/>
        </w:rPr>
        <w:t>The fair value of any contingent consideration liability that results from a business combination is determined using a market approach based on quoted market values, significant other observable inputs for identical or comparable assets or liabilities, or a discounted cash flow analysis. Estimating the fair value of contingent consideration requires the use of significant estimates and judgments, including, but not limited to, revenue and the discount rate.</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Statement Impact</w:t>
      </w:r>
    </w:p>
    <w:p>
      <w:pPr>
        <w:spacing w:after="0" w:line="115"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As of December 31, 2015, a 5 percent change in the contingent consideration liability would result in a change in income before income taxes of $33.5 million.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LEGAL AND REGULATORY MATTERS</w:t>
      </w:r>
    </w:p>
    <w:p>
      <w:pPr>
        <w:spacing w:after="0" w:line="119" w:lineRule="exact"/>
        <w:rPr>
          <w:sz w:val="20"/>
          <w:szCs w:val="20"/>
          <w:color w:val="auto"/>
        </w:rPr>
      </w:pPr>
    </w:p>
    <w:p>
      <w:pPr>
        <w:ind w:right="220"/>
        <w:spacing w:after="0" w:line="292" w:lineRule="auto"/>
        <w:rPr>
          <w:sz w:val="20"/>
          <w:szCs w:val="20"/>
          <w:color w:val="auto"/>
        </w:rPr>
      </w:pPr>
      <w:r>
        <w:rPr>
          <w:rFonts w:ascii="Arial" w:cs="Arial" w:eastAsia="Arial" w:hAnsi="Arial"/>
          <w:sz w:val="18"/>
          <w:szCs w:val="18"/>
          <w:color w:val="auto"/>
        </w:rPr>
        <w:t>Information relating to certain legal proceedings can be found in Note 15 to the consolidated financial statements and is incorporated here by reference.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FINANCIAL EXPECTATIONS FOR 2016</w:t>
      </w:r>
    </w:p>
    <w:p>
      <w:pPr>
        <w:spacing w:after="0" w:line="119" w:lineRule="exact"/>
        <w:rPr>
          <w:sz w:val="20"/>
          <w:szCs w:val="20"/>
          <w:color w:val="auto"/>
        </w:rPr>
      </w:pPr>
    </w:p>
    <w:p>
      <w:pPr>
        <w:ind w:right="60"/>
        <w:spacing w:after="0" w:line="260" w:lineRule="auto"/>
        <w:rPr>
          <w:sz w:val="20"/>
          <w:szCs w:val="20"/>
          <w:color w:val="auto"/>
        </w:rPr>
      </w:pPr>
      <w:r>
        <w:rPr>
          <w:rFonts w:ascii="Arial" w:cs="Arial" w:eastAsia="Arial" w:hAnsi="Arial"/>
          <w:sz w:val="18"/>
          <w:szCs w:val="18"/>
          <w:color w:val="auto"/>
        </w:rPr>
        <w:t>For the full year of 2016, we expect EPS to be in the range of $2.83 to $2.93. We anticipate that total revenue will be between $20.2 billion and $20.7 billion. Excluding the unfavorable impact of foreign exchange rates, we expect revenue growth from a number of established products including Humalog, Trajenta, Cialis, Forteo, Strattera, Erbitux, and animal health products, as well as higher revenues from new products including Cyramza, Trulicity, Jardiance, Portrazza, and Basaglar. We expect this revenue growth to be partially offset by lower revenue from Alimta as a result of increased competitive pressures.</w:t>
      </w:r>
    </w:p>
    <w:p>
      <w:pPr>
        <w:spacing w:after="0" w:line="67" w:lineRule="exact"/>
        <w:rPr>
          <w:sz w:val="20"/>
          <w:szCs w:val="20"/>
          <w:color w:val="auto"/>
        </w:rPr>
      </w:pPr>
    </w:p>
    <w:p>
      <w:pPr>
        <w:ind w:right="240"/>
        <w:spacing w:after="0" w:line="271" w:lineRule="auto"/>
        <w:rPr>
          <w:sz w:val="20"/>
          <w:szCs w:val="20"/>
          <w:color w:val="auto"/>
        </w:rPr>
      </w:pPr>
      <w:r>
        <w:rPr>
          <w:rFonts w:ascii="Arial" w:cs="Arial" w:eastAsia="Arial" w:hAnsi="Arial"/>
          <w:sz w:val="18"/>
          <w:szCs w:val="18"/>
          <w:color w:val="auto"/>
        </w:rPr>
        <w:t>We anticipate that gross margin as a percent of revenue will be approximately 74 percent in 2016. Research and development expenses are expected to be in the range of $4.8 billion to $5.0 billion. Other—net, (income) expense is expected to be income of up to $75 million. Marketing, selling, and administrative expenses are expected to be in the range of $6.0 billion to $6.2 billion.</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color w:val="auto"/>
        </w:rPr>
        <w:t>The 2016 tax rate is expected to be approximately 21 percent.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Capital expenditures are expected to be approximately $1.1 billion.</w:t>
      </w:r>
    </w:p>
    <w:p>
      <w:pPr>
        <w:spacing w:after="0" w:line="117" w:lineRule="exact"/>
        <w:rPr>
          <w:sz w:val="20"/>
          <w:szCs w:val="20"/>
          <w:color w:val="auto"/>
        </w:rPr>
      </w:pPr>
    </w:p>
    <w:p>
      <w:pPr>
        <w:ind w:right="840"/>
        <w:spacing w:after="0" w:line="292" w:lineRule="auto"/>
        <w:rPr>
          <w:sz w:val="20"/>
          <w:szCs w:val="20"/>
          <w:color w:val="auto"/>
        </w:rPr>
      </w:pPr>
      <w:r>
        <w:rPr>
          <w:rFonts w:ascii="Arial" w:cs="Arial" w:eastAsia="Arial" w:hAnsi="Arial"/>
          <w:sz w:val="18"/>
          <w:szCs w:val="18"/>
          <w:color w:val="auto"/>
        </w:rPr>
        <w:t>Amortization associated with the transfer of Erbitux commercialization rights included in our 2016 financial guidance is subject to final acquisition accounting adjustments.</w:t>
      </w:r>
    </w:p>
    <w:p>
      <w:pPr>
        <w:spacing w:after="0" w:line="37" w:lineRule="exact"/>
        <w:rPr>
          <w:sz w:val="20"/>
          <w:szCs w:val="20"/>
          <w:color w:val="auto"/>
        </w:rPr>
      </w:pPr>
    </w:p>
    <w:p>
      <w:pPr>
        <w:ind w:right="100"/>
        <w:spacing w:after="0" w:line="292" w:lineRule="auto"/>
        <w:rPr>
          <w:sz w:val="20"/>
          <w:szCs w:val="20"/>
          <w:color w:val="auto"/>
        </w:rPr>
      </w:pPr>
      <w:r>
        <w:rPr>
          <w:rFonts w:ascii="Arial" w:cs="Arial" w:eastAsia="Arial" w:hAnsi="Arial"/>
          <w:sz w:val="18"/>
          <w:szCs w:val="18"/>
          <w:color w:val="auto"/>
        </w:rPr>
        <w:t>Various risks and uncertainties, including those discussed in "Forward-Looking Statements" and Item 1A, “Risk Factors,” may cause our actual results to differ materially from these forward-looking statements.</w:t>
      </w:r>
    </w:p>
    <w:p>
      <w:pPr>
        <w:spacing w:after="0" w:line="131" w:lineRule="exact"/>
        <w:rPr>
          <w:sz w:val="20"/>
          <w:szCs w:val="20"/>
          <w:color w:val="auto"/>
        </w:rPr>
      </w:pPr>
    </w:p>
    <w:p>
      <w:pPr>
        <w:spacing w:after="0"/>
        <w:rPr>
          <w:sz w:val="20"/>
          <w:szCs w:val="20"/>
          <w:color w:val="auto"/>
        </w:rPr>
      </w:pPr>
      <w:r>
        <w:rPr>
          <w:rFonts w:ascii="Arial" w:cs="Arial" w:eastAsia="Arial" w:hAnsi="Arial"/>
          <w:sz w:val="32"/>
          <w:szCs w:val="32"/>
          <w:b w:val="1"/>
          <w:bCs w:val="1"/>
          <w:i w:val="1"/>
          <w:iCs w:val="1"/>
          <w:color w:val="CC0000"/>
        </w:rPr>
        <w:t>Item 7A.Quantitative and Qualitative Disclosures About Market Risk</w:t>
      </w:r>
    </w:p>
    <w:p>
      <w:pPr>
        <w:spacing w:after="0" w:line="186" w:lineRule="exact"/>
        <w:rPr>
          <w:sz w:val="20"/>
          <w:szCs w:val="20"/>
          <w:color w:val="auto"/>
        </w:rPr>
      </w:pPr>
    </w:p>
    <w:p>
      <w:pPr>
        <w:ind w:right="520"/>
        <w:spacing w:after="0" w:line="292" w:lineRule="auto"/>
        <w:rPr>
          <w:sz w:val="20"/>
          <w:szCs w:val="20"/>
          <w:color w:val="auto"/>
        </w:rPr>
      </w:pPr>
      <w:r>
        <w:rPr>
          <w:rFonts w:ascii="Arial" w:cs="Arial" w:eastAsia="Arial" w:hAnsi="Arial"/>
          <w:sz w:val="18"/>
          <w:szCs w:val="18"/>
          <w:color w:val="auto"/>
        </w:rPr>
        <w:t>You can find quantitative and qualitative disclosures about market risk (</w:t>
      </w:r>
      <w:r>
        <w:rPr>
          <w:rFonts w:ascii="Arial" w:cs="Arial" w:eastAsia="Arial" w:hAnsi="Arial"/>
          <w:sz w:val="18"/>
          <w:szCs w:val="18"/>
          <w:i w:val="1"/>
          <w:iCs w:val="1"/>
          <w:color w:val="auto"/>
        </w:rPr>
        <w:t>e.g.,</w:t>
      </w:r>
      <w:r>
        <w:rPr>
          <w:rFonts w:ascii="Arial" w:cs="Arial" w:eastAsia="Arial" w:hAnsi="Arial"/>
          <w:sz w:val="18"/>
          <w:szCs w:val="18"/>
          <w:color w:val="auto"/>
        </w:rPr>
        <w:t xml:space="preserve"> interest rate risk) in Item 7 at “Management’s Discussion and Analysis—Financial Condition.” That information is incorporated in this report by reference.</w:t>
      </w:r>
    </w:p>
    <w:p>
      <w:pPr>
        <w:spacing w:after="0" w:line="200" w:lineRule="exact"/>
        <w:rPr>
          <w:sz w:val="20"/>
          <w:szCs w:val="20"/>
          <w:color w:val="auto"/>
        </w:rPr>
      </w:pPr>
    </w:p>
    <w:p>
      <w:pPr>
        <w:spacing w:after="0" w:line="26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53</w:t>
      </w:r>
    </w:p>
    <w:p>
      <w:pPr>
        <w:sectPr>
          <w:pgSz w:w="11900" w:h="16838" w:orient="portrait"/>
          <w:cols w:equalWidth="0" w:num="1">
            <w:col w:w="11420"/>
          </w:cols>
          <w:pgMar w:left="240" w:top="684" w:right="239" w:bottom="1440" w:gutter="0" w:footer="0" w:header="0"/>
        </w:sectPr>
      </w:pPr>
    </w:p>
    <w:bookmarkStart w:id="53" w:name="page54"/>
    <w:bookmarkEnd w:id="53"/>
    <w:p>
      <w:pPr>
        <w:ind w:right="2960"/>
        <w:spacing w:after="0" w:line="429" w:lineRule="auto"/>
        <w:rPr>
          <w:sz w:val="20"/>
          <w:szCs w:val="20"/>
          <w:color w:val="auto"/>
        </w:rPr>
      </w:pPr>
      <w:r>
        <w:rPr>
          <w:rFonts w:ascii="Arial" w:cs="Arial" w:eastAsia="Arial" w:hAnsi="Arial"/>
          <w:sz w:val="32"/>
          <w:szCs w:val="32"/>
          <w:b w:val="1"/>
          <w:bCs w:val="1"/>
          <w:i w:val="1"/>
          <w:iCs w:val="1"/>
          <w:color w:val="CC0000"/>
        </w:rPr>
        <w:t xml:space="preserve">Item 8. Financial Statements and Supplementary Data </w:t>
      </w:r>
      <w:r>
        <w:rPr>
          <w:rFonts w:ascii="Arial" w:cs="Arial" w:eastAsia="Arial" w:hAnsi="Arial"/>
          <w:sz w:val="32"/>
          <w:szCs w:val="32"/>
          <w:i w:val="1"/>
          <w:iCs w:val="1"/>
          <w:color w:val="CC0000"/>
        </w:rPr>
        <w:t>Consolidated Statements of Operations</w:t>
      </w:r>
    </w:p>
    <w:p>
      <w:pPr>
        <w:spacing w:after="0" w:line="2"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4540" w:type="dxa"/>
            <w:vAlign w:val="bottom"/>
          </w:tcPr>
          <w:p>
            <w:pPr>
              <w:spacing w:after="0"/>
              <w:rPr>
                <w:sz w:val="20"/>
                <w:szCs w:val="20"/>
                <w:color w:val="auto"/>
              </w:rPr>
            </w:pPr>
            <w:r>
              <w:rPr>
                <w:rFonts w:ascii="Arial" w:cs="Arial" w:eastAsia="Arial" w:hAnsi="Arial"/>
                <w:sz w:val="14"/>
                <w:szCs w:val="14"/>
                <w:b w:val="1"/>
                <w:bCs w:val="1"/>
                <w:color w:val="auto"/>
              </w:rPr>
              <w:t>ELI LILLY AND COMPANY AND SUBSIDIARIES</w:t>
            </w:r>
          </w:p>
        </w:tc>
        <w:tc>
          <w:tcPr>
            <w:tcW w:w="25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2"/>
        </w:trPr>
        <w:tc>
          <w:tcPr>
            <w:tcW w:w="4540" w:type="dxa"/>
            <w:vAlign w:val="bottom"/>
          </w:tcPr>
          <w:p>
            <w:pPr>
              <w:spacing w:after="0"/>
              <w:rPr>
                <w:sz w:val="20"/>
                <w:szCs w:val="20"/>
                <w:color w:val="auto"/>
              </w:rPr>
            </w:pPr>
            <w:r>
              <w:rPr>
                <w:rFonts w:ascii="Arial" w:cs="Arial" w:eastAsia="Arial" w:hAnsi="Arial"/>
                <w:sz w:val="14"/>
                <w:szCs w:val="14"/>
                <w:b w:val="1"/>
                <w:bCs w:val="1"/>
                <w:color w:val="auto"/>
              </w:rPr>
              <w:t>(Dollars in millions and shares in thousands, except per-share</w:t>
            </w:r>
          </w:p>
        </w:tc>
        <w:tc>
          <w:tcPr>
            <w:tcW w:w="25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202"/>
        </w:trPr>
        <w:tc>
          <w:tcPr>
            <w:tcW w:w="4540" w:type="dxa"/>
            <w:vAlign w:val="bottom"/>
          </w:tcPr>
          <w:p>
            <w:pPr>
              <w:spacing w:after="0"/>
              <w:rPr>
                <w:sz w:val="20"/>
                <w:szCs w:val="20"/>
                <w:color w:val="auto"/>
              </w:rPr>
            </w:pPr>
            <w:r>
              <w:rPr>
                <w:rFonts w:ascii="Arial" w:cs="Arial" w:eastAsia="Arial" w:hAnsi="Arial"/>
                <w:sz w:val="14"/>
                <w:szCs w:val="14"/>
                <w:b w:val="1"/>
                <w:bCs w:val="1"/>
                <w:color w:val="auto"/>
              </w:rPr>
              <w:t>data)</w:t>
            </w:r>
          </w:p>
        </w:tc>
        <w:tc>
          <w:tcPr>
            <w:tcW w:w="2500" w:type="dxa"/>
            <w:vAlign w:val="bottom"/>
          </w:tcPr>
          <w:p>
            <w:pPr>
              <w:ind w:left="280"/>
              <w:spacing w:after="0"/>
              <w:rPr>
                <w:sz w:val="20"/>
                <w:szCs w:val="20"/>
                <w:color w:val="auto"/>
              </w:rPr>
            </w:pPr>
            <w:r>
              <w:rPr>
                <w:rFonts w:ascii="Arial" w:cs="Arial" w:eastAsia="Arial" w:hAnsi="Arial"/>
                <w:sz w:val="14"/>
                <w:szCs w:val="14"/>
                <w:b w:val="1"/>
                <w:bCs w:val="1"/>
                <w:color w:val="auto"/>
              </w:rPr>
              <w:t>Year Ended December 31</w:t>
            </w:r>
          </w:p>
        </w:tc>
        <w:tc>
          <w:tcPr>
            <w:tcW w:w="1380" w:type="dxa"/>
            <w:vAlign w:val="bottom"/>
          </w:tcPr>
          <w:p>
            <w:pPr>
              <w:jc w:val="right"/>
              <w:ind w:right="508"/>
              <w:spacing w:after="0"/>
              <w:rPr>
                <w:sz w:val="20"/>
                <w:szCs w:val="20"/>
                <w:color w:val="auto"/>
              </w:rPr>
            </w:pPr>
            <w:r>
              <w:rPr>
                <w:rFonts w:ascii="Arial" w:cs="Arial" w:eastAsia="Arial" w:hAnsi="Arial"/>
                <w:sz w:val="14"/>
                <w:szCs w:val="14"/>
                <w:b w:val="1"/>
                <w:bCs w:val="1"/>
                <w:color w:val="auto"/>
              </w:rPr>
              <w:t>2015</w:t>
            </w:r>
          </w:p>
        </w:tc>
        <w:tc>
          <w:tcPr>
            <w:tcW w:w="1480" w:type="dxa"/>
            <w:vAlign w:val="bottom"/>
          </w:tcPr>
          <w:p>
            <w:pPr>
              <w:jc w:val="right"/>
              <w:ind w:right="508"/>
              <w:spacing w:after="0"/>
              <w:rPr>
                <w:sz w:val="20"/>
                <w:szCs w:val="20"/>
                <w:color w:val="auto"/>
              </w:rPr>
            </w:pPr>
            <w:r>
              <w:rPr>
                <w:rFonts w:ascii="Arial" w:cs="Arial" w:eastAsia="Arial" w:hAnsi="Arial"/>
                <w:sz w:val="14"/>
                <w:szCs w:val="14"/>
                <w:b w:val="1"/>
                <w:bCs w:val="1"/>
                <w:color w:val="auto"/>
              </w:rPr>
              <w:t>2014</w:t>
            </w: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2013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1270</wp:posOffset>
            </wp:positionV>
            <wp:extent cx="7212330" cy="1803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12330" cy="180340"/>
                    </a:xfrm>
                    <a:prstGeom prst="rect">
                      <a:avLst/>
                    </a:prstGeom>
                    <a:noFill/>
                  </pic:spPr>
                </pic:pic>
              </a:graphicData>
            </a:graphic>
          </wp:anchor>
        </w:drawing>
      </w:r>
    </w:p>
    <w:p>
      <w:pPr>
        <w:sectPr>
          <w:pgSz w:w="11900" w:h="16838" w:orient="portrait"/>
          <w:cols w:equalWidth="0" w:num="1">
            <w:col w:w="11400"/>
          </w:cols>
          <w:pgMar w:left="240" w:top="563" w:right="259" w:bottom="1440" w:gutter="0" w:footer="0" w:header="0"/>
        </w:sectPr>
      </w:pPr>
    </w:p>
    <w:p>
      <w:pPr>
        <w:spacing w:after="0" w:line="20" w:lineRule="exact"/>
        <w:rPr>
          <w:sz w:val="20"/>
          <w:szCs w:val="20"/>
          <w:color w:val="auto"/>
        </w:rPr>
      </w:pPr>
    </w:p>
    <w:p>
      <w:pPr>
        <w:ind w:left="60"/>
        <w:spacing w:after="0"/>
        <w:rPr>
          <w:sz w:val="20"/>
          <w:szCs w:val="20"/>
          <w:color w:val="auto"/>
        </w:rPr>
      </w:pPr>
      <w:r>
        <w:rPr>
          <w:rFonts w:ascii="Arial" w:cs="Arial" w:eastAsia="Arial" w:hAnsi="Arial"/>
          <w:sz w:val="18"/>
          <w:szCs w:val="18"/>
          <w:color w:val="auto"/>
        </w:rPr>
        <w:t>Revenue</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Costs, expenses, and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37465</wp:posOffset>
            </wp:positionV>
            <wp:extent cx="721233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12330" cy="171450"/>
                    </a:xfrm>
                    <a:prstGeom prst="rect">
                      <a:avLst/>
                    </a:prstGeom>
                    <a:noFill/>
                  </pic:spPr>
                </pic:pic>
              </a:graphicData>
            </a:graphic>
          </wp:anchor>
        </w:drawing>
      </w:r>
    </w:p>
    <w:p>
      <w:pPr>
        <w:spacing w:after="0" w:line="4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Cost of sales</w:t>
      </w:r>
    </w:p>
    <w:p>
      <w:pPr>
        <w:spacing w:after="0" w:line="6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Research and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37465</wp:posOffset>
            </wp:positionV>
            <wp:extent cx="721233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12330" cy="171450"/>
                    </a:xfrm>
                    <a:prstGeom prst="rect">
                      <a:avLst/>
                    </a:prstGeom>
                    <a:noFill/>
                  </pic:spPr>
                </pic:pic>
              </a:graphicData>
            </a:graphic>
          </wp:anchor>
        </w:drawing>
      </w:r>
    </w:p>
    <w:p>
      <w:pPr>
        <w:spacing w:after="0" w:line="4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Marketing, selling, and administrative</w:t>
      </w:r>
    </w:p>
    <w:p>
      <w:pPr>
        <w:spacing w:after="0" w:line="63" w:lineRule="exact"/>
        <w:rPr>
          <w:sz w:val="20"/>
          <w:szCs w:val="20"/>
          <w:color w:val="auto"/>
        </w:rPr>
      </w:pPr>
    </w:p>
    <w:p>
      <w:pPr>
        <w:ind w:left="200"/>
        <w:spacing w:after="0"/>
        <w:rPr>
          <w:sz w:val="20"/>
          <w:szCs w:val="20"/>
          <w:color w:val="auto"/>
        </w:rPr>
      </w:pPr>
      <w:r>
        <w:rPr>
          <w:rFonts w:ascii="Arial" w:cs="Arial" w:eastAsia="Arial" w:hAnsi="Arial"/>
          <w:sz w:val="17"/>
          <w:szCs w:val="17"/>
          <w:color w:val="auto"/>
        </w:rPr>
        <w:t>Acquired in-process research and development (Notes 3 and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44450</wp:posOffset>
            </wp:positionV>
            <wp:extent cx="7212330" cy="2914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12330" cy="291465"/>
                    </a:xfrm>
                    <a:prstGeom prst="rect">
                      <a:avLst/>
                    </a:prstGeom>
                    <a:noFill/>
                  </pic:spPr>
                </pic:pic>
              </a:graphicData>
            </a:graphic>
          </wp:anchor>
        </w:drawing>
      </w:r>
    </w:p>
    <w:p>
      <w:pPr>
        <w:spacing w:after="0" w:line="55" w:lineRule="exact"/>
        <w:rPr>
          <w:sz w:val="20"/>
          <w:szCs w:val="20"/>
          <w:color w:val="auto"/>
        </w:rPr>
      </w:pPr>
    </w:p>
    <w:p>
      <w:pPr>
        <w:ind w:left="200" w:right="1480"/>
        <w:spacing w:after="0" w:line="266" w:lineRule="auto"/>
        <w:rPr>
          <w:sz w:val="20"/>
          <w:szCs w:val="20"/>
          <w:color w:val="auto"/>
        </w:rPr>
      </w:pPr>
      <w:r>
        <w:rPr>
          <w:rFonts w:ascii="Arial" w:cs="Arial" w:eastAsia="Arial" w:hAnsi="Arial"/>
          <w:sz w:val="18"/>
          <w:szCs w:val="18"/>
          <w:color w:val="auto"/>
        </w:rPr>
        <w:t>Asset impairment, restructuring, and other special charges (Note 5)</w:t>
      </w:r>
    </w:p>
    <w:p>
      <w:pPr>
        <w:ind w:left="200"/>
        <w:spacing w:after="0"/>
        <w:rPr>
          <w:sz w:val="20"/>
          <w:szCs w:val="20"/>
          <w:color w:val="auto"/>
        </w:rPr>
      </w:pPr>
      <w:r>
        <w:rPr>
          <w:rFonts w:ascii="Arial" w:cs="Arial" w:eastAsia="Arial" w:hAnsi="Arial"/>
          <w:sz w:val="18"/>
          <w:szCs w:val="18"/>
          <w:color w:val="auto"/>
        </w:rPr>
        <w:t>Other—net, (income) expense (Note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37465</wp:posOffset>
            </wp:positionV>
            <wp:extent cx="7212330" cy="1803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2330" cy="180340"/>
                    </a:xfrm>
                    <a:prstGeom prst="rect">
                      <a:avLst/>
                    </a:prstGeom>
                    <a:noFill/>
                  </pic:spPr>
                </pic:pic>
              </a:graphicData>
            </a:graphic>
          </wp:anchor>
        </w:drawing>
      </w:r>
    </w:p>
    <w:p>
      <w:pPr>
        <w:spacing w:after="0" w:line="327"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Income before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45720</wp:posOffset>
            </wp:positionV>
            <wp:extent cx="721233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2330" cy="171450"/>
                    </a:xfrm>
                    <a:prstGeom prst="rect">
                      <a:avLst/>
                    </a:prstGeom>
                    <a:noFill/>
                  </pic:spPr>
                </pic:pic>
              </a:graphicData>
            </a:graphic>
          </wp:anchor>
        </w:drawing>
      </w:r>
    </w:p>
    <w:p>
      <w:pPr>
        <w:spacing w:after="0" w:line="57"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Income taxes (Note 13)</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54610</wp:posOffset>
            </wp:positionV>
            <wp:extent cx="7212330" cy="1974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12330" cy="1974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6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ind w:right="50"/>
              <w:spacing w:after="0"/>
              <w:rPr>
                <w:sz w:val="20"/>
                <w:szCs w:val="20"/>
                <w:color w:val="auto"/>
              </w:rPr>
            </w:pPr>
            <w:r>
              <w:rPr>
                <w:rFonts w:ascii="Arial" w:cs="Arial" w:eastAsia="Arial" w:hAnsi="Arial"/>
                <w:sz w:val="18"/>
                <w:szCs w:val="18"/>
                <w:b w:val="1"/>
                <w:bCs w:val="1"/>
                <w:color w:val="auto"/>
              </w:rPr>
              <w:t>19,958.7</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19,615.6</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23,113.1</w:t>
            </w:r>
          </w:p>
        </w:tc>
      </w:tr>
      <w:tr>
        <w:trPr>
          <w:trHeight w:val="540"/>
        </w:trPr>
        <w:tc>
          <w:tcPr>
            <w:tcW w:w="360" w:type="dxa"/>
            <w:vAlign w:val="bottom"/>
          </w:tcPr>
          <w:p>
            <w:pPr>
              <w:spacing w:after="0"/>
              <w:rPr>
                <w:sz w:val="24"/>
                <w:szCs w:val="24"/>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b w:val="1"/>
                <w:bCs w:val="1"/>
                <w:color w:val="auto"/>
              </w:rPr>
              <w:t>5,037.2</w:t>
            </w:r>
          </w:p>
        </w:tc>
        <w:tc>
          <w:tcPr>
            <w:tcW w:w="420" w:type="dxa"/>
            <w:vAlign w:val="bottom"/>
          </w:tcPr>
          <w:p>
            <w:pPr>
              <w:spacing w:after="0"/>
              <w:rPr>
                <w:sz w:val="24"/>
                <w:szCs w:val="24"/>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4,932.5</w:t>
            </w:r>
          </w:p>
        </w:tc>
        <w:tc>
          <w:tcPr>
            <w:tcW w:w="400" w:type="dxa"/>
            <w:vAlign w:val="bottom"/>
          </w:tcPr>
          <w:p>
            <w:pPr>
              <w:spacing w:after="0"/>
              <w:rPr>
                <w:sz w:val="24"/>
                <w:szCs w:val="24"/>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4,908.1</w:t>
            </w:r>
          </w:p>
        </w:tc>
      </w:tr>
      <w:tr>
        <w:trPr>
          <w:trHeight w:val="270"/>
        </w:trPr>
        <w:tc>
          <w:tcPr>
            <w:tcW w:w="360" w:type="dxa"/>
            <w:vAlign w:val="bottom"/>
          </w:tcPr>
          <w:p>
            <w:pPr>
              <w:spacing w:after="0"/>
              <w:rPr>
                <w:sz w:val="23"/>
                <w:szCs w:val="23"/>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b w:val="1"/>
                <w:bCs w:val="1"/>
                <w:color w:val="auto"/>
              </w:rPr>
              <w:t>4,796.4</w:t>
            </w:r>
          </w:p>
        </w:tc>
        <w:tc>
          <w:tcPr>
            <w:tcW w:w="420" w:type="dxa"/>
            <w:vAlign w:val="bottom"/>
          </w:tcPr>
          <w:p>
            <w:pPr>
              <w:spacing w:after="0"/>
              <w:rPr>
                <w:sz w:val="23"/>
                <w:szCs w:val="23"/>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4,733.6</w:t>
            </w:r>
          </w:p>
        </w:tc>
        <w:tc>
          <w:tcPr>
            <w:tcW w:w="40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5,531.3</w:t>
            </w:r>
          </w:p>
        </w:tc>
      </w:tr>
      <w:tr>
        <w:trPr>
          <w:trHeight w:val="270"/>
        </w:trPr>
        <w:tc>
          <w:tcPr>
            <w:tcW w:w="360" w:type="dxa"/>
            <w:vAlign w:val="bottom"/>
          </w:tcPr>
          <w:p>
            <w:pPr>
              <w:spacing w:after="0"/>
              <w:rPr>
                <w:sz w:val="23"/>
                <w:szCs w:val="23"/>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b w:val="1"/>
                <w:bCs w:val="1"/>
                <w:color w:val="auto"/>
              </w:rPr>
              <w:t>6,533.0</w:t>
            </w:r>
          </w:p>
        </w:tc>
        <w:tc>
          <w:tcPr>
            <w:tcW w:w="420" w:type="dxa"/>
            <w:vAlign w:val="bottom"/>
          </w:tcPr>
          <w:p>
            <w:pPr>
              <w:spacing w:after="0"/>
              <w:rPr>
                <w:sz w:val="23"/>
                <w:szCs w:val="23"/>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6,620.8</w:t>
            </w:r>
          </w:p>
        </w:tc>
        <w:tc>
          <w:tcPr>
            <w:tcW w:w="40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7,125.6</w:t>
            </w:r>
          </w:p>
        </w:tc>
      </w:tr>
      <w:tr>
        <w:trPr>
          <w:trHeight w:val="270"/>
        </w:trPr>
        <w:tc>
          <w:tcPr>
            <w:tcW w:w="360" w:type="dxa"/>
            <w:vAlign w:val="bottom"/>
          </w:tcPr>
          <w:p>
            <w:pPr>
              <w:spacing w:after="0"/>
              <w:rPr>
                <w:sz w:val="23"/>
                <w:szCs w:val="23"/>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b w:val="1"/>
                <w:bCs w:val="1"/>
                <w:color w:val="auto"/>
              </w:rPr>
              <w:t>535.0</w:t>
            </w:r>
          </w:p>
        </w:tc>
        <w:tc>
          <w:tcPr>
            <w:tcW w:w="420" w:type="dxa"/>
            <w:vAlign w:val="bottom"/>
          </w:tcPr>
          <w:p>
            <w:pPr>
              <w:spacing w:after="0"/>
              <w:rPr>
                <w:sz w:val="23"/>
                <w:szCs w:val="23"/>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200.2</w:t>
            </w:r>
          </w:p>
        </w:tc>
        <w:tc>
          <w:tcPr>
            <w:tcW w:w="40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57.1</w:t>
            </w:r>
          </w:p>
        </w:tc>
      </w:tr>
      <w:tr>
        <w:trPr>
          <w:trHeight w:val="459"/>
        </w:trPr>
        <w:tc>
          <w:tcPr>
            <w:tcW w:w="360" w:type="dxa"/>
            <w:vAlign w:val="bottom"/>
          </w:tcPr>
          <w:p>
            <w:pPr>
              <w:spacing w:after="0"/>
              <w:rPr>
                <w:sz w:val="24"/>
                <w:szCs w:val="24"/>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b w:val="1"/>
                <w:bCs w:val="1"/>
                <w:color w:val="auto"/>
              </w:rPr>
              <w:t>367.7</w:t>
            </w:r>
          </w:p>
        </w:tc>
        <w:tc>
          <w:tcPr>
            <w:tcW w:w="420" w:type="dxa"/>
            <w:vAlign w:val="bottom"/>
          </w:tcPr>
          <w:p>
            <w:pPr>
              <w:spacing w:after="0"/>
              <w:rPr>
                <w:sz w:val="24"/>
                <w:szCs w:val="24"/>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468.7</w:t>
            </w:r>
          </w:p>
        </w:tc>
        <w:tc>
          <w:tcPr>
            <w:tcW w:w="400" w:type="dxa"/>
            <w:vAlign w:val="bottom"/>
          </w:tcPr>
          <w:p>
            <w:pPr>
              <w:spacing w:after="0"/>
              <w:rPr>
                <w:sz w:val="24"/>
                <w:szCs w:val="24"/>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120.6</w:t>
            </w:r>
          </w:p>
        </w:tc>
      </w:tr>
      <w:tr>
        <w:trPr>
          <w:trHeight w:val="271"/>
        </w:trPr>
        <w:tc>
          <w:tcPr>
            <w:tcW w:w="36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(100.6)</w:t>
            </w:r>
          </w:p>
        </w:tc>
        <w:tc>
          <w:tcPr>
            <w:tcW w:w="4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(340.5)</w:t>
            </w:r>
          </w:p>
        </w:tc>
        <w:tc>
          <w:tcPr>
            <w:tcW w:w="4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(518.9)</w:t>
            </w:r>
          </w:p>
        </w:tc>
      </w:tr>
      <w:tr>
        <w:trPr>
          <w:trHeight w:val="264"/>
        </w:trPr>
        <w:tc>
          <w:tcPr>
            <w:tcW w:w="3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17,168.7</w:t>
            </w:r>
          </w:p>
        </w:tc>
        <w:tc>
          <w:tcPr>
            <w:tcW w:w="4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16,615.3</w:t>
            </w:r>
          </w:p>
        </w:tc>
        <w:tc>
          <w:tcPr>
            <w:tcW w:w="4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17,223.8</w:t>
            </w:r>
          </w:p>
        </w:tc>
      </w:tr>
      <w:tr>
        <w:trPr>
          <w:trHeight w:val="263"/>
        </w:trPr>
        <w:tc>
          <w:tcPr>
            <w:tcW w:w="360" w:type="dxa"/>
            <w:vAlign w:val="bottom"/>
          </w:tcPr>
          <w:p>
            <w:pPr>
              <w:spacing w:after="0"/>
              <w:rPr>
                <w:sz w:val="22"/>
                <w:szCs w:val="22"/>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b w:val="1"/>
                <w:bCs w:val="1"/>
                <w:color w:val="auto"/>
              </w:rPr>
              <w:t>2,790.0</w:t>
            </w:r>
          </w:p>
        </w:tc>
        <w:tc>
          <w:tcPr>
            <w:tcW w:w="420" w:type="dxa"/>
            <w:vAlign w:val="bottom"/>
          </w:tcPr>
          <w:p>
            <w:pPr>
              <w:spacing w:after="0"/>
              <w:rPr>
                <w:sz w:val="22"/>
                <w:szCs w:val="22"/>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3,000.3</w:t>
            </w:r>
          </w:p>
        </w:tc>
        <w:tc>
          <w:tcPr>
            <w:tcW w:w="400" w:type="dxa"/>
            <w:vAlign w:val="bottom"/>
          </w:tcPr>
          <w:p>
            <w:pPr>
              <w:spacing w:after="0"/>
              <w:rPr>
                <w:sz w:val="22"/>
                <w:szCs w:val="22"/>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5,889.3</w:t>
            </w:r>
          </w:p>
        </w:tc>
      </w:tr>
      <w:tr>
        <w:trPr>
          <w:trHeight w:val="271"/>
        </w:trPr>
        <w:tc>
          <w:tcPr>
            <w:tcW w:w="36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381.6</w:t>
            </w:r>
          </w:p>
        </w:tc>
        <w:tc>
          <w:tcPr>
            <w:tcW w:w="4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609.8</w:t>
            </w:r>
          </w:p>
        </w:tc>
        <w:tc>
          <w:tcPr>
            <w:tcW w:w="4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1,204.5</w:t>
            </w:r>
          </w:p>
        </w:tc>
      </w:tr>
      <w:tr>
        <w:trPr>
          <w:trHeight w:val="271"/>
        </w:trPr>
        <w:tc>
          <w:tcPr>
            <w:tcW w:w="3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2,408.4</w:t>
            </w:r>
          </w:p>
        </w:tc>
        <w:tc>
          <w:tcPr>
            <w:tcW w:w="4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2,390.5</w:t>
            </w:r>
          </w:p>
        </w:tc>
        <w:tc>
          <w:tcPr>
            <w:tcW w:w="4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4,684.8</w:t>
            </w:r>
          </w:p>
        </w:tc>
      </w:tr>
    </w:tbl>
    <w:p>
      <w:pPr>
        <w:spacing w:after="0" w:line="200" w:lineRule="exact"/>
        <w:rPr>
          <w:sz w:val="20"/>
          <w:szCs w:val="20"/>
          <w:color w:val="auto"/>
        </w:rPr>
      </w:pPr>
    </w:p>
    <w:p>
      <w:pPr>
        <w:sectPr>
          <w:pgSz w:w="11900" w:h="16838" w:orient="portrait"/>
          <w:cols w:equalWidth="0" w:num="2">
            <w:col w:w="6320" w:space="720"/>
            <w:col w:w="4360"/>
          </w:cols>
          <w:pgMar w:left="240" w:top="563" w:right="259" w:bottom="1440" w:gutter="0" w:footer="0" w:header="0"/>
          <w:type w:val="continuous"/>
        </w:sectPr>
      </w:pPr>
    </w:p>
    <w:p>
      <w:pPr>
        <w:spacing w:after="0" w:line="115" w:lineRule="exact"/>
        <w:rPr>
          <w:sz w:val="20"/>
          <w:szCs w:val="20"/>
          <w:color w:val="auto"/>
        </w:rPr>
      </w:pPr>
    </w:p>
    <w:tbl>
      <w:tblPr>
        <w:tblLayout w:type="fixed"/>
        <w:tblInd w:w="40" w:type="dxa"/>
        <w:tblCellMar>
          <w:top w:w="0" w:type="dxa"/>
          <w:left w:w="0" w:type="dxa"/>
          <w:bottom w:w="0" w:type="dxa"/>
          <w:right w:w="0" w:type="dxa"/>
        </w:tblCellMar>
      </w:tblPr>
      <w:tr>
        <w:trPr>
          <w:trHeight w:val="248"/>
        </w:trPr>
        <w:tc>
          <w:tcPr>
            <w:tcW w:w="5480" w:type="dxa"/>
            <w:vAlign w:val="bottom"/>
          </w:tcPr>
          <w:p>
            <w:pPr>
              <w:ind w:left="20"/>
              <w:spacing w:after="0"/>
              <w:rPr>
                <w:sz w:val="20"/>
                <w:szCs w:val="20"/>
                <w:color w:val="auto"/>
              </w:rPr>
            </w:pPr>
            <w:r>
              <w:rPr>
                <w:rFonts w:ascii="Arial" w:cs="Arial" w:eastAsia="Arial" w:hAnsi="Arial"/>
                <w:sz w:val="18"/>
                <w:szCs w:val="18"/>
                <w:color w:val="auto"/>
              </w:rPr>
              <w:t>Earnings per share:</w:t>
            </w:r>
          </w:p>
        </w:tc>
        <w:tc>
          <w:tcPr>
            <w:tcW w:w="18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5"/>
        </w:trPr>
        <w:tc>
          <w:tcPr>
            <w:tcW w:w="5480" w:type="dxa"/>
            <w:vAlign w:val="bottom"/>
            <w:shd w:val="clear" w:color="auto" w:fill="D8D8D8"/>
          </w:tcPr>
          <w:p>
            <w:pPr>
              <w:ind w:left="160"/>
              <w:spacing w:after="0"/>
              <w:rPr>
                <w:sz w:val="20"/>
                <w:szCs w:val="20"/>
                <w:color w:val="auto"/>
              </w:rPr>
            </w:pPr>
            <w:r>
              <w:rPr>
                <w:rFonts w:ascii="Arial" w:cs="Arial" w:eastAsia="Arial" w:hAnsi="Arial"/>
                <w:sz w:val="18"/>
                <w:szCs w:val="18"/>
                <w:color w:val="auto"/>
              </w:rPr>
              <w:t>Basic</w:t>
            </w:r>
          </w:p>
        </w:tc>
        <w:tc>
          <w:tcPr>
            <w:tcW w:w="1820" w:type="dxa"/>
            <w:vAlign w:val="bottom"/>
            <w:shd w:val="clear" w:color="auto" w:fill="D8D8D8"/>
          </w:tcPr>
          <w:p>
            <w:pPr>
              <w:jc w:val="right"/>
              <w:ind w:right="70"/>
              <w:spacing w:after="0"/>
              <w:rPr>
                <w:sz w:val="20"/>
                <w:szCs w:val="20"/>
                <w:color w:val="auto"/>
              </w:rPr>
            </w:pPr>
            <w:r>
              <w:rPr>
                <w:rFonts w:ascii="Arial" w:cs="Arial" w:eastAsia="Arial" w:hAnsi="Arial"/>
                <w:sz w:val="18"/>
                <w:szCs w:val="18"/>
                <w:b w:val="1"/>
                <w:bCs w:val="1"/>
                <w:color w:val="auto"/>
              </w:rPr>
              <w:t>$</w:t>
            </w:r>
          </w:p>
        </w:tc>
        <w:tc>
          <w:tcPr>
            <w:tcW w:w="1100" w:type="dxa"/>
            <w:vAlign w:val="bottom"/>
            <w:shd w:val="clear" w:color="auto" w:fill="D8D8D8"/>
          </w:tcPr>
          <w:p>
            <w:pPr>
              <w:jc w:val="right"/>
              <w:ind w:right="30"/>
              <w:spacing w:after="0"/>
              <w:rPr>
                <w:sz w:val="20"/>
                <w:szCs w:val="20"/>
                <w:color w:val="auto"/>
              </w:rPr>
            </w:pPr>
            <w:r>
              <w:rPr>
                <w:rFonts w:ascii="Arial" w:cs="Arial" w:eastAsia="Arial" w:hAnsi="Arial"/>
                <w:sz w:val="18"/>
                <w:szCs w:val="18"/>
                <w:b w:val="1"/>
                <w:bCs w:val="1"/>
                <w:color w:val="auto"/>
              </w:rPr>
              <w:t>2.27</w:t>
            </w:r>
          </w:p>
        </w:tc>
        <w:tc>
          <w:tcPr>
            <w:tcW w:w="380" w:type="dxa"/>
            <w:vAlign w:val="bottom"/>
            <w:shd w:val="clear" w:color="auto" w:fill="D8D8D8"/>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shd w:val="clear" w:color="auto" w:fill="D8D8D8"/>
          </w:tcPr>
          <w:p>
            <w:pPr>
              <w:jc w:val="right"/>
              <w:ind w:right="30"/>
              <w:spacing w:after="0"/>
              <w:rPr>
                <w:sz w:val="20"/>
                <w:szCs w:val="20"/>
                <w:color w:val="auto"/>
              </w:rPr>
            </w:pPr>
            <w:r>
              <w:rPr>
                <w:rFonts w:ascii="Arial" w:cs="Arial" w:eastAsia="Arial" w:hAnsi="Arial"/>
                <w:sz w:val="18"/>
                <w:szCs w:val="18"/>
                <w:color w:val="auto"/>
              </w:rPr>
              <w:t>2.23</w:t>
            </w:r>
          </w:p>
        </w:tc>
        <w:tc>
          <w:tcPr>
            <w:tcW w:w="400" w:type="dxa"/>
            <w:vAlign w:val="bottom"/>
            <w:shd w:val="clear" w:color="auto" w:fill="D8D8D8"/>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shd w:val="clear" w:color="auto" w:fill="D8D8D8"/>
          </w:tcPr>
          <w:p>
            <w:pPr>
              <w:jc w:val="right"/>
              <w:ind w:right="30"/>
              <w:spacing w:after="0"/>
              <w:rPr>
                <w:sz w:val="20"/>
                <w:szCs w:val="20"/>
                <w:color w:val="auto"/>
              </w:rPr>
            </w:pPr>
            <w:r>
              <w:rPr>
                <w:rFonts w:ascii="Arial" w:cs="Arial" w:eastAsia="Arial" w:hAnsi="Arial"/>
                <w:sz w:val="18"/>
                <w:szCs w:val="18"/>
                <w:color w:val="auto"/>
              </w:rPr>
              <w:t>4.33</w:t>
            </w:r>
          </w:p>
        </w:tc>
      </w:tr>
      <w:tr>
        <w:trPr>
          <w:trHeight w:val="269"/>
        </w:trPr>
        <w:tc>
          <w:tcPr>
            <w:tcW w:w="5480" w:type="dxa"/>
            <w:vAlign w:val="bottom"/>
          </w:tcPr>
          <w:p>
            <w:pPr>
              <w:ind w:left="160"/>
              <w:spacing w:after="0"/>
              <w:rPr>
                <w:sz w:val="20"/>
                <w:szCs w:val="20"/>
                <w:color w:val="auto"/>
              </w:rPr>
            </w:pPr>
            <w:r>
              <w:rPr>
                <w:rFonts w:ascii="Arial" w:cs="Arial" w:eastAsia="Arial" w:hAnsi="Arial"/>
                <w:sz w:val="18"/>
                <w:szCs w:val="18"/>
                <w:color w:val="auto"/>
              </w:rPr>
              <w:t>Diluted</w:t>
            </w:r>
          </w:p>
        </w:tc>
        <w:tc>
          <w:tcPr>
            <w:tcW w:w="1820" w:type="dxa"/>
            <w:vAlign w:val="bottom"/>
          </w:tcPr>
          <w:p>
            <w:pPr>
              <w:spacing w:after="0"/>
              <w:rPr>
                <w:sz w:val="23"/>
                <w:szCs w:val="23"/>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b w:val="1"/>
                <w:bCs w:val="1"/>
                <w:color w:val="auto"/>
              </w:rPr>
              <w:t>2.26</w:t>
            </w:r>
          </w:p>
        </w:tc>
        <w:tc>
          <w:tcPr>
            <w:tcW w:w="380" w:type="dxa"/>
            <w:vAlign w:val="bottom"/>
          </w:tcPr>
          <w:p>
            <w:pPr>
              <w:spacing w:after="0"/>
              <w:rPr>
                <w:sz w:val="23"/>
                <w:szCs w:val="23"/>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2.23</w:t>
            </w:r>
          </w:p>
        </w:tc>
        <w:tc>
          <w:tcPr>
            <w:tcW w:w="40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4.32</w:t>
            </w:r>
          </w:p>
        </w:tc>
      </w:tr>
      <w:tr>
        <w:trPr>
          <w:trHeight w:val="271"/>
        </w:trPr>
        <w:tc>
          <w:tcPr>
            <w:tcW w:w="5480" w:type="dxa"/>
            <w:vAlign w:val="bottom"/>
            <w:shd w:val="clear" w:color="auto" w:fill="D8D8D8"/>
          </w:tcPr>
          <w:p>
            <w:pPr>
              <w:ind w:left="20"/>
              <w:spacing w:after="0"/>
              <w:rPr>
                <w:sz w:val="20"/>
                <w:szCs w:val="20"/>
                <w:color w:val="auto"/>
              </w:rPr>
            </w:pPr>
            <w:r>
              <w:rPr>
                <w:rFonts w:ascii="Arial" w:cs="Arial" w:eastAsia="Arial" w:hAnsi="Arial"/>
                <w:sz w:val="18"/>
                <w:szCs w:val="18"/>
                <w:color w:val="auto"/>
              </w:rPr>
              <w:t>Shares used in calculation of earnings per share:</w:t>
            </w:r>
          </w:p>
        </w:tc>
        <w:tc>
          <w:tcPr>
            <w:tcW w:w="1820" w:type="dxa"/>
            <w:vAlign w:val="bottom"/>
            <w:shd w:val="clear" w:color="auto" w:fill="D8D8D8"/>
          </w:tcPr>
          <w:p>
            <w:pPr>
              <w:spacing w:after="0"/>
              <w:rPr>
                <w:sz w:val="23"/>
                <w:szCs w:val="23"/>
                <w:color w:val="auto"/>
              </w:rPr>
            </w:pPr>
          </w:p>
        </w:tc>
        <w:tc>
          <w:tcPr>
            <w:tcW w:w="1100" w:type="dxa"/>
            <w:vAlign w:val="bottom"/>
            <w:shd w:val="clear" w:color="auto" w:fill="D8D8D8"/>
          </w:tcPr>
          <w:p>
            <w:pPr>
              <w:spacing w:after="0"/>
              <w:rPr>
                <w:sz w:val="23"/>
                <w:szCs w:val="23"/>
                <w:color w:val="auto"/>
              </w:rPr>
            </w:pPr>
          </w:p>
        </w:tc>
        <w:tc>
          <w:tcPr>
            <w:tcW w:w="380" w:type="dxa"/>
            <w:vAlign w:val="bottom"/>
            <w:shd w:val="clear" w:color="auto" w:fill="D8D8D8"/>
          </w:tcPr>
          <w:p>
            <w:pPr>
              <w:spacing w:after="0"/>
              <w:rPr>
                <w:sz w:val="23"/>
                <w:szCs w:val="23"/>
                <w:color w:val="auto"/>
              </w:rPr>
            </w:pPr>
          </w:p>
        </w:tc>
        <w:tc>
          <w:tcPr>
            <w:tcW w:w="1100" w:type="dxa"/>
            <w:vAlign w:val="bottom"/>
            <w:shd w:val="clear" w:color="auto" w:fill="D8D8D8"/>
          </w:tcPr>
          <w:p>
            <w:pPr>
              <w:spacing w:after="0"/>
              <w:rPr>
                <w:sz w:val="23"/>
                <w:szCs w:val="23"/>
                <w:color w:val="auto"/>
              </w:rPr>
            </w:pPr>
          </w:p>
        </w:tc>
        <w:tc>
          <w:tcPr>
            <w:tcW w:w="400" w:type="dxa"/>
            <w:vAlign w:val="bottom"/>
            <w:shd w:val="clear" w:color="auto" w:fill="D8D8D8"/>
          </w:tcPr>
          <w:p>
            <w:pPr>
              <w:spacing w:after="0"/>
              <w:rPr>
                <w:sz w:val="23"/>
                <w:szCs w:val="23"/>
                <w:color w:val="auto"/>
              </w:rPr>
            </w:pPr>
          </w:p>
        </w:tc>
        <w:tc>
          <w:tcPr>
            <w:tcW w:w="1080" w:type="dxa"/>
            <w:vAlign w:val="bottom"/>
            <w:shd w:val="clear" w:color="auto" w:fill="D8D8D8"/>
          </w:tcPr>
          <w:p>
            <w:pPr>
              <w:spacing w:after="0"/>
              <w:rPr>
                <w:sz w:val="23"/>
                <w:szCs w:val="23"/>
                <w:color w:val="auto"/>
              </w:rPr>
            </w:pPr>
          </w:p>
        </w:tc>
      </w:tr>
      <w:tr>
        <w:trPr>
          <w:trHeight w:val="269"/>
        </w:trPr>
        <w:tc>
          <w:tcPr>
            <w:tcW w:w="5480" w:type="dxa"/>
            <w:vAlign w:val="bottom"/>
          </w:tcPr>
          <w:p>
            <w:pPr>
              <w:ind w:left="160"/>
              <w:spacing w:after="0"/>
              <w:rPr>
                <w:sz w:val="20"/>
                <w:szCs w:val="20"/>
                <w:color w:val="auto"/>
              </w:rPr>
            </w:pPr>
            <w:r>
              <w:rPr>
                <w:rFonts w:ascii="Arial" w:cs="Arial" w:eastAsia="Arial" w:hAnsi="Arial"/>
                <w:sz w:val="18"/>
                <w:szCs w:val="18"/>
                <w:color w:val="auto"/>
              </w:rPr>
              <w:t>Basic</w:t>
            </w:r>
          </w:p>
        </w:tc>
        <w:tc>
          <w:tcPr>
            <w:tcW w:w="1820" w:type="dxa"/>
            <w:vAlign w:val="bottom"/>
          </w:tcPr>
          <w:p>
            <w:pPr>
              <w:spacing w:after="0"/>
              <w:rPr>
                <w:sz w:val="23"/>
                <w:szCs w:val="23"/>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b w:val="1"/>
                <w:bCs w:val="1"/>
                <w:color w:val="auto"/>
              </w:rPr>
              <w:t>1,061,913</w:t>
            </w:r>
          </w:p>
        </w:tc>
        <w:tc>
          <w:tcPr>
            <w:tcW w:w="380" w:type="dxa"/>
            <w:vAlign w:val="bottom"/>
          </w:tcPr>
          <w:p>
            <w:pPr>
              <w:spacing w:after="0"/>
              <w:rPr>
                <w:sz w:val="23"/>
                <w:szCs w:val="23"/>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1,069,932</w:t>
            </w:r>
          </w:p>
        </w:tc>
        <w:tc>
          <w:tcPr>
            <w:tcW w:w="40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1,080,874</w:t>
            </w:r>
          </w:p>
        </w:tc>
      </w:tr>
      <w:tr>
        <w:trPr>
          <w:trHeight w:val="271"/>
        </w:trPr>
        <w:tc>
          <w:tcPr>
            <w:tcW w:w="5480" w:type="dxa"/>
            <w:vAlign w:val="bottom"/>
            <w:shd w:val="clear" w:color="auto" w:fill="D8D8D8"/>
          </w:tcPr>
          <w:p>
            <w:pPr>
              <w:ind w:left="160"/>
              <w:spacing w:after="0"/>
              <w:rPr>
                <w:sz w:val="20"/>
                <w:szCs w:val="20"/>
                <w:color w:val="auto"/>
              </w:rPr>
            </w:pPr>
            <w:r>
              <w:rPr>
                <w:rFonts w:ascii="Arial" w:cs="Arial" w:eastAsia="Arial" w:hAnsi="Arial"/>
                <w:sz w:val="18"/>
                <w:szCs w:val="18"/>
                <w:color w:val="auto"/>
              </w:rPr>
              <w:t>Diluted</w:t>
            </w:r>
          </w:p>
        </w:tc>
        <w:tc>
          <w:tcPr>
            <w:tcW w:w="1820" w:type="dxa"/>
            <w:vAlign w:val="bottom"/>
            <w:shd w:val="clear" w:color="auto" w:fill="D8D8D8"/>
          </w:tcPr>
          <w:p>
            <w:pPr>
              <w:spacing w:after="0"/>
              <w:rPr>
                <w:sz w:val="23"/>
                <w:szCs w:val="23"/>
                <w:color w:val="auto"/>
              </w:rPr>
            </w:pPr>
          </w:p>
        </w:tc>
        <w:tc>
          <w:tcPr>
            <w:tcW w:w="1100" w:type="dxa"/>
            <w:vAlign w:val="bottom"/>
            <w:shd w:val="clear" w:color="auto" w:fill="D8D8D8"/>
          </w:tcPr>
          <w:p>
            <w:pPr>
              <w:jc w:val="right"/>
              <w:ind w:right="30"/>
              <w:spacing w:after="0"/>
              <w:rPr>
                <w:sz w:val="20"/>
                <w:szCs w:val="20"/>
                <w:color w:val="auto"/>
              </w:rPr>
            </w:pPr>
            <w:r>
              <w:rPr>
                <w:rFonts w:ascii="Arial" w:cs="Arial" w:eastAsia="Arial" w:hAnsi="Arial"/>
                <w:sz w:val="18"/>
                <w:szCs w:val="18"/>
                <w:b w:val="1"/>
                <w:bCs w:val="1"/>
                <w:color w:val="auto"/>
              </w:rPr>
              <w:t>1,065,720</w:t>
            </w:r>
          </w:p>
        </w:tc>
        <w:tc>
          <w:tcPr>
            <w:tcW w:w="380" w:type="dxa"/>
            <w:vAlign w:val="bottom"/>
            <w:shd w:val="clear" w:color="auto" w:fill="D8D8D8"/>
          </w:tcPr>
          <w:p>
            <w:pPr>
              <w:spacing w:after="0"/>
              <w:rPr>
                <w:sz w:val="23"/>
                <w:szCs w:val="23"/>
                <w:color w:val="auto"/>
              </w:rPr>
            </w:pPr>
          </w:p>
        </w:tc>
        <w:tc>
          <w:tcPr>
            <w:tcW w:w="1100" w:type="dxa"/>
            <w:vAlign w:val="bottom"/>
            <w:shd w:val="clear" w:color="auto" w:fill="D8D8D8"/>
          </w:tcPr>
          <w:p>
            <w:pPr>
              <w:jc w:val="right"/>
              <w:ind w:right="30"/>
              <w:spacing w:after="0"/>
              <w:rPr>
                <w:sz w:val="20"/>
                <w:szCs w:val="20"/>
                <w:color w:val="auto"/>
              </w:rPr>
            </w:pPr>
            <w:r>
              <w:rPr>
                <w:rFonts w:ascii="Arial" w:cs="Arial" w:eastAsia="Arial" w:hAnsi="Arial"/>
                <w:sz w:val="18"/>
                <w:szCs w:val="18"/>
                <w:color w:val="auto"/>
              </w:rPr>
              <w:t>1,074,286</w:t>
            </w:r>
          </w:p>
        </w:tc>
        <w:tc>
          <w:tcPr>
            <w:tcW w:w="400" w:type="dxa"/>
            <w:vAlign w:val="bottom"/>
            <w:shd w:val="clear" w:color="auto" w:fill="D8D8D8"/>
          </w:tcPr>
          <w:p>
            <w:pPr>
              <w:spacing w:after="0"/>
              <w:rPr>
                <w:sz w:val="23"/>
                <w:szCs w:val="23"/>
                <w:color w:val="auto"/>
              </w:rPr>
            </w:pPr>
          </w:p>
        </w:tc>
        <w:tc>
          <w:tcPr>
            <w:tcW w:w="1080" w:type="dxa"/>
            <w:vAlign w:val="bottom"/>
            <w:shd w:val="clear" w:color="auto" w:fill="D8D8D8"/>
          </w:tcPr>
          <w:p>
            <w:pPr>
              <w:jc w:val="right"/>
              <w:ind w:right="30"/>
              <w:spacing w:after="0"/>
              <w:rPr>
                <w:sz w:val="20"/>
                <w:szCs w:val="20"/>
                <w:color w:val="auto"/>
              </w:rPr>
            </w:pPr>
            <w:r>
              <w:rPr>
                <w:rFonts w:ascii="Arial" w:cs="Arial" w:eastAsia="Arial" w:hAnsi="Arial"/>
                <w:sz w:val="18"/>
                <w:szCs w:val="18"/>
                <w:color w:val="auto"/>
              </w:rPr>
              <w:t>1,084,766</w:t>
            </w:r>
          </w:p>
        </w:tc>
      </w:tr>
    </w:tbl>
    <w:p>
      <w:pPr>
        <w:spacing w:after="0" w:line="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notes to consolidated financial statements.</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54</w:t>
      </w:r>
    </w:p>
    <w:p>
      <w:pPr>
        <w:sectPr>
          <w:pgSz w:w="11900" w:h="16838" w:orient="portrait"/>
          <w:cols w:equalWidth="0" w:num="1">
            <w:col w:w="11400"/>
          </w:cols>
          <w:pgMar w:left="240" w:top="563" w:right="259" w:bottom="1440" w:gutter="0" w:footer="0" w:header="0"/>
          <w:type w:val="continuous"/>
        </w:sectPr>
      </w:pPr>
    </w:p>
    <w:bookmarkStart w:id="54" w:name="page55"/>
    <w:bookmarkEnd w:id="54"/>
    <w:p>
      <w:pPr>
        <w:spacing w:after="0"/>
        <w:rPr>
          <w:sz w:val="20"/>
          <w:szCs w:val="20"/>
          <w:color w:val="auto"/>
        </w:rPr>
      </w:pPr>
      <w:r>
        <w:rPr>
          <w:rFonts w:ascii="Arial" w:cs="Arial" w:eastAsia="Arial" w:hAnsi="Arial"/>
          <w:sz w:val="32"/>
          <w:szCs w:val="32"/>
          <w:i w:val="1"/>
          <w:iCs w:val="1"/>
          <w:color w:val="CC0000"/>
        </w:rPr>
        <w:t>Consolidated Statements of Comprehensive Income</w:t>
      </w: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60" w:type="dxa"/>
            <w:vAlign w:val="bottom"/>
          </w:tcPr>
          <w:p>
            <w:pPr>
              <w:ind w:left="40"/>
              <w:spacing w:after="0"/>
              <w:rPr>
                <w:sz w:val="20"/>
                <w:szCs w:val="20"/>
                <w:color w:val="auto"/>
              </w:rPr>
            </w:pPr>
            <w:r>
              <w:rPr>
                <w:rFonts w:ascii="Arial" w:cs="Arial" w:eastAsia="Arial" w:hAnsi="Arial"/>
                <w:sz w:val="14"/>
                <w:szCs w:val="14"/>
                <w:b w:val="1"/>
                <w:bCs w:val="1"/>
                <w:color w:val="auto"/>
              </w:rPr>
              <w:t>ELI LILLY AND COMPANY AND SUBSIDIARIES</w:t>
            </w:r>
          </w:p>
        </w:tc>
        <w:tc>
          <w:tcPr>
            <w:tcW w:w="2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203"/>
        </w:trPr>
        <w:tc>
          <w:tcPr>
            <w:tcW w:w="49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44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Year Ended December 31</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2015</w:t>
            </w:r>
          </w:p>
        </w:tc>
        <w:tc>
          <w:tcPr>
            <w:tcW w:w="3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2014</w:t>
            </w:r>
          </w:p>
        </w:tc>
        <w:tc>
          <w:tcPr>
            <w:tcW w:w="3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2013</w:t>
            </w:r>
          </w:p>
        </w:tc>
      </w:tr>
      <w:tr>
        <w:trPr>
          <w:trHeight w:val="265"/>
        </w:trPr>
        <w:tc>
          <w:tcPr>
            <w:tcW w:w="4960" w:type="dxa"/>
            <w:vAlign w:val="bottom"/>
            <w:shd w:val="clear" w:color="auto" w:fill="D8D8D8"/>
          </w:tcPr>
          <w:p>
            <w:pPr>
              <w:ind w:left="40"/>
              <w:spacing w:after="0"/>
              <w:rPr>
                <w:sz w:val="20"/>
                <w:szCs w:val="20"/>
                <w:color w:val="auto"/>
              </w:rPr>
            </w:pPr>
            <w:r>
              <w:rPr>
                <w:rFonts w:ascii="Arial" w:cs="Arial" w:eastAsia="Arial" w:hAnsi="Arial"/>
                <w:sz w:val="18"/>
                <w:szCs w:val="18"/>
                <w:color w:val="auto"/>
              </w:rPr>
              <w:t>Net income</w:t>
            </w:r>
          </w:p>
        </w:tc>
        <w:tc>
          <w:tcPr>
            <w:tcW w:w="2440" w:type="dxa"/>
            <w:vAlign w:val="bottom"/>
            <w:shd w:val="clear" w:color="auto" w:fill="D8D8D8"/>
          </w:tcPr>
          <w:p>
            <w:pPr>
              <w:spacing w:after="0"/>
              <w:rPr>
                <w:sz w:val="23"/>
                <w:szCs w:val="23"/>
                <w:color w:val="auto"/>
              </w:rPr>
            </w:pPr>
          </w:p>
        </w:tc>
        <w:tc>
          <w:tcPr>
            <w:tcW w:w="300" w:type="dxa"/>
            <w:vAlign w:val="bottom"/>
            <w:shd w:val="clear" w:color="auto" w:fill="D8D8D8"/>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00" w:type="dxa"/>
            <w:vAlign w:val="bottom"/>
            <w:shd w:val="clear" w:color="auto" w:fill="D8D8D8"/>
          </w:tcPr>
          <w:p>
            <w:pPr>
              <w:jc w:val="right"/>
              <w:ind w:right="52"/>
              <w:spacing w:after="0"/>
              <w:rPr>
                <w:sz w:val="20"/>
                <w:szCs w:val="20"/>
                <w:color w:val="auto"/>
              </w:rPr>
            </w:pPr>
            <w:r>
              <w:rPr>
                <w:rFonts w:ascii="Arial" w:cs="Arial" w:eastAsia="Arial" w:hAnsi="Arial"/>
                <w:sz w:val="18"/>
                <w:szCs w:val="18"/>
                <w:b w:val="1"/>
                <w:bCs w:val="1"/>
                <w:color w:val="auto"/>
              </w:rPr>
              <w:t>2,408.4</w:t>
            </w:r>
          </w:p>
        </w:tc>
        <w:tc>
          <w:tcPr>
            <w:tcW w:w="380" w:type="dxa"/>
            <w:vAlign w:val="bottom"/>
            <w:shd w:val="clear" w:color="auto" w:fill="D8D8D8"/>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shd w:val="clear" w:color="auto" w:fill="D8D8D8"/>
          </w:tcPr>
          <w:p>
            <w:pPr>
              <w:jc w:val="right"/>
              <w:ind w:right="52"/>
              <w:spacing w:after="0"/>
              <w:rPr>
                <w:sz w:val="20"/>
                <w:szCs w:val="20"/>
                <w:color w:val="auto"/>
              </w:rPr>
            </w:pPr>
            <w:r>
              <w:rPr>
                <w:rFonts w:ascii="Arial" w:cs="Arial" w:eastAsia="Arial" w:hAnsi="Arial"/>
                <w:sz w:val="18"/>
                <w:szCs w:val="18"/>
                <w:color w:val="auto"/>
              </w:rPr>
              <w:t>2,390.5</w:t>
            </w:r>
          </w:p>
        </w:tc>
        <w:tc>
          <w:tcPr>
            <w:tcW w:w="380" w:type="dxa"/>
            <w:vAlign w:val="bottom"/>
            <w:shd w:val="clear" w:color="auto" w:fill="D8D8D8"/>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shd w:val="clear" w:color="auto" w:fill="D8D8D8"/>
          </w:tcPr>
          <w:p>
            <w:pPr>
              <w:jc w:val="right"/>
              <w:ind w:right="12"/>
              <w:spacing w:after="0"/>
              <w:rPr>
                <w:sz w:val="20"/>
                <w:szCs w:val="20"/>
                <w:color w:val="auto"/>
              </w:rPr>
            </w:pPr>
            <w:r>
              <w:rPr>
                <w:rFonts w:ascii="Arial" w:cs="Arial" w:eastAsia="Arial" w:hAnsi="Arial"/>
                <w:sz w:val="18"/>
                <w:szCs w:val="18"/>
                <w:color w:val="auto"/>
              </w:rPr>
              <w:t>4,684.8</w:t>
            </w:r>
          </w:p>
        </w:tc>
      </w:tr>
      <w:tr>
        <w:trPr>
          <w:trHeight w:val="247"/>
        </w:trPr>
        <w:tc>
          <w:tcPr>
            <w:tcW w:w="496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2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3"/>
        </w:trPr>
        <w:tc>
          <w:tcPr>
            <w:tcW w:w="4960" w:type="dxa"/>
            <w:vAlign w:val="bottom"/>
          </w:tcPr>
          <w:p>
            <w:pPr>
              <w:spacing w:after="0"/>
              <w:rPr>
                <w:sz w:val="2"/>
                <w:szCs w:val="2"/>
                <w:color w:val="auto"/>
              </w:rPr>
            </w:pPr>
          </w:p>
        </w:tc>
        <w:tc>
          <w:tcPr>
            <w:tcW w:w="2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4960" w:type="dxa"/>
            <w:vAlign w:val="bottom"/>
            <w:shd w:val="clear" w:color="auto" w:fill="D8D8D8"/>
          </w:tcPr>
          <w:p>
            <w:pPr>
              <w:ind w:left="180"/>
              <w:spacing w:after="0"/>
              <w:rPr>
                <w:sz w:val="20"/>
                <w:szCs w:val="20"/>
                <w:color w:val="auto"/>
              </w:rPr>
            </w:pPr>
            <w:r>
              <w:rPr>
                <w:rFonts w:ascii="Arial" w:cs="Arial" w:eastAsia="Arial" w:hAnsi="Arial"/>
                <w:sz w:val="18"/>
                <w:szCs w:val="18"/>
                <w:color w:val="auto"/>
              </w:rPr>
              <w:t>Change in foreign currency translation gains (losses)</w:t>
            </w:r>
          </w:p>
        </w:tc>
        <w:tc>
          <w:tcPr>
            <w:tcW w:w="2440" w:type="dxa"/>
            <w:vAlign w:val="bottom"/>
            <w:shd w:val="clear" w:color="auto" w:fill="D8D8D8"/>
          </w:tcPr>
          <w:p>
            <w:pPr>
              <w:spacing w:after="0"/>
              <w:rPr>
                <w:sz w:val="23"/>
                <w:szCs w:val="23"/>
                <w:color w:val="auto"/>
              </w:rPr>
            </w:pPr>
          </w:p>
        </w:tc>
        <w:tc>
          <w:tcPr>
            <w:tcW w:w="300" w:type="dxa"/>
            <w:vAlign w:val="bottom"/>
            <w:shd w:val="clear" w:color="auto" w:fill="D8D8D8"/>
          </w:tcPr>
          <w:p>
            <w:pPr>
              <w:spacing w:after="0"/>
              <w:rPr>
                <w:sz w:val="23"/>
                <w:szCs w:val="23"/>
                <w:color w:val="auto"/>
              </w:rPr>
            </w:pPr>
          </w:p>
        </w:tc>
        <w:tc>
          <w:tcPr>
            <w:tcW w:w="1000" w:type="dxa"/>
            <w:vAlign w:val="bottom"/>
            <w:shd w:val="clear" w:color="auto" w:fill="D8D8D8"/>
          </w:tcPr>
          <w:p>
            <w:pPr>
              <w:jc w:val="right"/>
              <w:spacing w:after="0"/>
              <w:rPr>
                <w:sz w:val="20"/>
                <w:szCs w:val="20"/>
                <w:color w:val="auto"/>
              </w:rPr>
            </w:pPr>
            <w:r>
              <w:rPr>
                <w:rFonts w:ascii="Arial" w:cs="Arial" w:eastAsia="Arial" w:hAnsi="Arial"/>
                <w:sz w:val="18"/>
                <w:szCs w:val="18"/>
                <w:b w:val="1"/>
                <w:bCs w:val="1"/>
                <w:color w:val="auto"/>
              </w:rPr>
              <w:t>(859.8)</w:t>
            </w:r>
          </w:p>
        </w:tc>
        <w:tc>
          <w:tcPr>
            <w:tcW w:w="380" w:type="dxa"/>
            <w:vAlign w:val="bottom"/>
            <w:shd w:val="clear" w:color="auto" w:fill="D8D8D8"/>
          </w:tcPr>
          <w:p>
            <w:pPr>
              <w:spacing w:after="0"/>
              <w:rPr>
                <w:sz w:val="23"/>
                <w:szCs w:val="23"/>
                <w:color w:val="auto"/>
              </w:rPr>
            </w:pPr>
          </w:p>
        </w:tc>
        <w:tc>
          <w:tcPr>
            <w:tcW w:w="10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(961.4)</w:t>
            </w:r>
          </w:p>
        </w:tc>
        <w:tc>
          <w:tcPr>
            <w:tcW w:w="380" w:type="dxa"/>
            <w:vAlign w:val="bottom"/>
            <w:shd w:val="clear" w:color="auto" w:fill="D8D8D8"/>
          </w:tcPr>
          <w:p>
            <w:pPr>
              <w:spacing w:after="0"/>
              <w:rPr>
                <w:sz w:val="23"/>
                <w:szCs w:val="23"/>
                <w:color w:val="auto"/>
              </w:rPr>
            </w:pPr>
          </w:p>
        </w:tc>
        <w:tc>
          <w:tcPr>
            <w:tcW w:w="960" w:type="dxa"/>
            <w:vAlign w:val="bottom"/>
            <w:shd w:val="clear" w:color="auto" w:fill="D8D8D8"/>
          </w:tcPr>
          <w:p>
            <w:pPr>
              <w:jc w:val="right"/>
              <w:ind w:right="12"/>
              <w:spacing w:after="0"/>
              <w:rPr>
                <w:sz w:val="20"/>
                <w:szCs w:val="20"/>
                <w:color w:val="auto"/>
              </w:rPr>
            </w:pPr>
            <w:r>
              <w:rPr>
                <w:rFonts w:ascii="Arial" w:cs="Arial" w:eastAsia="Arial" w:hAnsi="Arial"/>
                <w:sz w:val="18"/>
                <w:szCs w:val="18"/>
                <w:color w:val="auto"/>
              </w:rPr>
              <w:t>36.2</w:t>
            </w:r>
          </w:p>
        </w:tc>
      </w:tr>
      <w:tr>
        <w:trPr>
          <w:trHeight w:val="269"/>
        </w:trPr>
        <w:tc>
          <w:tcPr>
            <w:tcW w:w="4960" w:type="dxa"/>
            <w:vAlign w:val="bottom"/>
          </w:tcPr>
          <w:p>
            <w:pPr>
              <w:ind w:left="180"/>
              <w:spacing w:after="0"/>
              <w:rPr>
                <w:sz w:val="20"/>
                <w:szCs w:val="20"/>
                <w:color w:val="auto"/>
              </w:rPr>
            </w:pPr>
            <w:r>
              <w:rPr>
                <w:rFonts w:ascii="Arial" w:cs="Arial" w:eastAsia="Arial" w:hAnsi="Arial"/>
                <w:sz w:val="18"/>
                <w:szCs w:val="18"/>
                <w:color w:val="auto"/>
              </w:rPr>
              <w:t>Change in net unrealized gains and losses on securities</w:t>
            </w:r>
          </w:p>
        </w:tc>
        <w:tc>
          <w:tcPr>
            <w:tcW w:w="2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(138.1)</w:t>
            </w:r>
          </w:p>
        </w:tc>
        <w:tc>
          <w:tcPr>
            <w:tcW w:w="3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(162.2)</w:t>
            </w:r>
          </w:p>
        </w:tc>
        <w:tc>
          <w:tcPr>
            <w:tcW w:w="38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204.3</w:t>
            </w:r>
          </w:p>
        </w:tc>
      </w:tr>
      <w:tr>
        <w:trPr>
          <w:trHeight w:val="271"/>
        </w:trPr>
        <w:tc>
          <w:tcPr>
            <w:tcW w:w="7400" w:type="dxa"/>
            <w:vAlign w:val="bottom"/>
            <w:gridSpan w:val="2"/>
            <w:shd w:val="clear" w:color="auto" w:fill="D8D8D8"/>
          </w:tcPr>
          <w:p>
            <w:pPr>
              <w:ind w:left="180"/>
              <w:spacing w:after="0"/>
              <w:rPr>
                <w:sz w:val="20"/>
                <w:szCs w:val="20"/>
                <w:color w:val="auto"/>
              </w:rPr>
            </w:pPr>
            <w:r>
              <w:rPr>
                <w:rFonts w:ascii="Arial" w:cs="Arial" w:eastAsia="Arial" w:hAnsi="Arial"/>
                <w:sz w:val="18"/>
                <w:szCs w:val="18"/>
                <w:color w:val="auto"/>
              </w:rPr>
              <w:t>Change in defined benefit pension and retiree health benefit plans (Note 14)</w:t>
            </w:r>
          </w:p>
        </w:tc>
        <w:tc>
          <w:tcPr>
            <w:tcW w:w="300" w:type="dxa"/>
            <w:vAlign w:val="bottom"/>
            <w:shd w:val="clear" w:color="auto" w:fill="D8D8D8"/>
          </w:tcPr>
          <w:p>
            <w:pPr>
              <w:spacing w:after="0"/>
              <w:rPr>
                <w:sz w:val="23"/>
                <w:szCs w:val="23"/>
                <w:color w:val="auto"/>
              </w:rPr>
            </w:pPr>
          </w:p>
        </w:tc>
        <w:tc>
          <w:tcPr>
            <w:tcW w:w="1000" w:type="dxa"/>
            <w:vAlign w:val="bottom"/>
            <w:shd w:val="clear" w:color="auto" w:fill="D8D8D8"/>
          </w:tcPr>
          <w:p>
            <w:pPr>
              <w:jc w:val="right"/>
              <w:ind w:right="52"/>
              <w:spacing w:after="0"/>
              <w:rPr>
                <w:sz w:val="20"/>
                <w:szCs w:val="20"/>
                <w:color w:val="auto"/>
              </w:rPr>
            </w:pPr>
            <w:r>
              <w:rPr>
                <w:rFonts w:ascii="Arial" w:cs="Arial" w:eastAsia="Arial" w:hAnsi="Arial"/>
                <w:sz w:val="18"/>
                <w:szCs w:val="18"/>
                <w:b w:val="1"/>
                <w:bCs w:val="1"/>
                <w:color w:val="auto"/>
              </w:rPr>
              <w:t>572.9</w:t>
            </w:r>
          </w:p>
        </w:tc>
        <w:tc>
          <w:tcPr>
            <w:tcW w:w="380" w:type="dxa"/>
            <w:vAlign w:val="bottom"/>
            <w:shd w:val="clear" w:color="auto" w:fill="D8D8D8"/>
          </w:tcPr>
          <w:p>
            <w:pPr>
              <w:spacing w:after="0"/>
              <w:rPr>
                <w:sz w:val="23"/>
                <w:szCs w:val="23"/>
                <w:color w:val="auto"/>
              </w:rPr>
            </w:pPr>
          </w:p>
        </w:tc>
        <w:tc>
          <w:tcPr>
            <w:tcW w:w="10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(1,327.6)</w:t>
            </w:r>
          </w:p>
        </w:tc>
        <w:tc>
          <w:tcPr>
            <w:tcW w:w="380" w:type="dxa"/>
            <w:vAlign w:val="bottom"/>
            <w:shd w:val="clear" w:color="auto" w:fill="D8D8D8"/>
          </w:tcPr>
          <w:p>
            <w:pPr>
              <w:spacing w:after="0"/>
              <w:rPr>
                <w:sz w:val="23"/>
                <w:szCs w:val="23"/>
                <w:color w:val="auto"/>
              </w:rPr>
            </w:pPr>
          </w:p>
        </w:tc>
        <w:tc>
          <w:tcPr>
            <w:tcW w:w="960" w:type="dxa"/>
            <w:vAlign w:val="bottom"/>
            <w:shd w:val="clear" w:color="auto" w:fill="D8D8D8"/>
          </w:tcPr>
          <w:p>
            <w:pPr>
              <w:jc w:val="right"/>
              <w:ind w:right="12"/>
              <w:spacing w:after="0"/>
              <w:rPr>
                <w:sz w:val="20"/>
                <w:szCs w:val="20"/>
                <w:color w:val="auto"/>
              </w:rPr>
            </w:pPr>
            <w:r>
              <w:rPr>
                <w:rFonts w:ascii="Arial" w:cs="Arial" w:eastAsia="Arial" w:hAnsi="Arial"/>
                <w:sz w:val="18"/>
                <w:szCs w:val="18"/>
                <w:color w:val="auto"/>
              </w:rPr>
              <w:t>2,592.2</w:t>
            </w:r>
          </w:p>
        </w:tc>
      </w:tr>
      <w:tr>
        <w:trPr>
          <w:trHeight w:val="269"/>
        </w:trPr>
        <w:tc>
          <w:tcPr>
            <w:tcW w:w="4960" w:type="dxa"/>
            <w:vAlign w:val="bottom"/>
            <w:tcBorders>
              <w:bottom w:val="single" w:sz="8" w:color="D8D8D8"/>
            </w:tcBorders>
          </w:tcPr>
          <w:p>
            <w:pPr>
              <w:ind w:left="180"/>
              <w:spacing w:after="0"/>
              <w:rPr>
                <w:sz w:val="20"/>
                <w:szCs w:val="20"/>
                <w:color w:val="auto"/>
              </w:rPr>
            </w:pPr>
            <w:r>
              <w:rPr>
                <w:rFonts w:ascii="Arial" w:cs="Arial" w:eastAsia="Arial" w:hAnsi="Arial"/>
                <w:sz w:val="18"/>
                <w:szCs w:val="18"/>
                <w:color w:val="auto"/>
              </w:rPr>
              <w:t>Change in effective portion of cash flow hedges</w:t>
            </w:r>
          </w:p>
        </w:tc>
        <w:tc>
          <w:tcPr>
            <w:tcW w:w="2440" w:type="dxa"/>
            <w:vAlign w:val="bottom"/>
            <w:tcBorders>
              <w:bottom w:val="single" w:sz="8" w:color="D8D8D8"/>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(42.0)</w:t>
            </w:r>
          </w:p>
        </w:tc>
        <w:tc>
          <w:tcPr>
            <w:tcW w:w="38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w:t>
            </w:r>
          </w:p>
        </w:tc>
        <w:tc>
          <w:tcPr>
            <w:tcW w:w="3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(123.8)</w:t>
            </w:r>
          </w:p>
        </w:tc>
      </w:tr>
      <w:tr>
        <w:trPr>
          <w:trHeight w:val="264"/>
        </w:trPr>
        <w:tc>
          <w:tcPr>
            <w:tcW w:w="4960" w:type="dxa"/>
            <w:vAlign w:val="bottom"/>
            <w:shd w:val="clear" w:color="auto" w:fill="D8D8D8"/>
          </w:tcPr>
          <w:p>
            <w:pPr>
              <w:ind w:left="180"/>
              <w:spacing w:after="0"/>
              <w:rPr>
                <w:sz w:val="20"/>
                <w:szCs w:val="20"/>
                <w:color w:val="auto"/>
              </w:rPr>
            </w:pPr>
            <w:r>
              <w:rPr>
                <w:rFonts w:ascii="Arial" w:cs="Arial" w:eastAsia="Arial" w:hAnsi="Arial"/>
                <w:sz w:val="18"/>
                <w:szCs w:val="18"/>
                <w:color w:val="auto"/>
              </w:rPr>
              <w:t>Other comprehensive income (loss) before income taxes</w:t>
            </w:r>
          </w:p>
        </w:tc>
        <w:tc>
          <w:tcPr>
            <w:tcW w:w="2440" w:type="dxa"/>
            <w:vAlign w:val="bottom"/>
            <w:shd w:val="clear" w:color="auto" w:fill="D8D8D8"/>
          </w:tcPr>
          <w:p>
            <w:pPr>
              <w:spacing w:after="0"/>
              <w:rPr>
                <w:sz w:val="22"/>
                <w:szCs w:val="22"/>
                <w:color w:val="auto"/>
              </w:rPr>
            </w:pPr>
          </w:p>
        </w:tc>
        <w:tc>
          <w:tcPr>
            <w:tcW w:w="300" w:type="dxa"/>
            <w:vAlign w:val="bottom"/>
            <w:shd w:val="clear" w:color="auto" w:fill="D8D8D8"/>
          </w:tcPr>
          <w:p>
            <w:pPr>
              <w:spacing w:after="0"/>
              <w:rPr>
                <w:sz w:val="22"/>
                <w:szCs w:val="22"/>
                <w:color w:val="auto"/>
              </w:rPr>
            </w:pPr>
          </w:p>
        </w:tc>
        <w:tc>
          <w:tcPr>
            <w:tcW w:w="1000" w:type="dxa"/>
            <w:vAlign w:val="bottom"/>
            <w:shd w:val="clear" w:color="auto" w:fill="D8D8D8"/>
          </w:tcPr>
          <w:p>
            <w:pPr>
              <w:jc w:val="right"/>
              <w:spacing w:after="0"/>
              <w:rPr>
                <w:sz w:val="20"/>
                <w:szCs w:val="20"/>
                <w:color w:val="auto"/>
              </w:rPr>
            </w:pPr>
            <w:r>
              <w:rPr>
                <w:rFonts w:ascii="Arial" w:cs="Arial" w:eastAsia="Arial" w:hAnsi="Arial"/>
                <w:sz w:val="18"/>
                <w:szCs w:val="18"/>
                <w:b w:val="1"/>
                <w:bCs w:val="1"/>
                <w:color w:val="auto"/>
              </w:rPr>
              <w:t>(467.0)</w:t>
            </w:r>
          </w:p>
        </w:tc>
        <w:tc>
          <w:tcPr>
            <w:tcW w:w="380" w:type="dxa"/>
            <w:vAlign w:val="bottom"/>
            <w:shd w:val="clear" w:color="auto" w:fill="D8D8D8"/>
          </w:tcPr>
          <w:p>
            <w:pPr>
              <w:spacing w:after="0"/>
              <w:rPr>
                <w:sz w:val="22"/>
                <w:szCs w:val="22"/>
                <w:color w:val="auto"/>
              </w:rPr>
            </w:pPr>
          </w:p>
        </w:tc>
        <w:tc>
          <w:tcPr>
            <w:tcW w:w="10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(2,465.7)</w:t>
            </w:r>
          </w:p>
        </w:tc>
        <w:tc>
          <w:tcPr>
            <w:tcW w:w="380" w:type="dxa"/>
            <w:vAlign w:val="bottom"/>
            <w:shd w:val="clear" w:color="auto" w:fill="D8D8D8"/>
          </w:tcPr>
          <w:p>
            <w:pPr>
              <w:spacing w:after="0"/>
              <w:rPr>
                <w:sz w:val="22"/>
                <w:szCs w:val="22"/>
                <w:color w:val="auto"/>
              </w:rPr>
            </w:pPr>
          </w:p>
        </w:tc>
        <w:tc>
          <w:tcPr>
            <w:tcW w:w="960" w:type="dxa"/>
            <w:vAlign w:val="bottom"/>
            <w:shd w:val="clear" w:color="auto" w:fill="D8D8D8"/>
          </w:tcPr>
          <w:p>
            <w:pPr>
              <w:jc w:val="right"/>
              <w:ind w:right="12"/>
              <w:spacing w:after="0"/>
              <w:rPr>
                <w:sz w:val="20"/>
                <w:szCs w:val="20"/>
                <w:color w:val="auto"/>
              </w:rPr>
            </w:pPr>
            <w:r>
              <w:rPr>
                <w:rFonts w:ascii="Arial" w:cs="Arial" w:eastAsia="Arial" w:hAnsi="Arial"/>
                <w:sz w:val="18"/>
                <w:szCs w:val="18"/>
                <w:color w:val="auto"/>
              </w:rPr>
              <w:t>2,708.9</w:t>
            </w:r>
          </w:p>
        </w:tc>
      </w:tr>
      <w:tr>
        <w:trPr>
          <w:trHeight w:val="269"/>
        </w:trPr>
        <w:tc>
          <w:tcPr>
            <w:tcW w:w="7400" w:type="dxa"/>
            <w:vAlign w:val="bottom"/>
            <w:tcBorders>
              <w:bottom w:val="single" w:sz="8" w:color="D8D8D8"/>
            </w:tcBorders>
            <w:gridSpan w:val="2"/>
          </w:tcPr>
          <w:p>
            <w:pPr>
              <w:ind w:left="180"/>
              <w:spacing w:after="0"/>
              <w:rPr>
                <w:sz w:val="20"/>
                <w:szCs w:val="20"/>
                <w:color w:val="auto"/>
              </w:rPr>
            </w:pPr>
            <w:r>
              <w:rPr>
                <w:rFonts w:ascii="Arial" w:cs="Arial" w:eastAsia="Arial" w:hAnsi="Arial"/>
                <w:sz w:val="18"/>
                <w:szCs w:val="18"/>
                <w:color w:val="auto"/>
              </w:rPr>
              <w:t>Provision for income taxes related to other comprehensive income (loss) items</w:t>
            </w: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(121.9)</w:t>
            </w:r>
          </w:p>
        </w:tc>
        <w:tc>
          <w:tcPr>
            <w:tcW w:w="38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476.6</w:t>
            </w:r>
          </w:p>
        </w:tc>
        <w:tc>
          <w:tcPr>
            <w:tcW w:w="3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(914.5)</w:t>
            </w:r>
          </w:p>
        </w:tc>
      </w:tr>
      <w:tr>
        <w:trPr>
          <w:trHeight w:val="264"/>
        </w:trPr>
        <w:tc>
          <w:tcPr>
            <w:tcW w:w="4960" w:type="dxa"/>
            <w:vAlign w:val="bottom"/>
            <w:shd w:val="clear" w:color="auto" w:fill="D8D8D8"/>
          </w:tcPr>
          <w:p>
            <w:pPr>
              <w:ind w:left="40"/>
              <w:spacing w:after="0"/>
              <w:rPr>
                <w:sz w:val="20"/>
                <w:szCs w:val="20"/>
                <w:color w:val="auto"/>
              </w:rPr>
            </w:pPr>
            <w:r>
              <w:rPr>
                <w:rFonts w:ascii="Arial" w:cs="Arial" w:eastAsia="Arial" w:hAnsi="Arial"/>
                <w:sz w:val="18"/>
                <w:szCs w:val="18"/>
                <w:color w:val="auto"/>
              </w:rPr>
              <w:t>Other comprehensive income (loss) (Note 16)</w:t>
            </w:r>
          </w:p>
        </w:tc>
        <w:tc>
          <w:tcPr>
            <w:tcW w:w="2440" w:type="dxa"/>
            <w:vAlign w:val="bottom"/>
            <w:shd w:val="clear" w:color="auto" w:fill="D8D8D8"/>
          </w:tcPr>
          <w:p>
            <w:pPr>
              <w:spacing w:after="0"/>
              <w:rPr>
                <w:sz w:val="22"/>
                <w:szCs w:val="22"/>
                <w:color w:val="auto"/>
              </w:rPr>
            </w:pPr>
          </w:p>
        </w:tc>
        <w:tc>
          <w:tcPr>
            <w:tcW w:w="300" w:type="dxa"/>
            <w:vAlign w:val="bottom"/>
            <w:tcBorders>
              <w:bottom w:val="single" w:sz="8" w:color="auto"/>
            </w:tcBorders>
            <w:shd w:val="clear" w:color="auto" w:fill="D8D8D8"/>
          </w:tcPr>
          <w:p>
            <w:pPr>
              <w:spacing w:after="0"/>
              <w:rPr>
                <w:sz w:val="22"/>
                <w:szCs w:val="22"/>
                <w:color w:val="auto"/>
              </w:rPr>
            </w:pPr>
          </w:p>
        </w:tc>
        <w:tc>
          <w:tcPr>
            <w:tcW w:w="100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b w:val="1"/>
                <w:bCs w:val="1"/>
                <w:color w:val="auto"/>
              </w:rPr>
              <w:t>(588.9)</w:t>
            </w:r>
          </w:p>
        </w:tc>
        <w:tc>
          <w:tcPr>
            <w:tcW w:w="380" w:type="dxa"/>
            <w:vAlign w:val="bottom"/>
            <w:tcBorders>
              <w:bottom w:val="single" w:sz="8" w:color="auto"/>
            </w:tcBorders>
            <w:shd w:val="clear" w:color="auto" w:fill="D8D8D8"/>
          </w:tcPr>
          <w:p>
            <w:pPr>
              <w:spacing w:after="0"/>
              <w:rPr>
                <w:sz w:val="22"/>
                <w:szCs w:val="22"/>
                <w:color w:val="auto"/>
              </w:rPr>
            </w:pPr>
          </w:p>
        </w:tc>
        <w:tc>
          <w:tcPr>
            <w:tcW w:w="100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(1,989.1)</w:t>
            </w:r>
          </w:p>
        </w:tc>
        <w:tc>
          <w:tcPr>
            <w:tcW w:w="380" w:type="dxa"/>
            <w:vAlign w:val="bottom"/>
            <w:tcBorders>
              <w:bottom w:val="single" w:sz="8" w:color="auto"/>
            </w:tcBorders>
            <w:shd w:val="clear" w:color="auto" w:fill="D8D8D8"/>
          </w:tcPr>
          <w:p>
            <w:pPr>
              <w:spacing w:after="0"/>
              <w:rPr>
                <w:sz w:val="22"/>
                <w:szCs w:val="22"/>
                <w:color w:val="auto"/>
              </w:rPr>
            </w:pPr>
          </w:p>
        </w:tc>
        <w:tc>
          <w:tcPr>
            <w:tcW w:w="960" w:type="dxa"/>
            <w:vAlign w:val="bottom"/>
            <w:tcBorders>
              <w:bottom w:val="single" w:sz="8" w:color="auto"/>
            </w:tcBorders>
            <w:shd w:val="clear" w:color="auto" w:fill="D8D8D8"/>
          </w:tcPr>
          <w:p>
            <w:pPr>
              <w:jc w:val="right"/>
              <w:ind w:right="12"/>
              <w:spacing w:after="0"/>
              <w:rPr>
                <w:sz w:val="20"/>
                <w:szCs w:val="20"/>
                <w:color w:val="auto"/>
              </w:rPr>
            </w:pPr>
            <w:r>
              <w:rPr>
                <w:rFonts w:ascii="Arial" w:cs="Arial" w:eastAsia="Arial" w:hAnsi="Arial"/>
                <w:sz w:val="18"/>
                <w:szCs w:val="18"/>
                <w:color w:val="auto"/>
              </w:rPr>
              <w:t>1,794.4</w:t>
            </w:r>
          </w:p>
        </w:tc>
      </w:tr>
      <w:tr>
        <w:trPr>
          <w:trHeight w:val="271"/>
        </w:trPr>
        <w:tc>
          <w:tcPr>
            <w:tcW w:w="4960" w:type="dxa"/>
            <w:vAlign w:val="bottom"/>
          </w:tcPr>
          <w:p>
            <w:pPr>
              <w:ind w:left="40"/>
              <w:spacing w:after="0"/>
              <w:rPr>
                <w:sz w:val="20"/>
                <w:szCs w:val="20"/>
                <w:color w:val="auto"/>
              </w:rPr>
            </w:pPr>
            <w:r>
              <w:rPr>
                <w:rFonts w:ascii="Arial" w:cs="Arial" w:eastAsia="Arial" w:hAnsi="Arial"/>
                <w:sz w:val="18"/>
                <w:szCs w:val="18"/>
                <w:color w:val="auto"/>
              </w:rPr>
              <w:t>Comprehensive income</w:t>
            </w:r>
          </w:p>
        </w:tc>
        <w:tc>
          <w:tcPr>
            <w:tcW w:w="2440" w:type="dxa"/>
            <w:vAlign w:val="bottom"/>
          </w:tcPr>
          <w:p>
            <w:pPr>
              <w:spacing w:after="0"/>
              <w:rPr>
                <w:sz w:val="23"/>
                <w:szCs w:val="23"/>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1,819.5</w:t>
            </w:r>
          </w:p>
        </w:tc>
        <w:tc>
          <w:tcPr>
            <w:tcW w:w="3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401.4</w:t>
            </w:r>
          </w:p>
        </w:tc>
        <w:tc>
          <w:tcPr>
            <w:tcW w:w="3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6,479.2</w:t>
            </w:r>
          </w:p>
        </w:tc>
      </w:tr>
    </w:tbl>
    <w:p>
      <w:pPr>
        <w:spacing w:after="0" w:line="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5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55</w:t>
      </w:r>
    </w:p>
    <w:p>
      <w:pPr>
        <w:sectPr>
          <w:pgSz w:w="11900" w:h="16838" w:orient="portrait"/>
          <w:cols w:equalWidth="0" w:num="1">
            <w:col w:w="11420"/>
          </w:cols>
          <w:pgMar w:left="240" w:top="564" w:right="239" w:bottom="1440" w:gutter="0" w:footer="0" w:header="0"/>
        </w:sectPr>
      </w:pPr>
    </w:p>
    <w:bookmarkStart w:id="55" w:name="page56"/>
    <w:bookmarkEnd w:id="55"/>
    <w:p>
      <w:pPr>
        <w:spacing w:after="0"/>
        <w:rPr>
          <w:sz w:val="20"/>
          <w:szCs w:val="20"/>
          <w:color w:val="auto"/>
        </w:rPr>
      </w:pPr>
      <w:r>
        <w:rPr>
          <w:rFonts w:ascii="Arial" w:cs="Arial" w:eastAsia="Arial" w:hAnsi="Arial"/>
          <w:sz w:val="32"/>
          <w:szCs w:val="32"/>
          <w:i w:val="1"/>
          <w:iCs w:val="1"/>
          <w:color w:val="CC0000"/>
        </w:rPr>
        <w:t>Consolidated Balance Sheets</w:t>
      </w:r>
    </w:p>
    <w:p>
      <w:pPr>
        <w:spacing w:after="0" w:line="191"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5220" w:type="dxa"/>
            <w:vAlign w:val="bottom"/>
          </w:tcPr>
          <w:p>
            <w:pPr>
              <w:spacing w:after="0"/>
              <w:rPr>
                <w:sz w:val="20"/>
                <w:szCs w:val="20"/>
                <w:color w:val="auto"/>
              </w:rPr>
            </w:pPr>
            <w:r>
              <w:rPr>
                <w:rFonts w:ascii="Arial" w:cs="Arial" w:eastAsia="Arial" w:hAnsi="Arial"/>
                <w:sz w:val="14"/>
                <w:szCs w:val="14"/>
                <w:b w:val="1"/>
                <w:bCs w:val="1"/>
                <w:color w:val="auto"/>
              </w:rPr>
              <w:t>ELI LILLY AND COMPANY AND SUBSIDIARIES</w:t>
            </w:r>
          </w:p>
        </w:tc>
        <w:tc>
          <w:tcPr>
            <w:tcW w:w="34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202"/>
        </w:trPr>
        <w:tc>
          <w:tcPr>
            <w:tcW w:w="5220" w:type="dxa"/>
            <w:vAlign w:val="bottom"/>
          </w:tcPr>
          <w:p>
            <w:pPr>
              <w:spacing w:after="0"/>
              <w:rPr>
                <w:sz w:val="20"/>
                <w:szCs w:val="20"/>
                <w:color w:val="auto"/>
              </w:rPr>
            </w:pPr>
            <w:r>
              <w:rPr>
                <w:rFonts w:ascii="Arial" w:cs="Arial" w:eastAsia="Arial" w:hAnsi="Arial"/>
                <w:sz w:val="14"/>
                <w:szCs w:val="14"/>
                <w:b w:val="1"/>
                <w:bCs w:val="1"/>
                <w:color w:val="auto"/>
              </w:rPr>
              <w:t>(Dollars in millions, shares in thousands)</w:t>
            </w:r>
          </w:p>
        </w:tc>
        <w:tc>
          <w:tcPr>
            <w:tcW w:w="3400" w:type="dxa"/>
            <w:vAlign w:val="bottom"/>
          </w:tcPr>
          <w:p>
            <w:pPr>
              <w:ind w:left="2060"/>
              <w:spacing w:after="0"/>
              <w:rPr>
                <w:sz w:val="20"/>
                <w:szCs w:val="20"/>
                <w:color w:val="auto"/>
              </w:rPr>
            </w:pPr>
            <w:r>
              <w:rPr>
                <w:rFonts w:ascii="Arial" w:cs="Arial" w:eastAsia="Arial" w:hAnsi="Arial"/>
                <w:sz w:val="14"/>
                <w:szCs w:val="14"/>
                <w:b w:val="1"/>
                <w:bCs w:val="1"/>
                <w:color w:val="auto"/>
              </w:rPr>
              <w:t>December 31</w:t>
            </w:r>
          </w:p>
        </w:tc>
        <w:tc>
          <w:tcPr>
            <w:tcW w:w="1320" w:type="dxa"/>
            <w:vAlign w:val="bottom"/>
          </w:tcPr>
          <w:p>
            <w:pPr>
              <w:jc w:val="right"/>
              <w:ind w:right="508"/>
              <w:spacing w:after="0"/>
              <w:rPr>
                <w:sz w:val="20"/>
                <w:szCs w:val="20"/>
                <w:color w:val="auto"/>
              </w:rPr>
            </w:pPr>
            <w:r>
              <w:rPr>
                <w:rFonts w:ascii="Arial" w:cs="Arial" w:eastAsia="Arial" w:hAnsi="Arial"/>
                <w:sz w:val="14"/>
                <w:szCs w:val="14"/>
                <w:b w:val="1"/>
                <w:bCs w:val="1"/>
                <w:color w:val="auto"/>
              </w:rPr>
              <w:t>2015</w:t>
            </w: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2014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46620" cy="1803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ectPr>
          <w:pgSz w:w="11900" w:h="16838" w:orient="portrait"/>
          <w:cols w:equalWidth="0" w:num="1">
            <w:col w:w="11420"/>
          </w:cols>
          <w:pgMar w:left="240" w:top="727" w:right="239" w:bottom="877" w:gutter="0" w:footer="0" w:header="0"/>
        </w:sectPr>
      </w:pPr>
    </w:p>
    <w:p>
      <w:pPr>
        <w:spacing w:after="0" w:line="1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Assets</w:t>
      </w:r>
    </w:p>
    <w:p>
      <w:pPr>
        <w:spacing w:after="0" w:line="67"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Cash and cash equivalents (Note 7)</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Short-term investments (Note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 xml:space="preserve">Accounts receivable, net of allowances of </w:t>
      </w:r>
      <w:r>
        <w:rPr>
          <w:rFonts w:ascii="Arial" w:cs="Arial" w:eastAsia="Arial" w:hAnsi="Arial"/>
          <w:sz w:val="18"/>
          <w:szCs w:val="18"/>
          <w:b w:val="1"/>
          <w:bCs w:val="1"/>
          <w:color w:val="auto"/>
        </w:rPr>
        <w:t>$44.3 (2015)</w:t>
      </w:r>
      <w:r>
        <w:rPr>
          <w:rFonts w:ascii="Arial" w:cs="Arial" w:eastAsia="Arial" w:hAnsi="Arial"/>
          <w:sz w:val="18"/>
          <w:szCs w:val="18"/>
          <w:color w:val="auto"/>
        </w:rPr>
        <w:t xml:space="preserve"> and $55.0 (2014)</w:t>
      </w:r>
    </w:p>
    <w:p>
      <w:pPr>
        <w:spacing w:after="0" w:line="65" w:lineRule="exact"/>
        <w:rPr>
          <w:sz w:val="20"/>
          <w:szCs w:val="20"/>
          <w:color w:val="auto"/>
        </w:rPr>
      </w:pPr>
    </w:p>
    <w:p>
      <w:pPr>
        <w:ind w:left="280"/>
        <w:spacing w:after="0"/>
        <w:rPr>
          <w:sz w:val="20"/>
          <w:szCs w:val="20"/>
          <w:color w:val="auto"/>
        </w:rPr>
      </w:pPr>
      <w:r>
        <w:rPr>
          <w:rFonts w:ascii="Arial" w:cs="Arial" w:eastAsia="Arial" w:hAnsi="Arial"/>
          <w:sz w:val="18"/>
          <w:szCs w:val="18"/>
          <w:color w:val="auto"/>
        </w:rPr>
        <w:t>Other receivables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Inventories (Note 6)</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Prepaid expenses and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1803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current assets</w:t>
      </w:r>
    </w:p>
    <w:p>
      <w:pPr>
        <w:spacing w:after="0" w:line="79"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Restricted cash (Note 3)</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Investments (Note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Goodwill (Note 8)</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Other intangibles, net (Note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Sundry</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Property and equipment, net (Note 9)</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54610</wp:posOffset>
            </wp:positionV>
            <wp:extent cx="7246620" cy="1803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9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Liabilities and Equity</w:t>
      </w:r>
    </w:p>
    <w:p>
      <w:pPr>
        <w:spacing w:after="0" w:line="54"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2466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Short-term borrowings and current maturities of long-term debt (Note 10)</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Accounts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Employee compensation</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Sales rebates and discounts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Dividends payable</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Income taxes payable (Note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Other current liabilities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2466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72"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Other Liabilities</w:t>
      </w:r>
    </w:p>
    <w:p>
      <w:pPr>
        <w:spacing w:after="0" w:line="48" w:lineRule="exact"/>
        <w:rPr>
          <w:sz w:val="20"/>
          <w:szCs w:val="20"/>
          <w:color w:val="auto"/>
        </w:rPr>
      </w:pPr>
    </w:p>
    <w:p>
      <w:pPr>
        <w:ind w:left="280"/>
        <w:spacing w:after="0"/>
        <w:rPr>
          <w:sz w:val="20"/>
          <w:szCs w:val="20"/>
          <w:color w:val="auto"/>
        </w:rPr>
      </w:pPr>
      <w:r>
        <w:rPr>
          <w:rFonts w:ascii="Arial" w:cs="Arial" w:eastAsia="Arial" w:hAnsi="Arial"/>
          <w:sz w:val="18"/>
          <w:szCs w:val="18"/>
          <w:color w:val="auto"/>
        </w:rPr>
        <w:t>Long-term debt (Note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Accrued retirement benefits (Note 14)</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Long-term income taxes payable (Note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5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Other noncurrent liabilities</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other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24662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59"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Commitments and Contingencies (Note 15)</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Eli Lilly and Company Shareholders' Equity (Notes 11 and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7246620" cy="4203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420370"/>
                    </a:xfrm>
                    <a:prstGeom prst="rect">
                      <a:avLst/>
                    </a:prstGeom>
                    <a:noFill/>
                  </pic:spPr>
                </pic:pic>
              </a:graphicData>
            </a:graphic>
          </wp:anchor>
        </w:drawing>
      </w:r>
    </w:p>
    <w:p>
      <w:pPr>
        <w:spacing w:after="0" w:line="28" w:lineRule="exact"/>
        <w:rPr>
          <w:sz w:val="20"/>
          <w:szCs w:val="20"/>
          <w:color w:val="auto"/>
        </w:rPr>
      </w:pPr>
    </w:p>
    <w:p>
      <w:pPr>
        <w:ind w:left="280"/>
        <w:spacing w:after="0"/>
        <w:rPr>
          <w:sz w:val="20"/>
          <w:szCs w:val="20"/>
          <w:color w:val="auto"/>
        </w:rPr>
      </w:pPr>
      <w:r>
        <w:rPr>
          <w:rFonts w:ascii="Arial" w:cs="Arial" w:eastAsia="Arial" w:hAnsi="Arial"/>
          <w:sz w:val="18"/>
          <w:szCs w:val="18"/>
          <w:color w:val="auto"/>
        </w:rPr>
        <w:t>Common stock—no par value</w:t>
      </w:r>
    </w:p>
    <w:p>
      <w:pPr>
        <w:spacing w:after="0" w:line="1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Authorized shares: 3,200,000</w:t>
      </w:r>
    </w:p>
    <w:p>
      <w:pPr>
        <w:ind w:left="280"/>
        <w:spacing w:after="0"/>
        <w:rPr>
          <w:sz w:val="20"/>
          <w:szCs w:val="20"/>
          <w:color w:val="auto"/>
        </w:rPr>
      </w:pPr>
      <w:r>
        <w:rPr>
          <w:rFonts w:ascii="Arial" w:cs="Arial" w:eastAsia="Arial" w:hAnsi="Arial"/>
          <w:sz w:val="18"/>
          <w:szCs w:val="18"/>
          <w:color w:val="auto"/>
        </w:rPr>
        <w:t xml:space="preserve">Issued shares: </w:t>
      </w:r>
      <w:r>
        <w:rPr>
          <w:rFonts w:ascii="Arial" w:cs="Arial" w:eastAsia="Arial" w:hAnsi="Arial"/>
          <w:sz w:val="18"/>
          <w:szCs w:val="18"/>
          <w:b w:val="1"/>
          <w:bCs w:val="1"/>
          <w:color w:val="auto"/>
        </w:rPr>
        <w:t>1,106,063 (2015)</w:t>
      </w:r>
      <w:r>
        <w:rPr>
          <w:rFonts w:ascii="Arial" w:cs="Arial" w:eastAsia="Arial" w:hAnsi="Arial"/>
          <w:sz w:val="18"/>
          <w:szCs w:val="18"/>
          <w:color w:val="auto"/>
        </w:rPr>
        <w:t xml:space="preserve"> and 1,111,437 (2014)</w:t>
      </w:r>
    </w:p>
    <w:p>
      <w:pPr>
        <w:spacing w:after="0" w:line="28" w:lineRule="exact"/>
        <w:rPr>
          <w:sz w:val="20"/>
          <w:szCs w:val="20"/>
          <w:color w:val="auto"/>
        </w:rPr>
      </w:pPr>
    </w:p>
    <w:p>
      <w:pPr>
        <w:ind w:left="280"/>
        <w:spacing w:after="0"/>
        <w:rPr>
          <w:sz w:val="20"/>
          <w:szCs w:val="20"/>
          <w:color w:val="auto"/>
        </w:rPr>
      </w:pPr>
      <w:r>
        <w:rPr>
          <w:rFonts w:ascii="Arial" w:cs="Arial" w:eastAsia="Arial" w:hAnsi="Arial"/>
          <w:sz w:val="18"/>
          <w:szCs w:val="18"/>
          <w:color w:val="auto"/>
        </w:rPr>
        <w:t>Additional paid-in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Retained earnings</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Employee benefit trust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Accumulated other comprehensive loss (Note 16)</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Cost of common stock in treasury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1803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Eli Lilly and Company shareholders' equity</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8"/>
          <w:szCs w:val="18"/>
          <w:color w:val="auto"/>
        </w:rPr>
        <w:t>Noncontrolling interests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3,666.4</w:t>
            </w:r>
          </w:p>
        </w:tc>
        <w:tc>
          <w:tcPr>
            <w:tcW w:w="4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3,871.6</w:t>
            </w:r>
          </w:p>
        </w:tc>
      </w:tr>
      <w:tr>
        <w:trPr>
          <w:trHeight w:val="270"/>
        </w:trPr>
        <w:tc>
          <w:tcPr>
            <w:tcW w:w="34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785.4</w:t>
            </w:r>
          </w:p>
        </w:tc>
        <w:tc>
          <w:tcPr>
            <w:tcW w:w="46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955.4</w:t>
            </w:r>
          </w:p>
        </w:tc>
      </w:tr>
      <w:tr>
        <w:trPr>
          <w:trHeight w:val="270"/>
        </w:trPr>
        <w:tc>
          <w:tcPr>
            <w:tcW w:w="34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3,513.0</w:t>
            </w:r>
          </w:p>
        </w:tc>
        <w:tc>
          <w:tcPr>
            <w:tcW w:w="46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3,234.6</w:t>
            </w:r>
          </w:p>
        </w:tc>
      </w:tr>
      <w:tr>
        <w:trPr>
          <w:trHeight w:val="270"/>
        </w:trPr>
        <w:tc>
          <w:tcPr>
            <w:tcW w:w="34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558.6</w:t>
            </w:r>
          </w:p>
        </w:tc>
        <w:tc>
          <w:tcPr>
            <w:tcW w:w="46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566.7</w:t>
            </w:r>
          </w:p>
        </w:tc>
      </w:tr>
      <w:tr>
        <w:trPr>
          <w:trHeight w:val="270"/>
        </w:trPr>
        <w:tc>
          <w:tcPr>
            <w:tcW w:w="34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3,445.8</w:t>
            </w:r>
          </w:p>
        </w:tc>
        <w:tc>
          <w:tcPr>
            <w:tcW w:w="46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2,740.0</w:t>
            </w:r>
          </w:p>
        </w:tc>
      </w:tr>
      <w:tr>
        <w:trPr>
          <w:trHeight w:val="271"/>
        </w:trPr>
        <w:tc>
          <w:tcPr>
            <w:tcW w:w="34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604.4</w:t>
            </w:r>
          </w:p>
        </w:tc>
        <w:tc>
          <w:tcPr>
            <w:tcW w:w="46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560.0</w:t>
            </w:r>
          </w:p>
        </w:tc>
      </w:tr>
      <w:tr>
        <w:trPr>
          <w:trHeight w:val="263"/>
        </w:trPr>
        <w:tc>
          <w:tcPr>
            <w:tcW w:w="340" w:type="dxa"/>
            <w:vAlign w:val="bottom"/>
          </w:tcPr>
          <w:p>
            <w:pPr>
              <w:spacing w:after="0"/>
              <w:rPr>
                <w:sz w:val="22"/>
                <w:szCs w:val="22"/>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12,573.6</w:t>
            </w:r>
          </w:p>
        </w:tc>
        <w:tc>
          <w:tcPr>
            <w:tcW w:w="460" w:type="dxa"/>
            <w:vAlign w:val="bottom"/>
          </w:tcPr>
          <w:p>
            <w:pPr>
              <w:spacing w:after="0"/>
              <w:rPr>
                <w:sz w:val="22"/>
                <w:szCs w:val="22"/>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11,928.3</w:t>
            </w:r>
          </w:p>
        </w:tc>
      </w:tr>
      <w:tr>
        <w:trPr>
          <w:trHeight w:val="540"/>
        </w:trPr>
        <w:tc>
          <w:tcPr>
            <w:tcW w:w="340" w:type="dxa"/>
            <w:vAlign w:val="bottom"/>
          </w:tcPr>
          <w:p>
            <w:pPr>
              <w:spacing w:after="0"/>
              <w:rPr>
                <w:sz w:val="24"/>
                <w:szCs w:val="24"/>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460" w:type="dxa"/>
            <w:vAlign w:val="bottom"/>
          </w:tcPr>
          <w:p>
            <w:pPr>
              <w:spacing w:after="0"/>
              <w:rPr>
                <w:sz w:val="24"/>
                <w:szCs w:val="24"/>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5,405.6</w:t>
            </w:r>
          </w:p>
        </w:tc>
      </w:tr>
      <w:tr>
        <w:trPr>
          <w:trHeight w:val="270"/>
        </w:trPr>
        <w:tc>
          <w:tcPr>
            <w:tcW w:w="34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3,646.6</w:t>
            </w:r>
          </w:p>
        </w:tc>
        <w:tc>
          <w:tcPr>
            <w:tcW w:w="46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4,568.9</w:t>
            </w:r>
          </w:p>
        </w:tc>
      </w:tr>
      <w:tr>
        <w:trPr>
          <w:trHeight w:val="270"/>
        </w:trPr>
        <w:tc>
          <w:tcPr>
            <w:tcW w:w="34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4,039.9</w:t>
            </w:r>
          </w:p>
        </w:tc>
        <w:tc>
          <w:tcPr>
            <w:tcW w:w="46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1,758.1</w:t>
            </w:r>
          </w:p>
        </w:tc>
      </w:tr>
      <w:tr>
        <w:trPr>
          <w:trHeight w:val="270"/>
        </w:trPr>
        <w:tc>
          <w:tcPr>
            <w:tcW w:w="34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5,034.8</w:t>
            </w:r>
          </w:p>
        </w:tc>
        <w:tc>
          <w:tcPr>
            <w:tcW w:w="46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2,884.2</w:t>
            </w:r>
          </w:p>
        </w:tc>
      </w:tr>
      <w:tr>
        <w:trPr>
          <w:trHeight w:val="271"/>
        </w:trPr>
        <w:tc>
          <w:tcPr>
            <w:tcW w:w="34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2,220.5</w:t>
            </w:r>
          </w:p>
        </w:tc>
        <w:tc>
          <w:tcPr>
            <w:tcW w:w="46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1,798.6</w:t>
            </w:r>
          </w:p>
        </w:tc>
      </w:tr>
      <w:tr>
        <w:trPr>
          <w:trHeight w:val="249"/>
        </w:trPr>
        <w:tc>
          <w:tcPr>
            <w:tcW w:w="3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14,941.8</w:t>
            </w: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16,415.4</w:t>
            </w:r>
          </w:p>
        </w:tc>
      </w:tr>
      <w:tr>
        <w:trPr>
          <w:trHeight w:val="284"/>
        </w:trPr>
        <w:tc>
          <w:tcPr>
            <w:tcW w:w="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8,053.5</w:t>
            </w:r>
          </w:p>
        </w:tc>
        <w:tc>
          <w:tcPr>
            <w:tcW w:w="4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7,963.9</w:t>
            </w:r>
          </w:p>
        </w:tc>
      </w:tr>
      <w:tr>
        <w:trPr>
          <w:trHeight w:val="271"/>
        </w:trPr>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35,568.9</w:t>
            </w:r>
          </w:p>
        </w:tc>
        <w:tc>
          <w:tcPr>
            <w:tcW w:w="4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36,307.6</w:t>
            </w:r>
          </w:p>
        </w:tc>
      </w:tr>
      <w:tr>
        <w:trPr>
          <w:trHeight w:val="809"/>
        </w:trPr>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6.1</w:t>
            </w:r>
          </w:p>
        </w:tc>
        <w:tc>
          <w:tcPr>
            <w:tcW w:w="4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2,688.7</w:t>
            </w:r>
          </w:p>
        </w:tc>
      </w:tr>
      <w:tr>
        <w:trPr>
          <w:trHeight w:val="270"/>
        </w:trPr>
        <w:tc>
          <w:tcPr>
            <w:tcW w:w="34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1,338.2</w:t>
            </w:r>
          </w:p>
        </w:tc>
        <w:tc>
          <w:tcPr>
            <w:tcW w:w="46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1,128.1</w:t>
            </w:r>
          </w:p>
        </w:tc>
      </w:tr>
      <w:tr>
        <w:trPr>
          <w:trHeight w:val="270"/>
        </w:trPr>
        <w:tc>
          <w:tcPr>
            <w:tcW w:w="34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967.0</w:t>
            </w:r>
          </w:p>
        </w:tc>
        <w:tc>
          <w:tcPr>
            <w:tcW w:w="46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759.0</w:t>
            </w:r>
          </w:p>
        </w:tc>
      </w:tr>
      <w:tr>
        <w:trPr>
          <w:trHeight w:val="270"/>
        </w:trPr>
        <w:tc>
          <w:tcPr>
            <w:tcW w:w="34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2,560.1</w:t>
            </w:r>
          </w:p>
        </w:tc>
        <w:tc>
          <w:tcPr>
            <w:tcW w:w="46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2,068.8</w:t>
            </w:r>
          </w:p>
        </w:tc>
      </w:tr>
      <w:tr>
        <w:trPr>
          <w:trHeight w:val="270"/>
        </w:trPr>
        <w:tc>
          <w:tcPr>
            <w:tcW w:w="34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539.0</w:t>
            </w:r>
          </w:p>
        </w:tc>
        <w:tc>
          <w:tcPr>
            <w:tcW w:w="46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530.3</w:t>
            </w:r>
          </w:p>
        </w:tc>
      </w:tr>
      <w:tr>
        <w:trPr>
          <w:trHeight w:val="270"/>
        </w:trPr>
        <w:tc>
          <w:tcPr>
            <w:tcW w:w="34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358.9</w:t>
            </w:r>
          </w:p>
        </w:tc>
        <w:tc>
          <w:tcPr>
            <w:tcW w:w="46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93.5</w:t>
            </w:r>
          </w:p>
        </w:tc>
      </w:tr>
      <w:tr>
        <w:trPr>
          <w:trHeight w:val="271"/>
        </w:trPr>
        <w:tc>
          <w:tcPr>
            <w:tcW w:w="34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2,460.3</w:t>
            </w:r>
          </w:p>
        </w:tc>
        <w:tc>
          <w:tcPr>
            <w:tcW w:w="46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2,472.6</w:t>
            </w:r>
          </w:p>
        </w:tc>
      </w:tr>
      <w:tr>
        <w:trPr>
          <w:trHeight w:val="263"/>
        </w:trPr>
        <w:tc>
          <w:tcPr>
            <w:tcW w:w="340" w:type="dxa"/>
            <w:vAlign w:val="bottom"/>
          </w:tcPr>
          <w:p>
            <w:pPr>
              <w:spacing w:after="0"/>
              <w:rPr>
                <w:sz w:val="22"/>
                <w:szCs w:val="22"/>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8,229.6</w:t>
            </w:r>
          </w:p>
        </w:tc>
        <w:tc>
          <w:tcPr>
            <w:tcW w:w="460" w:type="dxa"/>
            <w:vAlign w:val="bottom"/>
          </w:tcPr>
          <w:p>
            <w:pPr>
              <w:spacing w:after="0"/>
              <w:rPr>
                <w:sz w:val="22"/>
                <w:szCs w:val="22"/>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9,741.0</w:t>
            </w:r>
          </w:p>
        </w:tc>
      </w:tr>
      <w:tr>
        <w:trPr>
          <w:trHeight w:val="540"/>
        </w:trPr>
        <w:tc>
          <w:tcPr>
            <w:tcW w:w="340" w:type="dxa"/>
            <w:vAlign w:val="bottom"/>
          </w:tcPr>
          <w:p>
            <w:pPr>
              <w:spacing w:after="0"/>
              <w:rPr>
                <w:sz w:val="24"/>
                <w:szCs w:val="24"/>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7,972.4</w:t>
            </w:r>
          </w:p>
        </w:tc>
        <w:tc>
          <w:tcPr>
            <w:tcW w:w="460" w:type="dxa"/>
            <w:vAlign w:val="bottom"/>
          </w:tcPr>
          <w:p>
            <w:pPr>
              <w:spacing w:after="0"/>
              <w:rPr>
                <w:sz w:val="24"/>
                <w:szCs w:val="24"/>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5,332.8</w:t>
            </w:r>
          </w:p>
        </w:tc>
      </w:tr>
      <w:tr>
        <w:trPr>
          <w:trHeight w:val="270"/>
        </w:trPr>
        <w:tc>
          <w:tcPr>
            <w:tcW w:w="34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2,160.3</w:t>
            </w:r>
          </w:p>
        </w:tc>
        <w:tc>
          <w:tcPr>
            <w:tcW w:w="46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2,562.9</w:t>
            </w:r>
          </w:p>
        </w:tc>
      </w:tr>
      <w:tr>
        <w:trPr>
          <w:trHeight w:val="270"/>
        </w:trPr>
        <w:tc>
          <w:tcPr>
            <w:tcW w:w="34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868.9</w:t>
            </w:r>
          </w:p>
        </w:tc>
        <w:tc>
          <w:tcPr>
            <w:tcW w:w="46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998.5</w:t>
            </w:r>
          </w:p>
        </w:tc>
      </w:tr>
      <w:tr>
        <w:trPr>
          <w:trHeight w:val="271"/>
        </w:trPr>
        <w:tc>
          <w:tcPr>
            <w:tcW w:w="34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1,747.4</w:t>
            </w:r>
          </w:p>
        </w:tc>
        <w:tc>
          <w:tcPr>
            <w:tcW w:w="46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2,284.3</w:t>
            </w:r>
          </w:p>
        </w:tc>
      </w:tr>
      <w:tr>
        <w:trPr>
          <w:trHeight w:val="263"/>
        </w:trPr>
        <w:tc>
          <w:tcPr>
            <w:tcW w:w="340" w:type="dxa"/>
            <w:vAlign w:val="bottom"/>
          </w:tcPr>
          <w:p>
            <w:pPr>
              <w:spacing w:after="0"/>
              <w:rPr>
                <w:sz w:val="22"/>
                <w:szCs w:val="22"/>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12,749.0</w:t>
            </w:r>
          </w:p>
        </w:tc>
        <w:tc>
          <w:tcPr>
            <w:tcW w:w="460" w:type="dxa"/>
            <w:vAlign w:val="bottom"/>
          </w:tcPr>
          <w:p>
            <w:pPr>
              <w:spacing w:after="0"/>
              <w:rPr>
                <w:sz w:val="22"/>
                <w:szCs w:val="22"/>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11,178.5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820"/>
        <w:spacing w:after="0"/>
        <w:tabs>
          <w:tab w:leader="none" w:pos="2280" w:val="left"/>
        </w:tabs>
        <w:rPr>
          <w:sz w:val="20"/>
          <w:szCs w:val="20"/>
          <w:color w:val="auto"/>
        </w:rPr>
      </w:pPr>
      <w:r>
        <w:rPr>
          <w:rFonts w:ascii="Arial" w:cs="Arial" w:eastAsia="Arial" w:hAnsi="Arial"/>
          <w:sz w:val="18"/>
          <w:szCs w:val="18"/>
          <w:b w:val="1"/>
          <w:bCs w:val="1"/>
          <w:color w:val="auto"/>
        </w:rPr>
        <w:t>691.3</w:t>
      </w:r>
      <w:r>
        <w:rPr>
          <w:sz w:val="20"/>
          <w:szCs w:val="20"/>
          <w:color w:val="auto"/>
        </w:rPr>
        <w:tab/>
      </w:r>
      <w:r>
        <w:rPr>
          <w:rFonts w:ascii="Arial" w:cs="Arial" w:eastAsia="Arial" w:hAnsi="Arial"/>
          <w:sz w:val="18"/>
          <w:szCs w:val="18"/>
          <w:color w:val="auto"/>
        </w:rPr>
        <w:t>694.6</w:t>
      </w:r>
    </w:p>
    <w:p>
      <w:pPr>
        <w:spacing w:after="0" w:line="63" w:lineRule="exact"/>
        <w:rPr>
          <w:sz w:val="20"/>
          <w:szCs w:val="20"/>
          <w:color w:val="auto"/>
        </w:rPr>
      </w:pPr>
    </w:p>
    <w:p>
      <w:pPr>
        <w:ind w:left="660"/>
        <w:spacing w:after="0"/>
        <w:tabs>
          <w:tab w:leader="none" w:pos="2140" w:val="left"/>
        </w:tabs>
        <w:rPr>
          <w:sz w:val="20"/>
          <w:szCs w:val="20"/>
          <w:color w:val="auto"/>
        </w:rPr>
      </w:pPr>
      <w:r>
        <w:rPr>
          <w:rFonts w:ascii="Arial" w:cs="Arial" w:eastAsia="Arial" w:hAnsi="Arial"/>
          <w:sz w:val="18"/>
          <w:szCs w:val="18"/>
          <w:b w:val="1"/>
          <w:bCs w:val="1"/>
          <w:color w:val="auto"/>
        </w:rPr>
        <w:t>5,552.1</w:t>
      </w:r>
      <w:r>
        <w:rPr>
          <w:sz w:val="20"/>
          <w:szCs w:val="20"/>
          <w:color w:val="auto"/>
        </w:rPr>
        <w:tab/>
      </w:r>
      <w:r>
        <w:rPr>
          <w:rFonts w:ascii="Arial" w:cs="Arial" w:eastAsia="Arial" w:hAnsi="Arial"/>
          <w:sz w:val="17"/>
          <w:szCs w:val="17"/>
          <w:color w:val="auto"/>
        </w:rPr>
        <w:t>5,292.3</w:t>
      </w:r>
    </w:p>
    <w:p>
      <w:pPr>
        <w:spacing w:after="0" w:line="63" w:lineRule="exact"/>
        <w:rPr>
          <w:sz w:val="20"/>
          <w:szCs w:val="20"/>
          <w:color w:val="auto"/>
        </w:rPr>
      </w:pPr>
    </w:p>
    <w:p>
      <w:pPr>
        <w:ind w:left="580"/>
        <w:spacing w:after="0"/>
        <w:tabs>
          <w:tab w:leader="none" w:pos="2040" w:val="left"/>
        </w:tabs>
        <w:rPr>
          <w:sz w:val="20"/>
          <w:szCs w:val="20"/>
          <w:color w:val="auto"/>
        </w:rPr>
      </w:pPr>
      <w:r>
        <w:rPr>
          <w:rFonts w:ascii="Arial" w:cs="Arial" w:eastAsia="Arial" w:hAnsi="Arial"/>
          <w:sz w:val="18"/>
          <w:szCs w:val="18"/>
          <w:b w:val="1"/>
          <w:bCs w:val="1"/>
          <w:color w:val="auto"/>
        </w:rPr>
        <w:t>16,011.8</w:t>
      </w:r>
      <w:r>
        <w:rPr>
          <w:sz w:val="20"/>
          <w:szCs w:val="20"/>
          <w:color w:val="auto"/>
        </w:rPr>
        <w:tab/>
      </w:r>
      <w:r>
        <w:rPr>
          <w:rFonts w:ascii="Arial" w:cs="Arial" w:eastAsia="Arial" w:hAnsi="Arial"/>
          <w:sz w:val="17"/>
          <w:szCs w:val="17"/>
          <w:color w:val="auto"/>
        </w:rPr>
        <w:t>16,482.7</w:t>
      </w:r>
    </w:p>
    <w:p>
      <w:pPr>
        <w:spacing w:after="0" w:line="63" w:lineRule="exact"/>
        <w:rPr>
          <w:sz w:val="20"/>
          <w:szCs w:val="20"/>
          <w:color w:val="auto"/>
        </w:rPr>
      </w:pPr>
    </w:p>
    <w:p>
      <w:pPr>
        <w:ind w:left="600"/>
        <w:spacing w:after="0"/>
        <w:tabs>
          <w:tab w:leader="none" w:pos="2080" w:val="left"/>
        </w:tabs>
        <w:rPr>
          <w:sz w:val="20"/>
          <w:szCs w:val="20"/>
          <w:color w:val="auto"/>
        </w:rPr>
      </w:pPr>
      <w:r>
        <w:rPr>
          <w:rFonts w:ascii="Arial" w:cs="Arial" w:eastAsia="Arial" w:hAnsi="Arial"/>
          <w:sz w:val="18"/>
          <w:szCs w:val="18"/>
          <w:b w:val="1"/>
          <w:bCs w:val="1"/>
          <w:color w:val="auto"/>
        </w:rPr>
        <w:t>(3,013.2)</w:t>
      </w:r>
      <w:r>
        <w:rPr>
          <w:sz w:val="20"/>
          <w:szCs w:val="20"/>
          <w:color w:val="auto"/>
        </w:rPr>
        <w:tab/>
      </w:r>
      <w:r>
        <w:rPr>
          <w:rFonts w:ascii="Arial" w:cs="Arial" w:eastAsia="Arial" w:hAnsi="Arial"/>
          <w:sz w:val="17"/>
          <w:szCs w:val="17"/>
          <w:color w:val="auto"/>
        </w:rPr>
        <w:t>(3,013.2)</w:t>
      </w:r>
    </w:p>
    <w:p>
      <w:pPr>
        <w:spacing w:after="0" w:line="63" w:lineRule="exact"/>
        <w:rPr>
          <w:sz w:val="20"/>
          <w:szCs w:val="20"/>
          <w:color w:val="auto"/>
        </w:rPr>
      </w:pPr>
    </w:p>
    <w:p>
      <w:pPr>
        <w:ind w:left="600"/>
        <w:spacing w:after="0"/>
        <w:tabs>
          <w:tab w:leader="none" w:pos="2080" w:val="left"/>
        </w:tabs>
        <w:rPr>
          <w:sz w:val="20"/>
          <w:szCs w:val="20"/>
          <w:color w:val="auto"/>
        </w:rPr>
      </w:pPr>
      <w:r>
        <w:rPr>
          <w:rFonts w:ascii="Arial" w:cs="Arial" w:eastAsia="Arial" w:hAnsi="Arial"/>
          <w:sz w:val="18"/>
          <w:szCs w:val="18"/>
          <w:b w:val="1"/>
          <w:bCs w:val="1"/>
          <w:color w:val="auto"/>
        </w:rPr>
        <w:t>(4,580.7)</w:t>
      </w:r>
      <w:r>
        <w:rPr>
          <w:sz w:val="20"/>
          <w:szCs w:val="20"/>
          <w:color w:val="auto"/>
        </w:rPr>
        <w:tab/>
      </w:r>
      <w:r>
        <w:rPr>
          <w:rFonts w:ascii="Arial" w:cs="Arial" w:eastAsia="Arial" w:hAnsi="Arial"/>
          <w:sz w:val="17"/>
          <w:szCs w:val="17"/>
          <w:color w:val="auto"/>
        </w:rPr>
        <w:t>(3,991.8)</w:t>
      </w:r>
    </w:p>
    <w:p>
      <w:pPr>
        <w:spacing w:after="0" w:line="63" w:lineRule="exact"/>
        <w:rPr>
          <w:sz w:val="20"/>
          <w:szCs w:val="20"/>
          <w:color w:val="auto"/>
        </w:rPr>
      </w:pPr>
    </w:p>
    <w:p>
      <w:pPr>
        <w:ind w:left="860"/>
        <w:spacing w:after="0"/>
        <w:tabs>
          <w:tab w:leader="none" w:pos="2320" w:val="left"/>
        </w:tabs>
        <w:rPr>
          <w:sz w:val="20"/>
          <w:szCs w:val="20"/>
          <w:color w:val="auto"/>
        </w:rPr>
      </w:pPr>
      <w:r>
        <w:rPr>
          <w:rFonts w:ascii="Arial" w:cs="Arial" w:eastAsia="Arial" w:hAnsi="Arial"/>
          <w:sz w:val="18"/>
          <w:szCs w:val="18"/>
          <w:b w:val="1"/>
          <w:bCs w:val="1"/>
          <w:color w:val="auto"/>
        </w:rPr>
        <w:t>(90.0)</w:t>
      </w:r>
      <w:r>
        <w:rPr>
          <w:sz w:val="20"/>
          <w:szCs w:val="20"/>
          <w:color w:val="auto"/>
        </w:rPr>
        <w:tab/>
      </w:r>
      <w:r>
        <w:rPr>
          <w:rFonts w:ascii="Arial" w:cs="Arial" w:eastAsia="Arial" w:hAnsi="Arial"/>
          <w:sz w:val="18"/>
          <w:szCs w:val="18"/>
          <w:color w:val="auto"/>
        </w:rPr>
        <w:t>(91.4)</w:t>
      </w:r>
    </w:p>
    <w:p>
      <w:pPr>
        <w:spacing w:after="0" w:line="77" w:lineRule="exact"/>
        <w:rPr>
          <w:sz w:val="20"/>
          <w:szCs w:val="20"/>
          <w:color w:val="auto"/>
        </w:rPr>
      </w:pPr>
    </w:p>
    <w:p>
      <w:pPr>
        <w:ind w:left="560"/>
        <w:spacing w:after="0"/>
        <w:tabs>
          <w:tab w:leader="none" w:pos="2040" w:val="left"/>
        </w:tabs>
        <w:rPr>
          <w:sz w:val="20"/>
          <w:szCs w:val="20"/>
          <w:color w:val="auto"/>
        </w:rPr>
      </w:pPr>
      <w:r>
        <w:rPr>
          <w:rFonts w:ascii="Arial" w:cs="Arial" w:eastAsia="Arial" w:hAnsi="Arial"/>
          <w:sz w:val="18"/>
          <w:szCs w:val="18"/>
          <w:b w:val="1"/>
          <w:bCs w:val="1"/>
          <w:color w:val="auto"/>
        </w:rPr>
        <w:t>14,571.3</w:t>
      </w:r>
      <w:r>
        <w:rPr>
          <w:sz w:val="20"/>
          <w:szCs w:val="20"/>
          <w:color w:val="auto"/>
        </w:rPr>
        <w:tab/>
      </w:r>
      <w:r>
        <w:rPr>
          <w:rFonts w:ascii="Arial" w:cs="Arial" w:eastAsia="Arial" w:hAnsi="Arial"/>
          <w:sz w:val="17"/>
          <w:szCs w:val="17"/>
          <w:color w:val="auto"/>
        </w:rPr>
        <w:t>15,373.2</w:t>
      </w:r>
    </w:p>
    <w:p>
      <w:pPr>
        <w:spacing w:after="0" w:line="63" w:lineRule="exact"/>
        <w:rPr>
          <w:sz w:val="20"/>
          <w:szCs w:val="20"/>
          <w:color w:val="auto"/>
        </w:rPr>
      </w:pPr>
    </w:p>
    <w:p>
      <w:pPr>
        <w:ind w:left="920"/>
        <w:spacing w:after="0"/>
        <w:tabs>
          <w:tab w:leader="none" w:pos="2380" w:val="left"/>
        </w:tabs>
        <w:rPr>
          <w:sz w:val="20"/>
          <w:szCs w:val="20"/>
          <w:color w:val="auto"/>
        </w:rPr>
      </w:pPr>
      <w:r>
        <w:rPr>
          <w:rFonts w:ascii="Arial" w:cs="Arial" w:eastAsia="Arial" w:hAnsi="Arial"/>
          <w:sz w:val="18"/>
          <w:szCs w:val="18"/>
          <w:b w:val="1"/>
          <w:bCs w:val="1"/>
          <w:color w:val="auto"/>
        </w:rPr>
        <w:t>19.0</w:t>
      </w:r>
      <w:r>
        <w:rPr>
          <w:sz w:val="20"/>
          <w:szCs w:val="20"/>
          <w:color w:val="auto"/>
        </w:rPr>
        <w:tab/>
      </w:r>
      <w:r>
        <w:rPr>
          <w:rFonts w:ascii="Arial" w:cs="Arial" w:eastAsia="Arial" w:hAnsi="Arial"/>
          <w:sz w:val="18"/>
          <w:szCs w:val="18"/>
          <w:color w:val="auto"/>
        </w:rPr>
        <w:t>14.9</w:t>
      </w:r>
    </w:p>
    <w:p>
      <w:pPr>
        <w:spacing w:after="0" w:line="45" w:lineRule="exact"/>
        <w:rPr>
          <w:sz w:val="20"/>
          <w:szCs w:val="20"/>
          <w:color w:val="auto"/>
        </w:rPr>
      </w:pPr>
    </w:p>
    <w:p>
      <w:pPr>
        <w:sectPr>
          <w:pgSz w:w="11900" w:h="16838" w:orient="portrait"/>
          <w:cols w:equalWidth="0" w:num="2">
            <w:col w:w="7840" w:space="720"/>
            <w:col w:w="2860"/>
          </w:cols>
          <w:pgMar w:left="240" w:top="727" w:right="239" w:bottom="877" w:gutter="0" w:footer="0" w:header="0"/>
          <w:type w:val="continuous"/>
        </w:sectPr>
      </w:pPr>
    </w:p>
    <w:tbl>
      <w:tblPr>
        <w:tblLayout w:type="fixed"/>
        <w:tblInd w:w="0" w:type="dxa"/>
        <w:tblCellMar>
          <w:top w:w="0" w:type="dxa"/>
          <w:left w:w="0" w:type="dxa"/>
          <w:bottom w:w="0" w:type="dxa"/>
          <w:right w:w="0" w:type="dxa"/>
        </w:tblCellMar>
      </w:tblPr>
      <w:tr>
        <w:trPr>
          <w:trHeight w:val="266"/>
        </w:trPr>
        <w:tc>
          <w:tcPr>
            <w:tcW w:w="8560" w:type="dxa"/>
            <w:vAlign w:val="bottom"/>
            <w:tcBorders>
              <w:top w:val="single" w:sz="8" w:color="D8D8D8"/>
            </w:tcBorders>
            <w:shd w:val="clear" w:color="auto" w:fill="D8D8D8"/>
          </w:tcPr>
          <w:p>
            <w:pPr>
              <w:ind w:left="40"/>
              <w:spacing w:after="0"/>
              <w:rPr>
                <w:sz w:val="20"/>
                <w:szCs w:val="20"/>
                <w:color w:val="auto"/>
              </w:rPr>
            </w:pPr>
            <w:r>
              <w:rPr>
                <w:rFonts w:ascii="Arial" w:cs="Arial" w:eastAsia="Arial" w:hAnsi="Arial"/>
                <w:sz w:val="18"/>
                <w:szCs w:val="18"/>
                <w:color w:val="auto"/>
              </w:rPr>
              <w:t>Total equity</w:t>
            </w:r>
          </w:p>
        </w:tc>
        <w:tc>
          <w:tcPr>
            <w:tcW w:w="340" w:type="dxa"/>
            <w:vAlign w:val="bottom"/>
            <w:tcBorders>
              <w:top w:val="single" w:sz="8" w:color="auto"/>
              <w:bottom w:val="single" w:sz="8" w:color="auto"/>
            </w:tcBorders>
            <w:shd w:val="clear" w:color="auto" w:fill="D8D8D8"/>
          </w:tcPr>
          <w:p>
            <w:pPr>
              <w:spacing w:after="0"/>
              <w:rPr>
                <w:sz w:val="23"/>
                <w:szCs w:val="23"/>
                <w:color w:val="auto"/>
              </w:rPr>
            </w:pPr>
          </w:p>
        </w:tc>
        <w:tc>
          <w:tcPr>
            <w:tcW w:w="1040" w:type="dxa"/>
            <w:vAlign w:val="bottom"/>
            <w:tcBorders>
              <w:top w:val="single" w:sz="8" w:color="auto"/>
              <w:bottom w:val="single" w:sz="8" w:color="auto"/>
            </w:tcBorders>
            <w:shd w:val="clear" w:color="auto" w:fill="D8D8D8"/>
          </w:tcPr>
          <w:p>
            <w:pPr>
              <w:jc w:val="right"/>
              <w:ind w:right="30"/>
              <w:spacing w:after="0"/>
              <w:rPr>
                <w:sz w:val="20"/>
                <w:szCs w:val="20"/>
                <w:color w:val="auto"/>
              </w:rPr>
            </w:pPr>
            <w:r>
              <w:rPr>
                <w:rFonts w:ascii="Arial" w:cs="Arial" w:eastAsia="Arial" w:hAnsi="Arial"/>
                <w:sz w:val="18"/>
                <w:szCs w:val="18"/>
                <w:b w:val="1"/>
                <w:bCs w:val="1"/>
                <w:color w:val="auto"/>
              </w:rPr>
              <w:t>14,590.3</w:t>
            </w:r>
          </w:p>
        </w:tc>
        <w:tc>
          <w:tcPr>
            <w:tcW w:w="460" w:type="dxa"/>
            <w:vAlign w:val="bottom"/>
            <w:tcBorders>
              <w:top w:val="single" w:sz="8" w:color="auto"/>
              <w:bottom w:val="single" w:sz="8" w:color="auto"/>
            </w:tcBorders>
            <w:shd w:val="clear" w:color="auto" w:fill="D8D8D8"/>
          </w:tcPr>
          <w:p>
            <w:pPr>
              <w:spacing w:after="0"/>
              <w:rPr>
                <w:sz w:val="23"/>
                <w:szCs w:val="23"/>
                <w:color w:val="auto"/>
              </w:rPr>
            </w:pPr>
          </w:p>
        </w:tc>
        <w:tc>
          <w:tcPr>
            <w:tcW w:w="1020" w:type="dxa"/>
            <w:vAlign w:val="bottom"/>
            <w:tcBorders>
              <w:top w:val="single" w:sz="8" w:color="auto"/>
              <w:bottom w:val="single" w:sz="8" w:color="auto"/>
            </w:tcBorders>
            <w:shd w:val="clear" w:color="auto" w:fill="D8D8D8"/>
          </w:tcPr>
          <w:p>
            <w:pPr>
              <w:jc w:val="right"/>
              <w:ind w:right="10"/>
              <w:spacing w:after="0"/>
              <w:rPr>
                <w:sz w:val="20"/>
                <w:szCs w:val="20"/>
                <w:color w:val="auto"/>
              </w:rPr>
            </w:pPr>
            <w:r>
              <w:rPr>
                <w:rFonts w:ascii="Arial" w:cs="Arial" w:eastAsia="Arial" w:hAnsi="Arial"/>
                <w:sz w:val="18"/>
                <w:szCs w:val="18"/>
                <w:color w:val="auto"/>
              </w:rPr>
              <w:t>15,388.1</w:t>
            </w:r>
          </w:p>
        </w:tc>
      </w:tr>
      <w:tr>
        <w:trPr>
          <w:trHeight w:val="271"/>
        </w:trPr>
        <w:tc>
          <w:tcPr>
            <w:tcW w:w="8560" w:type="dxa"/>
            <w:vAlign w:val="bottom"/>
          </w:tcPr>
          <w:p>
            <w:pPr>
              <w:ind w:left="40"/>
              <w:spacing w:after="0"/>
              <w:rPr>
                <w:sz w:val="20"/>
                <w:szCs w:val="20"/>
                <w:color w:val="auto"/>
              </w:rPr>
            </w:pPr>
            <w:r>
              <w:rPr>
                <w:rFonts w:ascii="Arial" w:cs="Arial" w:eastAsia="Arial" w:hAnsi="Arial"/>
                <w:sz w:val="18"/>
                <w:szCs w:val="18"/>
                <w:color w:val="auto"/>
              </w:rPr>
              <w:t>Total liabilities and equity</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35,568.9</w:t>
            </w:r>
          </w:p>
        </w:tc>
        <w:tc>
          <w:tcPr>
            <w:tcW w:w="4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36,307.6</w:t>
            </w:r>
          </w:p>
        </w:tc>
      </w:tr>
    </w:tbl>
    <w:p>
      <w:pPr>
        <w:spacing w:after="0" w:line="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ectPr>
          <w:pgSz w:w="11900" w:h="16838" w:orient="portrait"/>
          <w:cols w:equalWidth="0" w:num="1">
            <w:col w:w="11420"/>
          </w:cols>
          <w:pgMar w:left="240" w:top="727" w:right="239" w:bottom="877" w:gutter="0" w:footer="0" w:header="0"/>
          <w:type w:val="continuous"/>
        </w:sect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56</w:t>
      </w:r>
    </w:p>
    <w:p>
      <w:pPr>
        <w:sectPr>
          <w:pgSz w:w="11900" w:h="16838" w:orient="portrait"/>
          <w:cols w:equalWidth="0" w:num="1">
            <w:col w:w="11420"/>
          </w:cols>
          <w:pgMar w:left="240" w:top="727" w:right="239" w:bottom="877" w:gutter="0" w:footer="0" w:header="0"/>
          <w:type w:val="continuous"/>
        </w:sectPr>
      </w:pPr>
    </w:p>
    <w:bookmarkStart w:id="56" w:name="page57"/>
    <w:bookmarkEnd w:id="56"/>
    <w:p>
      <w:pPr>
        <w:spacing w:after="0"/>
        <w:rPr>
          <w:sz w:val="20"/>
          <w:szCs w:val="20"/>
          <w:color w:val="auto"/>
        </w:rPr>
      </w:pPr>
      <w:r>
        <w:rPr>
          <w:rFonts w:ascii="Arial" w:cs="Arial" w:eastAsia="Arial" w:hAnsi="Arial"/>
          <w:sz w:val="32"/>
          <w:szCs w:val="32"/>
          <w:i w:val="1"/>
          <w:iCs w:val="1"/>
          <w:color w:val="CC0000"/>
        </w:rPr>
        <w:t>Consolidated Statements of Shareholders' Equity</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520" w:type="dxa"/>
            <w:vAlign w:val="bottom"/>
          </w:tcPr>
          <w:p>
            <w:pPr>
              <w:spacing w:after="0"/>
              <w:rPr>
                <w:sz w:val="14"/>
                <w:szCs w:val="14"/>
                <w:color w:val="auto"/>
              </w:rPr>
            </w:pPr>
          </w:p>
        </w:tc>
        <w:tc>
          <w:tcPr>
            <w:tcW w:w="1760" w:type="dxa"/>
            <w:vAlign w:val="bottom"/>
            <w:tcBorders>
              <w:bottom w:val="single" w:sz="8" w:color="auto"/>
            </w:tcBorders>
            <w:gridSpan w:val="3"/>
          </w:tcPr>
          <w:p>
            <w:pPr>
              <w:jc w:val="right"/>
              <w:ind w:right="418"/>
              <w:spacing w:after="0"/>
              <w:rPr>
                <w:sz w:val="20"/>
                <w:szCs w:val="20"/>
                <w:color w:val="auto"/>
              </w:rPr>
            </w:pPr>
            <w:r>
              <w:rPr>
                <w:rFonts w:ascii="Arial" w:cs="Arial" w:eastAsia="Arial" w:hAnsi="Arial"/>
                <w:sz w:val="11"/>
                <w:szCs w:val="11"/>
                <w:b w:val="1"/>
                <w:bCs w:val="1"/>
                <w:color w:val="auto"/>
              </w:rPr>
              <w:t>Common Stock</w:t>
            </w:r>
          </w:p>
        </w:tc>
        <w:tc>
          <w:tcPr>
            <w:tcW w:w="240" w:type="dxa"/>
            <w:vAlign w:val="bottom"/>
          </w:tcPr>
          <w:p>
            <w:pPr>
              <w:spacing w:after="0"/>
              <w:rPr>
                <w:sz w:val="14"/>
                <w:szCs w:val="14"/>
                <w:color w:val="auto"/>
              </w:rPr>
            </w:pPr>
          </w:p>
        </w:tc>
        <w:tc>
          <w:tcPr>
            <w:tcW w:w="740" w:type="dxa"/>
            <w:vAlign w:val="bottom"/>
          </w:tcPr>
          <w:p>
            <w:pPr>
              <w:jc w:val="right"/>
              <w:ind w:right="119"/>
              <w:spacing w:after="0"/>
              <w:rPr>
                <w:sz w:val="20"/>
                <w:szCs w:val="20"/>
                <w:color w:val="auto"/>
              </w:rPr>
            </w:pPr>
            <w:r>
              <w:rPr>
                <w:rFonts w:ascii="Arial" w:cs="Arial" w:eastAsia="Arial" w:hAnsi="Arial"/>
                <w:sz w:val="11"/>
                <w:szCs w:val="11"/>
                <w:b w:val="1"/>
                <w:bCs w:val="1"/>
                <w:color w:val="auto"/>
              </w:rPr>
              <w:t>Additional</w:t>
            </w: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660" w:type="dxa"/>
            <w:vAlign w:val="bottom"/>
            <w:tcBorders>
              <w:bottom w:val="single" w:sz="8" w:color="auto"/>
            </w:tcBorders>
            <w:gridSpan w:val="3"/>
          </w:tcPr>
          <w:p>
            <w:pPr>
              <w:jc w:val="right"/>
              <w:ind w:right="58"/>
              <w:spacing w:after="0"/>
              <w:rPr>
                <w:sz w:val="20"/>
                <w:szCs w:val="20"/>
                <w:color w:val="auto"/>
              </w:rPr>
            </w:pPr>
            <w:r>
              <w:rPr>
                <w:rFonts w:ascii="Arial" w:cs="Arial" w:eastAsia="Arial" w:hAnsi="Arial"/>
                <w:sz w:val="11"/>
                <w:szCs w:val="11"/>
                <w:b w:val="1"/>
                <w:bCs w:val="1"/>
                <w:color w:val="auto"/>
              </w:rPr>
              <w:t>Common Stock in Treasury</w:t>
            </w: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8"/>
        </w:trPr>
        <w:tc>
          <w:tcPr>
            <w:tcW w:w="2520" w:type="dxa"/>
            <w:vAlign w:val="bottom"/>
          </w:tcPr>
          <w:p>
            <w:pPr>
              <w:ind w:left="40"/>
              <w:spacing w:after="0" w:line="98" w:lineRule="exact"/>
              <w:rPr>
                <w:sz w:val="20"/>
                <w:szCs w:val="20"/>
                <w:color w:val="auto"/>
              </w:rPr>
            </w:pPr>
            <w:r>
              <w:rPr>
                <w:rFonts w:ascii="Arial" w:cs="Arial" w:eastAsia="Arial" w:hAnsi="Arial"/>
                <w:sz w:val="11"/>
                <w:szCs w:val="11"/>
                <w:b w:val="1"/>
                <w:bCs w:val="1"/>
                <w:color w:val="auto"/>
              </w:rPr>
              <w:t>ELI LILLY AND COMPANY AND SUBSIDIARIES</w:t>
            </w:r>
          </w:p>
        </w:tc>
        <w:tc>
          <w:tcPr>
            <w:tcW w:w="9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740" w:type="dxa"/>
            <w:vAlign w:val="bottom"/>
          </w:tcPr>
          <w:p>
            <w:pPr>
              <w:jc w:val="right"/>
              <w:ind w:right="219"/>
              <w:spacing w:after="0" w:line="98" w:lineRule="exact"/>
              <w:rPr>
                <w:sz w:val="20"/>
                <w:szCs w:val="20"/>
                <w:color w:val="auto"/>
              </w:rPr>
            </w:pPr>
            <w:r>
              <w:rPr>
                <w:rFonts w:ascii="Arial" w:cs="Arial" w:eastAsia="Arial" w:hAnsi="Arial"/>
                <w:sz w:val="11"/>
                <w:szCs w:val="11"/>
                <w:b w:val="1"/>
                <w:bCs w:val="1"/>
                <w:color w:val="auto"/>
              </w:rPr>
              <w:t>Paid-in</w:t>
            </w:r>
          </w:p>
        </w:tc>
        <w:tc>
          <w:tcPr>
            <w:tcW w:w="240" w:type="dxa"/>
            <w:vAlign w:val="bottom"/>
          </w:tcPr>
          <w:p>
            <w:pPr>
              <w:spacing w:after="0"/>
              <w:rPr>
                <w:sz w:val="8"/>
                <w:szCs w:val="8"/>
                <w:color w:val="auto"/>
              </w:rPr>
            </w:pPr>
          </w:p>
        </w:tc>
        <w:tc>
          <w:tcPr>
            <w:tcW w:w="800" w:type="dxa"/>
            <w:vAlign w:val="bottom"/>
          </w:tcPr>
          <w:p>
            <w:pPr>
              <w:jc w:val="right"/>
              <w:ind w:right="198"/>
              <w:spacing w:after="0" w:line="98" w:lineRule="exact"/>
              <w:rPr>
                <w:sz w:val="20"/>
                <w:szCs w:val="20"/>
                <w:color w:val="auto"/>
              </w:rPr>
            </w:pPr>
            <w:r>
              <w:rPr>
                <w:rFonts w:ascii="Arial" w:cs="Arial" w:eastAsia="Arial" w:hAnsi="Arial"/>
                <w:sz w:val="11"/>
                <w:szCs w:val="11"/>
                <w:b w:val="1"/>
                <w:bCs w:val="1"/>
                <w:color w:val="auto"/>
              </w:rPr>
              <w:t>Retained</w:t>
            </w:r>
          </w:p>
        </w:tc>
        <w:tc>
          <w:tcPr>
            <w:tcW w:w="200" w:type="dxa"/>
            <w:vAlign w:val="bottom"/>
          </w:tcPr>
          <w:p>
            <w:pPr>
              <w:spacing w:after="0"/>
              <w:rPr>
                <w:sz w:val="8"/>
                <w:szCs w:val="8"/>
                <w:color w:val="auto"/>
              </w:rPr>
            </w:pPr>
          </w:p>
        </w:tc>
        <w:tc>
          <w:tcPr>
            <w:tcW w:w="1240" w:type="dxa"/>
            <w:vAlign w:val="bottom"/>
          </w:tcPr>
          <w:p>
            <w:pPr>
              <w:jc w:val="right"/>
              <w:ind w:right="178"/>
              <w:spacing w:after="0" w:line="98" w:lineRule="exact"/>
              <w:rPr>
                <w:sz w:val="20"/>
                <w:szCs w:val="20"/>
                <w:color w:val="auto"/>
              </w:rPr>
            </w:pPr>
            <w:r>
              <w:rPr>
                <w:rFonts w:ascii="Arial" w:cs="Arial" w:eastAsia="Arial" w:hAnsi="Arial"/>
                <w:sz w:val="11"/>
                <w:szCs w:val="11"/>
                <w:b w:val="1"/>
                <w:bCs w:val="1"/>
                <w:color w:val="auto"/>
                <w:w w:val="96"/>
              </w:rPr>
              <w:t>Accumulated Other</w:t>
            </w:r>
          </w:p>
        </w:tc>
        <w:tc>
          <w:tcPr>
            <w:tcW w:w="8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40" w:type="dxa"/>
            <w:vAlign w:val="bottom"/>
          </w:tcPr>
          <w:p>
            <w:pPr>
              <w:spacing w:after="0"/>
              <w:rPr>
                <w:sz w:val="8"/>
                <w:szCs w:val="8"/>
                <w:color w:val="auto"/>
              </w:rPr>
            </w:pPr>
          </w:p>
        </w:tc>
        <w:tc>
          <w:tcPr>
            <w:tcW w:w="700" w:type="dxa"/>
            <w:vAlign w:val="bottom"/>
          </w:tcPr>
          <w:p>
            <w:pPr>
              <w:jc w:val="right"/>
              <w:ind w:right="119"/>
              <w:spacing w:after="0" w:line="98" w:lineRule="exact"/>
              <w:rPr>
                <w:sz w:val="20"/>
                <w:szCs w:val="20"/>
                <w:color w:val="auto"/>
              </w:rPr>
            </w:pPr>
            <w:r>
              <w:rPr>
                <w:rFonts w:ascii="Arial" w:cs="Arial" w:eastAsia="Arial" w:hAnsi="Arial"/>
                <w:sz w:val="11"/>
                <w:szCs w:val="11"/>
                <w:b w:val="1"/>
                <w:bCs w:val="1"/>
                <w:color w:val="auto"/>
                <w:w w:val="96"/>
              </w:rPr>
              <w:t>Employee</w:t>
            </w:r>
          </w:p>
        </w:tc>
        <w:tc>
          <w:tcPr>
            <w:tcW w:w="180" w:type="dxa"/>
            <w:vAlign w:val="bottom"/>
          </w:tcPr>
          <w:p>
            <w:pPr>
              <w:spacing w:after="0"/>
              <w:rPr>
                <w:sz w:val="8"/>
                <w:szCs w:val="8"/>
                <w:color w:val="auto"/>
              </w:rPr>
            </w:pPr>
          </w:p>
        </w:tc>
        <w:tc>
          <w:tcPr>
            <w:tcW w:w="900" w:type="dxa"/>
            <w:vAlign w:val="bottom"/>
          </w:tcPr>
          <w:p>
            <w:pPr>
              <w:jc w:val="right"/>
              <w:ind w:right="78"/>
              <w:spacing w:after="0" w:line="98" w:lineRule="exact"/>
              <w:rPr>
                <w:sz w:val="20"/>
                <w:szCs w:val="20"/>
                <w:color w:val="auto"/>
              </w:rPr>
            </w:pPr>
            <w:r>
              <w:rPr>
                <w:rFonts w:ascii="Arial" w:cs="Arial" w:eastAsia="Arial" w:hAnsi="Arial"/>
                <w:sz w:val="11"/>
                <w:szCs w:val="11"/>
                <w:b w:val="1"/>
                <w:bCs w:val="1"/>
                <w:color w:val="auto"/>
              </w:rPr>
              <w:t>Shareholders'</w:t>
            </w:r>
          </w:p>
        </w:tc>
        <w:tc>
          <w:tcPr>
            <w:tcW w:w="0" w:type="dxa"/>
            <w:vAlign w:val="bottom"/>
          </w:tcPr>
          <w:p>
            <w:pPr>
              <w:spacing w:after="0"/>
              <w:rPr>
                <w:sz w:val="1"/>
                <w:szCs w:val="1"/>
                <w:color w:val="auto"/>
              </w:rPr>
            </w:pPr>
          </w:p>
        </w:tc>
      </w:tr>
      <w:tr>
        <w:trPr>
          <w:trHeight w:val="159"/>
        </w:trPr>
        <w:tc>
          <w:tcPr>
            <w:tcW w:w="2520" w:type="dxa"/>
            <w:vAlign w:val="bottom"/>
            <w:tcBorders>
              <w:bottom w:val="single" w:sz="8" w:color="auto"/>
            </w:tcBorders>
          </w:tcPr>
          <w:p>
            <w:pPr>
              <w:ind w:left="40"/>
              <w:spacing w:after="0"/>
              <w:rPr>
                <w:sz w:val="20"/>
                <w:szCs w:val="20"/>
                <w:color w:val="auto"/>
              </w:rPr>
            </w:pPr>
            <w:r>
              <w:rPr>
                <w:rFonts w:ascii="Arial" w:cs="Arial" w:eastAsia="Arial" w:hAnsi="Arial"/>
                <w:sz w:val="11"/>
                <w:szCs w:val="11"/>
                <w:b w:val="1"/>
                <w:bCs w:val="1"/>
                <w:color w:val="auto"/>
              </w:rPr>
              <w:t>(Dollars in millions, shares in thousands)</w:t>
            </w:r>
          </w:p>
        </w:tc>
        <w:tc>
          <w:tcPr>
            <w:tcW w:w="960" w:type="dxa"/>
            <w:vAlign w:val="bottom"/>
            <w:tcBorders>
              <w:bottom w:val="single" w:sz="8" w:color="auto"/>
            </w:tcBorders>
          </w:tcPr>
          <w:p>
            <w:pPr>
              <w:jc w:val="right"/>
              <w:ind w:right="258"/>
              <w:spacing w:after="0"/>
              <w:rPr>
                <w:sz w:val="20"/>
                <w:szCs w:val="20"/>
                <w:color w:val="auto"/>
              </w:rPr>
            </w:pPr>
            <w:r>
              <w:rPr>
                <w:rFonts w:ascii="Arial" w:cs="Arial" w:eastAsia="Arial" w:hAnsi="Arial"/>
                <w:sz w:val="11"/>
                <w:szCs w:val="11"/>
                <w:b w:val="1"/>
                <w:bCs w:val="1"/>
                <w:color w:val="auto"/>
              </w:rPr>
              <w:t>Shares</w:t>
            </w:r>
          </w:p>
        </w:tc>
        <w:tc>
          <w:tcPr>
            <w:tcW w:w="2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98"/>
              <w:spacing w:after="0"/>
              <w:rPr>
                <w:sz w:val="20"/>
                <w:szCs w:val="20"/>
                <w:color w:val="auto"/>
              </w:rPr>
            </w:pPr>
            <w:r>
              <w:rPr>
                <w:rFonts w:ascii="Arial" w:cs="Arial" w:eastAsia="Arial" w:hAnsi="Arial"/>
                <w:sz w:val="11"/>
                <w:szCs w:val="11"/>
                <w:b w:val="1"/>
                <w:bCs w:val="1"/>
                <w:color w:val="auto"/>
                <w:w w:val="96"/>
              </w:rPr>
              <w:t>Amount</w:t>
            </w:r>
          </w:p>
        </w:tc>
        <w:tc>
          <w:tcPr>
            <w:tcW w:w="2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19"/>
              <w:spacing w:after="0"/>
              <w:rPr>
                <w:sz w:val="20"/>
                <w:szCs w:val="20"/>
                <w:color w:val="auto"/>
              </w:rPr>
            </w:pPr>
            <w:r>
              <w:rPr>
                <w:rFonts w:ascii="Arial" w:cs="Arial" w:eastAsia="Arial" w:hAnsi="Arial"/>
                <w:sz w:val="11"/>
                <w:szCs w:val="11"/>
                <w:b w:val="1"/>
                <w:bCs w:val="1"/>
                <w:color w:val="auto"/>
              </w:rPr>
              <w:t>Capital</w:t>
            </w: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198"/>
              <w:spacing w:after="0"/>
              <w:rPr>
                <w:sz w:val="20"/>
                <w:szCs w:val="20"/>
                <w:color w:val="auto"/>
              </w:rPr>
            </w:pPr>
            <w:r>
              <w:rPr>
                <w:rFonts w:ascii="Arial" w:cs="Arial" w:eastAsia="Arial" w:hAnsi="Arial"/>
                <w:sz w:val="11"/>
                <w:szCs w:val="11"/>
                <w:b w:val="1"/>
                <w:bCs w:val="1"/>
                <w:color w:val="auto"/>
              </w:rPr>
              <w:t>Earnings</w:t>
            </w:r>
          </w:p>
        </w:tc>
        <w:tc>
          <w:tcPr>
            <w:tcW w:w="1440" w:type="dxa"/>
            <w:vAlign w:val="bottom"/>
            <w:tcBorders>
              <w:bottom w:val="single" w:sz="8" w:color="auto"/>
            </w:tcBorders>
            <w:gridSpan w:val="2"/>
          </w:tcPr>
          <w:p>
            <w:pPr>
              <w:jc w:val="right"/>
              <w:ind w:right="118"/>
              <w:spacing w:after="0"/>
              <w:rPr>
                <w:sz w:val="20"/>
                <w:szCs w:val="20"/>
                <w:color w:val="auto"/>
              </w:rPr>
            </w:pPr>
            <w:r>
              <w:rPr>
                <w:rFonts w:ascii="Arial" w:cs="Arial" w:eastAsia="Arial" w:hAnsi="Arial"/>
                <w:sz w:val="11"/>
                <w:szCs w:val="11"/>
                <w:b w:val="1"/>
                <w:bCs w:val="1"/>
                <w:color w:val="auto"/>
              </w:rPr>
              <w:t>Comprehensive Loss</w:t>
            </w:r>
          </w:p>
        </w:tc>
        <w:tc>
          <w:tcPr>
            <w:tcW w:w="820" w:type="dxa"/>
            <w:vAlign w:val="bottom"/>
            <w:tcBorders>
              <w:bottom w:val="single" w:sz="8" w:color="auto"/>
            </w:tcBorders>
          </w:tcPr>
          <w:p>
            <w:pPr>
              <w:jc w:val="right"/>
              <w:ind w:right="198"/>
              <w:spacing w:after="0"/>
              <w:rPr>
                <w:sz w:val="20"/>
                <w:szCs w:val="20"/>
                <w:color w:val="auto"/>
              </w:rPr>
            </w:pPr>
            <w:r>
              <w:rPr>
                <w:rFonts w:ascii="Arial" w:cs="Arial" w:eastAsia="Arial" w:hAnsi="Arial"/>
                <w:sz w:val="11"/>
                <w:szCs w:val="11"/>
                <w:b w:val="1"/>
                <w:bCs w:val="1"/>
                <w:color w:val="auto"/>
              </w:rPr>
              <w:t>Shares</w:t>
            </w:r>
          </w:p>
        </w:tc>
        <w:tc>
          <w:tcPr>
            <w:tcW w:w="2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18"/>
              <w:spacing w:after="0"/>
              <w:rPr>
                <w:sz w:val="20"/>
                <w:szCs w:val="20"/>
                <w:color w:val="auto"/>
              </w:rPr>
            </w:pPr>
            <w:r>
              <w:rPr>
                <w:rFonts w:ascii="Arial" w:cs="Arial" w:eastAsia="Arial" w:hAnsi="Arial"/>
                <w:sz w:val="11"/>
                <w:szCs w:val="11"/>
                <w:b w:val="1"/>
                <w:bCs w:val="1"/>
                <w:color w:val="auto"/>
              </w:rPr>
              <w:t>Amount</w:t>
            </w:r>
          </w:p>
        </w:tc>
        <w:tc>
          <w:tcPr>
            <w:tcW w:w="94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1"/>
                <w:szCs w:val="11"/>
                <w:b w:val="1"/>
                <w:bCs w:val="1"/>
                <w:color w:val="auto"/>
              </w:rPr>
              <w:t>Benefit Trust</w:t>
            </w:r>
          </w:p>
        </w:tc>
        <w:tc>
          <w:tcPr>
            <w:tcW w:w="1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278"/>
              <w:spacing w:after="0"/>
              <w:rPr>
                <w:sz w:val="20"/>
                <w:szCs w:val="20"/>
                <w:color w:val="auto"/>
              </w:rPr>
            </w:pPr>
            <w:r>
              <w:rPr>
                <w:rFonts w:ascii="Arial" w:cs="Arial" w:eastAsia="Arial" w:hAnsi="Arial"/>
                <w:sz w:val="11"/>
                <w:szCs w:val="11"/>
                <w:b w:val="1"/>
                <w:bCs w:val="1"/>
                <w:color w:val="auto"/>
              </w:rPr>
              <w:t>Equity</w:t>
            </w:r>
          </w:p>
        </w:tc>
        <w:tc>
          <w:tcPr>
            <w:tcW w:w="0" w:type="dxa"/>
            <w:vAlign w:val="bottom"/>
          </w:tcPr>
          <w:p>
            <w:pPr>
              <w:spacing w:after="0"/>
              <w:rPr>
                <w:sz w:val="1"/>
                <w:szCs w:val="1"/>
                <w:color w:val="auto"/>
              </w:rPr>
            </w:pPr>
          </w:p>
        </w:tc>
      </w:tr>
      <w:tr>
        <w:trPr>
          <w:trHeight w:val="270"/>
        </w:trPr>
        <w:tc>
          <w:tcPr>
            <w:tcW w:w="2520" w:type="dxa"/>
            <w:vAlign w:val="bottom"/>
            <w:shd w:val="clear" w:color="auto" w:fill="D8D8D8"/>
          </w:tcPr>
          <w:p>
            <w:pPr>
              <w:ind w:left="40"/>
              <w:spacing w:after="0"/>
              <w:rPr>
                <w:sz w:val="20"/>
                <w:szCs w:val="20"/>
                <w:color w:val="auto"/>
              </w:rPr>
            </w:pPr>
            <w:r>
              <w:rPr>
                <w:rFonts w:ascii="Arial" w:cs="Arial" w:eastAsia="Arial" w:hAnsi="Arial"/>
                <w:sz w:val="13"/>
                <w:szCs w:val="13"/>
                <w:color w:val="auto"/>
              </w:rPr>
              <w:t>Balance at January 1, 2013</w:t>
            </w:r>
          </w:p>
        </w:tc>
        <w:tc>
          <w:tcPr>
            <w:tcW w:w="960" w:type="dxa"/>
            <w:vAlign w:val="bottom"/>
            <w:shd w:val="clear" w:color="auto" w:fill="D8D8D8"/>
          </w:tcPr>
          <w:p>
            <w:pPr>
              <w:jc w:val="right"/>
              <w:ind w:right="78"/>
              <w:spacing w:after="0"/>
              <w:rPr>
                <w:sz w:val="20"/>
                <w:szCs w:val="20"/>
                <w:color w:val="auto"/>
              </w:rPr>
            </w:pPr>
            <w:r>
              <w:rPr>
                <w:rFonts w:ascii="Arial" w:cs="Arial" w:eastAsia="Arial" w:hAnsi="Arial"/>
                <w:sz w:val="13"/>
                <w:szCs w:val="13"/>
                <w:color w:val="auto"/>
              </w:rPr>
              <w:t>1,146,493</w:t>
            </w:r>
          </w:p>
        </w:tc>
        <w:tc>
          <w:tcPr>
            <w:tcW w:w="220" w:type="dxa"/>
            <w:vAlign w:val="bottom"/>
            <w:shd w:val="clear" w:color="auto" w:fill="D8D8D8"/>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D8D8D8"/>
          </w:tcPr>
          <w:p>
            <w:pPr>
              <w:jc w:val="right"/>
              <w:ind w:right="58"/>
              <w:spacing w:after="0"/>
              <w:rPr>
                <w:sz w:val="20"/>
                <w:szCs w:val="20"/>
                <w:color w:val="auto"/>
              </w:rPr>
            </w:pPr>
            <w:r>
              <w:rPr>
                <w:rFonts w:ascii="Arial" w:cs="Arial" w:eastAsia="Arial" w:hAnsi="Arial"/>
                <w:sz w:val="13"/>
                <w:szCs w:val="13"/>
                <w:color w:val="auto"/>
              </w:rPr>
              <w:t>716.6</w:t>
            </w:r>
          </w:p>
        </w:tc>
        <w:tc>
          <w:tcPr>
            <w:tcW w:w="240" w:type="dxa"/>
            <w:vAlign w:val="bottom"/>
            <w:shd w:val="clear" w:color="auto" w:fill="D8D8D8"/>
          </w:tcPr>
          <w:p>
            <w:pPr>
              <w:jc w:val="right"/>
              <w:spacing w:after="0"/>
              <w:rPr>
                <w:sz w:val="20"/>
                <w:szCs w:val="20"/>
                <w:color w:val="auto"/>
              </w:rPr>
            </w:pPr>
            <w:r>
              <w:rPr>
                <w:rFonts w:ascii="Arial" w:cs="Arial" w:eastAsia="Arial" w:hAnsi="Arial"/>
                <w:sz w:val="13"/>
                <w:szCs w:val="13"/>
                <w:color w:val="auto"/>
              </w:rPr>
              <w:t>$</w:t>
            </w:r>
          </w:p>
        </w:tc>
        <w:tc>
          <w:tcPr>
            <w:tcW w:w="740" w:type="dxa"/>
            <w:vAlign w:val="bottom"/>
            <w:shd w:val="clear" w:color="auto" w:fill="D8D8D8"/>
          </w:tcPr>
          <w:p>
            <w:pPr>
              <w:jc w:val="right"/>
              <w:ind w:right="99"/>
              <w:spacing w:after="0"/>
              <w:rPr>
                <w:sz w:val="20"/>
                <w:szCs w:val="20"/>
                <w:color w:val="auto"/>
              </w:rPr>
            </w:pPr>
            <w:r>
              <w:rPr>
                <w:rFonts w:ascii="Arial" w:cs="Arial" w:eastAsia="Arial" w:hAnsi="Arial"/>
                <w:sz w:val="13"/>
                <w:szCs w:val="13"/>
                <w:color w:val="auto"/>
              </w:rPr>
              <w:t>4,963.1</w:t>
            </w:r>
          </w:p>
        </w:tc>
        <w:tc>
          <w:tcPr>
            <w:tcW w:w="240" w:type="dxa"/>
            <w:vAlign w:val="bottom"/>
            <w:shd w:val="clear" w:color="auto" w:fill="D8D8D8"/>
          </w:tcPr>
          <w:p>
            <w:pPr>
              <w:jc w:val="right"/>
              <w:spacing w:after="0"/>
              <w:rPr>
                <w:sz w:val="20"/>
                <w:szCs w:val="20"/>
                <w:color w:val="auto"/>
              </w:rPr>
            </w:pPr>
            <w:r>
              <w:rPr>
                <w:rFonts w:ascii="Arial" w:cs="Arial" w:eastAsia="Arial" w:hAnsi="Arial"/>
                <w:sz w:val="13"/>
                <w:szCs w:val="13"/>
                <w:color w:val="auto"/>
              </w:rPr>
              <w:t>$</w:t>
            </w:r>
          </w:p>
        </w:tc>
        <w:tc>
          <w:tcPr>
            <w:tcW w:w="800" w:type="dxa"/>
            <w:vAlign w:val="bottom"/>
            <w:shd w:val="clear" w:color="auto" w:fill="D8D8D8"/>
          </w:tcPr>
          <w:p>
            <w:pPr>
              <w:jc w:val="right"/>
              <w:ind w:right="78"/>
              <w:spacing w:after="0"/>
              <w:rPr>
                <w:sz w:val="20"/>
                <w:szCs w:val="20"/>
                <w:color w:val="auto"/>
              </w:rPr>
            </w:pPr>
            <w:r>
              <w:rPr>
                <w:rFonts w:ascii="Arial" w:cs="Arial" w:eastAsia="Arial" w:hAnsi="Arial"/>
                <w:sz w:val="13"/>
                <w:szCs w:val="13"/>
                <w:color w:val="auto"/>
              </w:rPr>
              <w:t>16,088.2</w:t>
            </w:r>
          </w:p>
        </w:tc>
        <w:tc>
          <w:tcPr>
            <w:tcW w:w="200" w:type="dxa"/>
            <w:vAlign w:val="bottom"/>
            <w:shd w:val="clear" w:color="auto" w:fill="D8D8D8"/>
          </w:tcPr>
          <w:p>
            <w:pPr>
              <w:jc w:val="right"/>
              <w:spacing w:after="0"/>
              <w:rPr>
                <w:sz w:val="20"/>
                <w:szCs w:val="20"/>
                <w:color w:val="auto"/>
              </w:rPr>
            </w:pPr>
            <w:r>
              <w:rPr>
                <w:rFonts w:ascii="Arial" w:cs="Arial" w:eastAsia="Arial" w:hAnsi="Arial"/>
                <w:sz w:val="13"/>
                <w:szCs w:val="13"/>
                <w:color w:val="auto"/>
              </w:rPr>
              <w:t>$</w:t>
            </w:r>
          </w:p>
        </w:tc>
        <w:tc>
          <w:tcPr>
            <w:tcW w:w="1240" w:type="dxa"/>
            <w:vAlign w:val="bottom"/>
            <w:shd w:val="clear" w:color="auto" w:fill="D8D8D8"/>
          </w:tcPr>
          <w:p>
            <w:pPr>
              <w:jc w:val="right"/>
              <w:ind w:right="118"/>
              <w:spacing w:after="0"/>
              <w:rPr>
                <w:sz w:val="20"/>
                <w:szCs w:val="20"/>
                <w:color w:val="auto"/>
              </w:rPr>
            </w:pPr>
            <w:r>
              <w:rPr>
                <w:rFonts w:ascii="Arial" w:cs="Arial" w:eastAsia="Arial" w:hAnsi="Arial"/>
                <w:sz w:val="13"/>
                <w:szCs w:val="13"/>
                <w:color w:val="auto"/>
              </w:rPr>
              <w:t>(3,797.1)</w:t>
            </w:r>
          </w:p>
        </w:tc>
        <w:tc>
          <w:tcPr>
            <w:tcW w:w="820" w:type="dxa"/>
            <w:vAlign w:val="bottom"/>
            <w:shd w:val="clear" w:color="auto" w:fill="D8D8D8"/>
          </w:tcPr>
          <w:p>
            <w:pPr>
              <w:jc w:val="right"/>
              <w:ind w:right="98"/>
              <w:spacing w:after="0"/>
              <w:rPr>
                <w:sz w:val="20"/>
                <w:szCs w:val="20"/>
                <w:color w:val="auto"/>
              </w:rPr>
            </w:pPr>
            <w:r>
              <w:rPr>
                <w:rFonts w:ascii="Arial" w:cs="Arial" w:eastAsia="Arial" w:hAnsi="Arial"/>
                <w:sz w:val="13"/>
                <w:szCs w:val="13"/>
                <w:color w:val="auto"/>
              </w:rPr>
              <w:t>2,850</w:t>
            </w:r>
          </w:p>
        </w:tc>
        <w:tc>
          <w:tcPr>
            <w:tcW w:w="200" w:type="dxa"/>
            <w:vAlign w:val="bottom"/>
            <w:shd w:val="clear" w:color="auto" w:fill="D8D8D8"/>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D8D8D8"/>
          </w:tcPr>
          <w:p>
            <w:pPr>
              <w:jc w:val="right"/>
              <w:spacing w:after="0"/>
              <w:rPr>
                <w:sz w:val="20"/>
                <w:szCs w:val="20"/>
                <w:color w:val="auto"/>
              </w:rPr>
            </w:pPr>
            <w:r>
              <w:rPr>
                <w:rFonts w:ascii="Arial" w:cs="Arial" w:eastAsia="Arial" w:hAnsi="Arial"/>
                <w:sz w:val="13"/>
                <w:szCs w:val="13"/>
                <w:color w:val="auto"/>
              </w:rPr>
              <w:t>(192.4)</w:t>
            </w:r>
          </w:p>
        </w:tc>
        <w:tc>
          <w:tcPr>
            <w:tcW w:w="240" w:type="dxa"/>
            <w:vAlign w:val="bottom"/>
            <w:shd w:val="clear" w:color="auto" w:fill="D8D8D8"/>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D8D8D8"/>
          </w:tcPr>
          <w:p>
            <w:pPr>
              <w:jc w:val="right"/>
              <w:ind w:right="39"/>
              <w:spacing w:after="0"/>
              <w:rPr>
                <w:sz w:val="20"/>
                <w:szCs w:val="20"/>
                <w:color w:val="auto"/>
              </w:rPr>
            </w:pPr>
            <w:r>
              <w:rPr>
                <w:rFonts w:ascii="Arial" w:cs="Arial" w:eastAsia="Arial" w:hAnsi="Arial"/>
                <w:sz w:val="13"/>
                <w:szCs w:val="13"/>
                <w:color w:val="auto"/>
              </w:rPr>
              <w:t>(3,013.2)</w:t>
            </w:r>
          </w:p>
        </w:tc>
        <w:tc>
          <w:tcPr>
            <w:tcW w:w="180" w:type="dxa"/>
            <w:vAlign w:val="bottom"/>
            <w:shd w:val="clear" w:color="auto" w:fill="D8D8D8"/>
          </w:tcPr>
          <w:p>
            <w:pPr>
              <w:jc w:val="right"/>
              <w:spacing w:after="0"/>
              <w:rPr>
                <w:sz w:val="20"/>
                <w:szCs w:val="20"/>
                <w:color w:val="auto"/>
              </w:rPr>
            </w:pPr>
            <w:r>
              <w:rPr>
                <w:rFonts w:ascii="Arial" w:cs="Arial" w:eastAsia="Arial" w:hAnsi="Arial"/>
                <w:sz w:val="13"/>
                <w:szCs w:val="13"/>
                <w:color w:val="auto"/>
              </w:rPr>
              <w:t>$</w:t>
            </w:r>
          </w:p>
        </w:tc>
        <w:tc>
          <w:tcPr>
            <w:tcW w:w="900" w:type="dxa"/>
            <w:vAlign w:val="bottom"/>
            <w:shd w:val="clear" w:color="auto" w:fill="D8D8D8"/>
          </w:tcPr>
          <w:p>
            <w:pPr>
              <w:jc w:val="right"/>
              <w:ind w:right="38"/>
              <w:spacing w:after="0"/>
              <w:rPr>
                <w:sz w:val="20"/>
                <w:szCs w:val="20"/>
                <w:color w:val="auto"/>
              </w:rPr>
            </w:pPr>
            <w:r>
              <w:rPr>
                <w:rFonts w:ascii="Arial" w:cs="Arial" w:eastAsia="Arial" w:hAnsi="Arial"/>
                <w:sz w:val="13"/>
                <w:szCs w:val="13"/>
                <w:color w:val="auto"/>
              </w:rPr>
              <w:t>14,765.2</w:t>
            </w:r>
          </w:p>
        </w:tc>
        <w:tc>
          <w:tcPr>
            <w:tcW w:w="0" w:type="dxa"/>
            <w:vAlign w:val="bottom"/>
          </w:tcPr>
          <w:p>
            <w:pPr>
              <w:spacing w:after="0"/>
              <w:rPr>
                <w:sz w:val="1"/>
                <w:szCs w:val="1"/>
                <w:color w:val="auto"/>
              </w:rPr>
            </w:pPr>
          </w:p>
        </w:tc>
      </w:tr>
      <w:tr>
        <w:trPr>
          <w:trHeight w:val="263"/>
        </w:trPr>
        <w:tc>
          <w:tcPr>
            <w:tcW w:w="2520" w:type="dxa"/>
            <w:vAlign w:val="bottom"/>
          </w:tcPr>
          <w:p>
            <w:pPr>
              <w:ind w:left="40"/>
              <w:spacing w:after="0"/>
              <w:rPr>
                <w:sz w:val="20"/>
                <w:szCs w:val="20"/>
                <w:color w:val="auto"/>
              </w:rPr>
            </w:pPr>
            <w:r>
              <w:rPr>
                <w:rFonts w:ascii="Arial" w:cs="Arial" w:eastAsia="Arial" w:hAnsi="Arial"/>
                <w:sz w:val="13"/>
                <w:szCs w:val="13"/>
                <w:color w:val="auto"/>
              </w:rPr>
              <w:t>Net income</w:t>
            </w:r>
          </w:p>
        </w:tc>
        <w:tc>
          <w:tcPr>
            <w:tcW w:w="9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right"/>
              <w:ind w:right="78"/>
              <w:spacing w:after="0"/>
              <w:rPr>
                <w:sz w:val="20"/>
                <w:szCs w:val="20"/>
                <w:color w:val="auto"/>
              </w:rPr>
            </w:pPr>
            <w:r>
              <w:rPr>
                <w:rFonts w:ascii="Arial" w:cs="Arial" w:eastAsia="Arial" w:hAnsi="Arial"/>
                <w:sz w:val="13"/>
                <w:szCs w:val="13"/>
                <w:color w:val="auto"/>
              </w:rPr>
              <w:t>4,684.8</w:t>
            </w:r>
          </w:p>
        </w:tc>
        <w:tc>
          <w:tcPr>
            <w:tcW w:w="2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jc w:val="right"/>
              <w:ind w:right="38"/>
              <w:spacing w:after="0"/>
              <w:rPr>
                <w:sz w:val="20"/>
                <w:szCs w:val="20"/>
                <w:color w:val="auto"/>
              </w:rPr>
            </w:pPr>
            <w:r>
              <w:rPr>
                <w:rFonts w:ascii="Arial" w:cs="Arial" w:eastAsia="Arial" w:hAnsi="Arial"/>
                <w:sz w:val="13"/>
                <w:szCs w:val="13"/>
                <w:color w:val="auto"/>
              </w:rPr>
              <w:t>4,684.8</w:t>
            </w:r>
          </w:p>
        </w:tc>
        <w:tc>
          <w:tcPr>
            <w:tcW w:w="0" w:type="dxa"/>
            <w:vAlign w:val="bottom"/>
          </w:tcPr>
          <w:p>
            <w:pPr>
              <w:spacing w:after="0"/>
              <w:rPr>
                <w:sz w:val="1"/>
                <w:szCs w:val="1"/>
                <w:color w:val="auto"/>
              </w:rPr>
            </w:pPr>
          </w:p>
        </w:tc>
      </w:tr>
      <w:tr>
        <w:trPr>
          <w:trHeight w:val="147"/>
        </w:trPr>
        <w:tc>
          <w:tcPr>
            <w:tcW w:w="2520" w:type="dxa"/>
            <w:vAlign w:val="bottom"/>
            <w:shd w:val="clear" w:color="auto" w:fill="D8D8D8"/>
          </w:tcPr>
          <w:p>
            <w:pPr>
              <w:ind w:left="40"/>
              <w:spacing w:after="0" w:line="148" w:lineRule="exact"/>
              <w:rPr>
                <w:sz w:val="20"/>
                <w:szCs w:val="20"/>
                <w:color w:val="auto"/>
              </w:rPr>
            </w:pPr>
            <w:r>
              <w:rPr>
                <w:rFonts w:ascii="Arial" w:cs="Arial" w:eastAsia="Arial" w:hAnsi="Arial"/>
                <w:sz w:val="13"/>
                <w:szCs w:val="13"/>
                <w:color w:val="auto"/>
              </w:rPr>
              <w:t>Other comprehensive income (loss), net of</w:t>
            </w:r>
          </w:p>
        </w:tc>
        <w:tc>
          <w:tcPr>
            <w:tcW w:w="960" w:type="dxa"/>
            <w:vAlign w:val="bottom"/>
            <w:shd w:val="clear" w:color="auto" w:fill="D8D8D8"/>
          </w:tcPr>
          <w:p>
            <w:pPr>
              <w:spacing w:after="0"/>
              <w:rPr>
                <w:sz w:val="12"/>
                <w:szCs w:val="12"/>
                <w:color w:val="auto"/>
              </w:rPr>
            </w:pPr>
          </w:p>
        </w:tc>
        <w:tc>
          <w:tcPr>
            <w:tcW w:w="220" w:type="dxa"/>
            <w:vAlign w:val="bottom"/>
            <w:shd w:val="clear" w:color="auto" w:fill="D8D8D8"/>
          </w:tcPr>
          <w:p>
            <w:pPr>
              <w:spacing w:after="0"/>
              <w:rPr>
                <w:sz w:val="12"/>
                <w:szCs w:val="12"/>
                <w:color w:val="auto"/>
              </w:rPr>
            </w:pPr>
          </w:p>
        </w:tc>
        <w:tc>
          <w:tcPr>
            <w:tcW w:w="580" w:type="dxa"/>
            <w:vAlign w:val="bottom"/>
            <w:shd w:val="clear" w:color="auto" w:fill="D8D8D8"/>
          </w:tcPr>
          <w:p>
            <w:pPr>
              <w:spacing w:after="0"/>
              <w:rPr>
                <w:sz w:val="12"/>
                <w:szCs w:val="12"/>
                <w:color w:val="auto"/>
              </w:rPr>
            </w:pPr>
          </w:p>
        </w:tc>
        <w:tc>
          <w:tcPr>
            <w:tcW w:w="240" w:type="dxa"/>
            <w:vAlign w:val="bottom"/>
            <w:shd w:val="clear" w:color="auto" w:fill="D8D8D8"/>
          </w:tcPr>
          <w:p>
            <w:pPr>
              <w:spacing w:after="0"/>
              <w:rPr>
                <w:sz w:val="12"/>
                <w:szCs w:val="12"/>
                <w:color w:val="auto"/>
              </w:rPr>
            </w:pPr>
          </w:p>
        </w:tc>
        <w:tc>
          <w:tcPr>
            <w:tcW w:w="740" w:type="dxa"/>
            <w:vAlign w:val="bottom"/>
            <w:shd w:val="clear" w:color="auto" w:fill="D8D8D8"/>
          </w:tcPr>
          <w:p>
            <w:pPr>
              <w:spacing w:after="0"/>
              <w:rPr>
                <w:sz w:val="12"/>
                <w:szCs w:val="12"/>
                <w:color w:val="auto"/>
              </w:rPr>
            </w:pPr>
          </w:p>
        </w:tc>
        <w:tc>
          <w:tcPr>
            <w:tcW w:w="240" w:type="dxa"/>
            <w:vAlign w:val="bottom"/>
            <w:shd w:val="clear" w:color="auto" w:fill="D8D8D8"/>
          </w:tcPr>
          <w:p>
            <w:pPr>
              <w:spacing w:after="0"/>
              <w:rPr>
                <w:sz w:val="12"/>
                <w:szCs w:val="12"/>
                <w:color w:val="auto"/>
              </w:rPr>
            </w:pPr>
          </w:p>
        </w:tc>
        <w:tc>
          <w:tcPr>
            <w:tcW w:w="800" w:type="dxa"/>
            <w:vAlign w:val="bottom"/>
            <w:shd w:val="clear" w:color="auto" w:fill="D8D8D8"/>
          </w:tcPr>
          <w:p>
            <w:pPr>
              <w:spacing w:after="0"/>
              <w:rPr>
                <w:sz w:val="12"/>
                <w:szCs w:val="12"/>
                <w:color w:val="auto"/>
              </w:rPr>
            </w:pPr>
          </w:p>
        </w:tc>
        <w:tc>
          <w:tcPr>
            <w:tcW w:w="200" w:type="dxa"/>
            <w:vAlign w:val="bottom"/>
            <w:shd w:val="clear" w:color="auto" w:fill="D8D8D8"/>
          </w:tcPr>
          <w:p>
            <w:pPr>
              <w:spacing w:after="0"/>
              <w:rPr>
                <w:sz w:val="12"/>
                <w:szCs w:val="12"/>
                <w:color w:val="auto"/>
              </w:rPr>
            </w:pPr>
          </w:p>
        </w:tc>
        <w:tc>
          <w:tcPr>
            <w:tcW w:w="1240" w:type="dxa"/>
            <w:vAlign w:val="bottom"/>
            <w:vMerge w:val="restart"/>
            <w:shd w:val="clear" w:color="auto" w:fill="D8D8D8"/>
          </w:tcPr>
          <w:p>
            <w:pPr>
              <w:jc w:val="right"/>
              <w:ind w:right="158"/>
              <w:spacing w:after="0"/>
              <w:rPr>
                <w:sz w:val="20"/>
                <w:szCs w:val="20"/>
                <w:color w:val="auto"/>
              </w:rPr>
            </w:pPr>
            <w:r>
              <w:rPr>
                <w:rFonts w:ascii="Arial" w:cs="Arial" w:eastAsia="Arial" w:hAnsi="Arial"/>
                <w:sz w:val="13"/>
                <w:szCs w:val="13"/>
                <w:color w:val="auto"/>
              </w:rPr>
              <w:t>1,794.4</w:t>
            </w:r>
          </w:p>
        </w:tc>
        <w:tc>
          <w:tcPr>
            <w:tcW w:w="820" w:type="dxa"/>
            <w:vAlign w:val="bottom"/>
            <w:shd w:val="clear" w:color="auto" w:fill="D8D8D8"/>
          </w:tcPr>
          <w:p>
            <w:pPr>
              <w:spacing w:after="0"/>
              <w:rPr>
                <w:sz w:val="12"/>
                <w:szCs w:val="12"/>
                <w:color w:val="auto"/>
              </w:rPr>
            </w:pPr>
          </w:p>
        </w:tc>
        <w:tc>
          <w:tcPr>
            <w:tcW w:w="200" w:type="dxa"/>
            <w:vAlign w:val="bottom"/>
            <w:shd w:val="clear" w:color="auto" w:fill="D8D8D8"/>
          </w:tcPr>
          <w:p>
            <w:pPr>
              <w:spacing w:after="0"/>
              <w:rPr>
                <w:sz w:val="12"/>
                <w:szCs w:val="12"/>
                <w:color w:val="auto"/>
              </w:rPr>
            </w:pPr>
          </w:p>
        </w:tc>
        <w:tc>
          <w:tcPr>
            <w:tcW w:w="640" w:type="dxa"/>
            <w:vAlign w:val="bottom"/>
            <w:shd w:val="clear" w:color="auto" w:fill="D8D8D8"/>
          </w:tcPr>
          <w:p>
            <w:pPr>
              <w:spacing w:after="0"/>
              <w:rPr>
                <w:sz w:val="12"/>
                <w:szCs w:val="12"/>
                <w:color w:val="auto"/>
              </w:rPr>
            </w:pPr>
          </w:p>
        </w:tc>
        <w:tc>
          <w:tcPr>
            <w:tcW w:w="240" w:type="dxa"/>
            <w:vAlign w:val="bottom"/>
            <w:shd w:val="clear" w:color="auto" w:fill="D8D8D8"/>
          </w:tcPr>
          <w:p>
            <w:pPr>
              <w:spacing w:after="0"/>
              <w:rPr>
                <w:sz w:val="12"/>
                <w:szCs w:val="12"/>
                <w:color w:val="auto"/>
              </w:rPr>
            </w:pPr>
          </w:p>
        </w:tc>
        <w:tc>
          <w:tcPr>
            <w:tcW w:w="700" w:type="dxa"/>
            <w:vAlign w:val="bottom"/>
            <w:shd w:val="clear" w:color="auto" w:fill="D8D8D8"/>
          </w:tcPr>
          <w:p>
            <w:pPr>
              <w:spacing w:after="0"/>
              <w:rPr>
                <w:sz w:val="12"/>
                <w:szCs w:val="12"/>
                <w:color w:val="auto"/>
              </w:rPr>
            </w:pPr>
          </w:p>
        </w:tc>
        <w:tc>
          <w:tcPr>
            <w:tcW w:w="180" w:type="dxa"/>
            <w:vAlign w:val="bottom"/>
            <w:shd w:val="clear" w:color="auto" w:fill="D8D8D8"/>
          </w:tcPr>
          <w:p>
            <w:pPr>
              <w:spacing w:after="0"/>
              <w:rPr>
                <w:sz w:val="12"/>
                <w:szCs w:val="12"/>
                <w:color w:val="auto"/>
              </w:rPr>
            </w:pPr>
          </w:p>
        </w:tc>
        <w:tc>
          <w:tcPr>
            <w:tcW w:w="900" w:type="dxa"/>
            <w:vAlign w:val="bottom"/>
            <w:vMerge w:val="restart"/>
            <w:shd w:val="clear" w:color="auto" w:fill="D8D8D8"/>
          </w:tcPr>
          <w:p>
            <w:pPr>
              <w:jc w:val="right"/>
              <w:ind w:right="38"/>
              <w:spacing w:after="0"/>
              <w:rPr>
                <w:sz w:val="20"/>
                <w:szCs w:val="20"/>
                <w:color w:val="auto"/>
              </w:rPr>
            </w:pPr>
            <w:r>
              <w:rPr>
                <w:rFonts w:ascii="Arial" w:cs="Arial" w:eastAsia="Arial" w:hAnsi="Arial"/>
                <w:sz w:val="13"/>
                <w:szCs w:val="13"/>
                <w:color w:val="auto"/>
              </w:rPr>
              <w:t>1,794.4</w:t>
            </w:r>
          </w:p>
        </w:tc>
        <w:tc>
          <w:tcPr>
            <w:tcW w:w="0" w:type="dxa"/>
            <w:vAlign w:val="bottom"/>
          </w:tcPr>
          <w:p>
            <w:pPr>
              <w:spacing w:after="0"/>
              <w:rPr>
                <w:sz w:val="1"/>
                <w:szCs w:val="1"/>
                <w:color w:val="auto"/>
              </w:rPr>
            </w:pPr>
          </w:p>
        </w:tc>
      </w:tr>
      <w:tr>
        <w:trPr>
          <w:trHeight w:val="184"/>
        </w:trPr>
        <w:tc>
          <w:tcPr>
            <w:tcW w:w="2520" w:type="dxa"/>
            <w:vAlign w:val="bottom"/>
            <w:shd w:val="clear" w:color="auto" w:fill="D8D8D8"/>
          </w:tcPr>
          <w:p>
            <w:pPr>
              <w:ind w:left="40"/>
              <w:spacing w:after="0"/>
              <w:rPr>
                <w:sz w:val="20"/>
                <w:szCs w:val="20"/>
                <w:color w:val="auto"/>
              </w:rPr>
            </w:pPr>
            <w:r>
              <w:rPr>
                <w:rFonts w:ascii="Arial" w:cs="Arial" w:eastAsia="Arial" w:hAnsi="Arial"/>
                <w:sz w:val="13"/>
                <w:szCs w:val="13"/>
                <w:color w:val="auto"/>
              </w:rPr>
              <w:t>tax</w:t>
            </w:r>
          </w:p>
        </w:tc>
        <w:tc>
          <w:tcPr>
            <w:tcW w:w="960" w:type="dxa"/>
            <w:vAlign w:val="bottom"/>
            <w:shd w:val="clear" w:color="auto" w:fill="D8D8D8"/>
          </w:tcPr>
          <w:p>
            <w:pPr>
              <w:spacing w:after="0"/>
              <w:rPr>
                <w:sz w:val="16"/>
                <w:szCs w:val="16"/>
                <w:color w:val="auto"/>
              </w:rPr>
            </w:pPr>
          </w:p>
        </w:tc>
        <w:tc>
          <w:tcPr>
            <w:tcW w:w="220" w:type="dxa"/>
            <w:vAlign w:val="bottom"/>
            <w:shd w:val="clear" w:color="auto" w:fill="D8D8D8"/>
          </w:tcPr>
          <w:p>
            <w:pPr>
              <w:spacing w:after="0"/>
              <w:rPr>
                <w:sz w:val="16"/>
                <w:szCs w:val="16"/>
                <w:color w:val="auto"/>
              </w:rPr>
            </w:pPr>
          </w:p>
        </w:tc>
        <w:tc>
          <w:tcPr>
            <w:tcW w:w="580" w:type="dxa"/>
            <w:vAlign w:val="bottom"/>
            <w:shd w:val="clear" w:color="auto" w:fill="D8D8D8"/>
          </w:tcPr>
          <w:p>
            <w:pPr>
              <w:spacing w:after="0"/>
              <w:rPr>
                <w:sz w:val="16"/>
                <w:szCs w:val="16"/>
                <w:color w:val="auto"/>
              </w:rPr>
            </w:pPr>
          </w:p>
        </w:tc>
        <w:tc>
          <w:tcPr>
            <w:tcW w:w="240" w:type="dxa"/>
            <w:vAlign w:val="bottom"/>
            <w:shd w:val="clear" w:color="auto" w:fill="D8D8D8"/>
          </w:tcPr>
          <w:p>
            <w:pPr>
              <w:spacing w:after="0"/>
              <w:rPr>
                <w:sz w:val="16"/>
                <w:szCs w:val="16"/>
                <w:color w:val="auto"/>
              </w:rPr>
            </w:pPr>
          </w:p>
        </w:tc>
        <w:tc>
          <w:tcPr>
            <w:tcW w:w="740" w:type="dxa"/>
            <w:vAlign w:val="bottom"/>
            <w:shd w:val="clear" w:color="auto" w:fill="D8D8D8"/>
          </w:tcPr>
          <w:p>
            <w:pPr>
              <w:spacing w:after="0"/>
              <w:rPr>
                <w:sz w:val="16"/>
                <w:szCs w:val="16"/>
                <w:color w:val="auto"/>
              </w:rPr>
            </w:pPr>
          </w:p>
        </w:tc>
        <w:tc>
          <w:tcPr>
            <w:tcW w:w="240" w:type="dxa"/>
            <w:vAlign w:val="bottom"/>
            <w:shd w:val="clear" w:color="auto" w:fill="D8D8D8"/>
          </w:tcPr>
          <w:p>
            <w:pPr>
              <w:spacing w:after="0"/>
              <w:rPr>
                <w:sz w:val="16"/>
                <w:szCs w:val="16"/>
                <w:color w:val="auto"/>
              </w:rPr>
            </w:pPr>
          </w:p>
        </w:tc>
        <w:tc>
          <w:tcPr>
            <w:tcW w:w="800" w:type="dxa"/>
            <w:vAlign w:val="bottom"/>
            <w:shd w:val="clear" w:color="auto" w:fill="D8D8D8"/>
          </w:tcPr>
          <w:p>
            <w:pPr>
              <w:spacing w:after="0"/>
              <w:rPr>
                <w:sz w:val="16"/>
                <w:szCs w:val="16"/>
                <w:color w:val="auto"/>
              </w:rPr>
            </w:pPr>
          </w:p>
        </w:tc>
        <w:tc>
          <w:tcPr>
            <w:tcW w:w="200" w:type="dxa"/>
            <w:vAlign w:val="bottom"/>
            <w:shd w:val="clear" w:color="auto" w:fill="D8D8D8"/>
          </w:tcPr>
          <w:p>
            <w:pPr>
              <w:spacing w:after="0"/>
              <w:rPr>
                <w:sz w:val="16"/>
                <w:szCs w:val="16"/>
                <w:color w:val="auto"/>
              </w:rPr>
            </w:pPr>
          </w:p>
        </w:tc>
        <w:tc>
          <w:tcPr>
            <w:tcW w:w="1240" w:type="dxa"/>
            <w:vAlign w:val="bottom"/>
            <w:vMerge w:val="continue"/>
            <w:shd w:val="clear" w:color="auto" w:fill="D8D8D8"/>
          </w:tcPr>
          <w:p>
            <w:pPr>
              <w:spacing w:after="0"/>
              <w:rPr>
                <w:sz w:val="16"/>
                <w:szCs w:val="16"/>
                <w:color w:val="auto"/>
              </w:rPr>
            </w:pPr>
          </w:p>
        </w:tc>
        <w:tc>
          <w:tcPr>
            <w:tcW w:w="820" w:type="dxa"/>
            <w:vAlign w:val="bottom"/>
            <w:shd w:val="clear" w:color="auto" w:fill="D8D8D8"/>
          </w:tcPr>
          <w:p>
            <w:pPr>
              <w:spacing w:after="0"/>
              <w:rPr>
                <w:sz w:val="16"/>
                <w:szCs w:val="16"/>
                <w:color w:val="auto"/>
              </w:rPr>
            </w:pPr>
          </w:p>
        </w:tc>
        <w:tc>
          <w:tcPr>
            <w:tcW w:w="200" w:type="dxa"/>
            <w:vAlign w:val="bottom"/>
            <w:shd w:val="clear" w:color="auto" w:fill="D8D8D8"/>
          </w:tcPr>
          <w:p>
            <w:pPr>
              <w:spacing w:after="0"/>
              <w:rPr>
                <w:sz w:val="16"/>
                <w:szCs w:val="16"/>
                <w:color w:val="auto"/>
              </w:rPr>
            </w:pPr>
          </w:p>
        </w:tc>
        <w:tc>
          <w:tcPr>
            <w:tcW w:w="640" w:type="dxa"/>
            <w:vAlign w:val="bottom"/>
            <w:shd w:val="clear" w:color="auto" w:fill="D8D8D8"/>
          </w:tcPr>
          <w:p>
            <w:pPr>
              <w:spacing w:after="0"/>
              <w:rPr>
                <w:sz w:val="16"/>
                <w:szCs w:val="16"/>
                <w:color w:val="auto"/>
              </w:rPr>
            </w:pPr>
          </w:p>
        </w:tc>
        <w:tc>
          <w:tcPr>
            <w:tcW w:w="240" w:type="dxa"/>
            <w:vAlign w:val="bottom"/>
            <w:shd w:val="clear" w:color="auto" w:fill="D8D8D8"/>
          </w:tcPr>
          <w:p>
            <w:pPr>
              <w:spacing w:after="0"/>
              <w:rPr>
                <w:sz w:val="16"/>
                <w:szCs w:val="16"/>
                <w:color w:val="auto"/>
              </w:rPr>
            </w:pPr>
          </w:p>
        </w:tc>
        <w:tc>
          <w:tcPr>
            <w:tcW w:w="700" w:type="dxa"/>
            <w:vAlign w:val="bottom"/>
            <w:shd w:val="clear" w:color="auto" w:fill="D8D8D8"/>
          </w:tcPr>
          <w:p>
            <w:pPr>
              <w:spacing w:after="0"/>
              <w:rPr>
                <w:sz w:val="16"/>
                <w:szCs w:val="16"/>
                <w:color w:val="auto"/>
              </w:rPr>
            </w:pPr>
          </w:p>
        </w:tc>
        <w:tc>
          <w:tcPr>
            <w:tcW w:w="180" w:type="dxa"/>
            <w:vAlign w:val="bottom"/>
            <w:shd w:val="clear" w:color="auto" w:fill="D8D8D8"/>
          </w:tcPr>
          <w:p>
            <w:pPr>
              <w:spacing w:after="0"/>
              <w:rPr>
                <w:sz w:val="16"/>
                <w:szCs w:val="16"/>
                <w:color w:val="auto"/>
              </w:rPr>
            </w:pPr>
          </w:p>
        </w:tc>
        <w:tc>
          <w:tcPr>
            <w:tcW w:w="900" w:type="dxa"/>
            <w:vAlign w:val="bottom"/>
            <w:vMerge w:val="continue"/>
            <w:shd w:val="clear" w:color="auto" w:fill="D8D8D8"/>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2520" w:type="dxa"/>
            <w:vAlign w:val="bottom"/>
          </w:tcPr>
          <w:p>
            <w:pPr>
              <w:ind w:left="40"/>
              <w:spacing w:after="0"/>
              <w:rPr>
                <w:sz w:val="20"/>
                <w:szCs w:val="20"/>
                <w:color w:val="auto"/>
              </w:rPr>
            </w:pPr>
            <w:r>
              <w:rPr>
                <w:rFonts w:ascii="Arial" w:cs="Arial" w:eastAsia="Arial" w:hAnsi="Arial"/>
                <w:sz w:val="13"/>
                <w:szCs w:val="13"/>
                <w:color w:val="auto"/>
              </w:rPr>
              <w:t>Cash dividends declared per share: $1.96</w:t>
            </w:r>
          </w:p>
        </w:tc>
        <w:tc>
          <w:tcPr>
            <w:tcW w:w="9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right"/>
              <w:ind w:right="38"/>
              <w:spacing w:after="0"/>
              <w:rPr>
                <w:sz w:val="20"/>
                <w:szCs w:val="20"/>
                <w:color w:val="auto"/>
              </w:rPr>
            </w:pPr>
            <w:r>
              <w:rPr>
                <w:rFonts w:ascii="Arial" w:cs="Arial" w:eastAsia="Arial" w:hAnsi="Arial"/>
                <w:sz w:val="13"/>
                <w:szCs w:val="13"/>
                <w:color w:val="auto"/>
              </w:rPr>
              <w:t>(2,102.8)</w:t>
            </w:r>
          </w:p>
        </w:tc>
        <w:tc>
          <w:tcPr>
            <w:tcW w:w="2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(2,102.8)</w:t>
            </w:r>
          </w:p>
        </w:tc>
        <w:tc>
          <w:tcPr>
            <w:tcW w:w="0" w:type="dxa"/>
            <w:vAlign w:val="bottom"/>
          </w:tcPr>
          <w:p>
            <w:pPr>
              <w:spacing w:after="0"/>
              <w:rPr>
                <w:sz w:val="1"/>
                <w:szCs w:val="1"/>
                <w:color w:val="auto"/>
              </w:rPr>
            </w:pPr>
          </w:p>
        </w:tc>
      </w:tr>
      <w:tr>
        <w:trPr>
          <w:trHeight w:val="277"/>
        </w:trPr>
        <w:tc>
          <w:tcPr>
            <w:tcW w:w="2520" w:type="dxa"/>
            <w:vAlign w:val="bottom"/>
            <w:shd w:val="clear" w:color="auto" w:fill="D8D8D8"/>
          </w:tcPr>
          <w:p>
            <w:pPr>
              <w:ind w:left="40"/>
              <w:spacing w:after="0"/>
              <w:rPr>
                <w:sz w:val="20"/>
                <w:szCs w:val="20"/>
                <w:color w:val="auto"/>
              </w:rPr>
            </w:pPr>
            <w:r>
              <w:rPr>
                <w:rFonts w:ascii="Arial" w:cs="Arial" w:eastAsia="Arial" w:hAnsi="Arial"/>
                <w:sz w:val="13"/>
                <w:szCs w:val="13"/>
                <w:color w:val="auto"/>
              </w:rPr>
              <w:t>Retirement of treasury shares</w:t>
            </w:r>
          </w:p>
        </w:tc>
        <w:tc>
          <w:tcPr>
            <w:tcW w:w="960" w:type="dxa"/>
            <w:vAlign w:val="bottom"/>
            <w:shd w:val="clear" w:color="auto" w:fill="D8D8D8"/>
          </w:tcPr>
          <w:p>
            <w:pPr>
              <w:jc w:val="right"/>
              <w:ind w:right="78"/>
              <w:spacing w:after="0"/>
              <w:rPr>
                <w:sz w:val="20"/>
                <w:szCs w:val="20"/>
                <w:color w:val="auto"/>
              </w:rPr>
            </w:pPr>
            <w:r>
              <w:rPr>
                <w:rFonts w:ascii="Arial" w:cs="Arial" w:eastAsia="Arial" w:hAnsi="Arial"/>
                <w:sz w:val="13"/>
                <w:szCs w:val="13"/>
                <w:color w:val="auto"/>
              </w:rPr>
              <w:t>(32,406)</w:t>
            </w:r>
          </w:p>
        </w:tc>
        <w:tc>
          <w:tcPr>
            <w:tcW w:w="220" w:type="dxa"/>
            <w:vAlign w:val="bottom"/>
            <w:shd w:val="clear" w:color="auto" w:fill="D8D8D8"/>
          </w:tcPr>
          <w:p>
            <w:pPr>
              <w:spacing w:after="0"/>
              <w:rPr>
                <w:sz w:val="24"/>
                <w:szCs w:val="24"/>
                <w:color w:val="auto"/>
              </w:rPr>
            </w:pPr>
          </w:p>
        </w:tc>
        <w:tc>
          <w:tcPr>
            <w:tcW w:w="580" w:type="dxa"/>
            <w:vAlign w:val="bottom"/>
            <w:shd w:val="clear" w:color="auto" w:fill="D8D8D8"/>
          </w:tcPr>
          <w:p>
            <w:pPr>
              <w:jc w:val="right"/>
              <w:ind w:right="18"/>
              <w:spacing w:after="0"/>
              <w:rPr>
                <w:sz w:val="20"/>
                <w:szCs w:val="20"/>
                <w:color w:val="auto"/>
              </w:rPr>
            </w:pPr>
            <w:r>
              <w:rPr>
                <w:rFonts w:ascii="Arial" w:cs="Arial" w:eastAsia="Arial" w:hAnsi="Arial"/>
                <w:sz w:val="13"/>
                <w:szCs w:val="13"/>
                <w:color w:val="auto"/>
              </w:rPr>
              <w:t>(20.3)</w:t>
            </w:r>
          </w:p>
        </w:tc>
        <w:tc>
          <w:tcPr>
            <w:tcW w:w="240" w:type="dxa"/>
            <w:vAlign w:val="bottom"/>
            <w:shd w:val="clear" w:color="auto" w:fill="D8D8D8"/>
          </w:tcPr>
          <w:p>
            <w:pPr>
              <w:spacing w:after="0"/>
              <w:rPr>
                <w:sz w:val="24"/>
                <w:szCs w:val="24"/>
                <w:color w:val="auto"/>
              </w:rPr>
            </w:pPr>
          </w:p>
        </w:tc>
        <w:tc>
          <w:tcPr>
            <w:tcW w:w="740" w:type="dxa"/>
            <w:vAlign w:val="bottom"/>
            <w:shd w:val="clear" w:color="auto" w:fill="D8D8D8"/>
          </w:tcPr>
          <w:p>
            <w:pPr>
              <w:spacing w:after="0"/>
              <w:rPr>
                <w:sz w:val="24"/>
                <w:szCs w:val="24"/>
                <w:color w:val="auto"/>
              </w:rPr>
            </w:pPr>
          </w:p>
        </w:tc>
        <w:tc>
          <w:tcPr>
            <w:tcW w:w="240" w:type="dxa"/>
            <w:vAlign w:val="bottom"/>
            <w:shd w:val="clear" w:color="auto" w:fill="D8D8D8"/>
          </w:tcPr>
          <w:p>
            <w:pPr>
              <w:spacing w:after="0"/>
              <w:rPr>
                <w:sz w:val="24"/>
                <w:szCs w:val="24"/>
                <w:color w:val="auto"/>
              </w:rPr>
            </w:pPr>
          </w:p>
        </w:tc>
        <w:tc>
          <w:tcPr>
            <w:tcW w:w="800" w:type="dxa"/>
            <w:vAlign w:val="bottom"/>
            <w:shd w:val="clear" w:color="auto" w:fill="D8D8D8"/>
          </w:tcPr>
          <w:p>
            <w:pPr>
              <w:jc w:val="right"/>
              <w:ind w:right="38"/>
              <w:spacing w:after="0"/>
              <w:rPr>
                <w:sz w:val="20"/>
                <w:szCs w:val="20"/>
                <w:color w:val="auto"/>
              </w:rPr>
            </w:pPr>
            <w:r>
              <w:rPr>
                <w:rFonts w:ascii="Arial" w:cs="Arial" w:eastAsia="Arial" w:hAnsi="Arial"/>
                <w:sz w:val="13"/>
                <w:szCs w:val="13"/>
                <w:color w:val="auto"/>
              </w:rPr>
              <w:t>(1,677.8)</w:t>
            </w:r>
          </w:p>
        </w:tc>
        <w:tc>
          <w:tcPr>
            <w:tcW w:w="200" w:type="dxa"/>
            <w:vAlign w:val="bottom"/>
            <w:shd w:val="clear" w:color="auto" w:fill="D8D8D8"/>
          </w:tcPr>
          <w:p>
            <w:pPr>
              <w:spacing w:after="0"/>
              <w:rPr>
                <w:sz w:val="24"/>
                <w:szCs w:val="24"/>
                <w:color w:val="auto"/>
              </w:rPr>
            </w:pPr>
          </w:p>
        </w:tc>
        <w:tc>
          <w:tcPr>
            <w:tcW w:w="1240" w:type="dxa"/>
            <w:vAlign w:val="bottom"/>
            <w:shd w:val="clear" w:color="auto" w:fill="D8D8D8"/>
          </w:tcPr>
          <w:p>
            <w:pPr>
              <w:spacing w:after="0"/>
              <w:rPr>
                <w:sz w:val="24"/>
                <w:szCs w:val="24"/>
                <w:color w:val="auto"/>
              </w:rPr>
            </w:pPr>
          </w:p>
        </w:tc>
        <w:tc>
          <w:tcPr>
            <w:tcW w:w="820" w:type="dxa"/>
            <w:vAlign w:val="bottom"/>
            <w:shd w:val="clear" w:color="auto" w:fill="D8D8D8"/>
          </w:tcPr>
          <w:p>
            <w:pPr>
              <w:jc w:val="right"/>
              <w:ind w:right="98"/>
              <w:spacing w:after="0"/>
              <w:rPr>
                <w:sz w:val="20"/>
                <w:szCs w:val="20"/>
                <w:color w:val="auto"/>
              </w:rPr>
            </w:pPr>
            <w:r>
              <w:rPr>
                <w:rFonts w:ascii="Arial" w:cs="Arial" w:eastAsia="Arial" w:hAnsi="Arial"/>
                <w:sz w:val="13"/>
                <w:szCs w:val="13"/>
                <w:color w:val="auto"/>
              </w:rPr>
              <w:t>(32,406)</w:t>
            </w:r>
          </w:p>
        </w:tc>
        <w:tc>
          <w:tcPr>
            <w:tcW w:w="200" w:type="dxa"/>
            <w:vAlign w:val="bottom"/>
            <w:shd w:val="clear" w:color="auto" w:fill="D8D8D8"/>
          </w:tcPr>
          <w:p>
            <w:pPr>
              <w:spacing w:after="0"/>
              <w:rPr>
                <w:sz w:val="24"/>
                <w:szCs w:val="24"/>
                <w:color w:val="auto"/>
              </w:rPr>
            </w:pPr>
          </w:p>
        </w:tc>
        <w:tc>
          <w:tcPr>
            <w:tcW w:w="640" w:type="dxa"/>
            <w:vAlign w:val="bottom"/>
            <w:shd w:val="clear" w:color="auto" w:fill="D8D8D8"/>
          </w:tcPr>
          <w:p>
            <w:pPr>
              <w:jc w:val="right"/>
              <w:ind w:right="38"/>
              <w:spacing w:after="0"/>
              <w:rPr>
                <w:sz w:val="20"/>
                <w:szCs w:val="20"/>
                <w:color w:val="auto"/>
              </w:rPr>
            </w:pPr>
            <w:r>
              <w:rPr>
                <w:rFonts w:ascii="Arial" w:cs="Arial" w:eastAsia="Arial" w:hAnsi="Arial"/>
                <w:sz w:val="13"/>
                <w:szCs w:val="13"/>
                <w:color w:val="auto"/>
              </w:rPr>
              <w:t>1,698.1</w:t>
            </w:r>
          </w:p>
        </w:tc>
        <w:tc>
          <w:tcPr>
            <w:tcW w:w="240" w:type="dxa"/>
            <w:vAlign w:val="bottom"/>
            <w:shd w:val="clear" w:color="auto" w:fill="D8D8D8"/>
          </w:tcPr>
          <w:p>
            <w:pPr>
              <w:spacing w:after="0"/>
              <w:rPr>
                <w:sz w:val="24"/>
                <w:szCs w:val="24"/>
                <w:color w:val="auto"/>
              </w:rPr>
            </w:pPr>
          </w:p>
        </w:tc>
        <w:tc>
          <w:tcPr>
            <w:tcW w:w="700" w:type="dxa"/>
            <w:vAlign w:val="bottom"/>
            <w:shd w:val="clear" w:color="auto" w:fill="D8D8D8"/>
          </w:tcPr>
          <w:p>
            <w:pPr>
              <w:spacing w:after="0"/>
              <w:rPr>
                <w:sz w:val="24"/>
                <w:szCs w:val="24"/>
                <w:color w:val="auto"/>
              </w:rPr>
            </w:pPr>
          </w:p>
        </w:tc>
        <w:tc>
          <w:tcPr>
            <w:tcW w:w="180" w:type="dxa"/>
            <w:vAlign w:val="bottom"/>
            <w:shd w:val="clear" w:color="auto" w:fill="D8D8D8"/>
          </w:tcPr>
          <w:p>
            <w:pPr>
              <w:spacing w:after="0"/>
              <w:rPr>
                <w:sz w:val="24"/>
                <w:szCs w:val="24"/>
                <w:color w:val="auto"/>
              </w:rPr>
            </w:pPr>
          </w:p>
        </w:tc>
        <w:tc>
          <w:tcPr>
            <w:tcW w:w="900" w:type="dxa"/>
            <w:vAlign w:val="bottom"/>
            <w:shd w:val="clear" w:color="auto" w:fill="D8D8D8"/>
          </w:tcPr>
          <w:p>
            <w:pPr>
              <w:jc w:val="right"/>
              <w:ind w:right="38"/>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63"/>
        </w:trPr>
        <w:tc>
          <w:tcPr>
            <w:tcW w:w="2520" w:type="dxa"/>
            <w:vAlign w:val="bottom"/>
          </w:tcPr>
          <w:p>
            <w:pPr>
              <w:ind w:left="40"/>
              <w:spacing w:after="0"/>
              <w:rPr>
                <w:sz w:val="20"/>
                <w:szCs w:val="20"/>
                <w:color w:val="auto"/>
              </w:rPr>
            </w:pPr>
            <w:r>
              <w:rPr>
                <w:rFonts w:ascii="Arial" w:cs="Arial" w:eastAsia="Arial" w:hAnsi="Arial"/>
                <w:sz w:val="13"/>
                <w:szCs w:val="13"/>
                <w:color w:val="auto"/>
              </w:rPr>
              <w:t>Purchase for treasury</w:t>
            </w:r>
          </w:p>
        </w:tc>
        <w:tc>
          <w:tcPr>
            <w:tcW w:w="9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820" w:type="dxa"/>
            <w:vAlign w:val="bottom"/>
          </w:tcPr>
          <w:p>
            <w:pPr>
              <w:jc w:val="right"/>
              <w:ind w:right="98"/>
              <w:spacing w:after="0"/>
              <w:rPr>
                <w:sz w:val="20"/>
                <w:szCs w:val="20"/>
                <w:color w:val="auto"/>
              </w:rPr>
            </w:pPr>
            <w:r>
              <w:rPr>
                <w:rFonts w:ascii="Arial" w:cs="Arial" w:eastAsia="Arial" w:hAnsi="Arial"/>
                <w:sz w:val="13"/>
                <w:szCs w:val="13"/>
                <w:color w:val="auto"/>
              </w:rPr>
              <w:t>30,400</w:t>
            </w:r>
          </w:p>
        </w:tc>
        <w:tc>
          <w:tcPr>
            <w:tcW w:w="2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(1,600.0)</w:t>
            </w:r>
          </w:p>
        </w:tc>
        <w:tc>
          <w:tcPr>
            <w:tcW w:w="2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(1,600.0)</w:t>
            </w:r>
          </w:p>
        </w:tc>
        <w:tc>
          <w:tcPr>
            <w:tcW w:w="0" w:type="dxa"/>
            <w:vAlign w:val="bottom"/>
          </w:tcPr>
          <w:p>
            <w:pPr>
              <w:spacing w:after="0"/>
              <w:rPr>
                <w:sz w:val="1"/>
                <w:szCs w:val="1"/>
                <w:color w:val="auto"/>
              </w:rPr>
            </w:pPr>
          </w:p>
        </w:tc>
      </w:tr>
      <w:tr>
        <w:trPr>
          <w:trHeight w:val="147"/>
        </w:trPr>
        <w:tc>
          <w:tcPr>
            <w:tcW w:w="2520" w:type="dxa"/>
            <w:vAlign w:val="bottom"/>
            <w:shd w:val="clear" w:color="auto" w:fill="D8D8D8"/>
          </w:tcPr>
          <w:p>
            <w:pPr>
              <w:ind w:left="40"/>
              <w:spacing w:after="0" w:line="148" w:lineRule="exact"/>
              <w:rPr>
                <w:sz w:val="20"/>
                <w:szCs w:val="20"/>
                <w:color w:val="auto"/>
              </w:rPr>
            </w:pPr>
            <w:r>
              <w:rPr>
                <w:rFonts w:ascii="Arial" w:cs="Arial" w:eastAsia="Arial" w:hAnsi="Arial"/>
                <w:sz w:val="13"/>
                <w:szCs w:val="13"/>
                <w:color w:val="auto"/>
              </w:rPr>
              <w:t>Issuance of stock under employee stock</w:t>
            </w:r>
          </w:p>
        </w:tc>
        <w:tc>
          <w:tcPr>
            <w:tcW w:w="960" w:type="dxa"/>
            <w:vAlign w:val="bottom"/>
            <w:vMerge w:val="restart"/>
            <w:shd w:val="clear" w:color="auto" w:fill="D8D8D8"/>
          </w:tcPr>
          <w:p>
            <w:pPr>
              <w:jc w:val="right"/>
              <w:ind w:right="78"/>
              <w:spacing w:after="0"/>
              <w:rPr>
                <w:sz w:val="20"/>
                <w:szCs w:val="20"/>
                <w:color w:val="auto"/>
              </w:rPr>
            </w:pPr>
            <w:r>
              <w:rPr>
                <w:rFonts w:ascii="Arial" w:cs="Arial" w:eastAsia="Arial" w:hAnsi="Arial"/>
                <w:sz w:val="13"/>
                <w:szCs w:val="13"/>
                <w:color w:val="auto"/>
              </w:rPr>
              <w:t>3,541</w:t>
            </w:r>
          </w:p>
        </w:tc>
        <w:tc>
          <w:tcPr>
            <w:tcW w:w="220" w:type="dxa"/>
            <w:vAlign w:val="bottom"/>
            <w:shd w:val="clear" w:color="auto" w:fill="D8D8D8"/>
          </w:tcPr>
          <w:p>
            <w:pPr>
              <w:spacing w:after="0"/>
              <w:rPr>
                <w:sz w:val="12"/>
                <w:szCs w:val="12"/>
                <w:color w:val="auto"/>
              </w:rPr>
            </w:pPr>
          </w:p>
        </w:tc>
        <w:tc>
          <w:tcPr>
            <w:tcW w:w="580" w:type="dxa"/>
            <w:vAlign w:val="bottom"/>
            <w:vMerge w:val="restart"/>
            <w:shd w:val="clear" w:color="auto" w:fill="D8D8D8"/>
          </w:tcPr>
          <w:p>
            <w:pPr>
              <w:jc w:val="right"/>
              <w:ind w:right="58"/>
              <w:spacing w:after="0"/>
              <w:rPr>
                <w:sz w:val="20"/>
                <w:szCs w:val="20"/>
                <w:color w:val="auto"/>
              </w:rPr>
            </w:pPr>
            <w:r>
              <w:rPr>
                <w:rFonts w:ascii="Arial" w:cs="Arial" w:eastAsia="Arial" w:hAnsi="Arial"/>
                <w:sz w:val="13"/>
                <w:szCs w:val="13"/>
                <w:color w:val="auto"/>
              </w:rPr>
              <w:t>2.2</w:t>
            </w:r>
          </w:p>
        </w:tc>
        <w:tc>
          <w:tcPr>
            <w:tcW w:w="240" w:type="dxa"/>
            <w:vAlign w:val="bottom"/>
            <w:shd w:val="clear" w:color="auto" w:fill="D8D8D8"/>
          </w:tcPr>
          <w:p>
            <w:pPr>
              <w:spacing w:after="0"/>
              <w:rPr>
                <w:sz w:val="12"/>
                <w:szCs w:val="12"/>
                <w:color w:val="auto"/>
              </w:rPr>
            </w:pPr>
          </w:p>
        </w:tc>
        <w:tc>
          <w:tcPr>
            <w:tcW w:w="740" w:type="dxa"/>
            <w:vAlign w:val="bottom"/>
            <w:vMerge w:val="restart"/>
            <w:shd w:val="clear" w:color="auto" w:fill="D8D8D8"/>
          </w:tcPr>
          <w:p>
            <w:pPr>
              <w:jc w:val="right"/>
              <w:ind w:right="59"/>
              <w:spacing w:after="0"/>
              <w:rPr>
                <w:sz w:val="20"/>
                <w:szCs w:val="20"/>
                <w:color w:val="auto"/>
              </w:rPr>
            </w:pPr>
            <w:r>
              <w:rPr>
                <w:rFonts w:ascii="Arial" w:cs="Arial" w:eastAsia="Arial" w:hAnsi="Arial"/>
                <w:sz w:val="13"/>
                <w:szCs w:val="13"/>
                <w:color w:val="auto"/>
              </w:rPr>
              <w:t>(58.0)</w:t>
            </w:r>
          </w:p>
        </w:tc>
        <w:tc>
          <w:tcPr>
            <w:tcW w:w="240" w:type="dxa"/>
            <w:vAlign w:val="bottom"/>
            <w:shd w:val="clear" w:color="auto" w:fill="D8D8D8"/>
          </w:tcPr>
          <w:p>
            <w:pPr>
              <w:spacing w:after="0"/>
              <w:rPr>
                <w:sz w:val="12"/>
                <w:szCs w:val="12"/>
                <w:color w:val="auto"/>
              </w:rPr>
            </w:pPr>
          </w:p>
        </w:tc>
        <w:tc>
          <w:tcPr>
            <w:tcW w:w="800" w:type="dxa"/>
            <w:vAlign w:val="bottom"/>
            <w:shd w:val="clear" w:color="auto" w:fill="D8D8D8"/>
          </w:tcPr>
          <w:p>
            <w:pPr>
              <w:spacing w:after="0"/>
              <w:rPr>
                <w:sz w:val="12"/>
                <w:szCs w:val="12"/>
                <w:color w:val="auto"/>
              </w:rPr>
            </w:pPr>
          </w:p>
        </w:tc>
        <w:tc>
          <w:tcPr>
            <w:tcW w:w="200" w:type="dxa"/>
            <w:vAlign w:val="bottom"/>
            <w:shd w:val="clear" w:color="auto" w:fill="D8D8D8"/>
          </w:tcPr>
          <w:p>
            <w:pPr>
              <w:spacing w:after="0"/>
              <w:rPr>
                <w:sz w:val="12"/>
                <w:szCs w:val="12"/>
                <w:color w:val="auto"/>
              </w:rPr>
            </w:pPr>
          </w:p>
        </w:tc>
        <w:tc>
          <w:tcPr>
            <w:tcW w:w="1240" w:type="dxa"/>
            <w:vAlign w:val="bottom"/>
            <w:shd w:val="clear" w:color="auto" w:fill="D8D8D8"/>
          </w:tcPr>
          <w:p>
            <w:pPr>
              <w:spacing w:after="0"/>
              <w:rPr>
                <w:sz w:val="12"/>
                <w:szCs w:val="12"/>
                <w:color w:val="auto"/>
              </w:rPr>
            </w:pPr>
          </w:p>
        </w:tc>
        <w:tc>
          <w:tcPr>
            <w:tcW w:w="820" w:type="dxa"/>
            <w:vAlign w:val="bottom"/>
            <w:vMerge w:val="restart"/>
            <w:shd w:val="clear" w:color="auto" w:fill="D8D8D8"/>
          </w:tcPr>
          <w:p>
            <w:pPr>
              <w:jc w:val="right"/>
              <w:ind w:right="98"/>
              <w:spacing w:after="0"/>
              <w:rPr>
                <w:sz w:val="20"/>
                <w:szCs w:val="20"/>
                <w:color w:val="auto"/>
              </w:rPr>
            </w:pPr>
            <w:r>
              <w:rPr>
                <w:rFonts w:ascii="Arial" w:cs="Arial" w:eastAsia="Arial" w:hAnsi="Arial"/>
                <w:sz w:val="13"/>
                <w:szCs w:val="13"/>
                <w:color w:val="auto"/>
              </w:rPr>
              <w:t>(11)</w:t>
            </w:r>
          </w:p>
        </w:tc>
        <w:tc>
          <w:tcPr>
            <w:tcW w:w="200" w:type="dxa"/>
            <w:vAlign w:val="bottom"/>
            <w:shd w:val="clear" w:color="auto" w:fill="D8D8D8"/>
          </w:tcPr>
          <w:p>
            <w:pPr>
              <w:spacing w:after="0"/>
              <w:rPr>
                <w:sz w:val="12"/>
                <w:szCs w:val="12"/>
                <w:color w:val="auto"/>
              </w:rPr>
            </w:pPr>
          </w:p>
        </w:tc>
        <w:tc>
          <w:tcPr>
            <w:tcW w:w="640" w:type="dxa"/>
            <w:vAlign w:val="bottom"/>
            <w:vMerge w:val="restart"/>
            <w:shd w:val="clear" w:color="auto" w:fill="D8D8D8"/>
          </w:tcPr>
          <w:p>
            <w:pPr>
              <w:jc w:val="right"/>
              <w:ind w:right="38"/>
              <w:spacing w:after="0"/>
              <w:rPr>
                <w:sz w:val="20"/>
                <w:szCs w:val="20"/>
                <w:color w:val="auto"/>
              </w:rPr>
            </w:pPr>
            <w:r>
              <w:rPr>
                <w:rFonts w:ascii="Arial" w:cs="Arial" w:eastAsia="Arial" w:hAnsi="Arial"/>
                <w:sz w:val="13"/>
                <w:szCs w:val="13"/>
                <w:color w:val="auto"/>
              </w:rPr>
              <w:t>0.7</w:t>
            </w:r>
          </w:p>
        </w:tc>
        <w:tc>
          <w:tcPr>
            <w:tcW w:w="240" w:type="dxa"/>
            <w:vAlign w:val="bottom"/>
            <w:shd w:val="clear" w:color="auto" w:fill="D8D8D8"/>
          </w:tcPr>
          <w:p>
            <w:pPr>
              <w:spacing w:after="0"/>
              <w:rPr>
                <w:sz w:val="12"/>
                <w:szCs w:val="12"/>
                <w:color w:val="auto"/>
              </w:rPr>
            </w:pPr>
          </w:p>
        </w:tc>
        <w:tc>
          <w:tcPr>
            <w:tcW w:w="700" w:type="dxa"/>
            <w:vAlign w:val="bottom"/>
            <w:shd w:val="clear" w:color="auto" w:fill="D8D8D8"/>
          </w:tcPr>
          <w:p>
            <w:pPr>
              <w:spacing w:after="0"/>
              <w:rPr>
                <w:sz w:val="12"/>
                <w:szCs w:val="12"/>
                <w:color w:val="auto"/>
              </w:rPr>
            </w:pPr>
          </w:p>
        </w:tc>
        <w:tc>
          <w:tcPr>
            <w:tcW w:w="180" w:type="dxa"/>
            <w:vAlign w:val="bottom"/>
            <w:shd w:val="clear" w:color="auto" w:fill="D8D8D8"/>
          </w:tcPr>
          <w:p>
            <w:pPr>
              <w:spacing w:after="0"/>
              <w:rPr>
                <w:sz w:val="12"/>
                <w:szCs w:val="12"/>
                <w:color w:val="auto"/>
              </w:rPr>
            </w:pPr>
          </w:p>
        </w:tc>
        <w:tc>
          <w:tcPr>
            <w:tcW w:w="900" w:type="dxa"/>
            <w:vAlign w:val="bottom"/>
            <w:vMerge w:val="restart"/>
            <w:shd w:val="clear" w:color="auto" w:fill="D8D8D8"/>
          </w:tcPr>
          <w:p>
            <w:pPr>
              <w:jc w:val="right"/>
              <w:spacing w:after="0"/>
              <w:rPr>
                <w:sz w:val="20"/>
                <w:szCs w:val="20"/>
                <w:color w:val="auto"/>
              </w:rPr>
            </w:pPr>
            <w:r>
              <w:rPr>
                <w:rFonts w:ascii="Arial" w:cs="Arial" w:eastAsia="Arial" w:hAnsi="Arial"/>
                <w:sz w:val="13"/>
                <w:szCs w:val="13"/>
                <w:color w:val="auto"/>
              </w:rPr>
              <w:t>(55.1)</w:t>
            </w:r>
          </w:p>
        </w:tc>
        <w:tc>
          <w:tcPr>
            <w:tcW w:w="0" w:type="dxa"/>
            <w:vAlign w:val="bottom"/>
          </w:tcPr>
          <w:p>
            <w:pPr>
              <w:spacing w:after="0"/>
              <w:rPr>
                <w:sz w:val="1"/>
                <w:szCs w:val="1"/>
                <w:color w:val="auto"/>
              </w:rPr>
            </w:pPr>
          </w:p>
        </w:tc>
      </w:tr>
      <w:tr>
        <w:trPr>
          <w:trHeight w:val="184"/>
        </w:trPr>
        <w:tc>
          <w:tcPr>
            <w:tcW w:w="2520" w:type="dxa"/>
            <w:vAlign w:val="bottom"/>
            <w:shd w:val="clear" w:color="auto" w:fill="D8D8D8"/>
          </w:tcPr>
          <w:p>
            <w:pPr>
              <w:ind w:left="40"/>
              <w:spacing w:after="0"/>
              <w:rPr>
                <w:sz w:val="20"/>
                <w:szCs w:val="20"/>
                <w:color w:val="auto"/>
              </w:rPr>
            </w:pPr>
            <w:r>
              <w:rPr>
                <w:rFonts w:ascii="Arial" w:cs="Arial" w:eastAsia="Arial" w:hAnsi="Arial"/>
                <w:sz w:val="13"/>
                <w:szCs w:val="13"/>
                <w:color w:val="auto"/>
              </w:rPr>
              <w:t>plans, net</w:t>
            </w:r>
          </w:p>
        </w:tc>
        <w:tc>
          <w:tcPr>
            <w:tcW w:w="960" w:type="dxa"/>
            <w:vAlign w:val="bottom"/>
            <w:vMerge w:val="continue"/>
            <w:shd w:val="clear" w:color="auto" w:fill="D8D8D8"/>
          </w:tcPr>
          <w:p>
            <w:pPr>
              <w:spacing w:after="0"/>
              <w:rPr>
                <w:sz w:val="16"/>
                <w:szCs w:val="16"/>
                <w:color w:val="auto"/>
              </w:rPr>
            </w:pPr>
          </w:p>
        </w:tc>
        <w:tc>
          <w:tcPr>
            <w:tcW w:w="220" w:type="dxa"/>
            <w:vAlign w:val="bottom"/>
            <w:shd w:val="clear" w:color="auto" w:fill="D8D8D8"/>
          </w:tcPr>
          <w:p>
            <w:pPr>
              <w:spacing w:after="0"/>
              <w:rPr>
                <w:sz w:val="16"/>
                <w:szCs w:val="16"/>
                <w:color w:val="auto"/>
              </w:rPr>
            </w:pPr>
          </w:p>
        </w:tc>
        <w:tc>
          <w:tcPr>
            <w:tcW w:w="580" w:type="dxa"/>
            <w:vAlign w:val="bottom"/>
            <w:vMerge w:val="continue"/>
            <w:shd w:val="clear" w:color="auto" w:fill="D8D8D8"/>
          </w:tcPr>
          <w:p>
            <w:pPr>
              <w:spacing w:after="0"/>
              <w:rPr>
                <w:sz w:val="16"/>
                <w:szCs w:val="16"/>
                <w:color w:val="auto"/>
              </w:rPr>
            </w:pPr>
          </w:p>
        </w:tc>
        <w:tc>
          <w:tcPr>
            <w:tcW w:w="240" w:type="dxa"/>
            <w:vAlign w:val="bottom"/>
            <w:shd w:val="clear" w:color="auto" w:fill="D8D8D8"/>
          </w:tcPr>
          <w:p>
            <w:pPr>
              <w:spacing w:after="0"/>
              <w:rPr>
                <w:sz w:val="16"/>
                <w:szCs w:val="16"/>
                <w:color w:val="auto"/>
              </w:rPr>
            </w:pPr>
          </w:p>
        </w:tc>
        <w:tc>
          <w:tcPr>
            <w:tcW w:w="740" w:type="dxa"/>
            <w:vAlign w:val="bottom"/>
            <w:vMerge w:val="continue"/>
            <w:shd w:val="clear" w:color="auto" w:fill="D8D8D8"/>
          </w:tcPr>
          <w:p>
            <w:pPr>
              <w:spacing w:after="0"/>
              <w:rPr>
                <w:sz w:val="16"/>
                <w:szCs w:val="16"/>
                <w:color w:val="auto"/>
              </w:rPr>
            </w:pPr>
          </w:p>
        </w:tc>
        <w:tc>
          <w:tcPr>
            <w:tcW w:w="240" w:type="dxa"/>
            <w:vAlign w:val="bottom"/>
            <w:shd w:val="clear" w:color="auto" w:fill="D8D8D8"/>
          </w:tcPr>
          <w:p>
            <w:pPr>
              <w:spacing w:after="0"/>
              <w:rPr>
                <w:sz w:val="16"/>
                <w:szCs w:val="16"/>
                <w:color w:val="auto"/>
              </w:rPr>
            </w:pPr>
          </w:p>
        </w:tc>
        <w:tc>
          <w:tcPr>
            <w:tcW w:w="800" w:type="dxa"/>
            <w:vAlign w:val="bottom"/>
            <w:shd w:val="clear" w:color="auto" w:fill="D8D8D8"/>
          </w:tcPr>
          <w:p>
            <w:pPr>
              <w:spacing w:after="0"/>
              <w:rPr>
                <w:sz w:val="16"/>
                <w:szCs w:val="16"/>
                <w:color w:val="auto"/>
              </w:rPr>
            </w:pPr>
          </w:p>
        </w:tc>
        <w:tc>
          <w:tcPr>
            <w:tcW w:w="200" w:type="dxa"/>
            <w:vAlign w:val="bottom"/>
            <w:shd w:val="clear" w:color="auto" w:fill="D8D8D8"/>
          </w:tcPr>
          <w:p>
            <w:pPr>
              <w:spacing w:after="0"/>
              <w:rPr>
                <w:sz w:val="16"/>
                <w:szCs w:val="16"/>
                <w:color w:val="auto"/>
              </w:rPr>
            </w:pPr>
          </w:p>
        </w:tc>
        <w:tc>
          <w:tcPr>
            <w:tcW w:w="1240" w:type="dxa"/>
            <w:vAlign w:val="bottom"/>
            <w:shd w:val="clear" w:color="auto" w:fill="D8D8D8"/>
          </w:tcPr>
          <w:p>
            <w:pPr>
              <w:spacing w:after="0"/>
              <w:rPr>
                <w:sz w:val="16"/>
                <w:szCs w:val="16"/>
                <w:color w:val="auto"/>
              </w:rPr>
            </w:pPr>
          </w:p>
        </w:tc>
        <w:tc>
          <w:tcPr>
            <w:tcW w:w="820" w:type="dxa"/>
            <w:vAlign w:val="bottom"/>
            <w:vMerge w:val="continue"/>
            <w:shd w:val="clear" w:color="auto" w:fill="D8D8D8"/>
          </w:tcPr>
          <w:p>
            <w:pPr>
              <w:spacing w:after="0"/>
              <w:rPr>
                <w:sz w:val="16"/>
                <w:szCs w:val="16"/>
                <w:color w:val="auto"/>
              </w:rPr>
            </w:pPr>
          </w:p>
        </w:tc>
        <w:tc>
          <w:tcPr>
            <w:tcW w:w="200" w:type="dxa"/>
            <w:vAlign w:val="bottom"/>
            <w:shd w:val="clear" w:color="auto" w:fill="D8D8D8"/>
          </w:tcPr>
          <w:p>
            <w:pPr>
              <w:spacing w:after="0"/>
              <w:rPr>
                <w:sz w:val="16"/>
                <w:szCs w:val="16"/>
                <w:color w:val="auto"/>
              </w:rPr>
            </w:pPr>
          </w:p>
        </w:tc>
        <w:tc>
          <w:tcPr>
            <w:tcW w:w="640" w:type="dxa"/>
            <w:vAlign w:val="bottom"/>
            <w:vMerge w:val="continue"/>
            <w:shd w:val="clear" w:color="auto" w:fill="D8D8D8"/>
          </w:tcPr>
          <w:p>
            <w:pPr>
              <w:spacing w:after="0"/>
              <w:rPr>
                <w:sz w:val="16"/>
                <w:szCs w:val="16"/>
                <w:color w:val="auto"/>
              </w:rPr>
            </w:pPr>
          </w:p>
        </w:tc>
        <w:tc>
          <w:tcPr>
            <w:tcW w:w="240" w:type="dxa"/>
            <w:vAlign w:val="bottom"/>
            <w:shd w:val="clear" w:color="auto" w:fill="D8D8D8"/>
          </w:tcPr>
          <w:p>
            <w:pPr>
              <w:spacing w:after="0"/>
              <w:rPr>
                <w:sz w:val="16"/>
                <w:szCs w:val="16"/>
                <w:color w:val="auto"/>
              </w:rPr>
            </w:pPr>
          </w:p>
        </w:tc>
        <w:tc>
          <w:tcPr>
            <w:tcW w:w="700" w:type="dxa"/>
            <w:vAlign w:val="bottom"/>
            <w:shd w:val="clear" w:color="auto" w:fill="D8D8D8"/>
          </w:tcPr>
          <w:p>
            <w:pPr>
              <w:spacing w:after="0"/>
              <w:rPr>
                <w:sz w:val="16"/>
                <w:szCs w:val="16"/>
                <w:color w:val="auto"/>
              </w:rPr>
            </w:pPr>
          </w:p>
        </w:tc>
        <w:tc>
          <w:tcPr>
            <w:tcW w:w="180" w:type="dxa"/>
            <w:vAlign w:val="bottom"/>
            <w:shd w:val="clear" w:color="auto" w:fill="D8D8D8"/>
          </w:tcPr>
          <w:p>
            <w:pPr>
              <w:spacing w:after="0"/>
              <w:rPr>
                <w:sz w:val="16"/>
                <w:szCs w:val="16"/>
                <w:color w:val="auto"/>
              </w:rPr>
            </w:pPr>
          </w:p>
        </w:tc>
        <w:tc>
          <w:tcPr>
            <w:tcW w:w="900" w:type="dxa"/>
            <w:vAlign w:val="bottom"/>
            <w:vMerge w:val="continue"/>
            <w:shd w:val="clear" w:color="auto" w:fill="D8D8D8"/>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520" w:type="dxa"/>
            <w:vAlign w:val="bottom"/>
            <w:tcBorders>
              <w:bottom w:val="single" w:sz="8" w:color="D8D8D8"/>
            </w:tcBorders>
          </w:tcPr>
          <w:p>
            <w:pPr>
              <w:ind w:left="40"/>
              <w:spacing w:after="0"/>
              <w:rPr>
                <w:sz w:val="20"/>
                <w:szCs w:val="20"/>
                <w:color w:val="auto"/>
              </w:rPr>
            </w:pPr>
            <w:r>
              <w:rPr>
                <w:rFonts w:ascii="Arial" w:cs="Arial" w:eastAsia="Arial" w:hAnsi="Arial"/>
                <w:sz w:val="13"/>
                <w:szCs w:val="13"/>
                <w:color w:val="auto"/>
              </w:rPr>
              <w:t>Stock-based compensation</w:t>
            </w:r>
          </w:p>
        </w:tc>
        <w:tc>
          <w:tcPr>
            <w:tcW w:w="96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99"/>
              <w:spacing w:after="0"/>
              <w:rPr>
                <w:sz w:val="20"/>
                <w:szCs w:val="20"/>
                <w:color w:val="auto"/>
              </w:rPr>
            </w:pPr>
            <w:r>
              <w:rPr>
                <w:rFonts w:ascii="Arial" w:cs="Arial" w:eastAsia="Arial" w:hAnsi="Arial"/>
                <w:sz w:val="13"/>
                <w:szCs w:val="13"/>
                <w:color w:val="auto"/>
              </w:rPr>
              <w:t>144.9</w:t>
            </w: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8"/>
              <w:spacing w:after="0"/>
              <w:rPr>
                <w:sz w:val="20"/>
                <w:szCs w:val="20"/>
                <w:color w:val="auto"/>
              </w:rPr>
            </w:pPr>
            <w:r>
              <w:rPr>
                <w:rFonts w:ascii="Arial" w:cs="Arial" w:eastAsia="Arial" w:hAnsi="Arial"/>
                <w:sz w:val="13"/>
                <w:szCs w:val="13"/>
                <w:color w:val="auto"/>
              </w:rPr>
              <w:t>144.9</w:t>
            </w:r>
          </w:p>
        </w:tc>
        <w:tc>
          <w:tcPr>
            <w:tcW w:w="0" w:type="dxa"/>
            <w:vAlign w:val="bottom"/>
          </w:tcPr>
          <w:p>
            <w:pPr>
              <w:spacing w:after="0"/>
              <w:rPr>
                <w:sz w:val="1"/>
                <w:szCs w:val="1"/>
                <w:color w:val="auto"/>
              </w:rPr>
            </w:pPr>
          </w:p>
        </w:tc>
      </w:tr>
      <w:tr>
        <w:trPr>
          <w:trHeight w:val="270"/>
        </w:trPr>
        <w:tc>
          <w:tcPr>
            <w:tcW w:w="2520" w:type="dxa"/>
            <w:vAlign w:val="bottom"/>
            <w:shd w:val="clear" w:color="auto" w:fill="D8D8D8"/>
          </w:tcPr>
          <w:p>
            <w:pPr>
              <w:ind w:left="40"/>
              <w:spacing w:after="0"/>
              <w:rPr>
                <w:sz w:val="20"/>
                <w:szCs w:val="20"/>
                <w:color w:val="auto"/>
              </w:rPr>
            </w:pPr>
            <w:r>
              <w:rPr>
                <w:rFonts w:ascii="Arial" w:cs="Arial" w:eastAsia="Arial" w:hAnsi="Arial"/>
                <w:sz w:val="13"/>
                <w:szCs w:val="13"/>
                <w:color w:val="auto"/>
              </w:rPr>
              <w:t>Balance at December 31, 2013</w:t>
            </w:r>
          </w:p>
        </w:tc>
        <w:tc>
          <w:tcPr>
            <w:tcW w:w="960" w:type="dxa"/>
            <w:vAlign w:val="bottom"/>
            <w:shd w:val="clear" w:color="auto" w:fill="D8D8D8"/>
          </w:tcPr>
          <w:p>
            <w:pPr>
              <w:jc w:val="right"/>
              <w:ind w:right="78"/>
              <w:spacing w:after="0"/>
              <w:rPr>
                <w:sz w:val="20"/>
                <w:szCs w:val="20"/>
                <w:color w:val="auto"/>
              </w:rPr>
            </w:pPr>
            <w:r>
              <w:rPr>
                <w:rFonts w:ascii="Arial" w:cs="Arial" w:eastAsia="Arial" w:hAnsi="Arial"/>
                <w:sz w:val="13"/>
                <w:szCs w:val="13"/>
                <w:color w:val="auto"/>
              </w:rPr>
              <w:t>1,117,628</w:t>
            </w:r>
          </w:p>
        </w:tc>
        <w:tc>
          <w:tcPr>
            <w:tcW w:w="220" w:type="dxa"/>
            <w:vAlign w:val="bottom"/>
            <w:shd w:val="clear" w:color="auto" w:fill="D8D8D8"/>
          </w:tcPr>
          <w:p>
            <w:pPr>
              <w:spacing w:after="0"/>
              <w:rPr>
                <w:sz w:val="23"/>
                <w:szCs w:val="23"/>
                <w:color w:val="auto"/>
              </w:rPr>
            </w:pPr>
          </w:p>
        </w:tc>
        <w:tc>
          <w:tcPr>
            <w:tcW w:w="580" w:type="dxa"/>
            <w:vAlign w:val="bottom"/>
            <w:shd w:val="clear" w:color="auto" w:fill="D8D8D8"/>
          </w:tcPr>
          <w:p>
            <w:pPr>
              <w:jc w:val="right"/>
              <w:ind w:right="58"/>
              <w:spacing w:after="0"/>
              <w:rPr>
                <w:sz w:val="20"/>
                <w:szCs w:val="20"/>
                <w:color w:val="auto"/>
              </w:rPr>
            </w:pPr>
            <w:r>
              <w:rPr>
                <w:rFonts w:ascii="Arial" w:cs="Arial" w:eastAsia="Arial" w:hAnsi="Arial"/>
                <w:sz w:val="13"/>
                <w:szCs w:val="13"/>
                <w:color w:val="auto"/>
              </w:rPr>
              <w:t>698.5</w:t>
            </w:r>
          </w:p>
        </w:tc>
        <w:tc>
          <w:tcPr>
            <w:tcW w:w="240" w:type="dxa"/>
            <w:vAlign w:val="bottom"/>
            <w:shd w:val="clear" w:color="auto" w:fill="D8D8D8"/>
          </w:tcPr>
          <w:p>
            <w:pPr>
              <w:spacing w:after="0"/>
              <w:rPr>
                <w:sz w:val="23"/>
                <w:szCs w:val="23"/>
                <w:color w:val="auto"/>
              </w:rPr>
            </w:pPr>
          </w:p>
        </w:tc>
        <w:tc>
          <w:tcPr>
            <w:tcW w:w="740" w:type="dxa"/>
            <w:vAlign w:val="bottom"/>
            <w:shd w:val="clear" w:color="auto" w:fill="D8D8D8"/>
          </w:tcPr>
          <w:p>
            <w:pPr>
              <w:jc w:val="right"/>
              <w:ind w:right="99"/>
              <w:spacing w:after="0"/>
              <w:rPr>
                <w:sz w:val="20"/>
                <w:szCs w:val="20"/>
                <w:color w:val="auto"/>
              </w:rPr>
            </w:pPr>
            <w:r>
              <w:rPr>
                <w:rFonts w:ascii="Arial" w:cs="Arial" w:eastAsia="Arial" w:hAnsi="Arial"/>
                <w:sz w:val="13"/>
                <w:szCs w:val="13"/>
                <w:color w:val="auto"/>
              </w:rPr>
              <w:t>5,050.0</w:t>
            </w:r>
          </w:p>
        </w:tc>
        <w:tc>
          <w:tcPr>
            <w:tcW w:w="240" w:type="dxa"/>
            <w:vAlign w:val="bottom"/>
            <w:shd w:val="clear" w:color="auto" w:fill="D8D8D8"/>
          </w:tcPr>
          <w:p>
            <w:pPr>
              <w:spacing w:after="0"/>
              <w:rPr>
                <w:sz w:val="23"/>
                <w:szCs w:val="23"/>
                <w:color w:val="auto"/>
              </w:rPr>
            </w:pPr>
          </w:p>
        </w:tc>
        <w:tc>
          <w:tcPr>
            <w:tcW w:w="800" w:type="dxa"/>
            <w:vAlign w:val="bottom"/>
            <w:shd w:val="clear" w:color="auto" w:fill="D8D8D8"/>
          </w:tcPr>
          <w:p>
            <w:pPr>
              <w:jc w:val="right"/>
              <w:ind w:right="78"/>
              <w:spacing w:after="0"/>
              <w:rPr>
                <w:sz w:val="20"/>
                <w:szCs w:val="20"/>
                <w:color w:val="auto"/>
              </w:rPr>
            </w:pPr>
            <w:r>
              <w:rPr>
                <w:rFonts w:ascii="Arial" w:cs="Arial" w:eastAsia="Arial" w:hAnsi="Arial"/>
                <w:sz w:val="13"/>
                <w:szCs w:val="13"/>
                <w:color w:val="auto"/>
              </w:rPr>
              <w:t>16,992.4</w:t>
            </w:r>
          </w:p>
        </w:tc>
        <w:tc>
          <w:tcPr>
            <w:tcW w:w="200" w:type="dxa"/>
            <w:vAlign w:val="bottom"/>
            <w:shd w:val="clear" w:color="auto" w:fill="D8D8D8"/>
          </w:tcPr>
          <w:p>
            <w:pPr>
              <w:spacing w:after="0"/>
              <w:rPr>
                <w:sz w:val="23"/>
                <w:szCs w:val="23"/>
                <w:color w:val="auto"/>
              </w:rPr>
            </w:pPr>
          </w:p>
        </w:tc>
        <w:tc>
          <w:tcPr>
            <w:tcW w:w="1240" w:type="dxa"/>
            <w:vAlign w:val="bottom"/>
            <w:shd w:val="clear" w:color="auto" w:fill="D8D8D8"/>
          </w:tcPr>
          <w:p>
            <w:pPr>
              <w:jc w:val="right"/>
              <w:ind w:right="118"/>
              <w:spacing w:after="0"/>
              <w:rPr>
                <w:sz w:val="20"/>
                <w:szCs w:val="20"/>
                <w:color w:val="auto"/>
              </w:rPr>
            </w:pPr>
            <w:r>
              <w:rPr>
                <w:rFonts w:ascii="Arial" w:cs="Arial" w:eastAsia="Arial" w:hAnsi="Arial"/>
                <w:sz w:val="13"/>
                <w:szCs w:val="13"/>
                <w:color w:val="auto"/>
              </w:rPr>
              <w:t>(2,002.7)</w:t>
            </w:r>
          </w:p>
        </w:tc>
        <w:tc>
          <w:tcPr>
            <w:tcW w:w="820" w:type="dxa"/>
            <w:vAlign w:val="bottom"/>
            <w:shd w:val="clear" w:color="auto" w:fill="D8D8D8"/>
          </w:tcPr>
          <w:p>
            <w:pPr>
              <w:jc w:val="right"/>
              <w:ind w:right="98"/>
              <w:spacing w:after="0"/>
              <w:rPr>
                <w:sz w:val="20"/>
                <w:szCs w:val="20"/>
                <w:color w:val="auto"/>
              </w:rPr>
            </w:pPr>
            <w:r>
              <w:rPr>
                <w:rFonts w:ascii="Arial" w:cs="Arial" w:eastAsia="Arial" w:hAnsi="Arial"/>
                <w:sz w:val="13"/>
                <w:szCs w:val="13"/>
                <w:color w:val="auto"/>
              </w:rPr>
              <w:t>833</w:t>
            </w:r>
          </w:p>
        </w:tc>
        <w:tc>
          <w:tcPr>
            <w:tcW w:w="200" w:type="dxa"/>
            <w:vAlign w:val="bottom"/>
            <w:shd w:val="clear" w:color="auto" w:fill="D8D8D8"/>
          </w:tcPr>
          <w:p>
            <w:pPr>
              <w:spacing w:after="0"/>
              <w:rPr>
                <w:sz w:val="23"/>
                <w:szCs w:val="23"/>
                <w:color w:val="auto"/>
              </w:rPr>
            </w:pPr>
          </w:p>
        </w:tc>
        <w:tc>
          <w:tcPr>
            <w:tcW w:w="640" w:type="dxa"/>
            <w:vAlign w:val="bottom"/>
            <w:shd w:val="clear" w:color="auto" w:fill="D8D8D8"/>
          </w:tcPr>
          <w:p>
            <w:pPr>
              <w:jc w:val="right"/>
              <w:spacing w:after="0"/>
              <w:rPr>
                <w:sz w:val="20"/>
                <w:szCs w:val="20"/>
                <w:color w:val="auto"/>
              </w:rPr>
            </w:pPr>
            <w:r>
              <w:rPr>
                <w:rFonts w:ascii="Arial" w:cs="Arial" w:eastAsia="Arial" w:hAnsi="Arial"/>
                <w:sz w:val="13"/>
                <w:szCs w:val="13"/>
                <w:color w:val="auto"/>
              </w:rPr>
              <w:t>(93.6)</w:t>
            </w:r>
          </w:p>
        </w:tc>
        <w:tc>
          <w:tcPr>
            <w:tcW w:w="240" w:type="dxa"/>
            <w:vAlign w:val="bottom"/>
            <w:shd w:val="clear" w:color="auto" w:fill="D8D8D8"/>
          </w:tcPr>
          <w:p>
            <w:pPr>
              <w:spacing w:after="0"/>
              <w:rPr>
                <w:sz w:val="23"/>
                <w:szCs w:val="23"/>
                <w:color w:val="auto"/>
              </w:rPr>
            </w:pPr>
          </w:p>
        </w:tc>
        <w:tc>
          <w:tcPr>
            <w:tcW w:w="700" w:type="dxa"/>
            <w:vAlign w:val="bottom"/>
            <w:shd w:val="clear" w:color="auto" w:fill="D8D8D8"/>
          </w:tcPr>
          <w:p>
            <w:pPr>
              <w:jc w:val="right"/>
              <w:ind w:right="39"/>
              <w:spacing w:after="0"/>
              <w:rPr>
                <w:sz w:val="20"/>
                <w:szCs w:val="20"/>
                <w:color w:val="auto"/>
              </w:rPr>
            </w:pPr>
            <w:r>
              <w:rPr>
                <w:rFonts w:ascii="Arial" w:cs="Arial" w:eastAsia="Arial" w:hAnsi="Arial"/>
                <w:sz w:val="13"/>
                <w:szCs w:val="13"/>
                <w:color w:val="auto"/>
              </w:rPr>
              <w:t>(3,013.2)</w:t>
            </w:r>
          </w:p>
        </w:tc>
        <w:tc>
          <w:tcPr>
            <w:tcW w:w="180" w:type="dxa"/>
            <w:vAlign w:val="bottom"/>
            <w:shd w:val="clear" w:color="auto" w:fill="D8D8D8"/>
          </w:tcPr>
          <w:p>
            <w:pPr>
              <w:spacing w:after="0"/>
              <w:rPr>
                <w:sz w:val="23"/>
                <w:szCs w:val="23"/>
                <w:color w:val="auto"/>
              </w:rPr>
            </w:pPr>
          </w:p>
        </w:tc>
        <w:tc>
          <w:tcPr>
            <w:tcW w:w="900" w:type="dxa"/>
            <w:vAlign w:val="bottom"/>
            <w:shd w:val="clear" w:color="auto" w:fill="D8D8D8"/>
          </w:tcPr>
          <w:p>
            <w:pPr>
              <w:jc w:val="right"/>
              <w:ind w:right="38"/>
              <w:spacing w:after="0"/>
              <w:rPr>
                <w:sz w:val="20"/>
                <w:szCs w:val="20"/>
                <w:color w:val="auto"/>
              </w:rPr>
            </w:pPr>
            <w:r>
              <w:rPr>
                <w:rFonts w:ascii="Arial" w:cs="Arial" w:eastAsia="Arial" w:hAnsi="Arial"/>
                <w:sz w:val="13"/>
                <w:szCs w:val="13"/>
                <w:color w:val="auto"/>
              </w:rPr>
              <w:t>17,631.4</w:t>
            </w:r>
          </w:p>
        </w:tc>
        <w:tc>
          <w:tcPr>
            <w:tcW w:w="0" w:type="dxa"/>
            <w:vAlign w:val="bottom"/>
          </w:tcPr>
          <w:p>
            <w:pPr>
              <w:spacing w:after="0"/>
              <w:rPr>
                <w:sz w:val="1"/>
                <w:szCs w:val="1"/>
                <w:color w:val="auto"/>
              </w:rPr>
            </w:pPr>
          </w:p>
        </w:tc>
      </w:tr>
      <w:tr>
        <w:trPr>
          <w:trHeight w:val="263"/>
        </w:trPr>
        <w:tc>
          <w:tcPr>
            <w:tcW w:w="2520" w:type="dxa"/>
            <w:vAlign w:val="bottom"/>
          </w:tcPr>
          <w:p>
            <w:pPr>
              <w:ind w:left="40"/>
              <w:spacing w:after="0"/>
              <w:rPr>
                <w:sz w:val="20"/>
                <w:szCs w:val="20"/>
                <w:color w:val="auto"/>
              </w:rPr>
            </w:pPr>
            <w:r>
              <w:rPr>
                <w:rFonts w:ascii="Arial" w:cs="Arial" w:eastAsia="Arial" w:hAnsi="Arial"/>
                <w:sz w:val="13"/>
                <w:szCs w:val="13"/>
                <w:color w:val="auto"/>
              </w:rPr>
              <w:t>Net income</w:t>
            </w:r>
          </w:p>
        </w:tc>
        <w:tc>
          <w:tcPr>
            <w:tcW w:w="9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right"/>
              <w:ind w:right="78"/>
              <w:spacing w:after="0"/>
              <w:rPr>
                <w:sz w:val="20"/>
                <w:szCs w:val="20"/>
                <w:color w:val="auto"/>
              </w:rPr>
            </w:pPr>
            <w:r>
              <w:rPr>
                <w:rFonts w:ascii="Arial" w:cs="Arial" w:eastAsia="Arial" w:hAnsi="Arial"/>
                <w:sz w:val="13"/>
                <w:szCs w:val="13"/>
                <w:color w:val="auto"/>
              </w:rPr>
              <w:t>2,390.5</w:t>
            </w:r>
          </w:p>
        </w:tc>
        <w:tc>
          <w:tcPr>
            <w:tcW w:w="2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jc w:val="right"/>
              <w:ind w:right="38"/>
              <w:spacing w:after="0"/>
              <w:rPr>
                <w:sz w:val="20"/>
                <w:szCs w:val="20"/>
                <w:color w:val="auto"/>
              </w:rPr>
            </w:pPr>
            <w:r>
              <w:rPr>
                <w:rFonts w:ascii="Arial" w:cs="Arial" w:eastAsia="Arial" w:hAnsi="Arial"/>
                <w:sz w:val="13"/>
                <w:szCs w:val="13"/>
                <w:color w:val="auto"/>
              </w:rPr>
              <w:t>2,390.5</w:t>
            </w:r>
          </w:p>
        </w:tc>
        <w:tc>
          <w:tcPr>
            <w:tcW w:w="0" w:type="dxa"/>
            <w:vAlign w:val="bottom"/>
          </w:tcPr>
          <w:p>
            <w:pPr>
              <w:spacing w:after="0"/>
              <w:rPr>
                <w:sz w:val="1"/>
                <w:szCs w:val="1"/>
                <w:color w:val="auto"/>
              </w:rPr>
            </w:pPr>
          </w:p>
        </w:tc>
      </w:tr>
      <w:tr>
        <w:trPr>
          <w:trHeight w:val="147"/>
        </w:trPr>
        <w:tc>
          <w:tcPr>
            <w:tcW w:w="2520" w:type="dxa"/>
            <w:vAlign w:val="bottom"/>
            <w:shd w:val="clear" w:color="auto" w:fill="D8D8D8"/>
          </w:tcPr>
          <w:p>
            <w:pPr>
              <w:ind w:left="40"/>
              <w:spacing w:after="0" w:line="148" w:lineRule="exact"/>
              <w:rPr>
                <w:sz w:val="20"/>
                <w:szCs w:val="20"/>
                <w:color w:val="auto"/>
              </w:rPr>
            </w:pPr>
            <w:r>
              <w:rPr>
                <w:rFonts w:ascii="Arial" w:cs="Arial" w:eastAsia="Arial" w:hAnsi="Arial"/>
                <w:sz w:val="13"/>
                <w:szCs w:val="13"/>
                <w:color w:val="auto"/>
              </w:rPr>
              <w:t>Other comprehensive income (loss), net of</w:t>
            </w:r>
          </w:p>
        </w:tc>
        <w:tc>
          <w:tcPr>
            <w:tcW w:w="960" w:type="dxa"/>
            <w:vAlign w:val="bottom"/>
            <w:shd w:val="clear" w:color="auto" w:fill="D8D8D8"/>
          </w:tcPr>
          <w:p>
            <w:pPr>
              <w:spacing w:after="0"/>
              <w:rPr>
                <w:sz w:val="12"/>
                <w:szCs w:val="12"/>
                <w:color w:val="auto"/>
              </w:rPr>
            </w:pPr>
          </w:p>
        </w:tc>
        <w:tc>
          <w:tcPr>
            <w:tcW w:w="220" w:type="dxa"/>
            <w:vAlign w:val="bottom"/>
            <w:shd w:val="clear" w:color="auto" w:fill="D8D8D8"/>
          </w:tcPr>
          <w:p>
            <w:pPr>
              <w:spacing w:after="0"/>
              <w:rPr>
                <w:sz w:val="12"/>
                <w:szCs w:val="12"/>
                <w:color w:val="auto"/>
              </w:rPr>
            </w:pPr>
          </w:p>
        </w:tc>
        <w:tc>
          <w:tcPr>
            <w:tcW w:w="580" w:type="dxa"/>
            <w:vAlign w:val="bottom"/>
            <w:shd w:val="clear" w:color="auto" w:fill="D8D8D8"/>
          </w:tcPr>
          <w:p>
            <w:pPr>
              <w:spacing w:after="0"/>
              <w:rPr>
                <w:sz w:val="12"/>
                <w:szCs w:val="12"/>
                <w:color w:val="auto"/>
              </w:rPr>
            </w:pPr>
          </w:p>
        </w:tc>
        <w:tc>
          <w:tcPr>
            <w:tcW w:w="240" w:type="dxa"/>
            <w:vAlign w:val="bottom"/>
            <w:shd w:val="clear" w:color="auto" w:fill="D8D8D8"/>
          </w:tcPr>
          <w:p>
            <w:pPr>
              <w:spacing w:after="0"/>
              <w:rPr>
                <w:sz w:val="12"/>
                <w:szCs w:val="12"/>
                <w:color w:val="auto"/>
              </w:rPr>
            </w:pPr>
          </w:p>
        </w:tc>
        <w:tc>
          <w:tcPr>
            <w:tcW w:w="740" w:type="dxa"/>
            <w:vAlign w:val="bottom"/>
            <w:shd w:val="clear" w:color="auto" w:fill="D8D8D8"/>
          </w:tcPr>
          <w:p>
            <w:pPr>
              <w:spacing w:after="0"/>
              <w:rPr>
                <w:sz w:val="12"/>
                <w:szCs w:val="12"/>
                <w:color w:val="auto"/>
              </w:rPr>
            </w:pPr>
          </w:p>
        </w:tc>
        <w:tc>
          <w:tcPr>
            <w:tcW w:w="240" w:type="dxa"/>
            <w:vAlign w:val="bottom"/>
            <w:shd w:val="clear" w:color="auto" w:fill="D8D8D8"/>
          </w:tcPr>
          <w:p>
            <w:pPr>
              <w:spacing w:after="0"/>
              <w:rPr>
                <w:sz w:val="12"/>
                <w:szCs w:val="12"/>
                <w:color w:val="auto"/>
              </w:rPr>
            </w:pPr>
          </w:p>
        </w:tc>
        <w:tc>
          <w:tcPr>
            <w:tcW w:w="800" w:type="dxa"/>
            <w:vAlign w:val="bottom"/>
            <w:shd w:val="clear" w:color="auto" w:fill="D8D8D8"/>
          </w:tcPr>
          <w:p>
            <w:pPr>
              <w:spacing w:after="0"/>
              <w:rPr>
                <w:sz w:val="12"/>
                <w:szCs w:val="12"/>
                <w:color w:val="auto"/>
              </w:rPr>
            </w:pPr>
          </w:p>
        </w:tc>
        <w:tc>
          <w:tcPr>
            <w:tcW w:w="200" w:type="dxa"/>
            <w:vAlign w:val="bottom"/>
            <w:shd w:val="clear" w:color="auto" w:fill="D8D8D8"/>
          </w:tcPr>
          <w:p>
            <w:pPr>
              <w:spacing w:after="0"/>
              <w:rPr>
                <w:sz w:val="12"/>
                <w:szCs w:val="12"/>
                <w:color w:val="auto"/>
              </w:rPr>
            </w:pPr>
          </w:p>
        </w:tc>
        <w:tc>
          <w:tcPr>
            <w:tcW w:w="1240" w:type="dxa"/>
            <w:vAlign w:val="bottom"/>
            <w:vMerge w:val="restart"/>
            <w:shd w:val="clear" w:color="auto" w:fill="D8D8D8"/>
          </w:tcPr>
          <w:p>
            <w:pPr>
              <w:jc w:val="right"/>
              <w:ind w:right="118"/>
              <w:spacing w:after="0"/>
              <w:rPr>
                <w:sz w:val="20"/>
                <w:szCs w:val="20"/>
                <w:color w:val="auto"/>
              </w:rPr>
            </w:pPr>
            <w:r>
              <w:rPr>
                <w:rFonts w:ascii="Arial" w:cs="Arial" w:eastAsia="Arial" w:hAnsi="Arial"/>
                <w:sz w:val="13"/>
                <w:szCs w:val="13"/>
                <w:color w:val="auto"/>
              </w:rPr>
              <w:t>(1,989.1)</w:t>
            </w:r>
          </w:p>
        </w:tc>
        <w:tc>
          <w:tcPr>
            <w:tcW w:w="820" w:type="dxa"/>
            <w:vAlign w:val="bottom"/>
            <w:shd w:val="clear" w:color="auto" w:fill="D8D8D8"/>
          </w:tcPr>
          <w:p>
            <w:pPr>
              <w:spacing w:after="0"/>
              <w:rPr>
                <w:sz w:val="12"/>
                <w:szCs w:val="12"/>
                <w:color w:val="auto"/>
              </w:rPr>
            </w:pPr>
          </w:p>
        </w:tc>
        <w:tc>
          <w:tcPr>
            <w:tcW w:w="200" w:type="dxa"/>
            <w:vAlign w:val="bottom"/>
            <w:shd w:val="clear" w:color="auto" w:fill="D8D8D8"/>
          </w:tcPr>
          <w:p>
            <w:pPr>
              <w:spacing w:after="0"/>
              <w:rPr>
                <w:sz w:val="12"/>
                <w:szCs w:val="12"/>
                <w:color w:val="auto"/>
              </w:rPr>
            </w:pPr>
          </w:p>
        </w:tc>
        <w:tc>
          <w:tcPr>
            <w:tcW w:w="640" w:type="dxa"/>
            <w:vAlign w:val="bottom"/>
            <w:shd w:val="clear" w:color="auto" w:fill="D8D8D8"/>
          </w:tcPr>
          <w:p>
            <w:pPr>
              <w:spacing w:after="0"/>
              <w:rPr>
                <w:sz w:val="12"/>
                <w:szCs w:val="12"/>
                <w:color w:val="auto"/>
              </w:rPr>
            </w:pPr>
          </w:p>
        </w:tc>
        <w:tc>
          <w:tcPr>
            <w:tcW w:w="240" w:type="dxa"/>
            <w:vAlign w:val="bottom"/>
            <w:shd w:val="clear" w:color="auto" w:fill="D8D8D8"/>
          </w:tcPr>
          <w:p>
            <w:pPr>
              <w:spacing w:after="0"/>
              <w:rPr>
                <w:sz w:val="12"/>
                <w:szCs w:val="12"/>
                <w:color w:val="auto"/>
              </w:rPr>
            </w:pPr>
          </w:p>
        </w:tc>
        <w:tc>
          <w:tcPr>
            <w:tcW w:w="700" w:type="dxa"/>
            <w:vAlign w:val="bottom"/>
            <w:shd w:val="clear" w:color="auto" w:fill="D8D8D8"/>
          </w:tcPr>
          <w:p>
            <w:pPr>
              <w:spacing w:after="0"/>
              <w:rPr>
                <w:sz w:val="12"/>
                <w:szCs w:val="12"/>
                <w:color w:val="auto"/>
              </w:rPr>
            </w:pPr>
          </w:p>
        </w:tc>
        <w:tc>
          <w:tcPr>
            <w:tcW w:w="180" w:type="dxa"/>
            <w:vAlign w:val="bottom"/>
            <w:shd w:val="clear" w:color="auto" w:fill="D8D8D8"/>
          </w:tcPr>
          <w:p>
            <w:pPr>
              <w:spacing w:after="0"/>
              <w:rPr>
                <w:sz w:val="12"/>
                <w:szCs w:val="12"/>
                <w:color w:val="auto"/>
              </w:rPr>
            </w:pPr>
          </w:p>
        </w:tc>
        <w:tc>
          <w:tcPr>
            <w:tcW w:w="900" w:type="dxa"/>
            <w:vAlign w:val="bottom"/>
            <w:vMerge w:val="restart"/>
            <w:shd w:val="clear" w:color="auto" w:fill="D8D8D8"/>
          </w:tcPr>
          <w:p>
            <w:pPr>
              <w:jc w:val="right"/>
              <w:spacing w:after="0"/>
              <w:rPr>
                <w:sz w:val="20"/>
                <w:szCs w:val="20"/>
                <w:color w:val="auto"/>
              </w:rPr>
            </w:pPr>
            <w:r>
              <w:rPr>
                <w:rFonts w:ascii="Arial" w:cs="Arial" w:eastAsia="Arial" w:hAnsi="Arial"/>
                <w:sz w:val="13"/>
                <w:szCs w:val="13"/>
                <w:color w:val="auto"/>
              </w:rPr>
              <w:t>(1,989.1)</w:t>
            </w:r>
          </w:p>
        </w:tc>
        <w:tc>
          <w:tcPr>
            <w:tcW w:w="0" w:type="dxa"/>
            <w:vAlign w:val="bottom"/>
          </w:tcPr>
          <w:p>
            <w:pPr>
              <w:spacing w:after="0"/>
              <w:rPr>
                <w:sz w:val="1"/>
                <w:szCs w:val="1"/>
                <w:color w:val="auto"/>
              </w:rPr>
            </w:pPr>
          </w:p>
        </w:tc>
      </w:tr>
      <w:tr>
        <w:trPr>
          <w:trHeight w:val="184"/>
        </w:trPr>
        <w:tc>
          <w:tcPr>
            <w:tcW w:w="2520" w:type="dxa"/>
            <w:vAlign w:val="bottom"/>
            <w:shd w:val="clear" w:color="auto" w:fill="D8D8D8"/>
          </w:tcPr>
          <w:p>
            <w:pPr>
              <w:ind w:left="40"/>
              <w:spacing w:after="0"/>
              <w:rPr>
                <w:sz w:val="20"/>
                <w:szCs w:val="20"/>
                <w:color w:val="auto"/>
              </w:rPr>
            </w:pPr>
            <w:r>
              <w:rPr>
                <w:rFonts w:ascii="Arial" w:cs="Arial" w:eastAsia="Arial" w:hAnsi="Arial"/>
                <w:sz w:val="13"/>
                <w:szCs w:val="13"/>
                <w:color w:val="auto"/>
              </w:rPr>
              <w:t>tax</w:t>
            </w:r>
          </w:p>
        </w:tc>
        <w:tc>
          <w:tcPr>
            <w:tcW w:w="960" w:type="dxa"/>
            <w:vAlign w:val="bottom"/>
            <w:shd w:val="clear" w:color="auto" w:fill="D8D8D8"/>
          </w:tcPr>
          <w:p>
            <w:pPr>
              <w:spacing w:after="0"/>
              <w:rPr>
                <w:sz w:val="16"/>
                <w:szCs w:val="16"/>
                <w:color w:val="auto"/>
              </w:rPr>
            </w:pPr>
          </w:p>
        </w:tc>
        <w:tc>
          <w:tcPr>
            <w:tcW w:w="220" w:type="dxa"/>
            <w:vAlign w:val="bottom"/>
            <w:shd w:val="clear" w:color="auto" w:fill="D8D8D8"/>
          </w:tcPr>
          <w:p>
            <w:pPr>
              <w:spacing w:after="0"/>
              <w:rPr>
                <w:sz w:val="16"/>
                <w:szCs w:val="16"/>
                <w:color w:val="auto"/>
              </w:rPr>
            </w:pPr>
          </w:p>
        </w:tc>
        <w:tc>
          <w:tcPr>
            <w:tcW w:w="580" w:type="dxa"/>
            <w:vAlign w:val="bottom"/>
            <w:shd w:val="clear" w:color="auto" w:fill="D8D8D8"/>
          </w:tcPr>
          <w:p>
            <w:pPr>
              <w:spacing w:after="0"/>
              <w:rPr>
                <w:sz w:val="16"/>
                <w:szCs w:val="16"/>
                <w:color w:val="auto"/>
              </w:rPr>
            </w:pPr>
          </w:p>
        </w:tc>
        <w:tc>
          <w:tcPr>
            <w:tcW w:w="240" w:type="dxa"/>
            <w:vAlign w:val="bottom"/>
            <w:shd w:val="clear" w:color="auto" w:fill="D8D8D8"/>
          </w:tcPr>
          <w:p>
            <w:pPr>
              <w:spacing w:after="0"/>
              <w:rPr>
                <w:sz w:val="16"/>
                <w:szCs w:val="16"/>
                <w:color w:val="auto"/>
              </w:rPr>
            </w:pPr>
          </w:p>
        </w:tc>
        <w:tc>
          <w:tcPr>
            <w:tcW w:w="740" w:type="dxa"/>
            <w:vAlign w:val="bottom"/>
            <w:shd w:val="clear" w:color="auto" w:fill="D8D8D8"/>
          </w:tcPr>
          <w:p>
            <w:pPr>
              <w:spacing w:after="0"/>
              <w:rPr>
                <w:sz w:val="16"/>
                <w:szCs w:val="16"/>
                <w:color w:val="auto"/>
              </w:rPr>
            </w:pPr>
          </w:p>
        </w:tc>
        <w:tc>
          <w:tcPr>
            <w:tcW w:w="240" w:type="dxa"/>
            <w:vAlign w:val="bottom"/>
            <w:shd w:val="clear" w:color="auto" w:fill="D8D8D8"/>
          </w:tcPr>
          <w:p>
            <w:pPr>
              <w:spacing w:after="0"/>
              <w:rPr>
                <w:sz w:val="16"/>
                <w:szCs w:val="16"/>
                <w:color w:val="auto"/>
              </w:rPr>
            </w:pPr>
          </w:p>
        </w:tc>
        <w:tc>
          <w:tcPr>
            <w:tcW w:w="800" w:type="dxa"/>
            <w:vAlign w:val="bottom"/>
            <w:shd w:val="clear" w:color="auto" w:fill="D8D8D8"/>
          </w:tcPr>
          <w:p>
            <w:pPr>
              <w:spacing w:after="0"/>
              <w:rPr>
                <w:sz w:val="16"/>
                <w:szCs w:val="16"/>
                <w:color w:val="auto"/>
              </w:rPr>
            </w:pPr>
          </w:p>
        </w:tc>
        <w:tc>
          <w:tcPr>
            <w:tcW w:w="200" w:type="dxa"/>
            <w:vAlign w:val="bottom"/>
            <w:shd w:val="clear" w:color="auto" w:fill="D8D8D8"/>
          </w:tcPr>
          <w:p>
            <w:pPr>
              <w:spacing w:after="0"/>
              <w:rPr>
                <w:sz w:val="16"/>
                <w:szCs w:val="16"/>
                <w:color w:val="auto"/>
              </w:rPr>
            </w:pPr>
          </w:p>
        </w:tc>
        <w:tc>
          <w:tcPr>
            <w:tcW w:w="1240" w:type="dxa"/>
            <w:vAlign w:val="bottom"/>
            <w:vMerge w:val="continue"/>
            <w:shd w:val="clear" w:color="auto" w:fill="D8D8D8"/>
          </w:tcPr>
          <w:p>
            <w:pPr>
              <w:spacing w:after="0"/>
              <w:rPr>
                <w:sz w:val="16"/>
                <w:szCs w:val="16"/>
                <w:color w:val="auto"/>
              </w:rPr>
            </w:pPr>
          </w:p>
        </w:tc>
        <w:tc>
          <w:tcPr>
            <w:tcW w:w="820" w:type="dxa"/>
            <w:vAlign w:val="bottom"/>
            <w:shd w:val="clear" w:color="auto" w:fill="D8D8D8"/>
          </w:tcPr>
          <w:p>
            <w:pPr>
              <w:spacing w:after="0"/>
              <w:rPr>
                <w:sz w:val="16"/>
                <w:szCs w:val="16"/>
                <w:color w:val="auto"/>
              </w:rPr>
            </w:pPr>
          </w:p>
        </w:tc>
        <w:tc>
          <w:tcPr>
            <w:tcW w:w="200" w:type="dxa"/>
            <w:vAlign w:val="bottom"/>
            <w:shd w:val="clear" w:color="auto" w:fill="D8D8D8"/>
          </w:tcPr>
          <w:p>
            <w:pPr>
              <w:spacing w:after="0"/>
              <w:rPr>
                <w:sz w:val="16"/>
                <w:szCs w:val="16"/>
                <w:color w:val="auto"/>
              </w:rPr>
            </w:pPr>
          </w:p>
        </w:tc>
        <w:tc>
          <w:tcPr>
            <w:tcW w:w="640" w:type="dxa"/>
            <w:vAlign w:val="bottom"/>
            <w:shd w:val="clear" w:color="auto" w:fill="D8D8D8"/>
          </w:tcPr>
          <w:p>
            <w:pPr>
              <w:spacing w:after="0"/>
              <w:rPr>
                <w:sz w:val="16"/>
                <w:szCs w:val="16"/>
                <w:color w:val="auto"/>
              </w:rPr>
            </w:pPr>
          </w:p>
        </w:tc>
        <w:tc>
          <w:tcPr>
            <w:tcW w:w="240" w:type="dxa"/>
            <w:vAlign w:val="bottom"/>
            <w:shd w:val="clear" w:color="auto" w:fill="D8D8D8"/>
          </w:tcPr>
          <w:p>
            <w:pPr>
              <w:spacing w:after="0"/>
              <w:rPr>
                <w:sz w:val="16"/>
                <w:szCs w:val="16"/>
                <w:color w:val="auto"/>
              </w:rPr>
            </w:pPr>
          </w:p>
        </w:tc>
        <w:tc>
          <w:tcPr>
            <w:tcW w:w="700" w:type="dxa"/>
            <w:vAlign w:val="bottom"/>
            <w:shd w:val="clear" w:color="auto" w:fill="D8D8D8"/>
          </w:tcPr>
          <w:p>
            <w:pPr>
              <w:spacing w:after="0"/>
              <w:rPr>
                <w:sz w:val="16"/>
                <w:szCs w:val="16"/>
                <w:color w:val="auto"/>
              </w:rPr>
            </w:pPr>
          </w:p>
        </w:tc>
        <w:tc>
          <w:tcPr>
            <w:tcW w:w="180" w:type="dxa"/>
            <w:vAlign w:val="bottom"/>
            <w:shd w:val="clear" w:color="auto" w:fill="D8D8D8"/>
          </w:tcPr>
          <w:p>
            <w:pPr>
              <w:spacing w:after="0"/>
              <w:rPr>
                <w:sz w:val="16"/>
                <w:szCs w:val="16"/>
                <w:color w:val="auto"/>
              </w:rPr>
            </w:pPr>
          </w:p>
        </w:tc>
        <w:tc>
          <w:tcPr>
            <w:tcW w:w="900" w:type="dxa"/>
            <w:vAlign w:val="bottom"/>
            <w:vMerge w:val="continue"/>
            <w:shd w:val="clear" w:color="auto" w:fill="D8D8D8"/>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2520" w:type="dxa"/>
            <w:vAlign w:val="bottom"/>
          </w:tcPr>
          <w:p>
            <w:pPr>
              <w:ind w:left="40"/>
              <w:spacing w:after="0"/>
              <w:rPr>
                <w:sz w:val="20"/>
                <w:szCs w:val="20"/>
                <w:color w:val="auto"/>
              </w:rPr>
            </w:pPr>
            <w:r>
              <w:rPr>
                <w:rFonts w:ascii="Arial" w:cs="Arial" w:eastAsia="Arial" w:hAnsi="Arial"/>
                <w:sz w:val="13"/>
                <w:szCs w:val="13"/>
                <w:color w:val="auto"/>
              </w:rPr>
              <w:t>Cash dividends declared per share: $1.97</w:t>
            </w:r>
          </w:p>
        </w:tc>
        <w:tc>
          <w:tcPr>
            <w:tcW w:w="9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right"/>
              <w:ind w:right="38"/>
              <w:spacing w:after="0"/>
              <w:rPr>
                <w:sz w:val="20"/>
                <w:szCs w:val="20"/>
                <w:color w:val="auto"/>
              </w:rPr>
            </w:pPr>
            <w:r>
              <w:rPr>
                <w:rFonts w:ascii="Arial" w:cs="Arial" w:eastAsia="Arial" w:hAnsi="Arial"/>
                <w:sz w:val="13"/>
                <w:szCs w:val="13"/>
                <w:color w:val="auto"/>
              </w:rPr>
              <w:t>(2,108.1)</w:t>
            </w:r>
          </w:p>
        </w:tc>
        <w:tc>
          <w:tcPr>
            <w:tcW w:w="2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(2,108.1)</w:t>
            </w:r>
          </w:p>
        </w:tc>
        <w:tc>
          <w:tcPr>
            <w:tcW w:w="0" w:type="dxa"/>
            <w:vAlign w:val="bottom"/>
          </w:tcPr>
          <w:p>
            <w:pPr>
              <w:spacing w:after="0"/>
              <w:rPr>
                <w:sz w:val="1"/>
                <w:szCs w:val="1"/>
                <w:color w:val="auto"/>
              </w:rPr>
            </w:pPr>
          </w:p>
        </w:tc>
      </w:tr>
      <w:tr>
        <w:trPr>
          <w:trHeight w:val="277"/>
        </w:trPr>
        <w:tc>
          <w:tcPr>
            <w:tcW w:w="2520" w:type="dxa"/>
            <w:vAlign w:val="bottom"/>
            <w:shd w:val="clear" w:color="auto" w:fill="D8D8D8"/>
          </w:tcPr>
          <w:p>
            <w:pPr>
              <w:ind w:left="40"/>
              <w:spacing w:after="0"/>
              <w:rPr>
                <w:sz w:val="20"/>
                <w:szCs w:val="20"/>
                <w:color w:val="auto"/>
              </w:rPr>
            </w:pPr>
            <w:r>
              <w:rPr>
                <w:rFonts w:ascii="Arial" w:cs="Arial" w:eastAsia="Arial" w:hAnsi="Arial"/>
                <w:sz w:val="13"/>
                <w:szCs w:val="13"/>
                <w:color w:val="auto"/>
              </w:rPr>
              <w:t>Retirement of treasury shares</w:t>
            </w:r>
          </w:p>
        </w:tc>
        <w:tc>
          <w:tcPr>
            <w:tcW w:w="960" w:type="dxa"/>
            <w:vAlign w:val="bottom"/>
            <w:shd w:val="clear" w:color="auto" w:fill="D8D8D8"/>
          </w:tcPr>
          <w:p>
            <w:pPr>
              <w:jc w:val="right"/>
              <w:ind w:right="78"/>
              <w:spacing w:after="0"/>
              <w:rPr>
                <w:sz w:val="20"/>
                <w:szCs w:val="20"/>
                <w:color w:val="auto"/>
              </w:rPr>
            </w:pPr>
            <w:r>
              <w:rPr>
                <w:rFonts w:ascii="Arial" w:cs="Arial" w:eastAsia="Arial" w:hAnsi="Arial"/>
                <w:sz w:val="13"/>
                <w:szCs w:val="13"/>
                <w:color w:val="auto"/>
              </w:rPr>
              <w:t>(12,579)</w:t>
            </w:r>
          </w:p>
        </w:tc>
        <w:tc>
          <w:tcPr>
            <w:tcW w:w="220" w:type="dxa"/>
            <w:vAlign w:val="bottom"/>
            <w:shd w:val="clear" w:color="auto" w:fill="D8D8D8"/>
          </w:tcPr>
          <w:p>
            <w:pPr>
              <w:spacing w:after="0"/>
              <w:rPr>
                <w:sz w:val="24"/>
                <w:szCs w:val="24"/>
                <w:color w:val="auto"/>
              </w:rPr>
            </w:pPr>
          </w:p>
        </w:tc>
        <w:tc>
          <w:tcPr>
            <w:tcW w:w="580" w:type="dxa"/>
            <w:vAlign w:val="bottom"/>
            <w:shd w:val="clear" w:color="auto" w:fill="D8D8D8"/>
          </w:tcPr>
          <w:p>
            <w:pPr>
              <w:jc w:val="right"/>
              <w:ind w:right="18"/>
              <w:spacing w:after="0"/>
              <w:rPr>
                <w:sz w:val="20"/>
                <w:szCs w:val="20"/>
                <w:color w:val="auto"/>
              </w:rPr>
            </w:pPr>
            <w:r>
              <w:rPr>
                <w:rFonts w:ascii="Arial" w:cs="Arial" w:eastAsia="Arial" w:hAnsi="Arial"/>
                <w:sz w:val="13"/>
                <w:szCs w:val="13"/>
                <w:color w:val="auto"/>
              </w:rPr>
              <w:t>(7.9)</w:t>
            </w:r>
          </w:p>
        </w:tc>
        <w:tc>
          <w:tcPr>
            <w:tcW w:w="240" w:type="dxa"/>
            <w:vAlign w:val="bottom"/>
            <w:shd w:val="clear" w:color="auto" w:fill="D8D8D8"/>
          </w:tcPr>
          <w:p>
            <w:pPr>
              <w:spacing w:after="0"/>
              <w:rPr>
                <w:sz w:val="24"/>
                <w:szCs w:val="24"/>
                <w:color w:val="auto"/>
              </w:rPr>
            </w:pPr>
          </w:p>
        </w:tc>
        <w:tc>
          <w:tcPr>
            <w:tcW w:w="740" w:type="dxa"/>
            <w:vAlign w:val="bottom"/>
            <w:shd w:val="clear" w:color="auto" w:fill="D8D8D8"/>
          </w:tcPr>
          <w:p>
            <w:pPr>
              <w:spacing w:after="0"/>
              <w:rPr>
                <w:sz w:val="24"/>
                <w:szCs w:val="24"/>
                <w:color w:val="auto"/>
              </w:rPr>
            </w:pPr>
          </w:p>
        </w:tc>
        <w:tc>
          <w:tcPr>
            <w:tcW w:w="240" w:type="dxa"/>
            <w:vAlign w:val="bottom"/>
            <w:shd w:val="clear" w:color="auto" w:fill="D8D8D8"/>
          </w:tcPr>
          <w:p>
            <w:pPr>
              <w:spacing w:after="0"/>
              <w:rPr>
                <w:sz w:val="24"/>
                <w:szCs w:val="24"/>
                <w:color w:val="auto"/>
              </w:rPr>
            </w:pPr>
          </w:p>
        </w:tc>
        <w:tc>
          <w:tcPr>
            <w:tcW w:w="800" w:type="dxa"/>
            <w:vAlign w:val="bottom"/>
            <w:shd w:val="clear" w:color="auto" w:fill="D8D8D8"/>
          </w:tcPr>
          <w:p>
            <w:pPr>
              <w:jc w:val="right"/>
              <w:ind w:right="38"/>
              <w:spacing w:after="0"/>
              <w:rPr>
                <w:sz w:val="20"/>
                <w:szCs w:val="20"/>
                <w:color w:val="auto"/>
              </w:rPr>
            </w:pPr>
            <w:r>
              <w:rPr>
                <w:rFonts w:ascii="Arial" w:cs="Arial" w:eastAsia="Arial" w:hAnsi="Arial"/>
                <w:sz w:val="13"/>
                <w:szCs w:val="13"/>
                <w:color w:val="auto"/>
              </w:rPr>
              <w:t>(792.1)</w:t>
            </w:r>
          </w:p>
        </w:tc>
        <w:tc>
          <w:tcPr>
            <w:tcW w:w="200" w:type="dxa"/>
            <w:vAlign w:val="bottom"/>
            <w:shd w:val="clear" w:color="auto" w:fill="D8D8D8"/>
          </w:tcPr>
          <w:p>
            <w:pPr>
              <w:spacing w:after="0"/>
              <w:rPr>
                <w:sz w:val="24"/>
                <w:szCs w:val="24"/>
                <w:color w:val="auto"/>
              </w:rPr>
            </w:pPr>
          </w:p>
        </w:tc>
        <w:tc>
          <w:tcPr>
            <w:tcW w:w="1240" w:type="dxa"/>
            <w:vAlign w:val="bottom"/>
            <w:shd w:val="clear" w:color="auto" w:fill="D8D8D8"/>
          </w:tcPr>
          <w:p>
            <w:pPr>
              <w:spacing w:after="0"/>
              <w:rPr>
                <w:sz w:val="24"/>
                <w:szCs w:val="24"/>
                <w:color w:val="auto"/>
              </w:rPr>
            </w:pPr>
          </w:p>
        </w:tc>
        <w:tc>
          <w:tcPr>
            <w:tcW w:w="820" w:type="dxa"/>
            <w:vAlign w:val="bottom"/>
            <w:shd w:val="clear" w:color="auto" w:fill="D8D8D8"/>
          </w:tcPr>
          <w:p>
            <w:pPr>
              <w:jc w:val="right"/>
              <w:ind w:right="98"/>
              <w:spacing w:after="0"/>
              <w:rPr>
                <w:sz w:val="20"/>
                <w:szCs w:val="20"/>
                <w:color w:val="auto"/>
              </w:rPr>
            </w:pPr>
            <w:r>
              <w:rPr>
                <w:rFonts w:ascii="Arial" w:cs="Arial" w:eastAsia="Arial" w:hAnsi="Arial"/>
                <w:sz w:val="13"/>
                <w:szCs w:val="13"/>
                <w:color w:val="auto"/>
              </w:rPr>
              <w:t>(12,579)</w:t>
            </w:r>
          </w:p>
        </w:tc>
        <w:tc>
          <w:tcPr>
            <w:tcW w:w="200" w:type="dxa"/>
            <w:vAlign w:val="bottom"/>
            <w:shd w:val="clear" w:color="auto" w:fill="D8D8D8"/>
          </w:tcPr>
          <w:p>
            <w:pPr>
              <w:spacing w:after="0"/>
              <w:rPr>
                <w:sz w:val="24"/>
                <w:szCs w:val="24"/>
                <w:color w:val="auto"/>
              </w:rPr>
            </w:pPr>
          </w:p>
        </w:tc>
        <w:tc>
          <w:tcPr>
            <w:tcW w:w="640" w:type="dxa"/>
            <w:vAlign w:val="bottom"/>
            <w:shd w:val="clear" w:color="auto" w:fill="D8D8D8"/>
          </w:tcPr>
          <w:p>
            <w:pPr>
              <w:jc w:val="right"/>
              <w:ind w:right="38"/>
              <w:spacing w:after="0"/>
              <w:rPr>
                <w:sz w:val="20"/>
                <w:szCs w:val="20"/>
                <w:color w:val="auto"/>
              </w:rPr>
            </w:pPr>
            <w:r>
              <w:rPr>
                <w:rFonts w:ascii="Arial" w:cs="Arial" w:eastAsia="Arial" w:hAnsi="Arial"/>
                <w:sz w:val="13"/>
                <w:szCs w:val="13"/>
                <w:color w:val="auto"/>
              </w:rPr>
              <w:t>800.0</w:t>
            </w:r>
          </w:p>
        </w:tc>
        <w:tc>
          <w:tcPr>
            <w:tcW w:w="240" w:type="dxa"/>
            <w:vAlign w:val="bottom"/>
            <w:shd w:val="clear" w:color="auto" w:fill="D8D8D8"/>
          </w:tcPr>
          <w:p>
            <w:pPr>
              <w:spacing w:after="0"/>
              <w:rPr>
                <w:sz w:val="24"/>
                <w:szCs w:val="24"/>
                <w:color w:val="auto"/>
              </w:rPr>
            </w:pPr>
          </w:p>
        </w:tc>
        <w:tc>
          <w:tcPr>
            <w:tcW w:w="700" w:type="dxa"/>
            <w:vAlign w:val="bottom"/>
            <w:shd w:val="clear" w:color="auto" w:fill="D8D8D8"/>
          </w:tcPr>
          <w:p>
            <w:pPr>
              <w:spacing w:after="0"/>
              <w:rPr>
                <w:sz w:val="24"/>
                <w:szCs w:val="24"/>
                <w:color w:val="auto"/>
              </w:rPr>
            </w:pPr>
          </w:p>
        </w:tc>
        <w:tc>
          <w:tcPr>
            <w:tcW w:w="180" w:type="dxa"/>
            <w:vAlign w:val="bottom"/>
            <w:shd w:val="clear" w:color="auto" w:fill="D8D8D8"/>
          </w:tcPr>
          <w:p>
            <w:pPr>
              <w:spacing w:after="0"/>
              <w:rPr>
                <w:sz w:val="24"/>
                <w:szCs w:val="24"/>
                <w:color w:val="auto"/>
              </w:rPr>
            </w:pPr>
          </w:p>
        </w:tc>
        <w:tc>
          <w:tcPr>
            <w:tcW w:w="900" w:type="dxa"/>
            <w:vAlign w:val="bottom"/>
            <w:shd w:val="clear" w:color="auto" w:fill="D8D8D8"/>
          </w:tcPr>
          <w:p>
            <w:pPr>
              <w:jc w:val="right"/>
              <w:ind w:right="38"/>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63"/>
        </w:trPr>
        <w:tc>
          <w:tcPr>
            <w:tcW w:w="2520" w:type="dxa"/>
            <w:vAlign w:val="bottom"/>
          </w:tcPr>
          <w:p>
            <w:pPr>
              <w:ind w:left="40"/>
              <w:spacing w:after="0"/>
              <w:rPr>
                <w:sz w:val="20"/>
                <w:szCs w:val="20"/>
                <w:color w:val="auto"/>
              </w:rPr>
            </w:pPr>
            <w:r>
              <w:rPr>
                <w:rFonts w:ascii="Arial" w:cs="Arial" w:eastAsia="Arial" w:hAnsi="Arial"/>
                <w:sz w:val="13"/>
                <w:szCs w:val="13"/>
                <w:color w:val="auto"/>
              </w:rPr>
              <w:t>Purchase for treasury</w:t>
            </w:r>
          </w:p>
        </w:tc>
        <w:tc>
          <w:tcPr>
            <w:tcW w:w="9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820" w:type="dxa"/>
            <w:vAlign w:val="bottom"/>
          </w:tcPr>
          <w:p>
            <w:pPr>
              <w:jc w:val="right"/>
              <w:ind w:right="98"/>
              <w:spacing w:after="0"/>
              <w:rPr>
                <w:sz w:val="20"/>
                <w:szCs w:val="20"/>
                <w:color w:val="auto"/>
              </w:rPr>
            </w:pPr>
            <w:r>
              <w:rPr>
                <w:rFonts w:ascii="Arial" w:cs="Arial" w:eastAsia="Arial" w:hAnsi="Arial"/>
                <w:sz w:val="13"/>
                <w:szCs w:val="13"/>
                <w:color w:val="auto"/>
              </w:rPr>
              <w:t>12,579</w:t>
            </w:r>
          </w:p>
        </w:tc>
        <w:tc>
          <w:tcPr>
            <w:tcW w:w="2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(800.0)</w:t>
            </w:r>
          </w:p>
        </w:tc>
        <w:tc>
          <w:tcPr>
            <w:tcW w:w="2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(800.0)</w:t>
            </w:r>
          </w:p>
        </w:tc>
        <w:tc>
          <w:tcPr>
            <w:tcW w:w="0" w:type="dxa"/>
            <w:vAlign w:val="bottom"/>
          </w:tcPr>
          <w:p>
            <w:pPr>
              <w:spacing w:after="0"/>
              <w:rPr>
                <w:sz w:val="1"/>
                <w:szCs w:val="1"/>
                <w:color w:val="auto"/>
              </w:rPr>
            </w:pPr>
          </w:p>
        </w:tc>
      </w:tr>
      <w:tr>
        <w:trPr>
          <w:trHeight w:val="147"/>
        </w:trPr>
        <w:tc>
          <w:tcPr>
            <w:tcW w:w="2520" w:type="dxa"/>
            <w:vAlign w:val="bottom"/>
            <w:shd w:val="clear" w:color="auto" w:fill="D8D8D8"/>
          </w:tcPr>
          <w:p>
            <w:pPr>
              <w:ind w:left="40"/>
              <w:spacing w:after="0" w:line="148" w:lineRule="exact"/>
              <w:rPr>
                <w:sz w:val="20"/>
                <w:szCs w:val="20"/>
                <w:color w:val="auto"/>
              </w:rPr>
            </w:pPr>
            <w:r>
              <w:rPr>
                <w:rFonts w:ascii="Arial" w:cs="Arial" w:eastAsia="Arial" w:hAnsi="Arial"/>
                <w:sz w:val="13"/>
                <w:szCs w:val="13"/>
                <w:color w:val="auto"/>
              </w:rPr>
              <w:t>Issuance of stock under employee stock</w:t>
            </w:r>
          </w:p>
        </w:tc>
        <w:tc>
          <w:tcPr>
            <w:tcW w:w="960" w:type="dxa"/>
            <w:vAlign w:val="bottom"/>
            <w:vMerge w:val="restart"/>
            <w:shd w:val="clear" w:color="auto" w:fill="D8D8D8"/>
          </w:tcPr>
          <w:p>
            <w:pPr>
              <w:jc w:val="right"/>
              <w:ind w:right="78"/>
              <w:spacing w:after="0"/>
              <w:rPr>
                <w:sz w:val="20"/>
                <w:szCs w:val="20"/>
                <w:color w:val="auto"/>
              </w:rPr>
            </w:pPr>
            <w:r>
              <w:rPr>
                <w:rFonts w:ascii="Arial" w:cs="Arial" w:eastAsia="Arial" w:hAnsi="Arial"/>
                <w:sz w:val="13"/>
                <w:szCs w:val="13"/>
                <w:color w:val="auto"/>
              </w:rPr>
              <w:t>6,388</w:t>
            </w:r>
          </w:p>
        </w:tc>
        <w:tc>
          <w:tcPr>
            <w:tcW w:w="220" w:type="dxa"/>
            <w:vAlign w:val="bottom"/>
            <w:shd w:val="clear" w:color="auto" w:fill="D8D8D8"/>
          </w:tcPr>
          <w:p>
            <w:pPr>
              <w:spacing w:after="0"/>
              <w:rPr>
                <w:sz w:val="12"/>
                <w:szCs w:val="12"/>
                <w:color w:val="auto"/>
              </w:rPr>
            </w:pPr>
          </w:p>
        </w:tc>
        <w:tc>
          <w:tcPr>
            <w:tcW w:w="580" w:type="dxa"/>
            <w:vAlign w:val="bottom"/>
            <w:vMerge w:val="restart"/>
            <w:shd w:val="clear" w:color="auto" w:fill="D8D8D8"/>
          </w:tcPr>
          <w:p>
            <w:pPr>
              <w:jc w:val="right"/>
              <w:ind w:right="58"/>
              <w:spacing w:after="0"/>
              <w:rPr>
                <w:sz w:val="20"/>
                <w:szCs w:val="20"/>
                <w:color w:val="auto"/>
              </w:rPr>
            </w:pPr>
            <w:r>
              <w:rPr>
                <w:rFonts w:ascii="Arial" w:cs="Arial" w:eastAsia="Arial" w:hAnsi="Arial"/>
                <w:sz w:val="13"/>
                <w:szCs w:val="13"/>
                <w:color w:val="auto"/>
              </w:rPr>
              <w:t>4.0</w:t>
            </w:r>
          </w:p>
        </w:tc>
        <w:tc>
          <w:tcPr>
            <w:tcW w:w="240" w:type="dxa"/>
            <w:vAlign w:val="bottom"/>
            <w:shd w:val="clear" w:color="auto" w:fill="D8D8D8"/>
          </w:tcPr>
          <w:p>
            <w:pPr>
              <w:spacing w:after="0"/>
              <w:rPr>
                <w:sz w:val="12"/>
                <w:szCs w:val="12"/>
                <w:color w:val="auto"/>
              </w:rPr>
            </w:pPr>
          </w:p>
        </w:tc>
        <w:tc>
          <w:tcPr>
            <w:tcW w:w="740" w:type="dxa"/>
            <w:vAlign w:val="bottom"/>
            <w:vMerge w:val="restart"/>
            <w:shd w:val="clear" w:color="auto" w:fill="D8D8D8"/>
          </w:tcPr>
          <w:p>
            <w:pPr>
              <w:jc w:val="right"/>
              <w:ind w:right="99"/>
              <w:spacing w:after="0"/>
              <w:rPr>
                <w:sz w:val="20"/>
                <w:szCs w:val="20"/>
                <w:color w:val="auto"/>
              </w:rPr>
            </w:pPr>
            <w:r>
              <w:rPr>
                <w:rFonts w:ascii="Arial" w:cs="Arial" w:eastAsia="Arial" w:hAnsi="Arial"/>
                <w:sz w:val="13"/>
                <w:szCs w:val="13"/>
                <w:color w:val="auto"/>
              </w:rPr>
              <w:t>86.3</w:t>
            </w:r>
          </w:p>
        </w:tc>
        <w:tc>
          <w:tcPr>
            <w:tcW w:w="240" w:type="dxa"/>
            <w:vAlign w:val="bottom"/>
            <w:shd w:val="clear" w:color="auto" w:fill="D8D8D8"/>
          </w:tcPr>
          <w:p>
            <w:pPr>
              <w:spacing w:after="0"/>
              <w:rPr>
                <w:sz w:val="12"/>
                <w:szCs w:val="12"/>
                <w:color w:val="auto"/>
              </w:rPr>
            </w:pPr>
          </w:p>
        </w:tc>
        <w:tc>
          <w:tcPr>
            <w:tcW w:w="800" w:type="dxa"/>
            <w:vAlign w:val="bottom"/>
            <w:shd w:val="clear" w:color="auto" w:fill="D8D8D8"/>
          </w:tcPr>
          <w:p>
            <w:pPr>
              <w:spacing w:after="0"/>
              <w:rPr>
                <w:sz w:val="12"/>
                <w:szCs w:val="12"/>
                <w:color w:val="auto"/>
              </w:rPr>
            </w:pPr>
          </w:p>
        </w:tc>
        <w:tc>
          <w:tcPr>
            <w:tcW w:w="200" w:type="dxa"/>
            <w:vAlign w:val="bottom"/>
            <w:shd w:val="clear" w:color="auto" w:fill="D8D8D8"/>
          </w:tcPr>
          <w:p>
            <w:pPr>
              <w:spacing w:after="0"/>
              <w:rPr>
                <w:sz w:val="12"/>
                <w:szCs w:val="12"/>
                <w:color w:val="auto"/>
              </w:rPr>
            </w:pPr>
          </w:p>
        </w:tc>
        <w:tc>
          <w:tcPr>
            <w:tcW w:w="1240" w:type="dxa"/>
            <w:vAlign w:val="bottom"/>
            <w:shd w:val="clear" w:color="auto" w:fill="D8D8D8"/>
          </w:tcPr>
          <w:p>
            <w:pPr>
              <w:spacing w:after="0"/>
              <w:rPr>
                <w:sz w:val="12"/>
                <w:szCs w:val="12"/>
                <w:color w:val="auto"/>
              </w:rPr>
            </w:pPr>
          </w:p>
        </w:tc>
        <w:tc>
          <w:tcPr>
            <w:tcW w:w="820" w:type="dxa"/>
            <w:vAlign w:val="bottom"/>
            <w:vMerge w:val="restart"/>
            <w:shd w:val="clear" w:color="auto" w:fill="D8D8D8"/>
          </w:tcPr>
          <w:p>
            <w:pPr>
              <w:jc w:val="right"/>
              <w:ind w:right="98"/>
              <w:spacing w:after="0"/>
              <w:rPr>
                <w:sz w:val="20"/>
                <w:szCs w:val="20"/>
                <w:color w:val="auto"/>
              </w:rPr>
            </w:pPr>
            <w:r>
              <w:rPr>
                <w:rFonts w:ascii="Arial" w:cs="Arial" w:eastAsia="Arial" w:hAnsi="Arial"/>
                <w:sz w:val="13"/>
                <w:szCs w:val="13"/>
                <w:color w:val="auto"/>
              </w:rPr>
              <w:t>(23)</w:t>
            </w:r>
          </w:p>
        </w:tc>
        <w:tc>
          <w:tcPr>
            <w:tcW w:w="200" w:type="dxa"/>
            <w:vAlign w:val="bottom"/>
            <w:shd w:val="clear" w:color="auto" w:fill="D8D8D8"/>
          </w:tcPr>
          <w:p>
            <w:pPr>
              <w:spacing w:after="0"/>
              <w:rPr>
                <w:sz w:val="12"/>
                <w:szCs w:val="12"/>
                <w:color w:val="auto"/>
              </w:rPr>
            </w:pPr>
          </w:p>
        </w:tc>
        <w:tc>
          <w:tcPr>
            <w:tcW w:w="640" w:type="dxa"/>
            <w:vAlign w:val="bottom"/>
            <w:vMerge w:val="restart"/>
            <w:shd w:val="clear" w:color="auto" w:fill="D8D8D8"/>
          </w:tcPr>
          <w:p>
            <w:pPr>
              <w:jc w:val="right"/>
              <w:ind w:right="38"/>
              <w:spacing w:after="0"/>
              <w:rPr>
                <w:sz w:val="20"/>
                <w:szCs w:val="20"/>
                <w:color w:val="auto"/>
              </w:rPr>
            </w:pPr>
            <w:r>
              <w:rPr>
                <w:rFonts w:ascii="Arial" w:cs="Arial" w:eastAsia="Arial" w:hAnsi="Arial"/>
                <w:sz w:val="13"/>
                <w:szCs w:val="13"/>
                <w:color w:val="auto"/>
              </w:rPr>
              <w:t>2.2</w:t>
            </w:r>
          </w:p>
        </w:tc>
        <w:tc>
          <w:tcPr>
            <w:tcW w:w="240" w:type="dxa"/>
            <w:vAlign w:val="bottom"/>
            <w:shd w:val="clear" w:color="auto" w:fill="D8D8D8"/>
          </w:tcPr>
          <w:p>
            <w:pPr>
              <w:spacing w:after="0"/>
              <w:rPr>
                <w:sz w:val="12"/>
                <w:szCs w:val="12"/>
                <w:color w:val="auto"/>
              </w:rPr>
            </w:pPr>
          </w:p>
        </w:tc>
        <w:tc>
          <w:tcPr>
            <w:tcW w:w="700" w:type="dxa"/>
            <w:vAlign w:val="bottom"/>
            <w:shd w:val="clear" w:color="auto" w:fill="D8D8D8"/>
          </w:tcPr>
          <w:p>
            <w:pPr>
              <w:spacing w:after="0"/>
              <w:rPr>
                <w:sz w:val="12"/>
                <w:szCs w:val="12"/>
                <w:color w:val="auto"/>
              </w:rPr>
            </w:pPr>
          </w:p>
        </w:tc>
        <w:tc>
          <w:tcPr>
            <w:tcW w:w="180" w:type="dxa"/>
            <w:vAlign w:val="bottom"/>
            <w:shd w:val="clear" w:color="auto" w:fill="D8D8D8"/>
          </w:tcPr>
          <w:p>
            <w:pPr>
              <w:spacing w:after="0"/>
              <w:rPr>
                <w:sz w:val="12"/>
                <w:szCs w:val="12"/>
                <w:color w:val="auto"/>
              </w:rPr>
            </w:pPr>
          </w:p>
        </w:tc>
        <w:tc>
          <w:tcPr>
            <w:tcW w:w="900" w:type="dxa"/>
            <w:vAlign w:val="bottom"/>
            <w:vMerge w:val="restart"/>
            <w:shd w:val="clear" w:color="auto" w:fill="D8D8D8"/>
          </w:tcPr>
          <w:p>
            <w:pPr>
              <w:jc w:val="right"/>
              <w:ind w:right="38"/>
              <w:spacing w:after="0"/>
              <w:rPr>
                <w:sz w:val="20"/>
                <w:szCs w:val="20"/>
                <w:color w:val="auto"/>
              </w:rPr>
            </w:pPr>
            <w:r>
              <w:rPr>
                <w:rFonts w:ascii="Arial" w:cs="Arial" w:eastAsia="Arial" w:hAnsi="Arial"/>
                <w:sz w:val="13"/>
                <w:szCs w:val="13"/>
                <w:color w:val="auto"/>
              </w:rPr>
              <w:t>92.5</w:t>
            </w:r>
          </w:p>
        </w:tc>
        <w:tc>
          <w:tcPr>
            <w:tcW w:w="0" w:type="dxa"/>
            <w:vAlign w:val="bottom"/>
          </w:tcPr>
          <w:p>
            <w:pPr>
              <w:spacing w:after="0"/>
              <w:rPr>
                <w:sz w:val="1"/>
                <w:szCs w:val="1"/>
                <w:color w:val="auto"/>
              </w:rPr>
            </w:pPr>
          </w:p>
        </w:tc>
      </w:tr>
      <w:tr>
        <w:trPr>
          <w:trHeight w:val="184"/>
        </w:trPr>
        <w:tc>
          <w:tcPr>
            <w:tcW w:w="2520" w:type="dxa"/>
            <w:vAlign w:val="bottom"/>
            <w:shd w:val="clear" w:color="auto" w:fill="D8D8D8"/>
          </w:tcPr>
          <w:p>
            <w:pPr>
              <w:ind w:left="200"/>
              <w:spacing w:after="0"/>
              <w:rPr>
                <w:sz w:val="20"/>
                <w:szCs w:val="20"/>
                <w:color w:val="auto"/>
              </w:rPr>
            </w:pPr>
            <w:r>
              <w:rPr>
                <w:rFonts w:ascii="Arial" w:cs="Arial" w:eastAsia="Arial" w:hAnsi="Arial"/>
                <w:sz w:val="13"/>
                <w:szCs w:val="13"/>
                <w:color w:val="auto"/>
              </w:rPr>
              <w:t>plans, net</w:t>
            </w:r>
          </w:p>
        </w:tc>
        <w:tc>
          <w:tcPr>
            <w:tcW w:w="960" w:type="dxa"/>
            <w:vAlign w:val="bottom"/>
            <w:vMerge w:val="continue"/>
            <w:shd w:val="clear" w:color="auto" w:fill="D8D8D8"/>
          </w:tcPr>
          <w:p>
            <w:pPr>
              <w:spacing w:after="0"/>
              <w:rPr>
                <w:sz w:val="16"/>
                <w:szCs w:val="16"/>
                <w:color w:val="auto"/>
              </w:rPr>
            </w:pPr>
          </w:p>
        </w:tc>
        <w:tc>
          <w:tcPr>
            <w:tcW w:w="220" w:type="dxa"/>
            <w:vAlign w:val="bottom"/>
            <w:shd w:val="clear" w:color="auto" w:fill="D8D8D8"/>
          </w:tcPr>
          <w:p>
            <w:pPr>
              <w:spacing w:after="0"/>
              <w:rPr>
                <w:sz w:val="16"/>
                <w:szCs w:val="16"/>
                <w:color w:val="auto"/>
              </w:rPr>
            </w:pPr>
          </w:p>
        </w:tc>
        <w:tc>
          <w:tcPr>
            <w:tcW w:w="580" w:type="dxa"/>
            <w:vAlign w:val="bottom"/>
            <w:vMerge w:val="continue"/>
            <w:shd w:val="clear" w:color="auto" w:fill="D8D8D8"/>
          </w:tcPr>
          <w:p>
            <w:pPr>
              <w:spacing w:after="0"/>
              <w:rPr>
                <w:sz w:val="16"/>
                <w:szCs w:val="16"/>
                <w:color w:val="auto"/>
              </w:rPr>
            </w:pPr>
          </w:p>
        </w:tc>
        <w:tc>
          <w:tcPr>
            <w:tcW w:w="240" w:type="dxa"/>
            <w:vAlign w:val="bottom"/>
            <w:shd w:val="clear" w:color="auto" w:fill="D8D8D8"/>
          </w:tcPr>
          <w:p>
            <w:pPr>
              <w:spacing w:after="0"/>
              <w:rPr>
                <w:sz w:val="16"/>
                <w:szCs w:val="16"/>
                <w:color w:val="auto"/>
              </w:rPr>
            </w:pPr>
          </w:p>
        </w:tc>
        <w:tc>
          <w:tcPr>
            <w:tcW w:w="740" w:type="dxa"/>
            <w:vAlign w:val="bottom"/>
            <w:vMerge w:val="continue"/>
            <w:shd w:val="clear" w:color="auto" w:fill="D8D8D8"/>
          </w:tcPr>
          <w:p>
            <w:pPr>
              <w:spacing w:after="0"/>
              <w:rPr>
                <w:sz w:val="16"/>
                <w:szCs w:val="16"/>
                <w:color w:val="auto"/>
              </w:rPr>
            </w:pPr>
          </w:p>
        </w:tc>
        <w:tc>
          <w:tcPr>
            <w:tcW w:w="240" w:type="dxa"/>
            <w:vAlign w:val="bottom"/>
            <w:shd w:val="clear" w:color="auto" w:fill="D8D8D8"/>
          </w:tcPr>
          <w:p>
            <w:pPr>
              <w:spacing w:after="0"/>
              <w:rPr>
                <w:sz w:val="16"/>
                <w:szCs w:val="16"/>
                <w:color w:val="auto"/>
              </w:rPr>
            </w:pPr>
          </w:p>
        </w:tc>
        <w:tc>
          <w:tcPr>
            <w:tcW w:w="800" w:type="dxa"/>
            <w:vAlign w:val="bottom"/>
            <w:shd w:val="clear" w:color="auto" w:fill="D8D8D8"/>
          </w:tcPr>
          <w:p>
            <w:pPr>
              <w:spacing w:after="0"/>
              <w:rPr>
                <w:sz w:val="16"/>
                <w:szCs w:val="16"/>
                <w:color w:val="auto"/>
              </w:rPr>
            </w:pPr>
          </w:p>
        </w:tc>
        <w:tc>
          <w:tcPr>
            <w:tcW w:w="200" w:type="dxa"/>
            <w:vAlign w:val="bottom"/>
            <w:shd w:val="clear" w:color="auto" w:fill="D8D8D8"/>
          </w:tcPr>
          <w:p>
            <w:pPr>
              <w:spacing w:after="0"/>
              <w:rPr>
                <w:sz w:val="16"/>
                <w:szCs w:val="16"/>
                <w:color w:val="auto"/>
              </w:rPr>
            </w:pPr>
          </w:p>
        </w:tc>
        <w:tc>
          <w:tcPr>
            <w:tcW w:w="1240" w:type="dxa"/>
            <w:vAlign w:val="bottom"/>
            <w:shd w:val="clear" w:color="auto" w:fill="D8D8D8"/>
          </w:tcPr>
          <w:p>
            <w:pPr>
              <w:spacing w:after="0"/>
              <w:rPr>
                <w:sz w:val="16"/>
                <w:szCs w:val="16"/>
                <w:color w:val="auto"/>
              </w:rPr>
            </w:pPr>
          </w:p>
        </w:tc>
        <w:tc>
          <w:tcPr>
            <w:tcW w:w="820" w:type="dxa"/>
            <w:vAlign w:val="bottom"/>
            <w:vMerge w:val="continue"/>
            <w:shd w:val="clear" w:color="auto" w:fill="D8D8D8"/>
          </w:tcPr>
          <w:p>
            <w:pPr>
              <w:spacing w:after="0"/>
              <w:rPr>
                <w:sz w:val="16"/>
                <w:szCs w:val="16"/>
                <w:color w:val="auto"/>
              </w:rPr>
            </w:pPr>
          </w:p>
        </w:tc>
        <w:tc>
          <w:tcPr>
            <w:tcW w:w="200" w:type="dxa"/>
            <w:vAlign w:val="bottom"/>
            <w:shd w:val="clear" w:color="auto" w:fill="D8D8D8"/>
          </w:tcPr>
          <w:p>
            <w:pPr>
              <w:spacing w:after="0"/>
              <w:rPr>
                <w:sz w:val="16"/>
                <w:szCs w:val="16"/>
                <w:color w:val="auto"/>
              </w:rPr>
            </w:pPr>
          </w:p>
        </w:tc>
        <w:tc>
          <w:tcPr>
            <w:tcW w:w="640" w:type="dxa"/>
            <w:vAlign w:val="bottom"/>
            <w:vMerge w:val="continue"/>
            <w:shd w:val="clear" w:color="auto" w:fill="D8D8D8"/>
          </w:tcPr>
          <w:p>
            <w:pPr>
              <w:spacing w:after="0"/>
              <w:rPr>
                <w:sz w:val="16"/>
                <w:szCs w:val="16"/>
                <w:color w:val="auto"/>
              </w:rPr>
            </w:pPr>
          </w:p>
        </w:tc>
        <w:tc>
          <w:tcPr>
            <w:tcW w:w="240" w:type="dxa"/>
            <w:vAlign w:val="bottom"/>
            <w:shd w:val="clear" w:color="auto" w:fill="D8D8D8"/>
          </w:tcPr>
          <w:p>
            <w:pPr>
              <w:spacing w:after="0"/>
              <w:rPr>
                <w:sz w:val="16"/>
                <w:szCs w:val="16"/>
                <w:color w:val="auto"/>
              </w:rPr>
            </w:pPr>
          </w:p>
        </w:tc>
        <w:tc>
          <w:tcPr>
            <w:tcW w:w="700" w:type="dxa"/>
            <w:vAlign w:val="bottom"/>
            <w:shd w:val="clear" w:color="auto" w:fill="D8D8D8"/>
          </w:tcPr>
          <w:p>
            <w:pPr>
              <w:spacing w:after="0"/>
              <w:rPr>
                <w:sz w:val="16"/>
                <w:szCs w:val="16"/>
                <w:color w:val="auto"/>
              </w:rPr>
            </w:pPr>
          </w:p>
        </w:tc>
        <w:tc>
          <w:tcPr>
            <w:tcW w:w="180" w:type="dxa"/>
            <w:vAlign w:val="bottom"/>
            <w:shd w:val="clear" w:color="auto" w:fill="D8D8D8"/>
          </w:tcPr>
          <w:p>
            <w:pPr>
              <w:spacing w:after="0"/>
              <w:rPr>
                <w:sz w:val="16"/>
                <w:szCs w:val="16"/>
                <w:color w:val="auto"/>
              </w:rPr>
            </w:pPr>
          </w:p>
        </w:tc>
        <w:tc>
          <w:tcPr>
            <w:tcW w:w="900" w:type="dxa"/>
            <w:vAlign w:val="bottom"/>
            <w:vMerge w:val="continue"/>
            <w:shd w:val="clear" w:color="auto" w:fill="D8D8D8"/>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520" w:type="dxa"/>
            <w:vAlign w:val="bottom"/>
            <w:tcBorders>
              <w:bottom w:val="single" w:sz="8" w:color="D8D8D8"/>
            </w:tcBorders>
          </w:tcPr>
          <w:p>
            <w:pPr>
              <w:ind w:left="40"/>
              <w:spacing w:after="0"/>
              <w:rPr>
                <w:sz w:val="20"/>
                <w:szCs w:val="20"/>
                <w:color w:val="auto"/>
              </w:rPr>
            </w:pPr>
            <w:r>
              <w:rPr>
                <w:rFonts w:ascii="Arial" w:cs="Arial" w:eastAsia="Arial" w:hAnsi="Arial"/>
                <w:sz w:val="13"/>
                <w:szCs w:val="13"/>
                <w:color w:val="auto"/>
              </w:rPr>
              <w:t>Stock-based compensation</w:t>
            </w:r>
          </w:p>
        </w:tc>
        <w:tc>
          <w:tcPr>
            <w:tcW w:w="96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99"/>
              <w:spacing w:after="0"/>
              <w:rPr>
                <w:sz w:val="20"/>
                <w:szCs w:val="20"/>
                <w:color w:val="auto"/>
              </w:rPr>
            </w:pPr>
            <w:r>
              <w:rPr>
                <w:rFonts w:ascii="Arial" w:cs="Arial" w:eastAsia="Arial" w:hAnsi="Arial"/>
                <w:sz w:val="13"/>
                <w:szCs w:val="13"/>
                <w:color w:val="auto"/>
              </w:rPr>
              <w:t>156.0</w:t>
            </w: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8"/>
              <w:spacing w:after="0"/>
              <w:rPr>
                <w:sz w:val="20"/>
                <w:szCs w:val="20"/>
                <w:color w:val="auto"/>
              </w:rPr>
            </w:pPr>
            <w:r>
              <w:rPr>
                <w:rFonts w:ascii="Arial" w:cs="Arial" w:eastAsia="Arial" w:hAnsi="Arial"/>
                <w:sz w:val="13"/>
                <w:szCs w:val="13"/>
                <w:color w:val="auto"/>
              </w:rPr>
              <w:t>156.0</w:t>
            </w:r>
          </w:p>
        </w:tc>
        <w:tc>
          <w:tcPr>
            <w:tcW w:w="0" w:type="dxa"/>
            <w:vAlign w:val="bottom"/>
          </w:tcPr>
          <w:p>
            <w:pPr>
              <w:spacing w:after="0"/>
              <w:rPr>
                <w:sz w:val="1"/>
                <w:szCs w:val="1"/>
                <w:color w:val="auto"/>
              </w:rPr>
            </w:pPr>
          </w:p>
        </w:tc>
      </w:tr>
      <w:tr>
        <w:trPr>
          <w:trHeight w:val="270"/>
        </w:trPr>
        <w:tc>
          <w:tcPr>
            <w:tcW w:w="2520" w:type="dxa"/>
            <w:vAlign w:val="bottom"/>
            <w:shd w:val="clear" w:color="auto" w:fill="D8D8D8"/>
          </w:tcPr>
          <w:p>
            <w:pPr>
              <w:ind w:left="40"/>
              <w:spacing w:after="0"/>
              <w:rPr>
                <w:sz w:val="20"/>
                <w:szCs w:val="20"/>
                <w:color w:val="auto"/>
              </w:rPr>
            </w:pPr>
            <w:r>
              <w:rPr>
                <w:rFonts w:ascii="Arial" w:cs="Arial" w:eastAsia="Arial" w:hAnsi="Arial"/>
                <w:sz w:val="13"/>
                <w:szCs w:val="13"/>
                <w:color w:val="auto"/>
              </w:rPr>
              <w:t>Balance at December 31, 2014</w:t>
            </w:r>
          </w:p>
        </w:tc>
        <w:tc>
          <w:tcPr>
            <w:tcW w:w="960" w:type="dxa"/>
            <w:vAlign w:val="bottom"/>
            <w:shd w:val="clear" w:color="auto" w:fill="D8D8D8"/>
          </w:tcPr>
          <w:p>
            <w:pPr>
              <w:jc w:val="right"/>
              <w:ind w:right="78"/>
              <w:spacing w:after="0"/>
              <w:rPr>
                <w:sz w:val="20"/>
                <w:szCs w:val="20"/>
                <w:color w:val="auto"/>
              </w:rPr>
            </w:pPr>
            <w:r>
              <w:rPr>
                <w:rFonts w:ascii="Arial" w:cs="Arial" w:eastAsia="Arial" w:hAnsi="Arial"/>
                <w:sz w:val="13"/>
                <w:szCs w:val="13"/>
                <w:color w:val="auto"/>
              </w:rPr>
              <w:t>1,111,437</w:t>
            </w:r>
          </w:p>
        </w:tc>
        <w:tc>
          <w:tcPr>
            <w:tcW w:w="220" w:type="dxa"/>
            <w:vAlign w:val="bottom"/>
            <w:shd w:val="clear" w:color="auto" w:fill="D8D8D8"/>
          </w:tcPr>
          <w:p>
            <w:pPr>
              <w:spacing w:after="0"/>
              <w:rPr>
                <w:sz w:val="23"/>
                <w:szCs w:val="23"/>
                <w:color w:val="auto"/>
              </w:rPr>
            </w:pPr>
          </w:p>
        </w:tc>
        <w:tc>
          <w:tcPr>
            <w:tcW w:w="580" w:type="dxa"/>
            <w:vAlign w:val="bottom"/>
            <w:shd w:val="clear" w:color="auto" w:fill="D8D8D8"/>
          </w:tcPr>
          <w:p>
            <w:pPr>
              <w:jc w:val="right"/>
              <w:ind w:right="58"/>
              <w:spacing w:after="0"/>
              <w:rPr>
                <w:sz w:val="20"/>
                <w:szCs w:val="20"/>
                <w:color w:val="auto"/>
              </w:rPr>
            </w:pPr>
            <w:r>
              <w:rPr>
                <w:rFonts w:ascii="Arial" w:cs="Arial" w:eastAsia="Arial" w:hAnsi="Arial"/>
                <w:sz w:val="13"/>
                <w:szCs w:val="13"/>
                <w:color w:val="auto"/>
              </w:rPr>
              <w:t>694.6</w:t>
            </w:r>
          </w:p>
        </w:tc>
        <w:tc>
          <w:tcPr>
            <w:tcW w:w="240" w:type="dxa"/>
            <w:vAlign w:val="bottom"/>
            <w:shd w:val="clear" w:color="auto" w:fill="D8D8D8"/>
          </w:tcPr>
          <w:p>
            <w:pPr>
              <w:spacing w:after="0"/>
              <w:rPr>
                <w:sz w:val="23"/>
                <w:szCs w:val="23"/>
                <w:color w:val="auto"/>
              </w:rPr>
            </w:pPr>
          </w:p>
        </w:tc>
        <w:tc>
          <w:tcPr>
            <w:tcW w:w="740" w:type="dxa"/>
            <w:vAlign w:val="bottom"/>
            <w:shd w:val="clear" w:color="auto" w:fill="D8D8D8"/>
          </w:tcPr>
          <w:p>
            <w:pPr>
              <w:jc w:val="right"/>
              <w:ind w:right="99"/>
              <w:spacing w:after="0"/>
              <w:rPr>
                <w:sz w:val="20"/>
                <w:szCs w:val="20"/>
                <w:color w:val="auto"/>
              </w:rPr>
            </w:pPr>
            <w:r>
              <w:rPr>
                <w:rFonts w:ascii="Arial" w:cs="Arial" w:eastAsia="Arial" w:hAnsi="Arial"/>
                <w:sz w:val="13"/>
                <w:szCs w:val="13"/>
                <w:color w:val="auto"/>
              </w:rPr>
              <w:t>5,292.3</w:t>
            </w:r>
          </w:p>
        </w:tc>
        <w:tc>
          <w:tcPr>
            <w:tcW w:w="240" w:type="dxa"/>
            <w:vAlign w:val="bottom"/>
            <w:shd w:val="clear" w:color="auto" w:fill="D8D8D8"/>
          </w:tcPr>
          <w:p>
            <w:pPr>
              <w:spacing w:after="0"/>
              <w:rPr>
                <w:sz w:val="23"/>
                <w:szCs w:val="23"/>
                <w:color w:val="auto"/>
              </w:rPr>
            </w:pPr>
          </w:p>
        </w:tc>
        <w:tc>
          <w:tcPr>
            <w:tcW w:w="800" w:type="dxa"/>
            <w:vAlign w:val="bottom"/>
            <w:shd w:val="clear" w:color="auto" w:fill="D8D8D8"/>
          </w:tcPr>
          <w:p>
            <w:pPr>
              <w:jc w:val="right"/>
              <w:ind w:right="78"/>
              <w:spacing w:after="0"/>
              <w:rPr>
                <w:sz w:val="20"/>
                <w:szCs w:val="20"/>
                <w:color w:val="auto"/>
              </w:rPr>
            </w:pPr>
            <w:r>
              <w:rPr>
                <w:rFonts w:ascii="Arial" w:cs="Arial" w:eastAsia="Arial" w:hAnsi="Arial"/>
                <w:sz w:val="13"/>
                <w:szCs w:val="13"/>
                <w:color w:val="auto"/>
              </w:rPr>
              <w:t>16,482.7</w:t>
            </w:r>
          </w:p>
        </w:tc>
        <w:tc>
          <w:tcPr>
            <w:tcW w:w="200" w:type="dxa"/>
            <w:vAlign w:val="bottom"/>
            <w:shd w:val="clear" w:color="auto" w:fill="D8D8D8"/>
          </w:tcPr>
          <w:p>
            <w:pPr>
              <w:spacing w:after="0"/>
              <w:rPr>
                <w:sz w:val="23"/>
                <w:szCs w:val="23"/>
                <w:color w:val="auto"/>
              </w:rPr>
            </w:pPr>
          </w:p>
        </w:tc>
        <w:tc>
          <w:tcPr>
            <w:tcW w:w="1240" w:type="dxa"/>
            <w:vAlign w:val="bottom"/>
            <w:shd w:val="clear" w:color="auto" w:fill="D8D8D8"/>
          </w:tcPr>
          <w:p>
            <w:pPr>
              <w:jc w:val="right"/>
              <w:ind w:right="118"/>
              <w:spacing w:after="0"/>
              <w:rPr>
                <w:sz w:val="20"/>
                <w:szCs w:val="20"/>
                <w:color w:val="auto"/>
              </w:rPr>
            </w:pPr>
            <w:r>
              <w:rPr>
                <w:rFonts w:ascii="Arial" w:cs="Arial" w:eastAsia="Arial" w:hAnsi="Arial"/>
                <w:sz w:val="13"/>
                <w:szCs w:val="13"/>
                <w:color w:val="auto"/>
              </w:rPr>
              <w:t>(3,991.8)</w:t>
            </w:r>
          </w:p>
        </w:tc>
        <w:tc>
          <w:tcPr>
            <w:tcW w:w="820" w:type="dxa"/>
            <w:vAlign w:val="bottom"/>
            <w:shd w:val="clear" w:color="auto" w:fill="D8D8D8"/>
          </w:tcPr>
          <w:p>
            <w:pPr>
              <w:jc w:val="right"/>
              <w:ind w:right="98"/>
              <w:spacing w:after="0"/>
              <w:rPr>
                <w:sz w:val="20"/>
                <w:szCs w:val="20"/>
                <w:color w:val="auto"/>
              </w:rPr>
            </w:pPr>
            <w:r>
              <w:rPr>
                <w:rFonts w:ascii="Arial" w:cs="Arial" w:eastAsia="Arial" w:hAnsi="Arial"/>
                <w:sz w:val="13"/>
                <w:szCs w:val="13"/>
                <w:color w:val="auto"/>
              </w:rPr>
              <w:t>810</w:t>
            </w:r>
          </w:p>
        </w:tc>
        <w:tc>
          <w:tcPr>
            <w:tcW w:w="200" w:type="dxa"/>
            <w:vAlign w:val="bottom"/>
            <w:shd w:val="clear" w:color="auto" w:fill="D8D8D8"/>
          </w:tcPr>
          <w:p>
            <w:pPr>
              <w:spacing w:after="0"/>
              <w:rPr>
                <w:sz w:val="23"/>
                <w:szCs w:val="23"/>
                <w:color w:val="auto"/>
              </w:rPr>
            </w:pPr>
          </w:p>
        </w:tc>
        <w:tc>
          <w:tcPr>
            <w:tcW w:w="640" w:type="dxa"/>
            <w:vAlign w:val="bottom"/>
            <w:shd w:val="clear" w:color="auto" w:fill="D8D8D8"/>
          </w:tcPr>
          <w:p>
            <w:pPr>
              <w:jc w:val="right"/>
              <w:spacing w:after="0"/>
              <w:rPr>
                <w:sz w:val="20"/>
                <w:szCs w:val="20"/>
                <w:color w:val="auto"/>
              </w:rPr>
            </w:pPr>
            <w:r>
              <w:rPr>
                <w:rFonts w:ascii="Arial" w:cs="Arial" w:eastAsia="Arial" w:hAnsi="Arial"/>
                <w:sz w:val="13"/>
                <w:szCs w:val="13"/>
                <w:color w:val="auto"/>
              </w:rPr>
              <w:t>(91.4)</w:t>
            </w:r>
          </w:p>
        </w:tc>
        <w:tc>
          <w:tcPr>
            <w:tcW w:w="240" w:type="dxa"/>
            <w:vAlign w:val="bottom"/>
            <w:shd w:val="clear" w:color="auto" w:fill="D8D8D8"/>
          </w:tcPr>
          <w:p>
            <w:pPr>
              <w:spacing w:after="0"/>
              <w:rPr>
                <w:sz w:val="23"/>
                <w:szCs w:val="23"/>
                <w:color w:val="auto"/>
              </w:rPr>
            </w:pPr>
          </w:p>
        </w:tc>
        <w:tc>
          <w:tcPr>
            <w:tcW w:w="700" w:type="dxa"/>
            <w:vAlign w:val="bottom"/>
            <w:shd w:val="clear" w:color="auto" w:fill="D8D8D8"/>
          </w:tcPr>
          <w:p>
            <w:pPr>
              <w:jc w:val="right"/>
              <w:ind w:right="39"/>
              <w:spacing w:after="0"/>
              <w:rPr>
                <w:sz w:val="20"/>
                <w:szCs w:val="20"/>
                <w:color w:val="auto"/>
              </w:rPr>
            </w:pPr>
            <w:r>
              <w:rPr>
                <w:rFonts w:ascii="Arial" w:cs="Arial" w:eastAsia="Arial" w:hAnsi="Arial"/>
                <w:sz w:val="13"/>
                <w:szCs w:val="13"/>
                <w:color w:val="auto"/>
              </w:rPr>
              <w:t>(3,013.2)</w:t>
            </w:r>
          </w:p>
        </w:tc>
        <w:tc>
          <w:tcPr>
            <w:tcW w:w="180" w:type="dxa"/>
            <w:vAlign w:val="bottom"/>
            <w:shd w:val="clear" w:color="auto" w:fill="D8D8D8"/>
          </w:tcPr>
          <w:p>
            <w:pPr>
              <w:spacing w:after="0"/>
              <w:rPr>
                <w:sz w:val="23"/>
                <w:szCs w:val="23"/>
                <w:color w:val="auto"/>
              </w:rPr>
            </w:pPr>
          </w:p>
        </w:tc>
        <w:tc>
          <w:tcPr>
            <w:tcW w:w="900" w:type="dxa"/>
            <w:vAlign w:val="bottom"/>
            <w:shd w:val="clear" w:color="auto" w:fill="D8D8D8"/>
          </w:tcPr>
          <w:p>
            <w:pPr>
              <w:jc w:val="right"/>
              <w:ind w:right="38"/>
              <w:spacing w:after="0"/>
              <w:rPr>
                <w:sz w:val="20"/>
                <w:szCs w:val="20"/>
                <w:color w:val="auto"/>
              </w:rPr>
            </w:pPr>
            <w:r>
              <w:rPr>
                <w:rFonts w:ascii="Arial" w:cs="Arial" w:eastAsia="Arial" w:hAnsi="Arial"/>
                <w:sz w:val="13"/>
                <w:szCs w:val="13"/>
                <w:color w:val="auto"/>
              </w:rPr>
              <w:t>15,373.2</w:t>
            </w:r>
          </w:p>
        </w:tc>
        <w:tc>
          <w:tcPr>
            <w:tcW w:w="0" w:type="dxa"/>
            <w:vAlign w:val="bottom"/>
          </w:tcPr>
          <w:p>
            <w:pPr>
              <w:spacing w:after="0"/>
              <w:rPr>
                <w:sz w:val="1"/>
                <w:szCs w:val="1"/>
                <w:color w:val="auto"/>
              </w:rPr>
            </w:pPr>
          </w:p>
        </w:tc>
      </w:tr>
      <w:tr>
        <w:trPr>
          <w:trHeight w:val="266"/>
        </w:trPr>
        <w:tc>
          <w:tcPr>
            <w:tcW w:w="2520" w:type="dxa"/>
            <w:vAlign w:val="bottom"/>
          </w:tcPr>
          <w:p>
            <w:pPr>
              <w:ind w:left="40"/>
              <w:spacing w:after="0"/>
              <w:rPr>
                <w:sz w:val="20"/>
                <w:szCs w:val="20"/>
                <w:color w:val="auto"/>
              </w:rPr>
            </w:pPr>
            <w:r>
              <w:rPr>
                <w:rFonts w:ascii="Arial" w:cs="Arial" w:eastAsia="Arial" w:hAnsi="Arial"/>
                <w:sz w:val="13"/>
                <w:szCs w:val="13"/>
                <w:color w:val="auto"/>
              </w:rPr>
              <w:t>Net income</w:t>
            </w:r>
          </w:p>
        </w:tc>
        <w:tc>
          <w:tcPr>
            <w:tcW w:w="9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jc w:val="right"/>
              <w:ind w:right="78"/>
              <w:spacing w:after="0"/>
              <w:rPr>
                <w:sz w:val="20"/>
                <w:szCs w:val="20"/>
                <w:color w:val="auto"/>
              </w:rPr>
            </w:pPr>
            <w:r>
              <w:rPr>
                <w:rFonts w:ascii="Arial" w:cs="Arial" w:eastAsia="Arial" w:hAnsi="Arial"/>
                <w:sz w:val="13"/>
                <w:szCs w:val="13"/>
                <w:b w:val="1"/>
                <w:bCs w:val="1"/>
                <w:color w:val="auto"/>
              </w:rPr>
              <w:t>2,408.4</w:t>
            </w:r>
          </w:p>
        </w:tc>
        <w:tc>
          <w:tcPr>
            <w:tcW w:w="2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00" w:type="dxa"/>
            <w:vAlign w:val="bottom"/>
          </w:tcPr>
          <w:p>
            <w:pPr>
              <w:jc w:val="right"/>
              <w:ind w:right="38"/>
              <w:spacing w:after="0"/>
              <w:rPr>
                <w:sz w:val="20"/>
                <w:szCs w:val="20"/>
                <w:color w:val="auto"/>
              </w:rPr>
            </w:pPr>
            <w:r>
              <w:rPr>
                <w:rFonts w:ascii="Arial" w:cs="Arial" w:eastAsia="Arial" w:hAnsi="Arial"/>
                <w:sz w:val="13"/>
                <w:szCs w:val="13"/>
                <w:b w:val="1"/>
                <w:bCs w:val="1"/>
                <w:color w:val="auto"/>
              </w:rPr>
              <w:t>2,408.4</w:t>
            </w:r>
          </w:p>
        </w:tc>
        <w:tc>
          <w:tcPr>
            <w:tcW w:w="0" w:type="dxa"/>
            <w:vAlign w:val="bottom"/>
          </w:tcPr>
          <w:p>
            <w:pPr>
              <w:spacing w:after="0"/>
              <w:rPr>
                <w:sz w:val="1"/>
                <w:szCs w:val="1"/>
                <w:color w:val="auto"/>
              </w:rPr>
            </w:pPr>
          </w:p>
        </w:tc>
      </w:tr>
      <w:tr>
        <w:trPr>
          <w:trHeight w:val="144"/>
        </w:trPr>
        <w:tc>
          <w:tcPr>
            <w:tcW w:w="2520" w:type="dxa"/>
            <w:vAlign w:val="bottom"/>
            <w:shd w:val="clear" w:color="auto" w:fill="D8D8D8"/>
          </w:tcPr>
          <w:p>
            <w:pPr>
              <w:ind w:left="40"/>
              <w:spacing w:after="0" w:line="144" w:lineRule="exact"/>
              <w:rPr>
                <w:sz w:val="20"/>
                <w:szCs w:val="20"/>
                <w:color w:val="auto"/>
              </w:rPr>
            </w:pPr>
            <w:r>
              <w:rPr>
                <w:rFonts w:ascii="Arial" w:cs="Arial" w:eastAsia="Arial" w:hAnsi="Arial"/>
                <w:sz w:val="13"/>
                <w:szCs w:val="13"/>
                <w:color w:val="auto"/>
              </w:rPr>
              <w:t>Other comprehensive income (loss), net of</w:t>
            </w:r>
          </w:p>
        </w:tc>
        <w:tc>
          <w:tcPr>
            <w:tcW w:w="960" w:type="dxa"/>
            <w:vAlign w:val="bottom"/>
            <w:shd w:val="clear" w:color="auto" w:fill="D8D8D8"/>
          </w:tcPr>
          <w:p>
            <w:pPr>
              <w:spacing w:after="0"/>
              <w:rPr>
                <w:sz w:val="12"/>
                <w:szCs w:val="12"/>
                <w:color w:val="auto"/>
              </w:rPr>
            </w:pPr>
          </w:p>
        </w:tc>
        <w:tc>
          <w:tcPr>
            <w:tcW w:w="220" w:type="dxa"/>
            <w:vAlign w:val="bottom"/>
            <w:shd w:val="clear" w:color="auto" w:fill="D8D8D8"/>
          </w:tcPr>
          <w:p>
            <w:pPr>
              <w:spacing w:after="0"/>
              <w:rPr>
                <w:sz w:val="12"/>
                <w:szCs w:val="12"/>
                <w:color w:val="auto"/>
              </w:rPr>
            </w:pPr>
          </w:p>
        </w:tc>
        <w:tc>
          <w:tcPr>
            <w:tcW w:w="580" w:type="dxa"/>
            <w:vAlign w:val="bottom"/>
            <w:shd w:val="clear" w:color="auto" w:fill="D8D8D8"/>
          </w:tcPr>
          <w:p>
            <w:pPr>
              <w:spacing w:after="0"/>
              <w:rPr>
                <w:sz w:val="12"/>
                <w:szCs w:val="12"/>
                <w:color w:val="auto"/>
              </w:rPr>
            </w:pPr>
          </w:p>
        </w:tc>
        <w:tc>
          <w:tcPr>
            <w:tcW w:w="240" w:type="dxa"/>
            <w:vAlign w:val="bottom"/>
            <w:shd w:val="clear" w:color="auto" w:fill="D8D8D8"/>
          </w:tcPr>
          <w:p>
            <w:pPr>
              <w:spacing w:after="0"/>
              <w:rPr>
                <w:sz w:val="12"/>
                <w:szCs w:val="12"/>
                <w:color w:val="auto"/>
              </w:rPr>
            </w:pPr>
          </w:p>
        </w:tc>
        <w:tc>
          <w:tcPr>
            <w:tcW w:w="740" w:type="dxa"/>
            <w:vAlign w:val="bottom"/>
            <w:shd w:val="clear" w:color="auto" w:fill="D8D8D8"/>
          </w:tcPr>
          <w:p>
            <w:pPr>
              <w:spacing w:after="0"/>
              <w:rPr>
                <w:sz w:val="12"/>
                <w:szCs w:val="12"/>
                <w:color w:val="auto"/>
              </w:rPr>
            </w:pPr>
          </w:p>
        </w:tc>
        <w:tc>
          <w:tcPr>
            <w:tcW w:w="240" w:type="dxa"/>
            <w:vAlign w:val="bottom"/>
            <w:shd w:val="clear" w:color="auto" w:fill="D8D8D8"/>
          </w:tcPr>
          <w:p>
            <w:pPr>
              <w:spacing w:after="0"/>
              <w:rPr>
                <w:sz w:val="12"/>
                <w:szCs w:val="12"/>
                <w:color w:val="auto"/>
              </w:rPr>
            </w:pPr>
          </w:p>
        </w:tc>
        <w:tc>
          <w:tcPr>
            <w:tcW w:w="800" w:type="dxa"/>
            <w:vAlign w:val="bottom"/>
            <w:shd w:val="clear" w:color="auto" w:fill="D8D8D8"/>
          </w:tcPr>
          <w:p>
            <w:pPr>
              <w:spacing w:after="0"/>
              <w:rPr>
                <w:sz w:val="12"/>
                <w:szCs w:val="12"/>
                <w:color w:val="auto"/>
              </w:rPr>
            </w:pPr>
          </w:p>
        </w:tc>
        <w:tc>
          <w:tcPr>
            <w:tcW w:w="200" w:type="dxa"/>
            <w:vAlign w:val="bottom"/>
            <w:shd w:val="clear" w:color="auto" w:fill="D8D8D8"/>
          </w:tcPr>
          <w:p>
            <w:pPr>
              <w:spacing w:after="0"/>
              <w:rPr>
                <w:sz w:val="12"/>
                <w:szCs w:val="12"/>
                <w:color w:val="auto"/>
              </w:rPr>
            </w:pPr>
          </w:p>
        </w:tc>
        <w:tc>
          <w:tcPr>
            <w:tcW w:w="1240" w:type="dxa"/>
            <w:vAlign w:val="bottom"/>
            <w:vMerge w:val="restart"/>
            <w:shd w:val="clear" w:color="auto" w:fill="D8D8D8"/>
          </w:tcPr>
          <w:p>
            <w:pPr>
              <w:jc w:val="right"/>
              <w:ind w:right="118"/>
              <w:spacing w:after="0"/>
              <w:rPr>
                <w:sz w:val="20"/>
                <w:szCs w:val="20"/>
                <w:color w:val="auto"/>
              </w:rPr>
            </w:pPr>
            <w:r>
              <w:rPr>
                <w:rFonts w:ascii="Arial" w:cs="Arial" w:eastAsia="Arial" w:hAnsi="Arial"/>
                <w:sz w:val="13"/>
                <w:szCs w:val="13"/>
                <w:b w:val="1"/>
                <w:bCs w:val="1"/>
                <w:color w:val="auto"/>
              </w:rPr>
              <w:t>(588.9)</w:t>
            </w:r>
          </w:p>
        </w:tc>
        <w:tc>
          <w:tcPr>
            <w:tcW w:w="820" w:type="dxa"/>
            <w:vAlign w:val="bottom"/>
            <w:shd w:val="clear" w:color="auto" w:fill="D8D8D8"/>
          </w:tcPr>
          <w:p>
            <w:pPr>
              <w:spacing w:after="0"/>
              <w:rPr>
                <w:sz w:val="12"/>
                <w:szCs w:val="12"/>
                <w:color w:val="auto"/>
              </w:rPr>
            </w:pPr>
          </w:p>
        </w:tc>
        <w:tc>
          <w:tcPr>
            <w:tcW w:w="200" w:type="dxa"/>
            <w:vAlign w:val="bottom"/>
            <w:shd w:val="clear" w:color="auto" w:fill="D8D8D8"/>
          </w:tcPr>
          <w:p>
            <w:pPr>
              <w:spacing w:after="0"/>
              <w:rPr>
                <w:sz w:val="12"/>
                <w:szCs w:val="12"/>
                <w:color w:val="auto"/>
              </w:rPr>
            </w:pPr>
          </w:p>
        </w:tc>
        <w:tc>
          <w:tcPr>
            <w:tcW w:w="640" w:type="dxa"/>
            <w:vAlign w:val="bottom"/>
            <w:shd w:val="clear" w:color="auto" w:fill="D8D8D8"/>
          </w:tcPr>
          <w:p>
            <w:pPr>
              <w:spacing w:after="0"/>
              <w:rPr>
                <w:sz w:val="12"/>
                <w:szCs w:val="12"/>
                <w:color w:val="auto"/>
              </w:rPr>
            </w:pPr>
          </w:p>
        </w:tc>
        <w:tc>
          <w:tcPr>
            <w:tcW w:w="240" w:type="dxa"/>
            <w:vAlign w:val="bottom"/>
            <w:shd w:val="clear" w:color="auto" w:fill="D8D8D8"/>
          </w:tcPr>
          <w:p>
            <w:pPr>
              <w:spacing w:after="0"/>
              <w:rPr>
                <w:sz w:val="12"/>
                <w:szCs w:val="12"/>
                <w:color w:val="auto"/>
              </w:rPr>
            </w:pPr>
          </w:p>
        </w:tc>
        <w:tc>
          <w:tcPr>
            <w:tcW w:w="700" w:type="dxa"/>
            <w:vAlign w:val="bottom"/>
            <w:shd w:val="clear" w:color="auto" w:fill="D8D8D8"/>
          </w:tcPr>
          <w:p>
            <w:pPr>
              <w:spacing w:after="0"/>
              <w:rPr>
                <w:sz w:val="12"/>
                <w:szCs w:val="12"/>
                <w:color w:val="auto"/>
              </w:rPr>
            </w:pPr>
          </w:p>
        </w:tc>
        <w:tc>
          <w:tcPr>
            <w:tcW w:w="180" w:type="dxa"/>
            <w:vAlign w:val="bottom"/>
            <w:shd w:val="clear" w:color="auto" w:fill="D8D8D8"/>
          </w:tcPr>
          <w:p>
            <w:pPr>
              <w:spacing w:after="0"/>
              <w:rPr>
                <w:sz w:val="12"/>
                <w:szCs w:val="12"/>
                <w:color w:val="auto"/>
              </w:rPr>
            </w:pPr>
          </w:p>
        </w:tc>
        <w:tc>
          <w:tcPr>
            <w:tcW w:w="900" w:type="dxa"/>
            <w:vAlign w:val="bottom"/>
            <w:vMerge w:val="restart"/>
            <w:shd w:val="clear" w:color="auto" w:fill="D8D8D8"/>
          </w:tcPr>
          <w:p>
            <w:pPr>
              <w:jc w:val="right"/>
              <w:spacing w:after="0"/>
              <w:rPr>
                <w:sz w:val="20"/>
                <w:szCs w:val="20"/>
                <w:color w:val="auto"/>
              </w:rPr>
            </w:pPr>
            <w:r>
              <w:rPr>
                <w:rFonts w:ascii="Arial" w:cs="Arial" w:eastAsia="Arial" w:hAnsi="Arial"/>
                <w:sz w:val="13"/>
                <w:szCs w:val="13"/>
                <w:b w:val="1"/>
                <w:bCs w:val="1"/>
                <w:color w:val="auto"/>
              </w:rPr>
              <w:t>(588.9)</w:t>
            </w:r>
          </w:p>
        </w:tc>
        <w:tc>
          <w:tcPr>
            <w:tcW w:w="0" w:type="dxa"/>
            <w:vAlign w:val="bottom"/>
          </w:tcPr>
          <w:p>
            <w:pPr>
              <w:spacing w:after="0"/>
              <w:rPr>
                <w:sz w:val="1"/>
                <w:szCs w:val="1"/>
                <w:color w:val="auto"/>
              </w:rPr>
            </w:pPr>
          </w:p>
        </w:tc>
      </w:tr>
      <w:tr>
        <w:trPr>
          <w:trHeight w:val="184"/>
        </w:trPr>
        <w:tc>
          <w:tcPr>
            <w:tcW w:w="2520" w:type="dxa"/>
            <w:vAlign w:val="bottom"/>
            <w:shd w:val="clear" w:color="auto" w:fill="D8D8D8"/>
          </w:tcPr>
          <w:p>
            <w:pPr>
              <w:ind w:left="40"/>
              <w:spacing w:after="0"/>
              <w:rPr>
                <w:sz w:val="20"/>
                <w:szCs w:val="20"/>
                <w:color w:val="auto"/>
              </w:rPr>
            </w:pPr>
            <w:r>
              <w:rPr>
                <w:rFonts w:ascii="Arial" w:cs="Arial" w:eastAsia="Arial" w:hAnsi="Arial"/>
                <w:sz w:val="13"/>
                <w:szCs w:val="13"/>
                <w:color w:val="auto"/>
              </w:rPr>
              <w:t>tax</w:t>
            </w:r>
          </w:p>
        </w:tc>
        <w:tc>
          <w:tcPr>
            <w:tcW w:w="960" w:type="dxa"/>
            <w:vAlign w:val="bottom"/>
            <w:shd w:val="clear" w:color="auto" w:fill="D8D8D8"/>
          </w:tcPr>
          <w:p>
            <w:pPr>
              <w:spacing w:after="0"/>
              <w:rPr>
                <w:sz w:val="16"/>
                <w:szCs w:val="16"/>
                <w:color w:val="auto"/>
              </w:rPr>
            </w:pPr>
          </w:p>
        </w:tc>
        <w:tc>
          <w:tcPr>
            <w:tcW w:w="220" w:type="dxa"/>
            <w:vAlign w:val="bottom"/>
            <w:shd w:val="clear" w:color="auto" w:fill="D8D8D8"/>
          </w:tcPr>
          <w:p>
            <w:pPr>
              <w:spacing w:after="0"/>
              <w:rPr>
                <w:sz w:val="16"/>
                <w:szCs w:val="16"/>
                <w:color w:val="auto"/>
              </w:rPr>
            </w:pPr>
          </w:p>
        </w:tc>
        <w:tc>
          <w:tcPr>
            <w:tcW w:w="580" w:type="dxa"/>
            <w:vAlign w:val="bottom"/>
            <w:shd w:val="clear" w:color="auto" w:fill="D8D8D8"/>
          </w:tcPr>
          <w:p>
            <w:pPr>
              <w:spacing w:after="0"/>
              <w:rPr>
                <w:sz w:val="16"/>
                <w:szCs w:val="16"/>
                <w:color w:val="auto"/>
              </w:rPr>
            </w:pPr>
          </w:p>
        </w:tc>
        <w:tc>
          <w:tcPr>
            <w:tcW w:w="240" w:type="dxa"/>
            <w:vAlign w:val="bottom"/>
            <w:shd w:val="clear" w:color="auto" w:fill="D8D8D8"/>
          </w:tcPr>
          <w:p>
            <w:pPr>
              <w:spacing w:after="0"/>
              <w:rPr>
                <w:sz w:val="16"/>
                <w:szCs w:val="16"/>
                <w:color w:val="auto"/>
              </w:rPr>
            </w:pPr>
          </w:p>
        </w:tc>
        <w:tc>
          <w:tcPr>
            <w:tcW w:w="740" w:type="dxa"/>
            <w:vAlign w:val="bottom"/>
            <w:shd w:val="clear" w:color="auto" w:fill="D8D8D8"/>
          </w:tcPr>
          <w:p>
            <w:pPr>
              <w:spacing w:after="0"/>
              <w:rPr>
                <w:sz w:val="16"/>
                <w:szCs w:val="16"/>
                <w:color w:val="auto"/>
              </w:rPr>
            </w:pPr>
          </w:p>
        </w:tc>
        <w:tc>
          <w:tcPr>
            <w:tcW w:w="240" w:type="dxa"/>
            <w:vAlign w:val="bottom"/>
            <w:shd w:val="clear" w:color="auto" w:fill="D8D8D8"/>
          </w:tcPr>
          <w:p>
            <w:pPr>
              <w:spacing w:after="0"/>
              <w:rPr>
                <w:sz w:val="16"/>
                <w:szCs w:val="16"/>
                <w:color w:val="auto"/>
              </w:rPr>
            </w:pPr>
          </w:p>
        </w:tc>
        <w:tc>
          <w:tcPr>
            <w:tcW w:w="800" w:type="dxa"/>
            <w:vAlign w:val="bottom"/>
            <w:shd w:val="clear" w:color="auto" w:fill="D8D8D8"/>
          </w:tcPr>
          <w:p>
            <w:pPr>
              <w:spacing w:after="0"/>
              <w:rPr>
                <w:sz w:val="16"/>
                <w:szCs w:val="16"/>
                <w:color w:val="auto"/>
              </w:rPr>
            </w:pPr>
          </w:p>
        </w:tc>
        <w:tc>
          <w:tcPr>
            <w:tcW w:w="200" w:type="dxa"/>
            <w:vAlign w:val="bottom"/>
            <w:shd w:val="clear" w:color="auto" w:fill="D8D8D8"/>
          </w:tcPr>
          <w:p>
            <w:pPr>
              <w:spacing w:after="0"/>
              <w:rPr>
                <w:sz w:val="16"/>
                <w:szCs w:val="16"/>
                <w:color w:val="auto"/>
              </w:rPr>
            </w:pPr>
          </w:p>
        </w:tc>
        <w:tc>
          <w:tcPr>
            <w:tcW w:w="1240" w:type="dxa"/>
            <w:vAlign w:val="bottom"/>
            <w:vMerge w:val="continue"/>
            <w:shd w:val="clear" w:color="auto" w:fill="D8D8D8"/>
          </w:tcPr>
          <w:p>
            <w:pPr>
              <w:spacing w:after="0"/>
              <w:rPr>
                <w:sz w:val="16"/>
                <w:szCs w:val="16"/>
                <w:color w:val="auto"/>
              </w:rPr>
            </w:pPr>
          </w:p>
        </w:tc>
        <w:tc>
          <w:tcPr>
            <w:tcW w:w="820" w:type="dxa"/>
            <w:vAlign w:val="bottom"/>
            <w:shd w:val="clear" w:color="auto" w:fill="D8D8D8"/>
          </w:tcPr>
          <w:p>
            <w:pPr>
              <w:spacing w:after="0"/>
              <w:rPr>
                <w:sz w:val="16"/>
                <w:szCs w:val="16"/>
                <w:color w:val="auto"/>
              </w:rPr>
            </w:pPr>
          </w:p>
        </w:tc>
        <w:tc>
          <w:tcPr>
            <w:tcW w:w="200" w:type="dxa"/>
            <w:vAlign w:val="bottom"/>
            <w:shd w:val="clear" w:color="auto" w:fill="D8D8D8"/>
          </w:tcPr>
          <w:p>
            <w:pPr>
              <w:spacing w:after="0"/>
              <w:rPr>
                <w:sz w:val="16"/>
                <w:szCs w:val="16"/>
                <w:color w:val="auto"/>
              </w:rPr>
            </w:pPr>
          </w:p>
        </w:tc>
        <w:tc>
          <w:tcPr>
            <w:tcW w:w="640" w:type="dxa"/>
            <w:vAlign w:val="bottom"/>
            <w:shd w:val="clear" w:color="auto" w:fill="D8D8D8"/>
          </w:tcPr>
          <w:p>
            <w:pPr>
              <w:spacing w:after="0"/>
              <w:rPr>
                <w:sz w:val="16"/>
                <w:szCs w:val="16"/>
                <w:color w:val="auto"/>
              </w:rPr>
            </w:pPr>
          </w:p>
        </w:tc>
        <w:tc>
          <w:tcPr>
            <w:tcW w:w="240" w:type="dxa"/>
            <w:vAlign w:val="bottom"/>
            <w:shd w:val="clear" w:color="auto" w:fill="D8D8D8"/>
          </w:tcPr>
          <w:p>
            <w:pPr>
              <w:spacing w:after="0"/>
              <w:rPr>
                <w:sz w:val="16"/>
                <w:szCs w:val="16"/>
                <w:color w:val="auto"/>
              </w:rPr>
            </w:pPr>
          </w:p>
        </w:tc>
        <w:tc>
          <w:tcPr>
            <w:tcW w:w="700" w:type="dxa"/>
            <w:vAlign w:val="bottom"/>
            <w:shd w:val="clear" w:color="auto" w:fill="D8D8D8"/>
          </w:tcPr>
          <w:p>
            <w:pPr>
              <w:spacing w:after="0"/>
              <w:rPr>
                <w:sz w:val="16"/>
                <w:szCs w:val="16"/>
                <w:color w:val="auto"/>
              </w:rPr>
            </w:pPr>
          </w:p>
        </w:tc>
        <w:tc>
          <w:tcPr>
            <w:tcW w:w="180" w:type="dxa"/>
            <w:vAlign w:val="bottom"/>
            <w:shd w:val="clear" w:color="auto" w:fill="D8D8D8"/>
          </w:tcPr>
          <w:p>
            <w:pPr>
              <w:spacing w:after="0"/>
              <w:rPr>
                <w:sz w:val="16"/>
                <w:szCs w:val="16"/>
                <w:color w:val="auto"/>
              </w:rPr>
            </w:pPr>
          </w:p>
        </w:tc>
        <w:tc>
          <w:tcPr>
            <w:tcW w:w="900" w:type="dxa"/>
            <w:vAlign w:val="bottom"/>
            <w:vMerge w:val="continue"/>
            <w:shd w:val="clear" w:color="auto" w:fill="D8D8D8"/>
          </w:tcPr>
          <w:p>
            <w:pPr>
              <w:spacing w:after="0"/>
              <w:rPr>
                <w:sz w:val="16"/>
                <w:szCs w:val="16"/>
                <w:color w:val="auto"/>
              </w:rPr>
            </w:pPr>
          </w:p>
        </w:tc>
        <w:tc>
          <w:tcPr>
            <w:tcW w:w="0" w:type="dxa"/>
            <w:vAlign w:val="bottom"/>
          </w:tcPr>
          <w:p>
            <w:pPr>
              <w:spacing w:after="0"/>
              <w:rPr>
                <w:sz w:val="1"/>
                <w:szCs w:val="1"/>
                <w:color w:val="auto"/>
              </w:rPr>
            </w:pPr>
          </w:p>
        </w:tc>
      </w:tr>
      <w:tr>
        <w:trPr>
          <w:trHeight w:val="266"/>
        </w:trPr>
        <w:tc>
          <w:tcPr>
            <w:tcW w:w="2520" w:type="dxa"/>
            <w:vAlign w:val="bottom"/>
          </w:tcPr>
          <w:p>
            <w:pPr>
              <w:ind w:left="40"/>
              <w:spacing w:after="0"/>
              <w:rPr>
                <w:sz w:val="20"/>
                <w:szCs w:val="20"/>
                <w:color w:val="auto"/>
              </w:rPr>
            </w:pPr>
            <w:r>
              <w:rPr>
                <w:rFonts w:ascii="Arial" w:cs="Arial" w:eastAsia="Arial" w:hAnsi="Arial"/>
                <w:sz w:val="13"/>
                <w:szCs w:val="13"/>
                <w:color w:val="auto"/>
              </w:rPr>
              <w:t>Cash dividends declared per share: $2.01</w:t>
            </w:r>
          </w:p>
        </w:tc>
        <w:tc>
          <w:tcPr>
            <w:tcW w:w="9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jc w:val="right"/>
              <w:ind w:right="38"/>
              <w:spacing w:after="0"/>
              <w:rPr>
                <w:sz w:val="20"/>
                <w:szCs w:val="20"/>
                <w:color w:val="auto"/>
              </w:rPr>
            </w:pPr>
            <w:r>
              <w:rPr>
                <w:rFonts w:ascii="Arial" w:cs="Arial" w:eastAsia="Arial" w:hAnsi="Arial"/>
                <w:sz w:val="13"/>
                <w:szCs w:val="13"/>
                <w:b w:val="1"/>
                <w:bCs w:val="1"/>
                <w:color w:val="auto"/>
              </w:rPr>
              <w:t>(2,136.0)</w:t>
            </w:r>
          </w:p>
        </w:tc>
        <w:tc>
          <w:tcPr>
            <w:tcW w:w="2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3"/>
                <w:szCs w:val="13"/>
                <w:b w:val="1"/>
                <w:bCs w:val="1"/>
                <w:color w:val="auto"/>
              </w:rPr>
              <w:t>(2,136.0)</w:t>
            </w:r>
          </w:p>
        </w:tc>
        <w:tc>
          <w:tcPr>
            <w:tcW w:w="0" w:type="dxa"/>
            <w:vAlign w:val="bottom"/>
          </w:tcPr>
          <w:p>
            <w:pPr>
              <w:spacing w:after="0"/>
              <w:rPr>
                <w:sz w:val="1"/>
                <w:szCs w:val="1"/>
                <w:color w:val="auto"/>
              </w:rPr>
            </w:pPr>
          </w:p>
        </w:tc>
      </w:tr>
      <w:tr>
        <w:trPr>
          <w:trHeight w:val="274"/>
        </w:trPr>
        <w:tc>
          <w:tcPr>
            <w:tcW w:w="2520" w:type="dxa"/>
            <w:vAlign w:val="bottom"/>
            <w:shd w:val="clear" w:color="auto" w:fill="D8D8D8"/>
          </w:tcPr>
          <w:p>
            <w:pPr>
              <w:ind w:left="40"/>
              <w:spacing w:after="0"/>
              <w:rPr>
                <w:sz w:val="20"/>
                <w:szCs w:val="20"/>
                <w:color w:val="auto"/>
              </w:rPr>
            </w:pPr>
            <w:r>
              <w:rPr>
                <w:rFonts w:ascii="Arial" w:cs="Arial" w:eastAsia="Arial" w:hAnsi="Arial"/>
                <w:sz w:val="13"/>
                <w:szCs w:val="13"/>
                <w:color w:val="auto"/>
              </w:rPr>
              <w:t>Retirement of treasury shares</w:t>
            </w:r>
          </w:p>
        </w:tc>
        <w:tc>
          <w:tcPr>
            <w:tcW w:w="960" w:type="dxa"/>
            <w:vAlign w:val="bottom"/>
            <w:shd w:val="clear" w:color="auto" w:fill="D8D8D8"/>
          </w:tcPr>
          <w:p>
            <w:pPr>
              <w:jc w:val="right"/>
              <w:ind w:right="38"/>
              <w:spacing w:after="0"/>
              <w:rPr>
                <w:sz w:val="20"/>
                <w:szCs w:val="20"/>
                <w:color w:val="auto"/>
              </w:rPr>
            </w:pPr>
            <w:r>
              <w:rPr>
                <w:rFonts w:ascii="Arial" w:cs="Arial" w:eastAsia="Arial" w:hAnsi="Arial"/>
                <w:sz w:val="13"/>
                <w:szCs w:val="13"/>
                <w:b w:val="1"/>
                <w:bCs w:val="1"/>
                <w:color w:val="auto"/>
              </w:rPr>
              <w:t>(9,877)</w:t>
            </w:r>
          </w:p>
        </w:tc>
        <w:tc>
          <w:tcPr>
            <w:tcW w:w="220" w:type="dxa"/>
            <w:vAlign w:val="bottom"/>
            <w:shd w:val="clear" w:color="auto" w:fill="D8D8D8"/>
          </w:tcPr>
          <w:p>
            <w:pPr>
              <w:spacing w:after="0"/>
              <w:rPr>
                <w:sz w:val="23"/>
                <w:szCs w:val="23"/>
                <w:color w:val="auto"/>
              </w:rPr>
            </w:pPr>
          </w:p>
        </w:tc>
        <w:tc>
          <w:tcPr>
            <w:tcW w:w="580" w:type="dxa"/>
            <w:vAlign w:val="bottom"/>
            <w:shd w:val="clear" w:color="auto" w:fill="D8D8D8"/>
          </w:tcPr>
          <w:p>
            <w:pPr>
              <w:jc w:val="right"/>
              <w:ind w:right="18"/>
              <w:spacing w:after="0"/>
              <w:rPr>
                <w:sz w:val="20"/>
                <w:szCs w:val="20"/>
                <w:color w:val="auto"/>
              </w:rPr>
            </w:pPr>
            <w:r>
              <w:rPr>
                <w:rFonts w:ascii="Arial" w:cs="Arial" w:eastAsia="Arial" w:hAnsi="Arial"/>
                <w:sz w:val="13"/>
                <w:szCs w:val="13"/>
                <w:b w:val="1"/>
                <w:bCs w:val="1"/>
                <w:color w:val="auto"/>
              </w:rPr>
              <w:t>(6.2)</w:t>
            </w:r>
          </w:p>
        </w:tc>
        <w:tc>
          <w:tcPr>
            <w:tcW w:w="240" w:type="dxa"/>
            <w:vAlign w:val="bottom"/>
            <w:shd w:val="clear" w:color="auto" w:fill="D8D8D8"/>
          </w:tcPr>
          <w:p>
            <w:pPr>
              <w:spacing w:after="0"/>
              <w:rPr>
                <w:sz w:val="23"/>
                <w:szCs w:val="23"/>
                <w:color w:val="auto"/>
              </w:rPr>
            </w:pPr>
          </w:p>
        </w:tc>
        <w:tc>
          <w:tcPr>
            <w:tcW w:w="740" w:type="dxa"/>
            <w:vAlign w:val="bottom"/>
            <w:shd w:val="clear" w:color="auto" w:fill="D8D8D8"/>
          </w:tcPr>
          <w:p>
            <w:pPr>
              <w:spacing w:after="0"/>
              <w:rPr>
                <w:sz w:val="23"/>
                <w:szCs w:val="23"/>
                <w:color w:val="auto"/>
              </w:rPr>
            </w:pPr>
          </w:p>
        </w:tc>
        <w:tc>
          <w:tcPr>
            <w:tcW w:w="240" w:type="dxa"/>
            <w:vAlign w:val="bottom"/>
            <w:shd w:val="clear" w:color="auto" w:fill="D8D8D8"/>
          </w:tcPr>
          <w:p>
            <w:pPr>
              <w:spacing w:after="0"/>
              <w:rPr>
                <w:sz w:val="23"/>
                <w:szCs w:val="23"/>
                <w:color w:val="auto"/>
              </w:rPr>
            </w:pPr>
          </w:p>
        </w:tc>
        <w:tc>
          <w:tcPr>
            <w:tcW w:w="800" w:type="dxa"/>
            <w:vAlign w:val="bottom"/>
            <w:shd w:val="clear" w:color="auto" w:fill="D8D8D8"/>
          </w:tcPr>
          <w:p>
            <w:pPr>
              <w:jc w:val="right"/>
              <w:ind w:right="38"/>
              <w:spacing w:after="0"/>
              <w:rPr>
                <w:sz w:val="20"/>
                <w:szCs w:val="20"/>
                <w:color w:val="auto"/>
              </w:rPr>
            </w:pPr>
            <w:r>
              <w:rPr>
                <w:rFonts w:ascii="Arial" w:cs="Arial" w:eastAsia="Arial" w:hAnsi="Arial"/>
                <w:sz w:val="13"/>
                <w:szCs w:val="13"/>
                <w:b w:val="1"/>
                <w:bCs w:val="1"/>
                <w:color w:val="auto"/>
              </w:rPr>
              <w:t>(743.3)</w:t>
            </w:r>
          </w:p>
        </w:tc>
        <w:tc>
          <w:tcPr>
            <w:tcW w:w="200" w:type="dxa"/>
            <w:vAlign w:val="bottom"/>
            <w:shd w:val="clear" w:color="auto" w:fill="D8D8D8"/>
          </w:tcPr>
          <w:p>
            <w:pPr>
              <w:spacing w:after="0"/>
              <w:rPr>
                <w:sz w:val="23"/>
                <w:szCs w:val="23"/>
                <w:color w:val="auto"/>
              </w:rPr>
            </w:pPr>
          </w:p>
        </w:tc>
        <w:tc>
          <w:tcPr>
            <w:tcW w:w="1240" w:type="dxa"/>
            <w:vAlign w:val="bottom"/>
            <w:shd w:val="clear" w:color="auto" w:fill="D8D8D8"/>
          </w:tcPr>
          <w:p>
            <w:pPr>
              <w:spacing w:after="0"/>
              <w:rPr>
                <w:sz w:val="23"/>
                <w:szCs w:val="23"/>
                <w:color w:val="auto"/>
              </w:rPr>
            </w:pPr>
          </w:p>
        </w:tc>
        <w:tc>
          <w:tcPr>
            <w:tcW w:w="820" w:type="dxa"/>
            <w:vAlign w:val="bottom"/>
            <w:shd w:val="clear" w:color="auto" w:fill="D8D8D8"/>
          </w:tcPr>
          <w:p>
            <w:pPr>
              <w:jc w:val="right"/>
              <w:ind w:right="38"/>
              <w:spacing w:after="0"/>
              <w:rPr>
                <w:sz w:val="20"/>
                <w:szCs w:val="20"/>
                <w:color w:val="auto"/>
              </w:rPr>
            </w:pPr>
            <w:r>
              <w:rPr>
                <w:rFonts w:ascii="Arial" w:cs="Arial" w:eastAsia="Arial" w:hAnsi="Arial"/>
                <w:sz w:val="13"/>
                <w:szCs w:val="13"/>
                <w:b w:val="1"/>
                <w:bCs w:val="1"/>
                <w:color w:val="auto"/>
              </w:rPr>
              <w:t>(9,877)</w:t>
            </w:r>
          </w:p>
        </w:tc>
        <w:tc>
          <w:tcPr>
            <w:tcW w:w="200" w:type="dxa"/>
            <w:vAlign w:val="bottom"/>
            <w:shd w:val="clear" w:color="auto" w:fill="D8D8D8"/>
          </w:tcPr>
          <w:p>
            <w:pPr>
              <w:spacing w:after="0"/>
              <w:rPr>
                <w:sz w:val="23"/>
                <w:szCs w:val="23"/>
                <w:color w:val="auto"/>
              </w:rPr>
            </w:pPr>
          </w:p>
        </w:tc>
        <w:tc>
          <w:tcPr>
            <w:tcW w:w="640" w:type="dxa"/>
            <w:vAlign w:val="bottom"/>
            <w:shd w:val="clear" w:color="auto" w:fill="D8D8D8"/>
          </w:tcPr>
          <w:p>
            <w:pPr>
              <w:jc w:val="right"/>
              <w:ind w:right="38"/>
              <w:spacing w:after="0"/>
              <w:rPr>
                <w:sz w:val="20"/>
                <w:szCs w:val="20"/>
                <w:color w:val="auto"/>
              </w:rPr>
            </w:pPr>
            <w:r>
              <w:rPr>
                <w:rFonts w:ascii="Arial" w:cs="Arial" w:eastAsia="Arial" w:hAnsi="Arial"/>
                <w:sz w:val="13"/>
                <w:szCs w:val="13"/>
                <w:b w:val="1"/>
                <w:bCs w:val="1"/>
                <w:color w:val="auto"/>
              </w:rPr>
              <w:t>749.5</w:t>
            </w:r>
          </w:p>
        </w:tc>
        <w:tc>
          <w:tcPr>
            <w:tcW w:w="240" w:type="dxa"/>
            <w:vAlign w:val="bottom"/>
            <w:shd w:val="clear" w:color="auto" w:fill="D8D8D8"/>
          </w:tcPr>
          <w:p>
            <w:pPr>
              <w:spacing w:after="0"/>
              <w:rPr>
                <w:sz w:val="23"/>
                <w:szCs w:val="23"/>
                <w:color w:val="auto"/>
              </w:rPr>
            </w:pPr>
          </w:p>
        </w:tc>
        <w:tc>
          <w:tcPr>
            <w:tcW w:w="700" w:type="dxa"/>
            <w:vAlign w:val="bottom"/>
            <w:shd w:val="clear" w:color="auto" w:fill="D8D8D8"/>
          </w:tcPr>
          <w:p>
            <w:pPr>
              <w:spacing w:after="0"/>
              <w:rPr>
                <w:sz w:val="23"/>
                <w:szCs w:val="23"/>
                <w:color w:val="auto"/>
              </w:rPr>
            </w:pPr>
          </w:p>
        </w:tc>
        <w:tc>
          <w:tcPr>
            <w:tcW w:w="180" w:type="dxa"/>
            <w:vAlign w:val="bottom"/>
            <w:shd w:val="clear" w:color="auto" w:fill="D8D8D8"/>
          </w:tcPr>
          <w:p>
            <w:pPr>
              <w:spacing w:after="0"/>
              <w:rPr>
                <w:sz w:val="23"/>
                <w:szCs w:val="23"/>
                <w:color w:val="auto"/>
              </w:rPr>
            </w:pPr>
          </w:p>
        </w:tc>
        <w:tc>
          <w:tcPr>
            <w:tcW w:w="900" w:type="dxa"/>
            <w:vAlign w:val="bottom"/>
            <w:shd w:val="clear" w:color="auto" w:fill="D8D8D8"/>
          </w:tcPr>
          <w:p>
            <w:pPr>
              <w:jc w:val="right"/>
              <w:ind w:right="38"/>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266"/>
        </w:trPr>
        <w:tc>
          <w:tcPr>
            <w:tcW w:w="2520" w:type="dxa"/>
            <w:vAlign w:val="bottom"/>
          </w:tcPr>
          <w:p>
            <w:pPr>
              <w:ind w:left="40"/>
              <w:spacing w:after="0"/>
              <w:rPr>
                <w:sz w:val="20"/>
                <w:szCs w:val="20"/>
                <w:color w:val="auto"/>
              </w:rPr>
            </w:pPr>
            <w:r>
              <w:rPr>
                <w:rFonts w:ascii="Arial" w:cs="Arial" w:eastAsia="Arial" w:hAnsi="Arial"/>
                <w:sz w:val="13"/>
                <w:szCs w:val="13"/>
                <w:color w:val="auto"/>
              </w:rPr>
              <w:t>Purchase for treasury</w:t>
            </w:r>
          </w:p>
        </w:tc>
        <w:tc>
          <w:tcPr>
            <w:tcW w:w="9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820" w:type="dxa"/>
            <w:vAlign w:val="bottom"/>
          </w:tcPr>
          <w:p>
            <w:pPr>
              <w:jc w:val="right"/>
              <w:ind w:right="98"/>
              <w:spacing w:after="0"/>
              <w:rPr>
                <w:sz w:val="20"/>
                <w:szCs w:val="20"/>
                <w:color w:val="auto"/>
              </w:rPr>
            </w:pPr>
            <w:r>
              <w:rPr>
                <w:rFonts w:ascii="Arial" w:cs="Arial" w:eastAsia="Arial" w:hAnsi="Arial"/>
                <w:sz w:val="13"/>
                <w:szCs w:val="13"/>
                <w:b w:val="1"/>
                <w:bCs w:val="1"/>
                <w:color w:val="auto"/>
              </w:rPr>
              <w:t>9,877</w:t>
            </w:r>
          </w:p>
        </w:tc>
        <w:tc>
          <w:tcPr>
            <w:tcW w:w="20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3"/>
                <w:szCs w:val="13"/>
                <w:b w:val="1"/>
                <w:bCs w:val="1"/>
                <w:color w:val="auto"/>
              </w:rPr>
              <w:t>(749.5)</w:t>
            </w:r>
          </w:p>
        </w:tc>
        <w:tc>
          <w:tcPr>
            <w:tcW w:w="2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3"/>
                <w:szCs w:val="13"/>
                <w:b w:val="1"/>
                <w:bCs w:val="1"/>
                <w:color w:val="auto"/>
              </w:rPr>
              <w:t>(749.5)</w:t>
            </w:r>
          </w:p>
        </w:tc>
        <w:tc>
          <w:tcPr>
            <w:tcW w:w="0" w:type="dxa"/>
            <w:vAlign w:val="bottom"/>
          </w:tcPr>
          <w:p>
            <w:pPr>
              <w:spacing w:after="0"/>
              <w:rPr>
                <w:sz w:val="1"/>
                <w:szCs w:val="1"/>
                <w:color w:val="auto"/>
              </w:rPr>
            </w:pPr>
          </w:p>
        </w:tc>
      </w:tr>
      <w:tr>
        <w:trPr>
          <w:trHeight w:val="144"/>
        </w:trPr>
        <w:tc>
          <w:tcPr>
            <w:tcW w:w="2520" w:type="dxa"/>
            <w:vAlign w:val="bottom"/>
            <w:shd w:val="clear" w:color="auto" w:fill="D8D8D8"/>
          </w:tcPr>
          <w:p>
            <w:pPr>
              <w:ind w:left="40"/>
              <w:spacing w:after="0" w:line="144" w:lineRule="exact"/>
              <w:rPr>
                <w:sz w:val="20"/>
                <w:szCs w:val="20"/>
                <w:color w:val="auto"/>
              </w:rPr>
            </w:pPr>
            <w:r>
              <w:rPr>
                <w:rFonts w:ascii="Arial" w:cs="Arial" w:eastAsia="Arial" w:hAnsi="Arial"/>
                <w:sz w:val="13"/>
                <w:szCs w:val="13"/>
                <w:color w:val="auto"/>
              </w:rPr>
              <w:t>Issuance of stock under employee stock</w:t>
            </w:r>
          </w:p>
        </w:tc>
        <w:tc>
          <w:tcPr>
            <w:tcW w:w="960" w:type="dxa"/>
            <w:vAlign w:val="bottom"/>
            <w:vMerge w:val="restart"/>
            <w:shd w:val="clear" w:color="auto" w:fill="D8D8D8"/>
          </w:tcPr>
          <w:p>
            <w:pPr>
              <w:jc w:val="right"/>
              <w:ind w:right="78"/>
              <w:spacing w:after="0"/>
              <w:rPr>
                <w:sz w:val="20"/>
                <w:szCs w:val="20"/>
                <w:color w:val="auto"/>
              </w:rPr>
            </w:pPr>
            <w:r>
              <w:rPr>
                <w:rFonts w:ascii="Arial" w:cs="Arial" w:eastAsia="Arial" w:hAnsi="Arial"/>
                <w:sz w:val="13"/>
                <w:szCs w:val="13"/>
                <w:b w:val="1"/>
                <w:bCs w:val="1"/>
                <w:color w:val="auto"/>
              </w:rPr>
              <w:t>4,503</w:t>
            </w:r>
          </w:p>
        </w:tc>
        <w:tc>
          <w:tcPr>
            <w:tcW w:w="220" w:type="dxa"/>
            <w:vAlign w:val="bottom"/>
            <w:shd w:val="clear" w:color="auto" w:fill="D8D8D8"/>
          </w:tcPr>
          <w:p>
            <w:pPr>
              <w:spacing w:after="0"/>
              <w:rPr>
                <w:sz w:val="12"/>
                <w:szCs w:val="12"/>
                <w:color w:val="auto"/>
              </w:rPr>
            </w:pPr>
          </w:p>
        </w:tc>
        <w:tc>
          <w:tcPr>
            <w:tcW w:w="580" w:type="dxa"/>
            <w:vAlign w:val="bottom"/>
            <w:vMerge w:val="restart"/>
            <w:shd w:val="clear" w:color="auto" w:fill="D8D8D8"/>
          </w:tcPr>
          <w:p>
            <w:pPr>
              <w:jc w:val="right"/>
              <w:ind w:right="58"/>
              <w:spacing w:after="0"/>
              <w:rPr>
                <w:sz w:val="20"/>
                <w:szCs w:val="20"/>
                <w:color w:val="auto"/>
              </w:rPr>
            </w:pPr>
            <w:r>
              <w:rPr>
                <w:rFonts w:ascii="Arial" w:cs="Arial" w:eastAsia="Arial" w:hAnsi="Arial"/>
                <w:sz w:val="13"/>
                <w:szCs w:val="13"/>
                <w:b w:val="1"/>
                <w:bCs w:val="1"/>
                <w:color w:val="auto"/>
              </w:rPr>
              <w:t>2.9</w:t>
            </w:r>
          </w:p>
        </w:tc>
        <w:tc>
          <w:tcPr>
            <w:tcW w:w="240" w:type="dxa"/>
            <w:vAlign w:val="bottom"/>
            <w:shd w:val="clear" w:color="auto" w:fill="D8D8D8"/>
          </w:tcPr>
          <w:p>
            <w:pPr>
              <w:spacing w:after="0"/>
              <w:rPr>
                <w:sz w:val="12"/>
                <w:szCs w:val="12"/>
                <w:color w:val="auto"/>
              </w:rPr>
            </w:pPr>
          </w:p>
        </w:tc>
        <w:tc>
          <w:tcPr>
            <w:tcW w:w="740" w:type="dxa"/>
            <w:vAlign w:val="bottom"/>
            <w:vMerge w:val="restart"/>
            <w:shd w:val="clear" w:color="auto" w:fill="D8D8D8"/>
          </w:tcPr>
          <w:p>
            <w:pPr>
              <w:jc w:val="right"/>
              <w:ind w:right="99"/>
              <w:spacing w:after="0"/>
              <w:rPr>
                <w:sz w:val="20"/>
                <w:szCs w:val="20"/>
                <w:color w:val="auto"/>
              </w:rPr>
            </w:pPr>
            <w:r>
              <w:rPr>
                <w:rFonts w:ascii="Arial" w:cs="Arial" w:eastAsia="Arial" w:hAnsi="Arial"/>
                <w:sz w:val="13"/>
                <w:szCs w:val="13"/>
                <w:b w:val="1"/>
                <w:bCs w:val="1"/>
                <w:color w:val="auto"/>
              </w:rPr>
              <w:t>42.0</w:t>
            </w:r>
          </w:p>
        </w:tc>
        <w:tc>
          <w:tcPr>
            <w:tcW w:w="240" w:type="dxa"/>
            <w:vAlign w:val="bottom"/>
            <w:shd w:val="clear" w:color="auto" w:fill="D8D8D8"/>
          </w:tcPr>
          <w:p>
            <w:pPr>
              <w:spacing w:after="0"/>
              <w:rPr>
                <w:sz w:val="12"/>
                <w:szCs w:val="12"/>
                <w:color w:val="auto"/>
              </w:rPr>
            </w:pPr>
          </w:p>
        </w:tc>
        <w:tc>
          <w:tcPr>
            <w:tcW w:w="800" w:type="dxa"/>
            <w:vAlign w:val="bottom"/>
            <w:shd w:val="clear" w:color="auto" w:fill="D8D8D8"/>
          </w:tcPr>
          <w:p>
            <w:pPr>
              <w:spacing w:after="0"/>
              <w:rPr>
                <w:sz w:val="12"/>
                <w:szCs w:val="12"/>
                <w:color w:val="auto"/>
              </w:rPr>
            </w:pPr>
          </w:p>
        </w:tc>
        <w:tc>
          <w:tcPr>
            <w:tcW w:w="200" w:type="dxa"/>
            <w:vAlign w:val="bottom"/>
            <w:shd w:val="clear" w:color="auto" w:fill="D8D8D8"/>
          </w:tcPr>
          <w:p>
            <w:pPr>
              <w:spacing w:after="0"/>
              <w:rPr>
                <w:sz w:val="12"/>
                <w:szCs w:val="12"/>
                <w:color w:val="auto"/>
              </w:rPr>
            </w:pPr>
          </w:p>
        </w:tc>
        <w:tc>
          <w:tcPr>
            <w:tcW w:w="1240" w:type="dxa"/>
            <w:vAlign w:val="bottom"/>
            <w:shd w:val="clear" w:color="auto" w:fill="D8D8D8"/>
          </w:tcPr>
          <w:p>
            <w:pPr>
              <w:spacing w:after="0"/>
              <w:rPr>
                <w:sz w:val="12"/>
                <w:szCs w:val="12"/>
                <w:color w:val="auto"/>
              </w:rPr>
            </w:pPr>
          </w:p>
        </w:tc>
        <w:tc>
          <w:tcPr>
            <w:tcW w:w="820" w:type="dxa"/>
            <w:vAlign w:val="bottom"/>
            <w:vMerge w:val="restart"/>
            <w:shd w:val="clear" w:color="auto" w:fill="D8D8D8"/>
          </w:tcPr>
          <w:p>
            <w:pPr>
              <w:jc w:val="right"/>
              <w:ind w:right="38"/>
              <w:spacing w:after="0"/>
              <w:rPr>
                <w:sz w:val="20"/>
                <w:szCs w:val="20"/>
                <w:color w:val="auto"/>
              </w:rPr>
            </w:pPr>
            <w:r>
              <w:rPr>
                <w:rFonts w:ascii="Arial" w:cs="Arial" w:eastAsia="Arial" w:hAnsi="Arial"/>
                <w:sz w:val="13"/>
                <w:szCs w:val="13"/>
                <w:b w:val="1"/>
                <w:bCs w:val="1"/>
                <w:color w:val="auto"/>
              </w:rPr>
              <w:t>(14)</w:t>
            </w:r>
          </w:p>
        </w:tc>
        <w:tc>
          <w:tcPr>
            <w:tcW w:w="200" w:type="dxa"/>
            <w:vAlign w:val="bottom"/>
            <w:shd w:val="clear" w:color="auto" w:fill="D8D8D8"/>
          </w:tcPr>
          <w:p>
            <w:pPr>
              <w:spacing w:after="0"/>
              <w:rPr>
                <w:sz w:val="12"/>
                <w:szCs w:val="12"/>
                <w:color w:val="auto"/>
              </w:rPr>
            </w:pPr>
          </w:p>
        </w:tc>
        <w:tc>
          <w:tcPr>
            <w:tcW w:w="640" w:type="dxa"/>
            <w:vAlign w:val="bottom"/>
            <w:vMerge w:val="restart"/>
            <w:shd w:val="clear" w:color="auto" w:fill="D8D8D8"/>
          </w:tcPr>
          <w:p>
            <w:pPr>
              <w:jc w:val="right"/>
              <w:ind w:right="38"/>
              <w:spacing w:after="0"/>
              <w:rPr>
                <w:sz w:val="20"/>
                <w:szCs w:val="20"/>
                <w:color w:val="auto"/>
              </w:rPr>
            </w:pPr>
            <w:r>
              <w:rPr>
                <w:rFonts w:ascii="Arial" w:cs="Arial" w:eastAsia="Arial" w:hAnsi="Arial"/>
                <w:sz w:val="13"/>
                <w:szCs w:val="13"/>
                <w:b w:val="1"/>
                <w:bCs w:val="1"/>
                <w:color w:val="auto"/>
              </w:rPr>
              <w:t>1.4</w:t>
            </w:r>
          </w:p>
        </w:tc>
        <w:tc>
          <w:tcPr>
            <w:tcW w:w="240" w:type="dxa"/>
            <w:vAlign w:val="bottom"/>
            <w:shd w:val="clear" w:color="auto" w:fill="D8D8D8"/>
          </w:tcPr>
          <w:p>
            <w:pPr>
              <w:spacing w:after="0"/>
              <w:rPr>
                <w:sz w:val="12"/>
                <w:szCs w:val="12"/>
                <w:color w:val="auto"/>
              </w:rPr>
            </w:pPr>
          </w:p>
        </w:tc>
        <w:tc>
          <w:tcPr>
            <w:tcW w:w="700" w:type="dxa"/>
            <w:vAlign w:val="bottom"/>
            <w:shd w:val="clear" w:color="auto" w:fill="D8D8D8"/>
          </w:tcPr>
          <w:p>
            <w:pPr>
              <w:spacing w:after="0"/>
              <w:rPr>
                <w:sz w:val="12"/>
                <w:szCs w:val="12"/>
                <w:color w:val="auto"/>
              </w:rPr>
            </w:pPr>
          </w:p>
        </w:tc>
        <w:tc>
          <w:tcPr>
            <w:tcW w:w="180" w:type="dxa"/>
            <w:vAlign w:val="bottom"/>
            <w:shd w:val="clear" w:color="auto" w:fill="D8D8D8"/>
          </w:tcPr>
          <w:p>
            <w:pPr>
              <w:spacing w:after="0"/>
              <w:rPr>
                <w:sz w:val="12"/>
                <w:szCs w:val="12"/>
                <w:color w:val="auto"/>
              </w:rPr>
            </w:pPr>
          </w:p>
        </w:tc>
        <w:tc>
          <w:tcPr>
            <w:tcW w:w="900" w:type="dxa"/>
            <w:vAlign w:val="bottom"/>
            <w:vMerge w:val="restart"/>
            <w:shd w:val="clear" w:color="auto" w:fill="D8D8D8"/>
          </w:tcPr>
          <w:p>
            <w:pPr>
              <w:jc w:val="right"/>
              <w:ind w:right="38"/>
              <w:spacing w:after="0"/>
              <w:rPr>
                <w:sz w:val="20"/>
                <w:szCs w:val="20"/>
                <w:color w:val="auto"/>
              </w:rPr>
            </w:pPr>
            <w:r>
              <w:rPr>
                <w:rFonts w:ascii="Arial" w:cs="Arial" w:eastAsia="Arial" w:hAnsi="Arial"/>
                <w:sz w:val="13"/>
                <w:szCs w:val="13"/>
                <w:b w:val="1"/>
                <w:bCs w:val="1"/>
                <w:color w:val="auto"/>
              </w:rPr>
              <w:t>46.3</w:t>
            </w:r>
          </w:p>
        </w:tc>
        <w:tc>
          <w:tcPr>
            <w:tcW w:w="0" w:type="dxa"/>
            <w:vAlign w:val="bottom"/>
          </w:tcPr>
          <w:p>
            <w:pPr>
              <w:spacing w:after="0"/>
              <w:rPr>
                <w:sz w:val="1"/>
                <w:szCs w:val="1"/>
                <w:color w:val="auto"/>
              </w:rPr>
            </w:pPr>
          </w:p>
        </w:tc>
      </w:tr>
      <w:tr>
        <w:trPr>
          <w:trHeight w:val="184"/>
        </w:trPr>
        <w:tc>
          <w:tcPr>
            <w:tcW w:w="2520" w:type="dxa"/>
            <w:vAlign w:val="bottom"/>
            <w:shd w:val="clear" w:color="auto" w:fill="D8D8D8"/>
          </w:tcPr>
          <w:p>
            <w:pPr>
              <w:ind w:left="200"/>
              <w:spacing w:after="0"/>
              <w:rPr>
                <w:sz w:val="20"/>
                <w:szCs w:val="20"/>
                <w:color w:val="auto"/>
              </w:rPr>
            </w:pPr>
            <w:r>
              <w:rPr>
                <w:rFonts w:ascii="Arial" w:cs="Arial" w:eastAsia="Arial" w:hAnsi="Arial"/>
                <w:sz w:val="13"/>
                <w:szCs w:val="13"/>
                <w:color w:val="auto"/>
              </w:rPr>
              <w:t>plans, net</w:t>
            </w:r>
          </w:p>
        </w:tc>
        <w:tc>
          <w:tcPr>
            <w:tcW w:w="960" w:type="dxa"/>
            <w:vAlign w:val="bottom"/>
            <w:vMerge w:val="continue"/>
            <w:shd w:val="clear" w:color="auto" w:fill="D8D8D8"/>
          </w:tcPr>
          <w:p>
            <w:pPr>
              <w:spacing w:after="0"/>
              <w:rPr>
                <w:sz w:val="16"/>
                <w:szCs w:val="16"/>
                <w:color w:val="auto"/>
              </w:rPr>
            </w:pPr>
          </w:p>
        </w:tc>
        <w:tc>
          <w:tcPr>
            <w:tcW w:w="220" w:type="dxa"/>
            <w:vAlign w:val="bottom"/>
            <w:shd w:val="clear" w:color="auto" w:fill="D8D8D8"/>
          </w:tcPr>
          <w:p>
            <w:pPr>
              <w:spacing w:after="0"/>
              <w:rPr>
                <w:sz w:val="16"/>
                <w:szCs w:val="16"/>
                <w:color w:val="auto"/>
              </w:rPr>
            </w:pPr>
          </w:p>
        </w:tc>
        <w:tc>
          <w:tcPr>
            <w:tcW w:w="580" w:type="dxa"/>
            <w:vAlign w:val="bottom"/>
            <w:vMerge w:val="continue"/>
            <w:shd w:val="clear" w:color="auto" w:fill="D8D8D8"/>
          </w:tcPr>
          <w:p>
            <w:pPr>
              <w:spacing w:after="0"/>
              <w:rPr>
                <w:sz w:val="16"/>
                <w:szCs w:val="16"/>
                <w:color w:val="auto"/>
              </w:rPr>
            </w:pPr>
          </w:p>
        </w:tc>
        <w:tc>
          <w:tcPr>
            <w:tcW w:w="240" w:type="dxa"/>
            <w:vAlign w:val="bottom"/>
            <w:shd w:val="clear" w:color="auto" w:fill="D8D8D8"/>
          </w:tcPr>
          <w:p>
            <w:pPr>
              <w:spacing w:after="0"/>
              <w:rPr>
                <w:sz w:val="16"/>
                <w:szCs w:val="16"/>
                <w:color w:val="auto"/>
              </w:rPr>
            </w:pPr>
          </w:p>
        </w:tc>
        <w:tc>
          <w:tcPr>
            <w:tcW w:w="740" w:type="dxa"/>
            <w:vAlign w:val="bottom"/>
            <w:vMerge w:val="continue"/>
            <w:shd w:val="clear" w:color="auto" w:fill="D8D8D8"/>
          </w:tcPr>
          <w:p>
            <w:pPr>
              <w:spacing w:after="0"/>
              <w:rPr>
                <w:sz w:val="16"/>
                <w:szCs w:val="16"/>
                <w:color w:val="auto"/>
              </w:rPr>
            </w:pPr>
          </w:p>
        </w:tc>
        <w:tc>
          <w:tcPr>
            <w:tcW w:w="240" w:type="dxa"/>
            <w:vAlign w:val="bottom"/>
            <w:shd w:val="clear" w:color="auto" w:fill="D8D8D8"/>
          </w:tcPr>
          <w:p>
            <w:pPr>
              <w:spacing w:after="0"/>
              <w:rPr>
                <w:sz w:val="16"/>
                <w:szCs w:val="16"/>
                <w:color w:val="auto"/>
              </w:rPr>
            </w:pPr>
          </w:p>
        </w:tc>
        <w:tc>
          <w:tcPr>
            <w:tcW w:w="800" w:type="dxa"/>
            <w:vAlign w:val="bottom"/>
            <w:shd w:val="clear" w:color="auto" w:fill="D8D8D8"/>
          </w:tcPr>
          <w:p>
            <w:pPr>
              <w:spacing w:after="0"/>
              <w:rPr>
                <w:sz w:val="16"/>
                <w:szCs w:val="16"/>
                <w:color w:val="auto"/>
              </w:rPr>
            </w:pPr>
          </w:p>
        </w:tc>
        <w:tc>
          <w:tcPr>
            <w:tcW w:w="200" w:type="dxa"/>
            <w:vAlign w:val="bottom"/>
            <w:shd w:val="clear" w:color="auto" w:fill="D8D8D8"/>
          </w:tcPr>
          <w:p>
            <w:pPr>
              <w:spacing w:after="0"/>
              <w:rPr>
                <w:sz w:val="16"/>
                <w:szCs w:val="16"/>
                <w:color w:val="auto"/>
              </w:rPr>
            </w:pPr>
          </w:p>
        </w:tc>
        <w:tc>
          <w:tcPr>
            <w:tcW w:w="1240" w:type="dxa"/>
            <w:vAlign w:val="bottom"/>
            <w:shd w:val="clear" w:color="auto" w:fill="D8D8D8"/>
          </w:tcPr>
          <w:p>
            <w:pPr>
              <w:spacing w:after="0"/>
              <w:rPr>
                <w:sz w:val="16"/>
                <w:szCs w:val="16"/>
                <w:color w:val="auto"/>
              </w:rPr>
            </w:pPr>
          </w:p>
        </w:tc>
        <w:tc>
          <w:tcPr>
            <w:tcW w:w="820" w:type="dxa"/>
            <w:vAlign w:val="bottom"/>
            <w:vMerge w:val="continue"/>
            <w:shd w:val="clear" w:color="auto" w:fill="D8D8D8"/>
          </w:tcPr>
          <w:p>
            <w:pPr>
              <w:spacing w:after="0"/>
              <w:rPr>
                <w:sz w:val="16"/>
                <w:szCs w:val="16"/>
                <w:color w:val="auto"/>
              </w:rPr>
            </w:pPr>
          </w:p>
        </w:tc>
        <w:tc>
          <w:tcPr>
            <w:tcW w:w="200" w:type="dxa"/>
            <w:vAlign w:val="bottom"/>
            <w:shd w:val="clear" w:color="auto" w:fill="D8D8D8"/>
          </w:tcPr>
          <w:p>
            <w:pPr>
              <w:spacing w:after="0"/>
              <w:rPr>
                <w:sz w:val="16"/>
                <w:szCs w:val="16"/>
                <w:color w:val="auto"/>
              </w:rPr>
            </w:pPr>
          </w:p>
        </w:tc>
        <w:tc>
          <w:tcPr>
            <w:tcW w:w="640" w:type="dxa"/>
            <w:vAlign w:val="bottom"/>
            <w:vMerge w:val="continue"/>
            <w:shd w:val="clear" w:color="auto" w:fill="D8D8D8"/>
          </w:tcPr>
          <w:p>
            <w:pPr>
              <w:spacing w:after="0"/>
              <w:rPr>
                <w:sz w:val="16"/>
                <w:szCs w:val="16"/>
                <w:color w:val="auto"/>
              </w:rPr>
            </w:pPr>
          </w:p>
        </w:tc>
        <w:tc>
          <w:tcPr>
            <w:tcW w:w="240" w:type="dxa"/>
            <w:vAlign w:val="bottom"/>
            <w:shd w:val="clear" w:color="auto" w:fill="D8D8D8"/>
          </w:tcPr>
          <w:p>
            <w:pPr>
              <w:spacing w:after="0"/>
              <w:rPr>
                <w:sz w:val="16"/>
                <w:szCs w:val="16"/>
                <w:color w:val="auto"/>
              </w:rPr>
            </w:pPr>
          </w:p>
        </w:tc>
        <w:tc>
          <w:tcPr>
            <w:tcW w:w="700" w:type="dxa"/>
            <w:vAlign w:val="bottom"/>
            <w:shd w:val="clear" w:color="auto" w:fill="D8D8D8"/>
          </w:tcPr>
          <w:p>
            <w:pPr>
              <w:spacing w:after="0"/>
              <w:rPr>
                <w:sz w:val="16"/>
                <w:szCs w:val="16"/>
                <w:color w:val="auto"/>
              </w:rPr>
            </w:pPr>
          </w:p>
        </w:tc>
        <w:tc>
          <w:tcPr>
            <w:tcW w:w="180" w:type="dxa"/>
            <w:vAlign w:val="bottom"/>
            <w:shd w:val="clear" w:color="auto" w:fill="D8D8D8"/>
          </w:tcPr>
          <w:p>
            <w:pPr>
              <w:spacing w:after="0"/>
              <w:rPr>
                <w:sz w:val="16"/>
                <w:szCs w:val="16"/>
                <w:color w:val="auto"/>
              </w:rPr>
            </w:pPr>
          </w:p>
        </w:tc>
        <w:tc>
          <w:tcPr>
            <w:tcW w:w="900" w:type="dxa"/>
            <w:vAlign w:val="bottom"/>
            <w:vMerge w:val="continue"/>
            <w:shd w:val="clear" w:color="auto" w:fill="D8D8D8"/>
          </w:tcPr>
          <w:p>
            <w:pPr>
              <w:spacing w:after="0"/>
              <w:rPr>
                <w:sz w:val="16"/>
                <w:szCs w:val="16"/>
                <w:color w:val="auto"/>
              </w:rPr>
            </w:pPr>
          </w:p>
        </w:tc>
        <w:tc>
          <w:tcPr>
            <w:tcW w:w="0" w:type="dxa"/>
            <w:vAlign w:val="bottom"/>
          </w:tcPr>
          <w:p>
            <w:pPr>
              <w:spacing w:after="0"/>
              <w:rPr>
                <w:sz w:val="1"/>
                <w:szCs w:val="1"/>
                <w:color w:val="auto"/>
              </w:rPr>
            </w:pPr>
          </w:p>
        </w:tc>
      </w:tr>
      <w:tr>
        <w:trPr>
          <w:trHeight w:val="266"/>
        </w:trPr>
        <w:tc>
          <w:tcPr>
            <w:tcW w:w="2520" w:type="dxa"/>
            <w:vAlign w:val="bottom"/>
            <w:tcBorders>
              <w:bottom w:val="single" w:sz="8" w:color="D8D8D8"/>
            </w:tcBorders>
          </w:tcPr>
          <w:p>
            <w:pPr>
              <w:ind w:left="40"/>
              <w:spacing w:after="0"/>
              <w:rPr>
                <w:sz w:val="20"/>
                <w:szCs w:val="20"/>
                <w:color w:val="auto"/>
              </w:rPr>
            </w:pPr>
            <w:r>
              <w:rPr>
                <w:rFonts w:ascii="Arial" w:cs="Arial" w:eastAsia="Arial" w:hAnsi="Arial"/>
                <w:sz w:val="13"/>
                <w:szCs w:val="13"/>
                <w:color w:val="auto"/>
              </w:rPr>
              <w:t>Stock-based compensation</w:t>
            </w:r>
          </w:p>
        </w:tc>
        <w:tc>
          <w:tcPr>
            <w:tcW w:w="96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ind w:right="99"/>
              <w:spacing w:after="0"/>
              <w:rPr>
                <w:sz w:val="20"/>
                <w:szCs w:val="20"/>
                <w:color w:val="auto"/>
              </w:rPr>
            </w:pPr>
            <w:r>
              <w:rPr>
                <w:rFonts w:ascii="Arial" w:cs="Arial" w:eastAsia="Arial" w:hAnsi="Arial"/>
                <w:sz w:val="13"/>
                <w:szCs w:val="13"/>
                <w:b w:val="1"/>
                <w:bCs w:val="1"/>
                <w:color w:val="auto"/>
              </w:rPr>
              <w:t>217.8</w:t>
            </w:r>
          </w:p>
        </w:tc>
        <w:tc>
          <w:tcPr>
            <w:tcW w:w="24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38"/>
              <w:spacing w:after="0"/>
              <w:rPr>
                <w:sz w:val="20"/>
                <w:szCs w:val="20"/>
                <w:color w:val="auto"/>
              </w:rPr>
            </w:pPr>
            <w:r>
              <w:rPr>
                <w:rFonts w:ascii="Arial" w:cs="Arial" w:eastAsia="Arial" w:hAnsi="Arial"/>
                <w:sz w:val="13"/>
                <w:szCs w:val="13"/>
                <w:b w:val="1"/>
                <w:bCs w:val="1"/>
                <w:color w:val="auto"/>
              </w:rPr>
              <w:t>217.8</w:t>
            </w:r>
          </w:p>
        </w:tc>
        <w:tc>
          <w:tcPr>
            <w:tcW w:w="0" w:type="dxa"/>
            <w:vAlign w:val="bottom"/>
          </w:tcPr>
          <w:p>
            <w:pPr>
              <w:spacing w:after="0"/>
              <w:rPr>
                <w:sz w:val="1"/>
                <w:szCs w:val="1"/>
                <w:color w:val="auto"/>
              </w:rPr>
            </w:pPr>
          </w:p>
        </w:tc>
      </w:tr>
      <w:tr>
        <w:trPr>
          <w:trHeight w:val="275"/>
        </w:trPr>
        <w:tc>
          <w:tcPr>
            <w:tcW w:w="2520" w:type="dxa"/>
            <w:vAlign w:val="bottom"/>
            <w:tcBorders>
              <w:bottom w:val="single" w:sz="8" w:color="D8D8D8"/>
            </w:tcBorders>
            <w:shd w:val="clear" w:color="auto" w:fill="D8D8D8"/>
          </w:tcPr>
          <w:p>
            <w:pPr>
              <w:ind w:left="40"/>
              <w:spacing w:after="0"/>
              <w:rPr>
                <w:sz w:val="20"/>
                <w:szCs w:val="20"/>
                <w:color w:val="auto"/>
              </w:rPr>
            </w:pPr>
            <w:r>
              <w:rPr>
                <w:rFonts w:ascii="Arial" w:cs="Arial" w:eastAsia="Arial" w:hAnsi="Arial"/>
                <w:sz w:val="13"/>
                <w:szCs w:val="13"/>
                <w:color w:val="auto"/>
              </w:rPr>
              <w:t>Balance at December 31, 2015</w:t>
            </w:r>
          </w:p>
        </w:tc>
        <w:tc>
          <w:tcPr>
            <w:tcW w:w="960" w:type="dxa"/>
            <w:vAlign w:val="bottom"/>
            <w:tcBorders>
              <w:bottom w:val="single" w:sz="8" w:color="auto"/>
            </w:tcBorders>
            <w:shd w:val="clear" w:color="auto" w:fill="D8D8D8"/>
          </w:tcPr>
          <w:p>
            <w:pPr>
              <w:jc w:val="right"/>
              <w:ind w:right="78"/>
              <w:spacing w:after="0"/>
              <w:rPr>
                <w:sz w:val="20"/>
                <w:szCs w:val="20"/>
                <w:color w:val="auto"/>
              </w:rPr>
            </w:pPr>
            <w:r>
              <w:rPr>
                <w:rFonts w:ascii="Arial" w:cs="Arial" w:eastAsia="Arial" w:hAnsi="Arial"/>
                <w:sz w:val="13"/>
                <w:szCs w:val="13"/>
                <w:b w:val="1"/>
                <w:bCs w:val="1"/>
                <w:color w:val="auto"/>
              </w:rPr>
              <w:t>1,106,063</w:t>
            </w:r>
          </w:p>
        </w:tc>
        <w:tc>
          <w:tcPr>
            <w:tcW w:w="22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3"/>
                <w:szCs w:val="13"/>
                <w:b w:val="1"/>
                <w:bCs w:val="1"/>
                <w:color w:val="auto"/>
              </w:rPr>
              <w:t>$</w:t>
            </w:r>
          </w:p>
        </w:tc>
        <w:tc>
          <w:tcPr>
            <w:tcW w:w="580" w:type="dxa"/>
            <w:vAlign w:val="bottom"/>
            <w:tcBorders>
              <w:bottom w:val="single" w:sz="8" w:color="auto"/>
            </w:tcBorders>
            <w:shd w:val="clear" w:color="auto" w:fill="D8D8D8"/>
          </w:tcPr>
          <w:p>
            <w:pPr>
              <w:jc w:val="right"/>
              <w:ind w:right="58"/>
              <w:spacing w:after="0"/>
              <w:rPr>
                <w:sz w:val="20"/>
                <w:szCs w:val="20"/>
                <w:color w:val="auto"/>
              </w:rPr>
            </w:pPr>
            <w:r>
              <w:rPr>
                <w:rFonts w:ascii="Arial" w:cs="Arial" w:eastAsia="Arial" w:hAnsi="Arial"/>
                <w:sz w:val="13"/>
                <w:szCs w:val="13"/>
                <w:b w:val="1"/>
                <w:bCs w:val="1"/>
                <w:color w:val="auto"/>
              </w:rPr>
              <w:t>691.3</w:t>
            </w:r>
          </w:p>
        </w:tc>
        <w:tc>
          <w:tcPr>
            <w:tcW w:w="24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3"/>
                <w:szCs w:val="13"/>
                <w:b w:val="1"/>
                <w:bCs w:val="1"/>
                <w:color w:val="auto"/>
              </w:rPr>
              <w:t>$</w:t>
            </w:r>
          </w:p>
        </w:tc>
        <w:tc>
          <w:tcPr>
            <w:tcW w:w="740" w:type="dxa"/>
            <w:vAlign w:val="bottom"/>
            <w:tcBorders>
              <w:bottom w:val="single" w:sz="8" w:color="auto"/>
            </w:tcBorders>
            <w:shd w:val="clear" w:color="auto" w:fill="D8D8D8"/>
          </w:tcPr>
          <w:p>
            <w:pPr>
              <w:jc w:val="right"/>
              <w:ind w:right="99"/>
              <w:spacing w:after="0"/>
              <w:rPr>
                <w:sz w:val="20"/>
                <w:szCs w:val="20"/>
                <w:color w:val="auto"/>
              </w:rPr>
            </w:pPr>
            <w:r>
              <w:rPr>
                <w:rFonts w:ascii="Arial" w:cs="Arial" w:eastAsia="Arial" w:hAnsi="Arial"/>
                <w:sz w:val="13"/>
                <w:szCs w:val="13"/>
                <w:b w:val="1"/>
                <w:bCs w:val="1"/>
                <w:color w:val="auto"/>
              </w:rPr>
              <w:t>5,552.1</w:t>
            </w:r>
          </w:p>
        </w:tc>
        <w:tc>
          <w:tcPr>
            <w:tcW w:w="24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3"/>
                <w:szCs w:val="13"/>
                <w:b w:val="1"/>
                <w:bCs w:val="1"/>
                <w:color w:val="auto"/>
              </w:rPr>
              <w:t>$</w:t>
            </w:r>
          </w:p>
        </w:tc>
        <w:tc>
          <w:tcPr>
            <w:tcW w:w="800" w:type="dxa"/>
            <w:vAlign w:val="bottom"/>
            <w:tcBorders>
              <w:bottom w:val="single" w:sz="8" w:color="auto"/>
            </w:tcBorders>
            <w:shd w:val="clear" w:color="auto" w:fill="D8D8D8"/>
          </w:tcPr>
          <w:p>
            <w:pPr>
              <w:jc w:val="right"/>
              <w:ind w:right="78"/>
              <w:spacing w:after="0"/>
              <w:rPr>
                <w:sz w:val="20"/>
                <w:szCs w:val="20"/>
                <w:color w:val="auto"/>
              </w:rPr>
            </w:pPr>
            <w:r>
              <w:rPr>
                <w:rFonts w:ascii="Arial" w:cs="Arial" w:eastAsia="Arial" w:hAnsi="Arial"/>
                <w:sz w:val="13"/>
                <w:szCs w:val="13"/>
                <w:b w:val="1"/>
                <w:bCs w:val="1"/>
                <w:color w:val="auto"/>
              </w:rPr>
              <w:t>16,011.8</w:t>
            </w:r>
          </w:p>
        </w:tc>
        <w:tc>
          <w:tcPr>
            <w:tcW w:w="20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3"/>
                <w:szCs w:val="13"/>
                <w:b w:val="1"/>
                <w:bCs w:val="1"/>
                <w:color w:val="auto"/>
              </w:rPr>
              <w:t>$</w:t>
            </w:r>
          </w:p>
        </w:tc>
        <w:tc>
          <w:tcPr>
            <w:tcW w:w="1240" w:type="dxa"/>
            <w:vAlign w:val="bottom"/>
            <w:tcBorders>
              <w:bottom w:val="single" w:sz="8" w:color="auto"/>
            </w:tcBorders>
            <w:shd w:val="clear" w:color="auto" w:fill="D8D8D8"/>
          </w:tcPr>
          <w:p>
            <w:pPr>
              <w:jc w:val="right"/>
              <w:ind w:right="118"/>
              <w:spacing w:after="0"/>
              <w:rPr>
                <w:sz w:val="20"/>
                <w:szCs w:val="20"/>
                <w:color w:val="auto"/>
              </w:rPr>
            </w:pPr>
            <w:r>
              <w:rPr>
                <w:rFonts w:ascii="Arial" w:cs="Arial" w:eastAsia="Arial" w:hAnsi="Arial"/>
                <w:sz w:val="13"/>
                <w:szCs w:val="13"/>
                <w:b w:val="1"/>
                <w:bCs w:val="1"/>
                <w:color w:val="auto"/>
              </w:rPr>
              <w:t>(4,580.7)</w:t>
            </w:r>
          </w:p>
        </w:tc>
        <w:tc>
          <w:tcPr>
            <w:tcW w:w="820" w:type="dxa"/>
            <w:vAlign w:val="bottom"/>
            <w:tcBorders>
              <w:bottom w:val="single" w:sz="8" w:color="auto"/>
            </w:tcBorders>
            <w:shd w:val="clear" w:color="auto" w:fill="D8D8D8"/>
          </w:tcPr>
          <w:p>
            <w:pPr>
              <w:jc w:val="right"/>
              <w:ind w:right="98"/>
              <w:spacing w:after="0"/>
              <w:rPr>
                <w:sz w:val="20"/>
                <w:szCs w:val="20"/>
                <w:color w:val="auto"/>
              </w:rPr>
            </w:pPr>
            <w:r>
              <w:rPr>
                <w:rFonts w:ascii="Arial" w:cs="Arial" w:eastAsia="Arial" w:hAnsi="Arial"/>
                <w:sz w:val="13"/>
                <w:szCs w:val="13"/>
                <w:b w:val="1"/>
                <w:bCs w:val="1"/>
                <w:color w:val="auto"/>
              </w:rPr>
              <w:t>796</w:t>
            </w:r>
          </w:p>
        </w:tc>
        <w:tc>
          <w:tcPr>
            <w:tcW w:w="20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3"/>
                <w:szCs w:val="13"/>
                <w:b w:val="1"/>
                <w:bCs w:val="1"/>
                <w:color w:val="auto"/>
              </w:rPr>
              <w:t>$</w:t>
            </w:r>
          </w:p>
        </w:tc>
        <w:tc>
          <w:tcPr>
            <w:tcW w:w="64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3"/>
                <w:szCs w:val="13"/>
                <w:b w:val="1"/>
                <w:bCs w:val="1"/>
                <w:color w:val="auto"/>
              </w:rPr>
              <w:t>(90.0)</w:t>
            </w:r>
          </w:p>
        </w:tc>
        <w:tc>
          <w:tcPr>
            <w:tcW w:w="24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3"/>
                <w:szCs w:val="13"/>
                <w:b w:val="1"/>
                <w:bCs w:val="1"/>
                <w:color w:val="auto"/>
              </w:rPr>
              <w:t>$</w:t>
            </w:r>
          </w:p>
        </w:tc>
        <w:tc>
          <w:tcPr>
            <w:tcW w:w="700" w:type="dxa"/>
            <w:vAlign w:val="bottom"/>
            <w:tcBorders>
              <w:bottom w:val="single" w:sz="8" w:color="auto"/>
            </w:tcBorders>
            <w:shd w:val="clear" w:color="auto" w:fill="D8D8D8"/>
          </w:tcPr>
          <w:p>
            <w:pPr>
              <w:jc w:val="right"/>
              <w:ind w:right="39"/>
              <w:spacing w:after="0"/>
              <w:rPr>
                <w:sz w:val="20"/>
                <w:szCs w:val="20"/>
                <w:color w:val="auto"/>
              </w:rPr>
            </w:pPr>
            <w:r>
              <w:rPr>
                <w:rFonts w:ascii="Arial" w:cs="Arial" w:eastAsia="Arial" w:hAnsi="Arial"/>
                <w:sz w:val="13"/>
                <w:szCs w:val="13"/>
                <w:b w:val="1"/>
                <w:bCs w:val="1"/>
                <w:color w:val="auto"/>
              </w:rPr>
              <w:t>(3,013.2)</w:t>
            </w:r>
          </w:p>
        </w:tc>
        <w:tc>
          <w:tcPr>
            <w:tcW w:w="18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3"/>
                <w:szCs w:val="13"/>
                <w:b w:val="1"/>
                <w:bCs w:val="1"/>
                <w:color w:val="auto"/>
              </w:rPr>
              <w:t>$</w:t>
            </w:r>
          </w:p>
        </w:tc>
        <w:tc>
          <w:tcPr>
            <w:tcW w:w="900" w:type="dxa"/>
            <w:vAlign w:val="bottom"/>
            <w:tcBorders>
              <w:bottom w:val="single" w:sz="8" w:color="auto"/>
            </w:tcBorders>
            <w:shd w:val="clear" w:color="auto" w:fill="D8D8D8"/>
          </w:tcPr>
          <w:p>
            <w:pPr>
              <w:jc w:val="right"/>
              <w:ind w:right="38"/>
              <w:spacing w:after="0"/>
              <w:rPr>
                <w:sz w:val="20"/>
                <w:szCs w:val="20"/>
                <w:color w:val="auto"/>
              </w:rPr>
            </w:pPr>
            <w:r>
              <w:rPr>
                <w:rFonts w:ascii="Arial" w:cs="Arial" w:eastAsia="Arial" w:hAnsi="Arial"/>
                <w:sz w:val="13"/>
                <w:szCs w:val="13"/>
                <w:b w:val="1"/>
                <w:bCs w:val="1"/>
                <w:color w:val="auto"/>
              </w:rPr>
              <w:t>14,571.3</w:t>
            </w:r>
          </w:p>
        </w:tc>
        <w:tc>
          <w:tcPr>
            <w:tcW w:w="0" w:type="dxa"/>
            <w:vAlign w:val="bottom"/>
          </w:tcPr>
          <w:p>
            <w:pPr>
              <w:spacing w:after="0"/>
              <w:rPr>
                <w:sz w:val="1"/>
                <w:szCs w:val="1"/>
                <w:color w:val="auto"/>
              </w:rPr>
            </w:pPr>
          </w:p>
        </w:tc>
      </w:tr>
    </w:tbl>
    <w:p>
      <w:pPr>
        <w:spacing w:after="0" w:line="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57</w:t>
      </w:r>
    </w:p>
    <w:p>
      <w:pPr>
        <w:sectPr>
          <w:pgSz w:w="11900" w:h="16838" w:orient="portrait"/>
          <w:cols w:equalWidth="0" w:num="1">
            <w:col w:w="11420"/>
          </w:cols>
          <w:pgMar w:left="240" w:top="727" w:right="239" w:bottom="1440" w:gutter="0" w:footer="0" w:header="0"/>
        </w:sectPr>
      </w:pPr>
    </w:p>
    <w:bookmarkStart w:id="57" w:name="page58"/>
    <w:bookmarkEnd w:id="57"/>
    <w:p>
      <w:pPr>
        <w:spacing w:after="0"/>
        <w:rPr>
          <w:sz w:val="20"/>
          <w:szCs w:val="20"/>
          <w:color w:val="auto"/>
        </w:rPr>
      </w:pPr>
      <w:r>
        <w:rPr>
          <w:rFonts w:ascii="Arial" w:cs="Arial" w:eastAsia="Arial" w:hAnsi="Arial"/>
          <w:sz w:val="32"/>
          <w:szCs w:val="32"/>
          <w:i w:val="1"/>
          <w:iCs w:val="1"/>
          <w:color w:val="CC0000"/>
        </w:rPr>
        <w:t>Consolidated Statements of Cash Flows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20" w:type="dxa"/>
            <w:vAlign w:val="bottom"/>
          </w:tcPr>
          <w:p>
            <w:pPr>
              <w:ind w:left="40"/>
              <w:spacing w:after="0"/>
              <w:rPr>
                <w:sz w:val="20"/>
                <w:szCs w:val="20"/>
                <w:color w:val="auto"/>
              </w:rPr>
            </w:pPr>
            <w:r>
              <w:rPr>
                <w:rFonts w:ascii="Arial" w:cs="Arial" w:eastAsia="Arial" w:hAnsi="Arial"/>
                <w:sz w:val="14"/>
                <w:szCs w:val="14"/>
                <w:b w:val="1"/>
                <w:bCs w:val="1"/>
                <w:color w:val="auto"/>
              </w:rPr>
              <w:t>ELI LILLY AND COMPANY AND SUBSIDIARIES</w:t>
            </w:r>
          </w:p>
        </w:tc>
        <w:tc>
          <w:tcPr>
            <w:tcW w:w="2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2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1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2015</w:t>
            </w:r>
          </w:p>
        </w:tc>
        <w:tc>
          <w:tcPr>
            <w:tcW w:w="3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2014</w:t>
            </w:r>
          </w:p>
        </w:tc>
        <w:tc>
          <w:tcPr>
            <w:tcW w:w="3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65"/>
        </w:trPr>
        <w:tc>
          <w:tcPr>
            <w:tcW w:w="5220" w:type="dxa"/>
            <w:vAlign w:val="bottom"/>
            <w:shd w:val="clear" w:color="auto" w:fill="D8D8D8"/>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2180" w:type="dxa"/>
            <w:vAlign w:val="bottom"/>
            <w:shd w:val="clear" w:color="auto" w:fill="D8D8D8"/>
          </w:tcPr>
          <w:p>
            <w:pPr>
              <w:spacing w:after="0"/>
              <w:rPr>
                <w:sz w:val="23"/>
                <w:szCs w:val="23"/>
                <w:color w:val="auto"/>
              </w:rPr>
            </w:pPr>
          </w:p>
        </w:tc>
        <w:tc>
          <w:tcPr>
            <w:tcW w:w="300" w:type="dxa"/>
            <w:vAlign w:val="bottom"/>
            <w:shd w:val="clear" w:color="auto" w:fill="D8D8D8"/>
          </w:tcPr>
          <w:p>
            <w:pPr>
              <w:spacing w:after="0"/>
              <w:rPr>
                <w:sz w:val="23"/>
                <w:szCs w:val="23"/>
                <w:color w:val="auto"/>
              </w:rPr>
            </w:pPr>
          </w:p>
        </w:tc>
        <w:tc>
          <w:tcPr>
            <w:tcW w:w="1000" w:type="dxa"/>
            <w:vAlign w:val="bottom"/>
            <w:shd w:val="clear" w:color="auto" w:fill="D8D8D8"/>
          </w:tcPr>
          <w:p>
            <w:pPr>
              <w:spacing w:after="0"/>
              <w:rPr>
                <w:sz w:val="23"/>
                <w:szCs w:val="23"/>
                <w:color w:val="auto"/>
              </w:rPr>
            </w:pPr>
          </w:p>
        </w:tc>
        <w:tc>
          <w:tcPr>
            <w:tcW w:w="380" w:type="dxa"/>
            <w:vAlign w:val="bottom"/>
            <w:shd w:val="clear" w:color="auto" w:fill="D8D8D8"/>
          </w:tcPr>
          <w:p>
            <w:pPr>
              <w:spacing w:after="0"/>
              <w:rPr>
                <w:sz w:val="23"/>
                <w:szCs w:val="23"/>
                <w:color w:val="auto"/>
              </w:rPr>
            </w:pPr>
          </w:p>
        </w:tc>
        <w:tc>
          <w:tcPr>
            <w:tcW w:w="1000" w:type="dxa"/>
            <w:vAlign w:val="bottom"/>
            <w:shd w:val="clear" w:color="auto" w:fill="D8D8D8"/>
          </w:tcPr>
          <w:p>
            <w:pPr>
              <w:spacing w:after="0"/>
              <w:rPr>
                <w:sz w:val="23"/>
                <w:szCs w:val="23"/>
                <w:color w:val="auto"/>
              </w:rPr>
            </w:pPr>
          </w:p>
        </w:tc>
        <w:tc>
          <w:tcPr>
            <w:tcW w:w="380" w:type="dxa"/>
            <w:vAlign w:val="bottom"/>
            <w:shd w:val="clear" w:color="auto" w:fill="D8D8D8"/>
          </w:tcPr>
          <w:p>
            <w:pPr>
              <w:spacing w:after="0"/>
              <w:rPr>
                <w:sz w:val="23"/>
                <w:szCs w:val="23"/>
                <w:color w:val="auto"/>
              </w:rPr>
            </w:pPr>
          </w:p>
        </w:tc>
        <w:tc>
          <w:tcPr>
            <w:tcW w:w="960" w:type="dxa"/>
            <w:vAlign w:val="bottom"/>
            <w:shd w:val="clear" w:color="auto" w:fill="D8D8D8"/>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522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18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Pr>
          <w:p>
            <w:pPr>
              <w:jc w:val="right"/>
              <w:ind w:right="51"/>
              <w:spacing w:after="0"/>
              <w:rPr>
                <w:sz w:val="20"/>
                <w:szCs w:val="20"/>
                <w:color w:val="auto"/>
              </w:rPr>
            </w:pPr>
            <w:r>
              <w:rPr>
                <w:rFonts w:ascii="Arial" w:cs="Arial" w:eastAsia="Arial" w:hAnsi="Arial"/>
                <w:sz w:val="18"/>
                <w:szCs w:val="18"/>
                <w:b w:val="1"/>
                <w:bCs w:val="1"/>
                <w:color w:val="auto"/>
              </w:rPr>
              <w:t>2,408.4</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2,390.5</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4,684.8</w:t>
            </w:r>
          </w:p>
        </w:tc>
        <w:tc>
          <w:tcPr>
            <w:tcW w:w="0" w:type="dxa"/>
            <w:vAlign w:val="bottom"/>
          </w:tcPr>
          <w:p>
            <w:pPr>
              <w:spacing w:after="0"/>
              <w:rPr>
                <w:sz w:val="1"/>
                <w:szCs w:val="1"/>
                <w:color w:val="auto"/>
              </w:rPr>
            </w:pPr>
          </w:p>
        </w:tc>
      </w:tr>
      <w:tr>
        <w:trPr>
          <w:trHeight w:val="205"/>
        </w:trPr>
        <w:tc>
          <w:tcPr>
            <w:tcW w:w="5220" w:type="dxa"/>
            <w:vAlign w:val="bottom"/>
            <w:shd w:val="clear" w:color="auto" w:fill="D8D8D8"/>
          </w:tcPr>
          <w:p>
            <w:pPr>
              <w:ind w:left="180"/>
              <w:spacing w:after="0" w:line="206" w:lineRule="exact"/>
              <w:rPr>
                <w:sz w:val="20"/>
                <w:szCs w:val="20"/>
                <w:color w:val="auto"/>
              </w:rPr>
            </w:pPr>
            <w:r>
              <w:rPr>
                <w:rFonts w:ascii="Arial" w:cs="Arial" w:eastAsia="Arial" w:hAnsi="Arial"/>
                <w:sz w:val="18"/>
                <w:szCs w:val="18"/>
                <w:b w:val="1"/>
                <w:bCs w:val="1"/>
                <w:color w:val="auto"/>
              </w:rPr>
              <w:t>Adjustments to Reconcile Net Income</w:t>
            </w:r>
          </w:p>
        </w:tc>
        <w:tc>
          <w:tcPr>
            <w:tcW w:w="2180" w:type="dxa"/>
            <w:vAlign w:val="bottom"/>
            <w:shd w:val="clear" w:color="auto" w:fill="D8D8D8"/>
          </w:tcPr>
          <w:p>
            <w:pPr>
              <w:spacing w:after="0"/>
              <w:rPr>
                <w:sz w:val="17"/>
                <w:szCs w:val="17"/>
                <w:color w:val="auto"/>
              </w:rPr>
            </w:pPr>
          </w:p>
        </w:tc>
        <w:tc>
          <w:tcPr>
            <w:tcW w:w="300" w:type="dxa"/>
            <w:vAlign w:val="bottom"/>
            <w:shd w:val="clear" w:color="auto" w:fill="D8D8D8"/>
          </w:tcPr>
          <w:p>
            <w:pPr>
              <w:spacing w:after="0"/>
              <w:rPr>
                <w:sz w:val="17"/>
                <w:szCs w:val="17"/>
                <w:color w:val="auto"/>
              </w:rPr>
            </w:pPr>
          </w:p>
        </w:tc>
        <w:tc>
          <w:tcPr>
            <w:tcW w:w="1000" w:type="dxa"/>
            <w:vAlign w:val="bottom"/>
            <w:shd w:val="clear" w:color="auto" w:fill="D8D8D8"/>
          </w:tcPr>
          <w:p>
            <w:pPr>
              <w:spacing w:after="0"/>
              <w:rPr>
                <w:sz w:val="17"/>
                <w:szCs w:val="17"/>
                <w:color w:val="auto"/>
              </w:rPr>
            </w:pPr>
          </w:p>
        </w:tc>
        <w:tc>
          <w:tcPr>
            <w:tcW w:w="380" w:type="dxa"/>
            <w:vAlign w:val="bottom"/>
            <w:shd w:val="clear" w:color="auto" w:fill="D8D8D8"/>
          </w:tcPr>
          <w:p>
            <w:pPr>
              <w:spacing w:after="0"/>
              <w:rPr>
                <w:sz w:val="17"/>
                <w:szCs w:val="17"/>
                <w:color w:val="auto"/>
              </w:rPr>
            </w:pPr>
          </w:p>
        </w:tc>
        <w:tc>
          <w:tcPr>
            <w:tcW w:w="1000" w:type="dxa"/>
            <w:vAlign w:val="bottom"/>
            <w:shd w:val="clear" w:color="auto" w:fill="D8D8D8"/>
          </w:tcPr>
          <w:p>
            <w:pPr>
              <w:spacing w:after="0"/>
              <w:rPr>
                <w:sz w:val="17"/>
                <w:szCs w:val="17"/>
                <w:color w:val="auto"/>
              </w:rPr>
            </w:pPr>
          </w:p>
        </w:tc>
        <w:tc>
          <w:tcPr>
            <w:tcW w:w="380" w:type="dxa"/>
            <w:vAlign w:val="bottom"/>
            <w:shd w:val="clear" w:color="auto" w:fill="D8D8D8"/>
          </w:tcPr>
          <w:p>
            <w:pPr>
              <w:spacing w:after="0"/>
              <w:rPr>
                <w:sz w:val="17"/>
                <w:szCs w:val="17"/>
                <w:color w:val="auto"/>
              </w:rPr>
            </w:pPr>
          </w:p>
        </w:tc>
        <w:tc>
          <w:tcPr>
            <w:tcW w:w="960" w:type="dxa"/>
            <w:vAlign w:val="bottom"/>
            <w:shd w:val="clear" w:color="auto" w:fill="D8D8D8"/>
          </w:tcPr>
          <w:p>
            <w:pPr>
              <w:spacing w:after="0"/>
              <w:rPr>
                <w:sz w:val="17"/>
                <w:szCs w:val="17"/>
                <w:color w:val="auto"/>
              </w:rPr>
            </w:pPr>
          </w:p>
        </w:tc>
        <w:tc>
          <w:tcPr>
            <w:tcW w:w="0" w:type="dxa"/>
            <w:vAlign w:val="bottom"/>
          </w:tcPr>
          <w:p>
            <w:pPr>
              <w:spacing w:after="0"/>
              <w:rPr>
                <w:sz w:val="1"/>
                <w:szCs w:val="1"/>
                <w:color w:val="auto"/>
              </w:rPr>
            </w:pPr>
          </w:p>
        </w:tc>
      </w:tr>
      <w:tr>
        <w:trPr>
          <w:trHeight w:val="254"/>
        </w:trPr>
        <w:tc>
          <w:tcPr>
            <w:tcW w:w="5220" w:type="dxa"/>
            <w:vAlign w:val="bottom"/>
            <w:shd w:val="clear" w:color="auto" w:fill="D8D8D8"/>
          </w:tcPr>
          <w:p>
            <w:pPr>
              <w:ind w:left="180"/>
              <w:spacing w:after="0"/>
              <w:rPr>
                <w:sz w:val="20"/>
                <w:szCs w:val="20"/>
                <w:color w:val="auto"/>
              </w:rPr>
            </w:pPr>
            <w:r>
              <w:rPr>
                <w:rFonts w:ascii="Arial" w:cs="Arial" w:eastAsia="Arial" w:hAnsi="Arial"/>
                <w:sz w:val="18"/>
                <w:szCs w:val="18"/>
                <w:b w:val="1"/>
                <w:bCs w:val="1"/>
                <w:color w:val="auto"/>
              </w:rPr>
              <w:t>to Cash Flows from Operating Activities:</w:t>
            </w:r>
          </w:p>
        </w:tc>
        <w:tc>
          <w:tcPr>
            <w:tcW w:w="2180" w:type="dxa"/>
            <w:vAlign w:val="bottom"/>
            <w:shd w:val="clear" w:color="auto" w:fill="D8D8D8"/>
          </w:tcPr>
          <w:p>
            <w:pPr>
              <w:spacing w:after="0"/>
              <w:rPr>
                <w:sz w:val="22"/>
                <w:szCs w:val="22"/>
                <w:color w:val="auto"/>
              </w:rPr>
            </w:pPr>
          </w:p>
        </w:tc>
        <w:tc>
          <w:tcPr>
            <w:tcW w:w="300" w:type="dxa"/>
            <w:vAlign w:val="bottom"/>
            <w:shd w:val="clear" w:color="auto" w:fill="D8D8D8"/>
          </w:tcPr>
          <w:p>
            <w:pPr>
              <w:spacing w:after="0"/>
              <w:rPr>
                <w:sz w:val="22"/>
                <w:szCs w:val="22"/>
                <w:color w:val="auto"/>
              </w:rPr>
            </w:pPr>
          </w:p>
        </w:tc>
        <w:tc>
          <w:tcPr>
            <w:tcW w:w="1000" w:type="dxa"/>
            <w:vAlign w:val="bottom"/>
            <w:shd w:val="clear" w:color="auto" w:fill="D8D8D8"/>
          </w:tcPr>
          <w:p>
            <w:pPr>
              <w:spacing w:after="0"/>
              <w:rPr>
                <w:sz w:val="22"/>
                <w:szCs w:val="22"/>
                <w:color w:val="auto"/>
              </w:rPr>
            </w:pPr>
          </w:p>
        </w:tc>
        <w:tc>
          <w:tcPr>
            <w:tcW w:w="380" w:type="dxa"/>
            <w:vAlign w:val="bottom"/>
            <w:shd w:val="clear" w:color="auto" w:fill="D8D8D8"/>
          </w:tcPr>
          <w:p>
            <w:pPr>
              <w:spacing w:after="0"/>
              <w:rPr>
                <w:sz w:val="22"/>
                <w:szCs w:val="22"/>
                <w:color w:val="auto"/>
              </w:rPr>
            </w:pPr>
          </w:p>
        </w:tc>
        <w:tc>
          <w:tcPr>
            <w:tcW w:w="1000" w:type="dxa"/>
            <w:vAlign w:val="bottom"/>
            <w:shd w:val="clear" w:color="auto" w:fill="D8D8D8"/>
          </w:tcPr>
          <w:p>
            <w:pPr>
              <w:spacing w:after="0"/>
              <w:rPr>
                <w:sz w:val="22"/>
                <w:szCs w:val="22"/>
                <w:color w:val="auto"/>
              </w:rPr>
            </w:pPr>
          </w:p>
        </w:tc>
        <w:tc>
          <w:tcPr>
            <w:tcW w:w="380" w:type="dxa"/>
            <w:vAlign w:val="bottom"/>
            <w:shd w:val="clear" w:color="auto" w:fill="D8D8D8"/>
          </w:tcPr>
          <w:p>
            <w:pPr>
              <w:spacing w:after="0"/>
              <w:rPr>
                <w:sz w:val="22"/>
                <w:szCs w:val="22"/>
                <w:color w:val="auto"/>
              </w:rPr>
            </w:pPr>
          </w:p>
        </w:tc>
        <w:tc>
          <w:tcPr>
            <w:tcW w:w="960" w:type="dxa"/>
            <w:vAlign w:val="bottom"/>
            <w:shd w:val="clear" w:color="auto" w:fill="D8D8D8"/>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522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2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b w:val="1"/>
                <w:bCs w:val="1"/>
                <w:color w:val="auto"/>
              </w:rPr>
              <w:t>1,427.7</w:t>
            </w:r>
          </w:p>
        </w:tc>
        <w:tc>
          <w:tcPr>
            <w:tcW w:w="380" w:type="dxa"/>
            <w:vAlign w:val="bottom"/>
          </w:tcPr>
          <w:p>
            <w:pPr>
              <w:spacing w:after="0"/>
              <w:rPr>
                <w:sz w:val="23"/>
                <w:szCs w:val="23"/>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1,379.0</w:t>
            </w:r>
          </w:p>
        </w:tc>
        <w:tc>
          <w:tcPr>
            <w:tcW w:w="38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1,445.6</w:t>
            </w:r>
          </w:p>
        </w:tc>
        <w:tc>
          <w:tcPr>
            <w:tcW w:w="0" w:type="dxa"/>
            <w:vAlign w:val="bottom"/>
          </w:tcPr>
          <w:p>
            <w:pPr>
              <w:spacing w:after="0"/>
              <w:rPr>
                <w:sz w:val="1"/>
                <w:szCs w:val="1"/>
                <w:color w:val="auto"/>
              </w:rPr>
            </w:pPr>
          </w:p>
        </w:tc>
      </w:tr>
      <w:tr>
        <w:trPr>
          <w:trHeight w:val="271"/>
        </w:trPr>
        <w:tc>
          <w:tcPr>
            <w:tcW w:w="5220" w:type="dxa"/>
            <w:vAlign w:val="bottom"/>
            <w:shd w:val="clear" w:color="auto" w:fill="D8D8D8"/>
          </w:tcPr>
          <w:p>
            <w:pPr>
              <w:ind w:left="380"/>
              <w:spacing w:after="0"/>
              <w:rPr>
                <w:sz w:val="20"/>
                <w:szCs w:val="20"/>
                <w:color w:val="auto"/>
              </w:rPr>
            </w:pPr>
            <w:r>
              <w:rPr>
                <w:rFonts w:ascii="Arial" w:cs="Arial" w:eastAsia="Arial" w:hAnsi="Arial"/>
                <w:sz w:val="18"/>
                <w:szCs w:val="18"/>
                <w:color w:val="auto"/>
              </w:rPr>
              <w:t>Change in deferred income taxes</w:t>
            </w:r>
          </w:p>
        </w:tc>
        <w:tc>
          <w:tcPr>
            <w:tcW w:w="2180" w:type="dxa"/>
            <w:vAlign w:val="bottom"/>
            <w:shd w:val="clear" w:color="auto" w:fill="D8D8D8"/>
          </w:tcPr>
          <w:p>
            <w:pPr>
              <w:spacing w:after="0"/>
              <w:rPr>
                <w:sz w:val="23"/>
                <w:szCs w:val="23"/>
                <w:color w:val="auto"/>
              </w:rPr>
            </w:pPr>
          </w:p>
        </w:tc>
        <w:tc>
          <w:tcPr>
            <w:tcW w:w="300" w:type="dxa"/>
            <w:vAlign w:val="bottom"/>
            <w:shd w:val="clear" w:color="auto" w:fill="D8D8D8"/>
          </w:tcPr>
          <w:p>
            <w:pPr>
              <w:spacing w:after="0"/>
              <w:rPr>
                <w:sz w:val="23"/>
                <w:szCs w:val="23"/>
                <w:color w:val="auto"/>
              </w:rPr>
            </w:pPr>
          </w:p>
        </w:tc>
        <w:tc>
          <w:tcPr>
            <w:tcW w:w="1000" w:type="dxa"/>
            <w:vAlign w:val="bottom"/>
            <w:shd w:val="clear" w:color="auto" w:fill="D8D8D8"/>
          </w:tcPr>
          <w:p>
            <w:pPr>
              <w:jc w:val="right"/>
              <w:spacing w:after="0"/>
              <w:rPr>
                <w:sz w:val="20"/>
                <w:szCs w:val="20"/>
                <w:color w:val="auto"/>
              </w:rPr>
            </w:pPr>
            <w:r>
              <w:rPr>
                <w:rFonts w:ascii="Arial" w:cs="Arial" w:eastAsia="Arial" w:hAnsi="Arial"/>
                <w:sz w:val="18"/>
                <w:szCs w:val="18"/>
                <w:b w:val="1"/>
                <w:bCs w:val="1"/>
                <w:color w:val="auto"/>
              </w:rPr>
              <w:t>(748.4)</w:t>
            </w:r>
          </w:p>
        </w:tc>
        <w:tc>
          <w:tcPr>
            <w:tcW w:w="380" w:type="dxa"/>
            <w:vAlign w:val="bottom"/>
            <w:shd w:val="clear" w:color="auto" w:fill="D8D8D8"/>
          </w:tcPr>
          <w:p>
            <w:pPr>
              <w:spacing w:after="0"/>
              <w:rPr>
                <w:sz w:val="23"/>
                <w:szCs w:val="23"/>
                <w:color w:val="auto"/>
              </w:rPr>
            </w:pPr>
          </w:p>
        </w:tc>
        <w:tc>
          <w:tcPr>
            <w:tcW w:w="1000" w:type="dxa"/>
            <w:vAlign w:val="bottom"/>
            <w:shd w:val="clear" w:color="auto" w:fill="D8D8D8"/>
          </w:tcPr>
          <w:p>
            <w:pPr>
              <w:jc w:val="right"/>
              <w:ind w:right="51"/>
              <w:spacing w:after="0"/>
              <w:rPr>
                <w:sz w:val="20"/>
                <w:szCs w:val="20"/>
                <w:color w:val="auto"/>
              </w:rPr>
            </w:pPr>
            <w:r>
              <w:rPr>
                <w:rFonts w:ascii="Arial" w:cs="Arial" w:eastAsia="Arial" w:hAnsi="Arial"/>
                <w:sz w:val="18"/>
                <w:szCs w:val="18"/>
                <w:color w:val="auto"/>
              </w:rPr>
              <w:t>36.8</w:t>
            </w:r>
          </w:p>
        </w:tc>
        <w:tc>
          <w:tcPr>
            <w:tcW w:w="380" w:type="dxa"/>
            <w:vAlign w:val="bottom"/>
            <w:shd w:val="clear" w:color="auto" w:fill="D8D8D8"/>
          </w:tcPr>
          <w:p>
            <w:pPr>
              <w:spacing w:after="0"/>
              <w:rPr>
                <w:sz w:val="23"/>
                <w:szCs w:val="23"/>
                <w:color w:val="auto"/>
              </w:rPr>
            </w:pPr>
          </w:p>
        </w:tc>
        <w:tc>
          <w:tcPr>
            <w:tcW w:w="960" w:type="dxa"/>
            <w:vAlign w:val="bottom"/>
            <w:shd w:val="clear" w:color="auto" w:fill="D8D8D8"/>
          </w:tcPr>
          <w:p>
            <w:pPr>
              <w:jc w:val="right"/>
              <w:ind w:right="11"/>
              <w:spacing w:after="0"/>
              <w:rPr>
                <w:sz w:val="20"/>
                <w:szCs w:val="20"/>
                <w:color w:val="auto"/>
              </w:rPr>
            </w:pPr>
            <w:r>
              <w:rPr>
                <w:rFonts w:ascii="Arial" w:cs="Arial" w:eastAsia="Arial" w:hAnsi="Arial"/>
                <w:sz w:val="18"/>
                <w:szCs w:val="18"/>
                <w:color w:val="auto"/>
              </w:rPr>
              <w:t>265.9</w:t>
            </w:r>
          </w:p>
        </w:tc>
        <w:tc>
          <w:tcPr>
            <w:tcW w:w="0" w:type="dxa"/>
            <w:vAlign w:val="bottom"/>
          </w:tcPr>
          <w:p>
            <w:pPr>
              <w:spacing w:after="0"/>
              <w:rPr>
                <w:sz w:val="1"/>
                <w:szCs w:val="1"/>
                <w:color w:val="auto"/>
              </w:rPr>
            </w:pPr>
          </w:p>
        </w:tc>
      </w:tr>
      <w:tr>
        <w:trPr>
          <w:trHeight w:val="269"/>
        </w:trPr>
        <w:tc>
          <w:tcPr>
            <w:tcW w:w="5220" w:type="dxa"/>
            <w:vAlign w:val="bottom"/>
          </w:tcPr>
          <w:p>
            <w:pPr>
              <w:ind w:left="380"/>
              <w:spacing w:after="0"/>
              <w:rPr>
                <w:sz w:val="20"/>
                <w:szCs w:val="20"/>
                <w:color w:val="auto"/>
              </w:rPr>
            </w:pPr>
            <w:r>
              <w:rPr>
                <w:rFonts w:ascii="Arial" w:cs="Arial" w:eastAsia="Arial" w:hAnsi="Arial"/>
                <w:sz w:val="18"/>
                <w:szCs w:val="18"/>
                <w:color w:val="auto"/>
              </w:rPr>
              <w:t>Stock-based compensation expense</w:t>
            </w:r>
          </w:p>
        </w:tc>
        <w:tc>
          <w:tcPr>
            <w:tcW w:w="2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b w:val="1"/>
                <w:bCs w:val="1"/>
                <w:color w:val="auto"/>
              </w:rPr>
              <w:t>217.8</w:t>
            </w:r>
          </w:p>
        </w:tc>
        <w:tc>
          <w:tcPr>
            <w:tcW w:w="380" w:type="dxa"/>
            <w:vAlign w:val="bottom"/>
          </w:tcPr>
          <w:p>
            <w:pPr>
              <w:spacing w:after="0"/>
              <w:rPr>
                <w:sz w:val="23"/>
                <w:szCs w:val="23"/>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156.0</w:t>
            </w:r>
          </w:p>
        </w:tc>
        <w:tc>
          <w:tcPr>
            <w:tcW w:w="38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144.9</w:t>
            </w:r>
          </w:p>
        </w:tc>
        <w:tc>
          <w:tcPr>
            <w:tcW w:w="0" w:type="dxa"/>
            <w:vAlign w:val="bottom"/>
          </w:tcPr>
          <w:p>
            <w:pPr>
              <w:spacing w:after="0"/>
              <w:rPr>
                <w:sz w:val="1"/>
                <w:szCs w:val="1"/>
                <w:color w:val="auto"/>
              </w:rPr>
            </w:pPr>
          </w:p>
        </w:tc>
      </w:tr>
      <w:tr>
        <w:trPr>
          <w:trHeight w:val="271"/>
        </w:trPr>
        <w:tc>
          <w:tcPr>
            <w:tcW w:w="5220" w:type="dxa"/>
            <w:vAlign w:val="bottom"/>
            <w:shd w:val="clear" w:color="auto" w:fill="D8D8D8"/>
          </w:tcPr>
          <w:p>
            <w:pPr>
              <w:ind w:left="380"/>
              <w:spacing w:after="0"/>
              <w:rPr>
                <w:sz w:val="20"/>
                <w:szCs w:val="20"/>
                <w:color w:val="auto"/>
              </w:rPr>
            </w:pPr>
            <w:r>
              <w:rPr>
                <w:rFonts w:ascii="Arial" w:cs="Arial" w:eastAsia="Arial" w:hAnsi="Arial"/>
                <w:sz w:val="18"/>
                <w:szCs w:val="18"/>
                <w:color w:val="auto"/>
              </w:rPr>
              <w:t>Acquired in-process research and development</w:t>
            </w:r>
          </w:p>
        </w:tc>
        <w:tc>
          <w:tcPr>
            <w:tcW w:w="2180" w:type="dxa"/>
            <w:vAlign w:val="bottom"/>
            <w:shd w:val="clear" w:color="auto" w:fill="D8D8D8"/>
          </w:tcPr>
          <w:p>
            <w:pPr>
              <w:spacing w:after="0"/>
              <w:rPr>
                <w:sz w:val="23"/>
                <w:szCs w:val="23"/>
                <w:color w:val="auto"/>
              </w:rPr>
            </w:pPr>
          </w:p>
        </w:tc>
        <w:tc>
          <w:tcPr>
            <w:tcW w:w="300" w:type="dxa"/>
            <w:vAlign w:val="bottom"/>
            <w:shd w:val="clear" w:color="auto" w:fill="D8D8D8"/>
          </w:tcPr>
          <w:p>
            <w:pPr>
              <w:spacing w:after="0"/>
              <w:rPr>
                <w:sz w:val="23"/>
                <w:szCs w:val="23"/>
                <w:color w:val="auto"/>
              </w:rPr>
            </w:pPr>
          </w:p>
        </w:tc>
        <w:tc>
          <w:tcPr>
            <w:tcW w:w="1000" w:type="dxa"/>
            <w:vAlign w:val="bottom"/>
            <w:shd w:val="clear" w:color="auto" w:fill="D8D8D8"/>
          </w:tcPr>
          <w:p>
            <w:pPr>
              <w:jc w:val="right"/>
              <w:ind w:right="51"/>
              <w:spacing w:after="0"/>
              <w:rPr>
                <w:sz w:val="20"/>
                <w:szCs w:val="20"/>
                <w:color w:val="auto"/>
              </w:rPr>
            </w:pPr>
            <w:r>
              <w:rPr>
                <w:rFonts w:ascii="Arial" w:cs="Arial" w:eastAsia="Arial" w:hAnsi="Arial"/>
                <w:sz w:val="18"/>
                <w:szCs w:val="18"/>
                <w:b w:val="1"/>
                <w:bCs w:val="1"/>
                <w:color w:val="auto"/>
              </w:rPr>
              <w:t>535.0</w:t>
            </w:r>
          </w:p>
        </w:tc>
        <w:tc>
          <w:tcPr>
            <w:tcW w:w="380" w:type="dxa"/>
            <w:vAlign w:val="bottom"/>
            <w:shd w:val="clear" w:color="auto" w:fill="D8D8D8"/>
          </w:tcPr>
          <w:p>
            <w:pPr>
              <w:spacing w:after="0"/>
              <w:rPr>
                <w:sz w:val="23"/>
                <w:szCs w:val="23"/>
                <w:color w:val="auto"/>
              </w:rPr>
            </w:pPr>
          </w:p>
        </w:tc>
        <w:tc>
          <w:tcPr>
            <w:tcW w:w="1000" w:type="dxa"/>
            <w:vAlign w:val="bottom"/>
            <w:shd w:val="clear" w:color="auto" w:fill="D8D8D8"/>
          </w:tcPr>
          <w:p>
            <w:pPr>
              <w:jc w:val="right"/>
              <w:ind w:right="51"/>
              <w:spacing w:after="0"/>
              <w:rPr>
                <w:sz w:val="20"/>
                <w:szCs w:val="20"/>
                <w:color w:val="auto"/>
              </w:rPr>
            </w:pPr>
            <w:r>
              <w:rPr>
                <w:rFonts w:ascii="Arial" w:cs="Arial" w:eastAsia="Arial" w:hAnsi="Arial"/>
                <w:sz w:val="18"/>
                <w:szCs w:val="18"/>
                <w:color w:val="auto"/>
              </w:rPr>
              <w:t>200.2</w:t>
            </w:r>
          </w:p>
        </w:tc>
        <w:tc>
          <w:tcPr>
            <w:tcW w:w="380" w:type="dxa"/>
            <w:vAlign w:val="bottom"/>
            <w:shd w:val="clear" w:color="auto" w:fill="D8D8D8"/>
          </w:tcPr>
          <w:p>
            <w:pPr>
              <w:spacing w:after="0"/>
              <w:rPr>
                <w:sz w:val="23"/>
                <w:szCs w:val="23"/>
                <w:color w:val="auto"/>
              </w:rPr>
            </w:pPr>
          </w:p>
        </w:tc>
        <w:tc>
          <w:tcPr>
            <w:tcW w:w="960" w:type="dxa"/>
            <w:vAlign w:val="bottom"/>
            <w:shd w:val="clear" w:color="auto" w:fill="D8D8D8"/>
          </w:tcPr>
          <w:p>
            <w:pPr>
              <w:jc w:val="right"/>
              <w:ind w:right="11"/>
              <w:spacing w:after="0"/>
              <w:rPr>
                <w:sz w:val="20"/>
                <w:szCs w:val="20"/>
                <w:color w:val="auto"/>
              </w:rPr>
            </w:pPr>
            <w:r>
              <w:rPr>
                <w:rFonts w:ascii="Arial" w:cs="Arial" w:eastAsia="Arial" w:hAnsi="Arial"/>
                <w:sz w:val="18"/>
                <w:szCs w:val="18"/>
                <w:color w:val="auto"/>
              </w:rPr>
              <w:t>57.1</w:t>
            </w:r>
          </w:p>
        </w:tc>
        <w:tc>
          <w:tcPr>
            <w:tcW w:w="0" w:type="dxa"/>
            <w:vAlign w:val="bottom"/>
          </w:tcPr>
          <w:p>
            <w:pPr>
              <w:spacing w:after="0"/>
              <w:rPr>
                <w:sz w:val="1"/>
                <w:szCs w:val="1"/>
                <w:color w:val="auto"/>
              </w:rPr>
            </w:pPr>
          </w:p>
        </w:tc>
      </w:tr>
      <w:tr>
        <w:trPr>
          <w:trHeight w:val="207"/>
        </w:trPr>
        <w:tc>
          <w:tcPr>
            <w:tcW w:w="7400" w:type="dxa"/>
            <w:vAlign w:val="bottom"/>
            <w:gridSpan w:val="2"/>
          </w:tcPr>
          <w:p>
            <w:pPr>
              <w:ind w:left="380"/>
              <w:spacing w:after="0"/>
              <w:rPr>
                <w:sz w:val="20"/>
                <w:szCs w:val="20"/>
                <w:color w:val="auto"/>
              </w:rPr>
            </w:pPr>
            <w:r>
              <w:rPr>
                <w:rFonts w:ascii="Arial" w:cs="Arial" w:eastAsia="Arial" w:hAnsi="Arial"/>
                <w:sz w:val="18"/>
                <w:szCs w:val="18"/>
                <w:color w:val="auto"/>
              </w:rPr>
              <w:t>Income related to termination of the exenatide collaboration with Amylin</w:t>
            </w:r>
          </w:p>
        </w:tc>
        <w:tc>
          <w:tcPr>
            <w:tcW w:w="300" w:type="dxa"/>
            <w:vAlign w:val="bottom"/>
          </w:tcPr>
          <w:p>
            <w:pPr>
              <w:spacing w:after="0"/>
              <w:rPr>
                <w:sz w:val="17"/>
                <w:szCs w:val="17"/>
                <w:color w:val="auto"/>
              </w:rPr>
            </w:pPr>
          </w:p>
        </w:tc>
        <w:tc>
          <w:tcPr>
            <w:tcW w:w="1000" w:type="dxa"/>
            <w:vAlign w:val="bottom"/>
            <w:vMerge w:val="restart"/>
          </w:tcPr>
          <w:p>
            <w:pPr>
              <w:jc w:val="right"/>
              <w:ind w:right="51"/>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5220" w:type="dxa"/>
            <w:vAlign w:val="bottom"/>
          </w:tcPr>
          <w:p>
            <w:pPr>
              <w:ind w:left="380"/>
              <w:spacing w:after="0"/>
              <w:rPr>
                <w:sz w:val="20"/>
                <w:szCs w:val="20"/>
                <w:color w:val="auto"/>
              </w:rPr>
            </w:pPr>
            <w:r>
              <w:rPr>
                <w:rFonts w:ascii="Arial" w:cs="Arial" w:eastAsia="Arial" w:hAnsi="Arial"/>
                <w:sz w:val="18"/>
                <w:szCs w:val="18"/>
                <w:color w:val="auto"/>
              </w:rPr>
              <w:t>Pharmaceuticals, Inc. (Note 4)</w:t>
            </w:r>
          </w:p>
        </w:tc>
        <w:tc>
          <w:tcPr>
            <w:tcW w:w="2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vMerge w:val="continue"/>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(495.4)</w:t>
            </w:r>
          </w:p>
        </w:tc>
        <w:tc>
          <w:tcPr>
            <w:tcW w:w="0" w:type="dxa"/>
            <w:vAlign w:val="bottom"/>
          </w:tcPr>
          <w:p>
            <w:pPr>
              <w:spacing w:after="0"/>
              <w:rPr>
                <w:sz w:val="1"/>
                <w:szCs w:val="1"/>
                <w:color w:val="auto"/>
              </w:rPr>
            </w:pPr>
          </w:p>
        </w:tc>
      </w:tr>
      <w:tr>
        <w:trPr>
          <w:trHeight w:val="271"/>
        </w:trPr>
        <w:tc>
          <w:tcPr>
            <w:tcW w:w="7400" w:type="dxa"/>
            <w:vAlign w:val="bottom"/>
            <w:gridSpan w:val="2"/>
            <w:shd w:val="clear" w:color="auto" w:fill="D8D8D8"/>
          </w:tcPr>
          <w:p>
            <w:pPr>
              <w:ind w:left="380"/>
              <w:spacing w:after="0"/>
              <w:rPr>
                <w:sz w:val="20"/>
                <w:szCs w:val="20"/>
                <w:color w:val="auto"/>
              </w:rPr>
            </w:pPr>
            <w:r>
              <w:rPr>
                <w:rFonts w:ascii="Arial" w:cs="Arial" w:eastAsia="Arial" w:hAnsi="Arial"/>
                <w:sz w:val="18"/>
                <w:szCs w:val="18"/>
                <w:color w:val="auto"/>
              </w:rPr>
              <w:t>Net proceeds from (payments for) terminations of interest rate swaps</w:t>
            </w:r>
          </w:p>
        </w:tc>
        <w:tc>
          <w:tcPr>
            <w:tcW w:w="300" w:type="dxa"/>
            <w:vAlign w:val="bottom"/>
            <w:shd w:val="clear" w:color="auto" w:fill="D8D8D8"/>
          </w:tcPr>
          <w:p>
            <w:pPr>
              <w:spacing w:after="0"/>
              <w:rPr>
                <w:sz w:val="23"/>
                <w:szCs w:val="23"/>
                <w:color w:val="auto"/>
              </w:rPr>
            </w:pPr>
          </w:p>
        </w:tc>
        <w:tc>
          <w:tcPr>
            <w:tcW w:w="1000" w:type="dxa"/>
            <w:vAlign w:val="bottom"/>
            <w:shd w:val="clear" w:color="auto" w:fill="D8D8D8"/>
          </w:tcPr>
          <w:p>
            <w:pPr>
              <w:jc w:val="right"/>
              <w:spacing w:after="0"/>
              <w:rPr>
                <w:sz w:val="20"/>
                <w:szCs w:val="20"/>
                <w:color w:val="auto"/>
              </w:rPr>
            </w:pPr>
            <w:r>
              <w:rPr>
                <w:rFonts w:ascii="Arial" w:cs="Arial" w:eastAsia="Arial" w:hAnsi="Arial"/>
                <w:sz w:val="18"/>
                <w:szCs w:val="18"/>
                <w:b w:val="1"/>
                <w:bCs w:val="1"/>
                <w:color w:val="auto"/>
              </w:rPr>
              <w:t>(186.1)</w:t>
            </w:r>
          </w:p>
        </w:tc>
        <w:tc>
          <w:tcPr>
            <w:tcW w:w="380" w:type="dxa"/>
            <w:vAlign w:val="bottom"/>
            <w:shd w:val="clear" w:color="auto" w:fill="D8D8D8"/>
          </w:tcPr>
          <w:p>
            <w:pPr>
              <w:spacing w:after="0"/>
              <w:rPr>
                <w:sz w:val="23"/>
                <w:szCs w:val="23"/>
                <w:color w:val="auto"/>
              </w:rPr>
            </w:pPr>
          </w:p>
        </w:tc>
        <w:tc>
          <w:tcPr>
            <w:tcW w:w="1000" w:type="dxa"/>
            <w:vAlign w:val="bottom"/>
            <w:shd w:val="clear" w:color="auto" w:fill="D8D8D8"/>
          </w:tcPr>
          <w:p>
            <w:pPr>
              <w:jc w:val="right"/>
              <w:ind w:right="51"/>
              <w:spacing w:after="0"/>
              <w:rPr>
                <w:sz w:val="20"/>
                <w:szCs w:val="20"/>
                <w:color w:val="auto"/>
              </w:rPr>
            </w:pPr>
            <w:r>
              <w:rPr>
                <w:rFonts w:ascii="Arial" w:cs="Arial" w:eastAsia="Arial" w:hAnsi="Arial"/>
                <w:sz w:val="18"/>
                <w:szCs w:val="18"/>
                <w:color w:val="auto"/>
              </w:rPr>
              <w:t>340.7</w:t>
            </w:r>
          </w:p>
        </w:tc>
        <w:tc>
          <w:tcPr>
            <w:tcW w:w="380" w:type="dxa"/>
            <w:vAlign w:val="bottom"/>
            <w:shd w:val="clear" w:color="auto" w:fill="D8D8D8"/>
          </w:tcPr>
          <w:p>
            <w:pPr>
              <w:spacing w:after="0"/>
              <w:rPr>
                <w:sz w:val="23"/>
                <w:szCs w:val="23"/>
                <w:color w:val="auto"/>
              </w:rPr>
            </w:pPr>
          </w:p>
        </w:tc>
        <w:tc>
          <w:tcPr>
            <w:tcW w:w="960" w:type="dxa"/>
            <w:vAlign w:val="bottom"/>
            <w:shd w:val="clear" w:color="auto" w:fill="D8D8D8"/>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9"/>
        </w:trPr>
        <w:tc>
          <w:tcPr>
            <w:tcW w:w="5220" w:type="dxa"/>
            <w:vAlign w:val="bottom"/>
          </w:tcPr>
          <w:p>
            <w:pPr>
              <w:ind w:left="380"/>
              <w:spacing w:after="0"/>
              <w:rPr>
                <w:sz w:val="20"/>
                <w:szCs w:val="20"/>
                <w:color w:val="auto"/>
              </w:rPr>
            </w:pPr>
            <w:r>
              <w:rPr>
                <w:rFonts w:ascii="Arial" w:cs="Arial" w:eastAsia="Arial" w:hAnsi="Arial"/>
                <w:sz w:val="18"/>
                <w:szCs w:val="18"/>
                <w:color w:val="auto"/>
              </w:rPr>
              <w:t>Other non-cash operating activities, net</w:t>
            </w:r>
          </w:p>
        </w:tc>
        <w:tc>
          <w:tcPr>
            <w:tcW w:w="2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b w:val="1"/>
                <w:bCs w:val="1"/>
                <w:color w:val="auto"/>
              </w:rPr>
              <w:t>36.4</w:t>
            </w:r>
          </w:p>
        </w:tc>
        <w:tc>
          <w:tcPr>
            <w:tcW w:w="380" w:type="dxa"/>
            <w:vAlign w:val="bottom"/>
          </w:tcPr>
          <w:p>
            <w:pPr>
              <w:spacing w:after="0"/>
              <w:rPr>
                <w:sz w:val="23"/>
                <w:szCs w:val="23"/>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13.8</w:t>
            </w:r>
          </w:p>
        </w:tc>
        <w:tc>
          <w:tcPr>
            <w:tcW w:w="38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71"/>
        </w:trPr>
        <w:tc>
          <w:tcPr>
            <w:tcW w:w="7400" w:type="dxa"/>
            <w:vAlign w:val="bottom"/>
            <w:gridSpan w:val="2"/>
            <w:shd w:val="clear" w:color="auto" w:fill="D8D8D8"/>
          </w:tcPr>
          <w:p>
            <w:pPr>
              <w:ind w:left="380"/>
              <w:spacing w:after="0"/>
              <w:rPr>
                <w:sz w:val="20"/>
                <w:szCs w:val="20"/>
                <w:color w:val="auto"/>
              </w:rPr>
            </w:pPr>
            <w:r>
              <w:rPr>
                <w:rFonts w:ascii="Arial" w:cs="Arial" w:eastAsia="Arial" w:hAnsi="Arial"/>
                <w:sz w:val="18"/>
                <w:szCs w:val="18"/>
                <w:color w:val="auto"/>
              </w:rPr>
              <w:t>Other changes in operating assets and liabilities, net of acquisitions and divestitures:</w:t>
            </w:r>
          </w:p>
        </w:tc>
        <w:tc>
          <w:tcPr>
            <w:tcW w:w="300" w:type="dxa"/>
            <w:vAlign w:val="bottom"/>
            <w:shd w:val="clear" w:color="auto" w:fill="D8D8D8"/>
          </w:tcPr>
          <w:p>
            <w:pPr>
              <w:spacing w:after="0"/>
              <w:rPr>
                <w:sz w:val="23"/>
                <w:szCs w:val="23"/>
                <w:color w:val="auto"/>
              </w:rPr>
            </w:pPr>
          </w:p>
        </w:tc>
        <w:tc>
          <w:tcPr>
            <w:tcW w:w="1000" w:type="dxa"/>
            <w:vAlign w:val="bottom"/>
            <w:shd w:val="clear" w:color="auto" w:fill="D8D8D8"/>
          </w:tcPr>
          <w:p>
            <w:pPr>
              <w:spacing w:after="0"/>
              <w:rPr>
                <w:sz w:val="23"/>
                <w:szCs w:val="23"/>
                <w:color w:val="auto"/>
              </w:rPr>
            </w:pPr>
          </w:p>
        </w:tc>
        <w:tc>
          <w:tcPr>
            <w:tcW w:w="380" w:type="dxa"/>
            <w:vAlign w:val="bottom"/>
            <w:shd w:val="clear" w:color="auto" w:fill="D8D8D8"/>
          </w:tcPr>
          <w:p>
            <w:pPr>
              <w:spacing w:after="0"/>
              <w:rPr>
                <w:sz w:val="23"/>
                <w:szCs w:val="23"/>
                <w:color w:val="auto"/>
              </w:rPr>
            </w:pPr>
          </w:p>
        </w:tc>
        <w:tc>
          <w:tcPr>
            <w:tcW w:w="1000" w:type="dxa"/>
            <w:vAlign w:val="bottom"/>
            <w:shd w:val="clear" w:color="auto" w:fill="D8D8D8"/>
          </w:tcPr>
          <w:p>
            <w:pPr>
              <w:spacing w:after="0"/>
              <w:rPr>
                <w:sz w:val="23"/>
                <w:szCs w:val="23"/>
                <w:color w:val="auto"/>
              </w:rPr>
            </w:pPr>
          </w:p>
        </w:tc>
        <w:tc>
          <w:tcPr>
            <w:tcW w:w="380" w:type="dxa"/>
            <w:vAlign w:val="bottom"/>
            <w:shd w:val="clear" w:color="auto" w:fill="D8D8D8"/>
          </w:tcPr>
          <w:p>
            <w:pPr>
              <w:spacing w:after="0"/>
              <w:rPr>
                <w:sz w:val="23"/>
                <w:szCs w:val="23"/>
                <w:color w:val="auto"/>
              </w:rPr>
            </w:pPr>
          </w:p>
        </w:tc>
        <w:tc>
          <w:tcPr>
            <w:tcW w:w="960" w:type="dxa"/>
            <w:vAlign w:val="bottom"/>
            <w:shd w:val="clear" w:color="auto" w:fill="D8D8D8"/>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5220" w:type="dxa"/>
            <w:vAlign w:val="bottom"/>
          </w:tcPr>
          <w:p>
            <w:pPr>
              <w:ind w:left="500"/>
              <w:spacing w:after="0"/>
              <w:rPr>
                <w:sz w:val="20"/>
                <w:szCs w:val="20"/>
                <w:color w:val="auto"/>
              </w:rPr>
            </w:pPr>
            <w:r>
              <w:rPr>
                <w:rFonts w:ascii="Arial" w:cs="Arial" w:eastAsia="Arial" w:hAnsi="Arial"/>
                <w:sz w:val="18"/>
                <w:szCs w:val="18"/>
                <w:color w:val="auto"/>
              </w:rPr>
              <w:t>Receivables—(increase) decrease</w:t>
            </w:r>
          </w:p>
        </w:tc>
        <w:tc>
          <w:tcPr>
            <w:tcW w:w="2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(304.5)</w:t>
            </w:r>
          </w:p>
        </w:tc>
        <w:tc>
          <w:tcPr>
            <w:tcW w:w="380" w:type="dxa"/>
            <w:vAlign w:val="bottom"/>
          </w:tcPr>
          <w:p>
            <w:pPr>
              <w:spacing w:after="0"/>
              <w:rPr>
                <w:sz w:val="23"/>
                <w:szCs w:val="23"/>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117.4</w:t>
            </w:r>
          </w:p>
        </w:tc>
        <w:tc>
          <w:tcPr>
            <w:tcW w:w="3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(152.7)</w:t>
            </w:r>
          </w:p>
        </w:tc>
        <w:tc>
          <w:tcPr>
            <w:tcW w:w="0" w:type="dxa"/>
            <w:vAlign w:val="bottom"/>
          </w:tcPr>
          <w:p>
            <w:pPr>
              <w:spacing w:after="0"/>
              <w:rPr>
                <w:sz w:val="1"/>
                <w:szCs w:val="1"/>
                <w:color w:val="auto"/>
              </w:rPr>
            </w:pPr>
          </w:p>
        </w:tc>
      </w:tr>
      <w:tr>
        <w:trPr>
          <w:trHeight w:val="271"/>
        </w:trPr>
        <w:tc>
          <w:tcPr>
            <w:tcW w:w="5220" w:type="dxa"/>
            <w:vAlign w:val="bottom"/>
            <w:shd w:val="clear" w:color="auto" w:fill="D8D8D8"/>
          </w:tcPr>
          <w:p>
            <w:pPr>
              <w:ind w:left="500"/>
              <w:spacing w:after="0"/>
              <w:rPr>
                <w:sz w:val="20"/>
                <w:szCs w:val="20"/>
                <w:color w:val="auto"/>
              </w:rPr>
            </w:pPr>
            <w:r>
              <w:rPr>
                <w:rFonts w:ascii="Arial" w:cs="Arial" w:eastAsia="Arial" w:hAnsi="Arial"/>
                <w:sz w:val="18"/>
                <w:szCs w:val="18"/>
                <w:color w:val="auto"/>
              </w:rPr>
              <w:t>Inventories—(increase) decrease</w:t>
            </w:r>
          </w:p>
        </w:tc>
        <w:tc>
          <w:tcPr>
            <w:tcW w:w="2180" w:type="dxa"/>
            <w:vAlign w:val="bottom"/>
            <w:shd w:val="clear" w:color="auto" w:fill="D8D8D8"/>
          </w:tcPr>
          <w:p>
            <w:pPr>
              <w:spacing w:after="0"/>
              <w:rPr>
                <w:sz w:val="23"/>
                <w:szCs w:val="23"/>
                <w:color w:val="auto"/>
              </w:rPr>
            </w:pPr>
          </w:p>
        </w:tc>
        <w:tc>
          <w:tcPr>
            <w:tcW w:w="300" w:type="dxa"/>
            <w:vAlign w:val="bottom"/>
            <w:shd w:val="clear" w:color="auto" w:fill="D8D8D8"/>
          </w:tcPr>
          <w:p>
            <w:pPr>
              <w:spacing w:after="0"/>
              <w:rPr>
                <w:sz w:val="23"/>
                <w:szCs w:val="23"/>
                <w:color w:val="auto"/>
              </w:rPr>
            </w:pPr>
          </w:p>
        </w:tc>
        <w:tc>
          <w:tcPr>
            <w:tcW w:w="1000" w:type="dxa"/>
            <w:vAlign w:val="bottom"/>
            <w:shd w:val="clear" w:color="auto" w:fill="D8D8D8"/>
          </w:tcPr>
          <w:p>
            <w:pPr>
              <w:jc w:val="right"/>
              <w:spacing w:after="0"/>
              <w:rPr>
                <w:sz w:val="20"/>
                <w:szCs w:val="20"/>
                <w:color w:val="auto"/>
              </w:rPr>
            </w:pPr>
            <w:r>
              <w:rPr>
                <w:rFonts w:ascii="Arial" w:cs="Arial" w:eastAsia="Arial" w:hAnsi="Arial"/>
                <w:sz w:val="18"/>
                <w:szCs w:val="18"/>
                <w:b w:val="1"/>
                <w:bCs w:val="1"/>
                <w:color w:val="auto"/>
              </w:rPr>
              <w:t>(736.3)</w:t>
            </w:r>
          </w:p>
        </w:tc>
        <w:tc>
          <w:tcPr>
            <w:tcW w:w="380" w:type="dxa"/>
            <w:vAlign w:val="bottom"/>
            <w:shd w:val="clear" w:color="auto" w:fill="D8D8D8"/>
          </w:tcPr>
          <w:p>
            <w:pPr>
              <w:spacing w:after="0"/>
              <w:rPr>
                <w:sz w:val="23"/>
                <w:szCs w:val="23"/>
                <w:color w:val="auto"/>
              </w:rPr>
            </w:pPr>
          </w:p>
        </w:tc>
        <w:tc>
          <w:tcPr>
            <w:tcW w:w="10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(307.1)</w:t>
            </w:r>
          </w:p>
        </w:tc>
        <w:tc>
          <w:tcPr>
            <w:tcW w:w="380" w:type="dxa"/>
            <w:vAlign w:val="bottom"/>
            <w:shd w:val="clear" w:color="auto" w:fill="D8D8D8"/>
          </w:tcPr>
          <w:p>
            <w:pPr>
              <w:spacing w:after="0"/>
              <w:rPr>
                <w:sz w:val="23"/>
                <w:szCs w:val="23"/>
                <w:color w:val="auto"/>
              </w:rPr>
            </w:pPr>
          </w:p>
        </w:tc>
        <w:tc>
          <w:tcPr>
            <w:tcW w:w="960" w:type="dxa"/>
            <w:vAlign w:val="bottom"/>
            <w:shd w:val="clear" w:color="auto" w:fill="D8D8D8"/>
          </w:tcPr>
          <w:p>
            <w:pPr>
              <w:jc w:val="right"/>
              <w:spacing w:after="0"/>
              <w:rPr>
                <w:sz w:val="20"/>
                <w:szCs w:val="20"/>
                <w:color w:val="auto"/>
              </w:rPr>
            </w:pPr>
            <w:r>
              <w:rPr>
                <w:rFonts w:ascii="Arial" w:cs="Arial" w:eastAsia="Arial" w:hAnsi="Arial"/>
                <w:sz w:val="18"/>
                <w:szCs w:val="18"/>
                <w:color w:val="auto"/>
              </w:rPr>
              <w:t>(286.5)</w:t>
            </w:r>
          </w:p>
        </w:tc>
        <w:tc>
          <w:tcPr>
            <w:tcW w:w="0" w:type="dxa"/>
            <w:vAlign w:val="bottom"/>
          </w:tcPr>
          <w:p>
            <w:pPr>
              <w:spacing w:after="0"/>
              <w:rPr>
                <w:sz w:val="1"/>
                <w:szCs w:val="1"/>
                <w:color w:val="auto"/>
              </w:rPr>
            </w:pPr>
          </w:p>
        </w:tc>
      </w:tr>
      <w:tr>
        <w:trPr>
          <w:trHeight w:val="269"/>
        </w:trPr>
        <w:tc>
          <w:tcPr>
            <w:tcW w:w="5220" w:type="dxa"/>
            <w:vAlign w:val="bottom"/>
          </w:tcPr>
          <w:p>
            <w:pPr>
              <w:ind w:left="500"/>
              <w:spacing w:after="0"/>
              <w:rPr>
                <w:sz w:val="20"/>
                <w:szCs w:val="20"/>
                <w:color w:val="auto"/>
              </w:rPr>
            </w:pPr>
            <w:r>
              <w:rPr>
                <w:rFonts w:ascii="Arial" w:cs="Arial" w:eastAsia="Arial" w:hAnsi="Arial"/>
                <w:sz w:val="18"/>
                <w:szCs w:val="18"/>
                <w:color w:val="auto"/>
              </w:rPr>
              <w:t>Other assets—(increase) decrease</w:t>
            </w:r>
          </w:p>
        </w:tc>
        <w:tc>
          <w:tcPr>
            <w:tcW w:w="2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(338.8)</w:t>
            </w:r>
          </w:p>
        </w:tc>
        <w:tc>
          <w:tcPr>
            <w:tcW w:w="380" w:type="dxa"/>
            <w:vAlign w:val="bottom"/>
          </w:tcPr>
          <w:p>
            <w:pPr>
              <w:spacing w:after="0"/>
              <w:rPr>
                <w:sz w:val="23"/>
                <w:szCs w:val="23"/>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411.5</w:t>
            </w:r>
          </w:p>
        </w:tc>
        <w:tc>
          <w:tcPr>
            <w:tcW w:w="38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116.5</w:t>
            </w:r>
          </w:p>
        </w:tc>
        <w:tc>
          <w:tcPr>
            <w:tcW w:w="0" w:type="dxa"/>
            <w:vAlign w:val="bottom"/>
          </w:tcPr>
          <w:p>
            <w:pPr>
              <w:spacing w:after="0"/>
              <w:rPr>
                <w:sz w:val="1"/>
                <w:szCs w:val="1"/>
                <w:color w:val="auto"/>
              </w:rPr>
            </w:pPr>
          </w:p>
        </w:tc>
      </w:tr>
      <w:tr>
        <w:trPr>
          <w:trHeight w:val="271"/>
        </w:trPr>
        <w:tc>
          <w:tcPr>
            <w:tcW w:w="5220" w:type="dxa"/>
            <w:vAlign w:val="bottom"/>
            <w:shd w:val="clear" w:color="auto" w:fill="D8D8D8"/>
          </w:tcPr>
          <w:p>
            <w:pPr>
              <w:ind w:left="500"/>
              <w:spacing w:after="0"/>
              <w:rPr>
                <w:sz w:val="20"/>
                <w:szCs w:val="20"/>
                <w:color w:val="auto"/>
              </w:rPr>
            </w:pPr>
            <w:r>
              <w:rPr>
                <w:rFonts w:ascii="Arial" w:cs="Arial" w:eastAsia="Arial" w:hAnsi="Arial"/>
                <w:sz w:val="18"/>
                <w:szCs w:val="18"/>
                <w:color w:val="auto"/>
                <w:w w:val="99"/>
              </w:rPr>
              <w:t>Accounts payable and other liabilities—increase (decrease)</w:t>
            </w:r>
          </w:p>
        </w:tc>
        <w:tc>
          <w:tcPr>
            <w:tcW w:w="2180" w:type="dxa"/>
            <w:vAlign w:val="bottom"/>
            <w:shd w:val="clear" w:color="auto" w:fill="D8D8D8"/>
          </w:tcPr>
          <w:p>
            <w:pPr>
              <w:spacing w:after="0"/>
              <w:rPr>
                <w:sz w:val="23"/>
                <w:szCs w:val="23"/>
                <w:color w:val="auto"/>
              </w:rPr>
            </w:pPr>
          </w:p>
        </w:tc>
        <w:tc>
          <w:tcPr>
            <w:tcW w:w="300" w:type="dxa"/>
            <w:vAlign w:val="bottom"/>
            <w:tcBorders>
              <w:bottom w:val="single" w:sz="8" w:color="auto"/>
            </w:tcBorders>
            <w:shd w:val="clear" w:color="auto" w:fill="D8D8D8"/>
          </w:tcPr>
          <w:p>
            <w:pPr>
              <w:spacing w:after="0"/>
              <w:rPr>
                <w:sz w:val="23"/>
                <w:szCs w:val="23"/>
                <w:color w:val="auto"/>
              </w:rPr>
            </w:pPr>
          </w:p>
        </w:tc>
        <w:tc>
          <w:tcPr>
            <w:tcW w:w="1000" w:type="dxa"/>
            <w:vAlign w:val="bottom"/>
            <w:tcBorders>
              <w:bottom w:val="single" w:sz="8" w:color="auto"/>
            </w:tcBorders>
            <w:shd w:val="clear" w:color="auto" w:fill="D8D8D8"/>
          </w:tcPr>
          <w:p>
            <w:pPr>
              <w:jc w:val="right"/>
              <w:ind w:right="51"/>
              <w:spacing w:after="0"/>
              <w:rPr>
                <w:sz w:val="20"/>
                <w:szCs w:val="20"/>
                <w:color w:val="auto"/>
              </w:rPr>
            </w:pPr>
            <w:r>
              <w:rPr>
                <w:rFonts w:ascii="Arial" w:cs="Arial" w:eastAsia="Arial" w:hAnsi="Arial"/>
                <w:sz w:val="18"/>
                <w:szCs w:val="18"/>
                <w:b w:val="1"/>
                <w:bCs w:val="1"/>
                <w:color w:val="auto"/>
              </w:rPr>
              <w:t>461.6</w:t>
            </w:r>
          </w:p>
        </w:tc>
        <w:tc>
          <w:tcPr>
            <w:tcW w:w="380" w:type="dxa"/>
            <w:vAlign w:val="bottom"/>
            <w:tcBorders>
              <w:bottom w:val="single" w:sz="8" w:color="auto"/>
            </w:tcBorders>
            <w:shd w:val="clear" w:color="auto" w:fill="D8D8D8"/>
          </w:tcPr>
          <w:p>
            <w:pPr>
              <w:spacing w:after="0"/>
              <w:rPr>
                <w:sz w:val="23"/>
                <w:szCs w:val="23"/>
                <w:color w:val="auto"/>
              </w:rPr>
            </w:pPr>
          </w:p>
        </w:tc>
        <w:tc>
          <w:tcPr>
            <w:tcW w:w="100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(371.7)</w:t>
            </w:r>
          </w:p>
        </w:tc>
        <w:tc>
          <w:tcPr>
            <w:tcW w:w="380" w:type="dxa"/>
            <w:vAlign w:val="bottom"/>
            <w:tcBorders>
              <w:bottom w:val="single" w:sz="8" w:color="auto"/>
            </w:tcBorders>
            <w:shd w:val="clear" w:color="auto" w:fill="D8D8D8"/>
          </w:tcPr>
          <w:p>
            <w:pPr>
              <w:spacing w:after="0"/>
              <w:rPr>
                <w:sz w:val="23"/>
                <w:szCs w:val="23"/>
                <w:color w:val="auto"/>
              </w:rPr>
            </w:pPr>
          </w:p>
        </w:tc>
        <w:tc>
          <w:tcPr>
            <w:tcW w:w="96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(70.3)</w:t>
            </w:r>
          </w:p>
        </w:tc>
        <w:tc>
          <w:tcPr>
            <w:tcW w:w="0" w:type="dxa"/>
            <w:vAlign w:val="bottom"/>
          </w:tcPr>
          <w:p>
            <w:pPr>
              <w:spacing w:after="0"/>
              <w:rPr>
                <w:sz w:val="1"/>
                <w:szCs w:val="1"/>
                <w:color w:val="auto"/>
              </w:rPr>
            </w:pPr>
          </w:p>
        </w:tc>
      </w:tr>
      <w:tr>
        <w:trPr>
          <w:trHeight w:val="263"/>
        </w:trPr>
        <w:tc>
          <w:tcPr>
            <w:tcW w:w="5220" w:type="dxa"/>
            <w:vAlign w:val="bottom"/>
          </w:tcPr>
          <w:p>
            <w:pPr>
              <w:ind w:left="40"/>
              <w:spacing w:after="0"/>
              <w:rPr>
                <w:sz w:val="20"/>
                <w:szCs w:val="20"/>
                <w:color w:val="auto"/>
              </w:rPr>
            </w:pPr>
            <w:r>
              <w:rPr>
                <w:rFonts w:ascii="Arial" w:cs="Arial" w:eastAsia="Arial" w:hAnsi="Arial"/>
                <w:sz w:val="18"/>
                <w:szCs w:val="18"/>
                <w:b w:val="1"/>
                <w:bCs w:val="1"/>
                <w:color w:val="auto"/>
              </w:rPr>
              <w:t>Net Cash Provided by Operating Activities</w:t>
            </w:r>
          </w:p>
        </w:tc>
        <w:tc>
          <w:tcPr>
            <w:tcW w:w="2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b w:val="1"/>
                <w:bCs w:val="1"/>
                <w:color w:val="auto"/>
              </w:rPr>
              <w:t>2,772.8</w:t>
            </w:r>
          </w:p>
        </w:tc>
        <w:tc>
          <w:tcPr>
            <w:tcW w:w="380" w:type="dxa"/>
            <w:vAlign w:val="bottom"/>
          </w:tcPr>
          <w:p>
            <w:pPr>
              <w:spacing w:after="0"/>
              <w:rPr>
                <w:sz w:val="22"/>
                <w:szCs w:val="22"/>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4,367.1</w:t>
            </w:r>
          </w:p>
        </w:tc>
        <w:tc>
          <w:tcPr>
            <w:tcW w:w="380" w:type="dxa"/>
            <w:vAlign w:val="bottom"/>
          </w:tcPr>
          <w:p>
            <w:pPr>
              <w:spacing w:after="0"/>
              <w:rPr>
                <w:sz w:val="22"/>
                <w:szCs w:val="22"/>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5,735.0</w:t>
            </w:r>
          </w:p>
        </w:tc>
        <w:tc>
          <w:tcPr>
            <w:tcW w:w="0" w:type="dxa"/>
            <w:vAlign w:val="bottom"/>
          </w:tcPr>
          <w:p>
            <w:pPr>
              <w:spacing w:after="0"/>
              <w:rPr>
                <w:sz w:val="1"/>
                <w:szCs w:val="1"/>
                <w:color w:val="auto"/>
              </w:rPr>
            </w:pPr>
          </w:p>
        </w:tc>
      </w:tr>
      <w:tr>
        <w:trPr>
          <w:trHeight w:val="271"/>
        </w:trPr>
        <w:tc>
          <w:tcPr>
            <w:tcW w:w="5220" w:type="dxa"/>
            <w:vAlign w:val="bottom"/>
            <w:shd w:val="clear" w:color="auto" w:fill="D8D8D8"/>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2180" w:type="dxa"/>
            <w:vAlign w:val="bottom"/>
            <w:shd w:val="clear" w:color="auto" w:fill="D8D8D8"/>
          </w:tcPr>
          <w:p>
            <w:pPr>
              <w:spacing w:after="0"/>
              <w:rPr>
                <w:sz w:val="23"/>
                <w:szCs w:val="23"/>
                <w:color w:val="auto"/>
              </w:rPr>
            </w:pPr>
          </w:p>
        </w:tc>
        <w:tc>
          <w:tcPr>
            <w:tcW w:w="300" w:type="dxa"/>
            <w:vAlign w:val="bottom"/>
            <w:shd w:val="clear" w:color="auto" w:fill="D8D8D8"/>
          </w:tcPr>
          <w:p>
            <w:pPr>
              <w:spacing w:after="0"/>
              <w:rPr>
                <w:sz w:val="23"/>
                <w:szCs w:val="23"/>
                <w:color w:val="auto"/>
              </w:rPr>
            </w:pPr>
          </w:p>
        </w:tc>
        <w:tc>
          <w:tcPr>
            <w:tcW w:w="1000" w:type="dxa"/>
            <w:vAlign w:val="bottom"/>
            <w:shd w:val="clear" w:color="auto" w:fill="D8D8D8"/>
          </w:tcPr>
          <w:p>
            <w:pPr>
              <w:spacing w:after="0"/>
              <w:rPr>
                <w:sz w:val="23"/>
                <w:szCs w:val="23"/>
                <w:color w:val="auto"/>
              </w:rPr>
            </w:pPr>
          </w:p>
        </w:tc>
        <w:tc>
          <w:tcPr>
            <w:tcW w:w="380" w:type="dxa"/>
            <w:vAlign w:val="bottom"/>
            <w:shd w:val="clear" w:color="auto" w:fill="D8D8D8"/>
          </w:tcPr>
          <w:p>
            <w:pPr>
              <w:spacing w:after="0"/>
              <w:rPr>
                <w:sz w:val="23"/>
                <w:szCs w:val="23"/>
                <w:color w:val="auto"/>
              </w:rPr>
            </w:pPr>
          </w:p>
        </w:tc>
        <w:tc>
          <w:tcPr>
            <w:tcW w:w="1000" w:type="dxa"/>
            <w:vAlign w:val="bottom"/>
            <w:shd w:val="clear" w:color="auto" w:fill="D8D8D8"/>
          </w:tcPr>
          <w:p>
            <w:pPr>
              <w:spacing w:after="0"/>
              <w:rPr>
                <w:sz w:val="23"/>
                <w:szCs w:val="23"/>
                <w:color w:val="auto"/>
              </w:rPr>
            </w:pPr>
          </w:p>
        </w:tc>
        <w:tc>
          <w:tcPr>
            <w:tcW w:w="380" w:type="dxa"/>
            <w:vAlign w:val="bottom"/>
            <w:shd w:val="clear" w:color="auto" w:fill="D8D8D8"/>
          </w:tcPr>
          <w:p>
            <w:pPr>
              <w:spacing w:after="0"/>
              <w:rPr>
                <w:sz w:val="23"/>
                <w:szCs w:val="23"/>
                <w:color w:val="auto"/>
              </w:rPr>
            </w:pPr>
          </w:p>
        </w:tc>
        <w:tc>
          <w:tcPr>
            <w:tcW w:w="960" w:type="dxa"/>
            <w:vAlign w:val="bottom"/>
            <w:shd w:val="clear" w:color="auto" w:fill="D8D8D8"/>
          </w:tcPr>
          <w:p>
            <w:pPr>
              <w:spacing w:after="0"/>
              <w:rPr>
                <w:sz w:val="23"/>
                <w:szCs w:val="23"/>
                <w:color w:val="auto"/>
              </w:rPr>
            </w:pPr>
          </w:p>
        </w:tc>
        <w:tc>
          <w:tcPr>
            <w:tcW w:w="0" w:type="dxa"/>
            <w:vAlign w:val="bottom"/>
          </w:tcPr>
          <w:p>
            <w:pPr>
              <w:spacing w:after="0"/>
              <w:rPr>
                <w:sz w:val="1"/>
                <w:szCs w:val="1"/>
                <w:color w:val="auto"/>
              </w:rPr>
            </w:pPr>
          </w:p>
        </w:tc>
      </w:tr>
    </w:tbl>
    <w:p>
      <w:pPr>
        <w:spacing w:after="0" w:line="4" w:lineRule="exact"/>
        <w:rPr>
          <w:sz w:val="20"/>
          <w:szCs w:val="20"/>
          <w:color w:val="auto"/>
        </w:rPr>
      </w:pPr>
    </w:p>
    <w:p>
      <w:pPr>
        <w:sectPr>
          <w:pgSz w:w="11900" w:h="16838" w:orient="portrait"/>
          <w:cols w:equalWidth="0" w:num="1">
            <w:col w:w="11420"/>
          </w:cols>
          <w:pgMar w:left="240" w:top="565" w:right="239" w:bottom="1440" w:gutter="0" w:footer="0" w:header="0"/>
        </w:sectPr>
      </w:pPr>
    </w:p>
    <w:p>
      <w:pPr>
        <w:ind w:left="380"/>
        <w:spacing w:after="0"/>
        <w:rPr>
          <w:sz w:val="20"/>
          <w:szCs w:val="20"/>
          <w:color w:val="auto"/>
        </w:rPr>
      </w:pPr>
      <w:r>
        <w:rPr>
          <w:rFonts w:ascii="Arial" w:cs="Arial" w:eastAsia="Arial" w:hAnsi="Arial"/>
          <w:sz w:val="18"/>
          <w:szCs w:val="18"/>
          <w:color w:val="auto"/>
        </w:rPr>
        <w:t>Purchases of 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Disposals of property and equipment</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Cash released (restricted) for pending acquisition (Note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380"/>
        <w:spacing w:after="0"/>
        <w:rPr>
          <w:sz w:val="20"/>
          <w:szCs w:val="20"/>
          <w:color w:val="auto"/>
        </w:rPr>
      </w:pPr>
      <w:r>
        <w:rPr>
          <w:rFonts w:ascii="Arial" w:cs="Arial" w:eastAsia="Arial" w:hAnsi="Arial"/>
          <w:sz w:val="17"/>
          <w:szCs w:val="17"/>
          <w:color w:val="auto"/>
        </w:rPr>
        <w:t>Proceeds from sales and maturities of short-term investments</w:t>
      </w:r>
    </w:p>
    <w:p>
      <w:pPr>
        <w:spacing w:after="0" w:line="7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Purchases of short-term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Proceeds from sales of noncurrent investments</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Purchases of noncurrent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Proceeds from sale of product rights</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Purchase of product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Purchases of in-process research and development</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Cash paid for acquisitions, net of cash acquired (Note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Other investing activities, net</w:t>
      </w:r>
    </w:p>
    <w:p>
      <w:pPr>
        <w:spacing w:after="0" w:line="6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Net Cash Provided by (Used for)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7246620"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7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Cash Flows from Financing Activities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540" w:type="dxa"/>
            <w:vAlign w:val="bottom"/>
          </w:tcPr>
          <w:p>
            <w:pPr>
              <w:jc w:val="right"/>
              <w:ind w:right="230"/>
              <w:spacing w:after="0"/>
              <w:rPr>
                <w:sz w:val="20"/>
                <w:szCs w:val="20"/>
                <w:color w:val="auto"/>
              </w:rPr>
            </w:pPr>
            <w:r>
              <w:rPr>
                <w:rFonts w:ascii="Arial" w:cs="Arial" w:eastAsia="Arial" w:hAnsi="Arial"/>
                <w:sz w:val="18"/>
                <w:szCs w:val="18"/>
                <w:b w:val="1"/>
                <w:bCs w:val="1"/>
                <w:color w:val="auto"/>
              </w:rPr>
              <w:t>(1,066.2)</w:t>
            </w:r>
          </w:p>
        </w:tc>
        <w:tc>
          <w:tcPr>
            <w:tcW w:w="1340" w:type="dxa"/>
            <w:vAlign w:val="bottom"/>
          </w:tcPr>
          <w:p>
            <w:pPr>
              <w:jc w:val="right"/>
              <w:ind w:right="190"/>
              <w:spacing w:after="0"/>
              <w:rPr>
                <w:sz w:val="20"/>
                <w:szCs w:val="20"/>
                <w:color w:val="auto"/>
              </w:rPr>
            </w:pPr>
            <w:r>
              <w:rPr>
                <w:rFonts w:ascii="Arial" w:cs="Arial" w:eastAsia="Arial" w:hAnsi="Arial"/>
                <w:sz w:val="18"/>
                <w:szCs w:val="18"/>
                <w:color w:val="auto"/>
              </w:rPr>
              <w:t>(1,162.6)</w:t>
            </w:r>
          </w:p>
        </w:tc>
        <w:tc>
          <w:tcPr>
            <w:tcW w:w="1140" w:type="dxa"/>
            <w:vAlign w:val="bottom"/>
          </w:tcPr>
          <w:p>
            <w:pPr>
              <w:jc w:val="right"/>
              <w:spacing w:after="0"/>
              <w:rPr>
                <w:sz w:val="20"/>
                <w:szCs w:val="20"/>
                <w:color w:val="auto"/>
              </w:rPr>
            </w:pPr>
            <w:r>
              <w:rPr>
                <w:rFonts w:ascii="Arial" w:cs="Arial" w:eastAsia="Arial" w:hAnsi="Arial"/>
                <w:sz w:val="18"/>
                <w:szCs w:val="18"/>
                <w:color w:val="auto"/>
              </w:rPr>
              <w:t>(1,012.1)</w:t>
            </w:r>
          </w:p>
        </w:tc>
      </w:tr>
      <w:tr>
        <w:trPr>
          <w:trHeight w:val="270"/>
        </w:trPr>
        <w:tc>
          <w:tcPr>
            <w:tcW w:w="1540" w:type="dxa"/>
            <w:vAlign w:val="bottom"/>
          </w:tcPr>
          <w:p>
            <w:pPr>
              <w:jc w:val="right"/>
              <w:ind w:right="290"/>
              <w:spacing w:after="0"/>
              <w:rPr>
                <w:sz w:val="20"/>
                <w:szCs w:val="20"/>
                <w:color w:val="auto"/>
              </w:rPr>
            </w:pPr>
            <w:r>
              <w:rPr>
                <w:rFonts w:ascii="Arial" w:cs="Arial" w:eastAsia="Arial" w:hAnsi="Arial"/>
                <w:sz w:val="18"/>
                <w:szCs w:val="18"/>
                <w:b w:val="1"/>
                <w:bCs w:val="1"/>
                <w:color w:val="auto"/>
              </w:rPr>
              <w:t>92.6</w:t>
            </w:r>
          </w:p>
        </w:tc>
        <w:tc>
          <w:tcPr>
            <w:tcW w:w="1340" w:type="dxa"/>
            <w:vAlign w:val="bottom"/>
          </w:tcPr>
          <w:p>
            <w:pPr>
              <w:jc w:val="right"/>
              <w:ind w:right="250"/>
              <w:spacing w:after="0"/>
              <w:rPr>
                <w:sz w:val="20"/>
                <w:szCs w:val="20"/>
                <w:color w:val="auto"/>
              </w:rPr>
            </w:pPr>
            <w:r>
              <w:rPr>
                <w:rFonts w:ascii="Arial" w:cs="Arial" w:eastAsia="Arial" w:hAnsi="Arial"/>
                <w:sz w:val="18"/>
                <w:szCs w:val="18"/>
                <w:color w:val="auto"/>
              </w:rPr>
              <w:t>15.3</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179.4</w:t>
            </w:r>
          </w:p>
        </w:tc>
      </w:tr>
      <w:tr>
        <w:trPr>
          <w:trHeight w:val="270"/>
        </w:trPr>
        <w:tc>
          <w:tcPr>
            <w:tcW w:w="1540" w:type="dxa"/>
            <w:vAlign w:val="bottom"/>
          </w:tcPr>
          <w:p>
            <w:pPr>
              <w:jc w:val="right"/>
              <w:ind w:right="290"/>
              <w:spacing w:after="0"/>
              <w:rPr>
                <w:sz w:val="20"/>
                <w:szCs w:val="20"/>
                <w:color w:val="auto"/>
              </w:rPr>
            </w:pPr>
            <w:r>
              <w:rPr>
                <w:rFonts w:ascii="Arial" w:cs="Arial" w:eastAsia="Arial" w:hAnsi="Arial"/>
                <w:sz w:val="18"/>
                <w:szCs w:val="18"/>
                <w:b w:val="1"/>
                <w:bCs w:val="1"/>
                <w:color w:val="auto"/>
              </w:rPr>
              <w:t>5,405.6</w:t>
            </w:r>
          </w:p>
        </w:tc>
        <w:tc>
          <w:tcPr>
            <w:tcW w:w="1340" w:type="dxa"/>
            <w:vAlign w:val="bottom"/>
          </w:tcPr>
          <w:p>
            <w:pPr>
              <w:jc w:val="right"/>
              <w:ind w:right="190"/>
              <w:spacing w:after="0"/>
              <w:rPr>
                <w:sz w:val="20"/>
                <w:szCs w:val="20"/>
                <w:color w:val="auto"/>
              </w:rPr>
            </w:pPr>
            <w:r>
              <w:rPr>
                <w:rFonts w:ascii="Arial" w:cs="Arial" w:eastAsia="Arial" w:hAnsi="Arial"/>
                <w:sz w:val="18"/>
                <w:szCs w:val="18"/>
                <w:color w:val="auto"/>
              </w:rPr>
              <w:t>(5,405.6)</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1540" w:type="dxa"/>
            <w:vAlign w:val="bottom"/>
          </w:tcPr>
          <w:p>
            <w:pPr>
              <w:jc w:val="right"/>
              <w:ind w:right="290"/>
              <w:spacing w:after="0"/>
              <w:rPr>
                <w:sz w:val="20"/>
                <w:szCs w:val="20"/>
                <w:color w:val="auto"/>
              </w:rPr>
            </w:pPr>
            <w:r>
              <w:rPr>
                <w:rFonts w:ascii="Arial" w:cs="Arial" w:eastAsia="Arial" w:hAnsi="Arial"/>
                <w:sz w:val="18"/>
                <w:szCs w:val="18"/>
                <w:b w:val="1"/>
                <w:bCs w:val="1"/>
                <w:color w:val="auto"/>
              </w:rPr>
              <w:t>2,161.8</w:t>
            </w:r>
          </w:p>
        </w:tc>
        <w:tc>
          <w:tcPr>
            <w:tcW w:w="1340" w:type="dxa"/>
            <w:vAlign w:val="bottom"/>
          </w:tcPr>
          <w:p>
            <w:pPr>
              <w:jc w:val="right"/>
              <w:ind w:right="250"/>
              <w:spacing w:after="0"/>
              <w:rPr>
                <w:sz w:val="20"/>
                <w:szCs w:val="20"/>
                <w:color w:val="auto"/>
              </w:rPr>
            </w:pPr>
            <w:r>
              <w:rPr>
                <w:rFonts w:ascii="Arial" w:cs="Arial" w:eastAsia="Arial" w:hAnsi="Arial"/>
                <w:sz w:val="18"/>
                <w:szCs w:val="18"/>
                <w:color w:val="auto"/>
              </w:rPr>
              <w:t>4,054.1</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3,320.1</w:t>
            </w:r>
          </w:p>
        </w:tc>
      </w:tr>
      <w:tr>
        <w:trPr>
          <w:trHeight w:val="270"/>
        </w:trPr>
        <w:tc>
          <w:tcPr>
            <w:tcW w:w="1540" w:type="dxa"/>
            <w:vAlign w:val="bottom"/>
          </w:tcPr>
          <w:p>
            <w:pPr>
              <w:jc w:val="right"/>
              <w:ind w:right="230"/>
              <w:spacing w:after="0"/>
              <w:rPr>
                <w:sz w:val="20"/>
                <w:szCs w:val="20"/>
                <w:color w:val="auto"/>
              </w:rPr>
            </w:pPr>
            <w:r>
              <w:rPr>
                <w:rFonts w:ascii="Arial" w:cs="Arial" w:eastAsia="Arial" w:hAnsi="Arial"/>
                <w:sz w:val="18"/>
                <w:szCs w:val="18"/>
                <w:b w:val="1"/>
                <w:bCs w:val="1"/>
                <w:color w:val="auto"/>
              </w:rPr>
              <w:t>(842.2)</w:t>
            </w:r>
          </w:p>
        </w:tc>
        <w:tc>
          <w:tcPr>
            <w:tcW w:w="1340" w:type="dxa"/>
            <w:vAlign w:val="bottom"/>
          </w:tcPr>
          <w:p>
            <w:pPr>
              <w:jc w:val="right"/>
              <w:ind w:right="190"/>
              <w:spacing w:after="0"/>
              <w:rPr>
                <w:sz w:val="20"/>
                <w:szCs w:val="20"/>
                <w:color w:val="auto"/>
              </w:rPr>
            </w:pPr>
            <w:r>
              <w:rPr>
                <w:rFonts w:ascii="Arial" w:cs="Arial" w:eastAsia="Arial" w:hAnsi="Arial"/>
                <w:sz w:val="18"/>
                <w:szCs w:val="18"/>
                <w:color w:val="auto"/>
              </w:rPr>
              <w:t>(1,637.8)</w:t>
            </w:r>
          </w:p>
        </w:tc>
        <w:tc>
          <w:tcPr>
            <w:tcW w:w="1140" w:type="dxa"/>
            <w:vAlign w:val="bottom"/>
          </w:tcPr>
          <w:p>
            <w:pPr>
              <w:jc w:val="right"/>
              <w:spacing w:after="0"/>
              <w:rPr>
                <w:sz w:val="20"/>
                <w:szCs w:val="20"/>
                <w:color w:val="auto"/>
              </w:rPr>
            </w:pPr>
            <w:r>
              <w:rPr>
                <w:rFonts w:ascii="Arial" w:cs="Arial" w:eastAsia="Arial" w:hAnsi="Arial"/>
                <w:sz w:val="18"/>
                <w:szCs w:val="18"/>
                <w:color w:val="auto"/>
              </w:rPr>
              <w:t>(1,531.0)</w:t>
            </w:r>
          </w:p>
        </w:tc>
      </w:tr>
      <w:tr>
        <w:trPr>
          <w:trHeight w:val="270"/>
        </w:trPr>
        <w:tc>
          <w:tcPr>
            <w:tcW w:w="1540" w:type="dxa"/>
            <w:vAlign w:val="bottom"/>
          </w:tcPr>
          <w:p>
            <w:pPr>
              <w:jc w:val="right"/>
              <w:ind w:right="290"/>
              <w:spacing w:after="0"/>
              <w:rPr>
                <w:sz w:val="20"/>
                <w:szCs w:val="20"/>
                <w:color w:val="auto"/>
              </w:rPr>
            </w:pPr>
            <w:r>
              <w:rPr>
                <w:rFonts w:ascii="Arial" w:cs="Arial" w:eastAsia="Arial" w:hAnsi="Arial"/>
                <w:sz w:val="18"/>
                <w:szCs w:val="18"/>
                <w:b w:val="1"/>
                <w:bCs w:val="1"/>
                <w:color w:val="auto"/>
              </w:rPr>
              <w:t>3,068.4</w:t>
            </w:r>
          </w:p>
        </w:tc>
        <w:tc>
          <w:tcPr>
            <w:tcW w:w="1340" w:type="dxa"/>
            <w:vAlign w:val="bottom"/>
          </w:tcPr>
          <w:p>
            <w:pPr>
              <w:jc w:val="right"/>
              <w:ind w:right="250"/>
              <w:spacing w:after="0"/>
              <w:rPr>
                <w:sz w:val="20"/>
                <w:szCs w:val="20"/>
                <w:color w:val="auto"/>
              </w:rPr>
            </w:pPr>
            <w:r>
              <w:rPr>
                <w:rFonts w:ascii="Arial" w:cs="Arial" w:eastAsia="Arial" w:hAnsi="Arial"/>
                <w:sz w:val="18"/>
                <w:szCs w:val="18"/>
                <w:color w:val="auto"/>
              </w:rPr>
              <w:t>11,009.4</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11,235.0</w:t>
            </w:r>
          </w:p>
        </w:tc>
      </w:tr>
      <w:tr>
        <w:trPr>
          <w:trHeight w:val="270"/>
        </w:trPr>
        <w:tc>
          <w:tcPr>
            <w:tcW w:w="1540" w:type="dxa"/>
            <w:vAlign w:val="bottom"/>
          </w:tcPr>
          <w:p>
            <w:pPr>
              <w:jc w:val="right"/>
              <w:ind w:right="230"/>
              <w:spacing w:after="0"/>
              <w:rPr>
                <w:sz w:val="20"/>
                <w:szCs w:val="20"/>
                <w:color w:val="auto"/>
              </w:rPr>
            </w:pPr>
            <w:r>
              <w:rPr>
                <w:rFonts w:ascii="Arial" w:cs="Arial" w:eastAsia="Arial" w:hAnsi="Arial"/>
                <w:sz w:val="18"/>
                <w:szCs w:val="18"/>
                <w:b w:val="1"/>
                <w:bCs w:val="1"/>
                <w:color w:val="auto"/>
              </w:rPr>
              <w:t>(3,226.5)</w:t>
            </w:r>
          </w:p>
        </w:tc>
        <w:tc>
          <w:tcPr>
            <w:tcW w:w="1340" w:type="dxa"/>
            <w:vAlign w:val="bottom"/>
          </w:tcPr>
          <w:p>
            <w:pPr>
              <w:jc w:val="right"/>
              <w:ind w:right="190"/>
              <w:spacing w:after="0"/>
              <w:rPr>
                <w:sz w:val="20"/>
                <w:szCs w:val="20"/>
                <w:color w:val="auto"/>
              </w:rPr>
            </w:pPr>
            <w:r>
              <w:rPr>
                <w:rFonts w:ascii="Arial" w:cs="Arial" w:eastAsia="Arial" w:hAnsi="Arial"/>
                <w:sz w:val="18"/>
                <w:szCs w:val="18"/>
                <w:color w:val="auto"/>
              </w:rPr>
              <w:t>(9,802.7)</w:t>
            </w:r>
          </w:p>
        </w:tc>
        <w:tc>
          <w:tcPr>
            <w:tcW w:w="1140" w:type="dxa"/>
            <w:vAlign w:val="bottom"/>
          </w:tcPr>
          <w:p>
            <w:pPr>
              <w:jc w:val="right"/>
              <w:spacing w:after="0"/>
              <w:rPr>
                <w:sz w:val="20"/>
                <w:szCs w:val="20"/>
                <w:color w:val="auto"/>
              </w:rPr>
            </w:pPr>
            <w:r>
              <w:rPr>
                <w:rFonts w:ascii="Arial" w:cs="Arial" w:eastAsia="Arial" w:hAnsi="Arial"/>
                <w:sz w:val="18"/>
                <w:szCs w:val="18"/>
                <w:color w:val="auto"/>
              </w:rPr>
              <w:t>(14,041.9)</w:t>
            </w:r>
          </w:p>
        </w:tc>
      </w:tr>
      <w:tr>
        <w:trPr>
          <w:trHeight w:val="270"/>
        </w:trPr>
        <w:tc>
          <w:tcPr>
            <w:tcW w:w="1540" w:type="dxa"/>
            <w:vAlign w:val="bottom"/>
          </w:tcPr>
          <w:p>
            <w:pPr>
              <w:jc w:val="right"/>
              <w:ind w:right="290"/>
              <w:spacing w:after="0"/>
              <w:rPr>
                <w:sz w:val="20"/>
                <w:szCs w:val="20"/>
                <w:color w:val="auto"/>
              </w:rPr>
            </w:pPr>
            <w:r>
              <w:rPr>
                <w:rFonts w:ascii="Arial" w:cs="Arial" w:eastAsia="Arial" w:hAnsi="Arial"/>
                <w:sz w:val="18"/>
                <w:szCs w:val="18"/>
                <w:b w:val="1"/>
                <w:bCs w:val="1"/>
                <w:color w:val="auto"/>
              </w:rPr>
              <w:t>410.0</w:t>
            </w:r>
          </w:p>
        </w:tc>
        <w:tc>
          <w:tcPr>
            <w:tcW w:w="13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1540" w:type="dxa"/>
            <w:vAlign w:val="bottom"/>
          </w:tcPr>
          <w:p>
            <w:pPr>
              <w:jc w:val="right"/>
              <w:ind w:right="290"/>
              <w:spacing w:after="0"/>
              <w:rPr>
                <w:sz w:val="20"/>
                <w:szCs w:val="20"/>
                <w:color w:val="auto"/>
              </w:rPr>
            </w:pPr>
            <w:r>
              <w:rPr>
                <w:rFonts w:ascii="Arial" w:cs="Arial" w:eastAsia="Arial" w:hAnsi="Arial"/>
                <w:sz w:val="18"/>
                <w:szCs w:val="18"/>
                <w:b w:val="1"/>
                <w:bCs w:val="1"/>
                <w:color w:val="auto"/>
              </w:rPr>
              <w:t>—</w:t>
            </w:r>
          </w:p>
        </w:tc>
        <w:tc>
          <w:tcPr>
            <w:tcW w:w="1340" w:type="dxa"/>
            <w:vAlign w:val="bottom"/>
          </w:tcPr>
          <w:p>
            <w:pPr>
              <w:jc w:val="right"/>
              <w:ind w:right="190"/>
              <w:spacing w:after="0"/>
              <w:rPr>
                <w:sz w:val="20"/>
                <w:szCs w:val="20"/>
                <w:color w:val="auto"/>
              </w:rPr>
            </w:pPr>
            <w:r>
              <w:rPr>
                <w:rFonts w:ascii="Arial" w:cs="Arial" w:eastAsia="Arial" w:hAnsi="Arial"/>
                <w:sz w:val="18"/>
                <w:szCs w:val="18"/>
                <w:color w:val="auto"/>
              </w:rPr>
              <w:t>(308.3)</w:t>
            </w:r>
          </w:p>
        </w:tc>
        <w:tc>
          <w:tcPr>
            <w:tcW w:w="1140" w:type="dxa"/>
            <w:vAlign w:val="bottom"/>
          </w:tcPr>
          <w:p>
            <w:pPr>
              <w:jc w:val="right"/>
              <w:spacing w:after="0"/>
              <w:rPr>
                <w:sz w:val="20"/>
                <w:szCs w:val="20"/>
                <w:color w:val="auto"/>
              </w:rPr>
            </w:pPr>
            <w:r>
              <w:rPr>
                <w:rFonts w:ascii="Arial" w:cs="Arial" w:eastAsia="Arial" w:hAnsi="Arial"/>
                <w:sz w:val="18"/>
                <w:szCs w:val="18"/>
                <w:color w:val="auto"/>
              </w:rPr>
              <w:t>(24.1)</w:t>
            </w:r>
          </w:p>
        </w:tc>
      </w:tr>
      <w:tr>
        <w:trPr>
          <w:trHeight w:val="270"/>
        </w:trPr>
        <w:tc>
          <w:tcPr>
            <w:tcW w:w="1540" w:type="dxa"/>
            <w:vAlign w:val="bottom"/>
          </w:tcPr>
          <w:p>
            <w:pPr>
              <w:jc w:val="right"/>
              <w:ind w:right="230"/>
              <w:spacing w:after="0"/>
              <w:rPr>
                <w:sz w:val="20"/>
                <w:szCs w:val="20"/>
                <w:color w:val="auto"/>
              </w:rPr>
            </w:pPr>
            <w:r>
              <w:rPr>
                <w:rFonts w:ascii="Arial" w:cs="Arial" w:eastAsia="Arial" w:hAnsi="Arial"/>
                <w:sz w:val="18"/>
                <w:szCs w:val="18"/>
                <w:b w:val="1"/>
                <w:bCs w:val="1"/>
                <w:color w:val="auto"/>
              </w:rPr>
              <w:t>(560.0)</w:t>
            </w:r>
          </w:p>
        </w:tc>
        <w:tc>
          <w:tcPr>
            <w:tcW w:w="1340" w:type="dxa"/>
            <w:vAlign w:val="bottom"/>
          </w:tcPr>
          <w:p>
            <w:pPr>
              <w:jc w:val="right"/>
              <w:ind w:right="190"/>
              <w:spacing w:after="0"/>
              <w:rPr>
                <w:sz w:val="20"/>
                <w:szCs w:val="20"/>
                <w:color w:val="auto"/>
              </w:rPr>
            </w:pPr>
            <w:r>
              <w:rPr>
                <w:rFonts w:ascii="Arial" w:cs="Arial" w:eastAsia="Arial" w:hAnsi="Arial"/>
                <w:sz w:val="18"/>
                <w:szCs w:val="18"/>
                <w:color w:val="auto"/>
              </w:rPr>
              <w:t>(95.0)</w:t>
            </w:r>
          </w:p>
        </w:tc>
        <w:tc>
          <w:tcPr>
            <w:tcW w:w="1140" w:type="dxa"/>
            <w:vAlign w:val="bottom"/>
          </w:tcPr>
          <w:p>
            <w:pPr>
              <w:jc w:val="right"/>
              <w:spacing w:after="0"/>
              <w:rPr>
                <w:sz w:val="20"/>
                <w:szCs w:val="20"/>
                <w:color w:val="auto"/>
              </w:rPr>
            </w:pPr>
            <w:r>
              <w:rPr>
                <w:rFonts w:ascii="Arial" w:cs="Arial" w:eastAsia="Arial" w:hAnsi="Arial"/>
                <w:sz w:val="18"/>
                <w:szCs w:val="18"/>
                <w:color w:val="auto"/>
              </w:rPr>
              <w:t>(57.1)</w:t>
            </w:r>
          </w:p>
        </w:tc>
      </w:tr>
      <w:tr>
        <w:trPr>
          <w:trHeight w:val="270"/>
        </w:trPr>
        <w:tc>
          <w:tcPr>
            <w:tcW w:w="1540" w:type="dxa"/>
            <w:vAlign w:val="bottom"/>
          </w:tcPr>
          <w:p>
            <w:pPr>
              <w:jc w:val="right"/>
              <w:ind w:right="230"/>
              <w:spacing w:after="0"/>
              <w:rPr>
                <w:sz w:val="20"/>
                <w:szCs w:val="20"/>
                <w:color w:val="auto"/>
              </w:rPr>
            </w:pPr>
            <w:r>
              <w:rPr>
                <w:rFonts w:ascii="Arial" w:cs="Arial" w:eastAsia="Arial" w:hAnsi="Arial"/>
                <w:sz w:val="18"/>
                <w:szCs w:val="18"/>
                <w:b w:val="1"/>
                <w:bCs w:val="1"/>
                <w:color w:val="auto"/>
              </w:rPr>
              <w:t>(5,283.1)</w:t>
            </w:r>
          </w:p>
        </w:tc>
        <w:tc>
          <w:tcPr>
            <w:tcW w:w="1340" w:type="dxa"/>
            <w:vAlign w:val="bottom"/>
          </w:tcPr>
          <w:p>
            <w:pPr>
              <w:jc w:val="right"/>
              <w:ind w:right="190"/>
              <w:spacing w:after="0"/>
              <w:rPr>
                <w:sz w:val="20"/>
                <w:szCs w:val="20"/>
                <w:color w:val="auto"/>
              </w:rPr>
            </w:pPr>
            <w:r>
              <w:rPr>
                <w:rFonts w:ascii="Arial" w:cs="Arial" w:eastAsia="Arial" w:hAnsi="Arial"/>
                <w:sz w:val="18"/>
                <w:szCs w:val="18"/>
                <w:color w:val="auto"/>
              </w:rPr>
              <w:t>(551.4)</w:t>
            </w:r>
          </w:p>
        </w:tc>
        <w:tc>
          <w:tcPr>
            <w:tcW w:w="1140" w:type="dxa"/>
            <w:vAlign w:val="bottom"/>
          </w:tcPr>
          <w:p>
            <w:pPr>
              <w:jc w:val="right"/>
              <w:spacing w:after="0"/>
              <w:rPr>
                <w:sz w:val="20"/>
                <w:szCs w:val="20"/>
                <w:color w:val="auto"/>
              </w:rPr>
            </w:pPr>
            <w:r>
              <w:rPr>
                <w:rFonts w:ascii="Arial" w:cs="Arial" w:eastAsia="Arial" w:hAnsi="Arial"/>
                <w:sz w:val="18"/>
                <w:szCs w:val="18"/>
                <w:color w:val="auto"/>
              </w:rPr>
              <w:t>(43.7)</w:t>
            </w:r>
          </w:p>
        </w:tc>
      </w:tr>
      <w:tr>
        <w:trPr>
          <w:trHeight w:val="271"/>
        </w:trPr>
        <w:tc>
          <w:tcPr>
            <w:tcW w:w="15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(133.6)</w:t>
            </w:r>
          </w:p>
        </w:tc>
        <w:tc>
          <w:tcPr>
            <w:tcW w:w="13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(24.5)</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(97.4)</w:t>
            </w:r>
          </w:p>
        </w:tc>
      </w:tr>
      <w:tr>
        <w:trPr>
          <w:trHeight w:val="263"/>
        </w:trPr>
        <w:tc>
          <w:tcPr>
            <w:tcW w:w="1540" w:type="dxa"/>
            <w:vAlign w:val="bottom"/>
          </w:tcPr>
          <w:p>
            <w:pPr>
              <w:jc w:val="right"/>
              <w:ind w:right="290"/>
              <w:spacing w:after="0"/>
              <w:rPr>
                <w:sz w:val="20"/>
                <w:szCs w:val="20"/>
                <w:color w:val="auto"/>
              </w:rPr>
            </w:pPr>
            <w:r>
              <w:rPr>
                <w:rFonts w:ascii="Arial" w:cs="Arial" w:eastAsia="Arial" w:hAnsi="Arial"/>
                <w:sz w:val="18"/>
                <w:szCs w:val="18"/>
                <w:b w:val="1"/>
                <w:bCs w:val="1"/>
                <w:color w:val="auto"/>
              </w:rPr>
              <w:t>26.8</w:t>
            </w:r>
          </w:p>
        </w:tc>
        <w:tc>
          <w:tcPr>
            <w:tcW w:w="1340" w:type="dxa"/>
            <w:vAlign w:val="bottom"/>
          </w:tcPr>
          <w:p>
            <w:pPr>
              <w:jc w:val="right"/>
              <w:ind w:right="190"/>
              <w:spacing w:after="0"/>
              <w:rPr>
                <w:sz w:val="20"/>
                <w:szCs w:val="20"/>
                <w:color w:val="auto"/>
              </w:rPr>
            </w:pPr>
            <w:r>
              <w:rPr>
                <w:rFonts w:ascii="Arial" w:cs="Arial" w:eastAsia="Arial" w:hAnsi="Arial"/>
                <w:sz w:val="18"/>
                <w:szCs w:val="18"/>
                <w:color w:val="auto"/>
              </w:rPr>
              <w:t>(3,909.1)</w:t>
            </w:r>
          </w:p>
        </w:tc>
        <w:tc>
          <w:tcPr>
            <w:tcW w:w="1140" w:type="dxa"/>
            <w:vAlign w:val="bottom"/>
          </w:tcPr>
          <w:p>
            <w:pPr>
              <w:jc w:val="right"/>
              <w:spacing w:after="0"/>
              <w:rPr>
                <w:sz w:val="20"/>
                <w:szCs w:val="20"/>
                <w:color w:val="auto"/>
              </w:rPr>
            </w:pPr>
            <w:r>
              <w:rPr>
                <w:rFonts w:ascii="Arial" w:cs="Arial" w:eastAsia="Arial" w:hAnsi="Arial"/>
                <w:sz w:val="18"/>
                <w:szCs w:val="18"/>
                <w:color w:val="auto"/>
              </w:rPr>
              <w:t>(2,072.8)</w:t>
            </w:r>
          </w:p>
        </w:tc>
      </w:tr>
    </w:tbl>
    <w:p>
      <w:pPr>
        <w:spacing w:after="0" w:line="276" w:lineRule="exact"/>
        <w:rPr>
          <w:sz w:val="20"/>
          <w:szCs w:val="20"/>
          <w:color w:val="auto"/>
        </w:rPr>
      </w:pPr>
    </w:p>
    <w:p>
      <w:pPr>
        <w:sectPr>
          <w:pgSz w:w="11900" w:h="16838" w:orient="portrait"/>
          <w:cols w:equalWidth="0" w:num="2">
            <w:col w:w="6680" w:space="720"/>
            <w:col w:w="4020"/>
          </w:cols>
          <w:pgMar w:left="240" w:top="565" w:right="239" w:bottom="1440" w:gutter="0" w:footer="0" w:header="0"/>
          <w:type w:val="continuous"/>
        </w:sectPr>
      </w:pPr>
    </w:p>
    <w:p>
      <w:pPr>
        <w:ind w:left="380"/>
        <w:spacing w:after="0"/>
        <w:rPr>
          <w:sz w:val="20"/>
          <w:szCs w:val="20"/>
          <w:color w:val="auto"/>
        </w:rPr>
      </w:pPr>
      <w:r>
        <w:rPr>
          <w:rFonts w:ascii="Arial" w:cs="Arial" w:eastAsia="Arial" w:hAnsi="Arial"/>
          <w:sz w:val="18"/>
          <w:szCs w:val="18"/>
          <w:color w:val="auto"/>
        </w:rPr>
        <w:t>Dividends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171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Net change in short-term borrowings</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Proceeds from issuance of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1714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Repayments of long-term debt</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Purchases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171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Other financing activities, net</w:t>
      </w:r>
    </w:p>
    <w:p>
      <w:pPr>
        <w:spacing w:after="0" w:line="6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Net Cash Used for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7246620"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72" w:lineRule="exact"/>
        <w:rPr>
          <w:sz w:val="20"/>
          <w:szCs w:val="20"/>
          <w:color w:val="auto"/>
        </w:rPr>
      </w:pPr>
    </w:p>
    <w:p>
      <w:pPr>
        <w:ind w:left="40" w:right="1640"/>
        <w:spacing w:after="0" w:line="331" w:lineRule="auto"/>
        <w:rPr>
          <w:sz w:val="20"/>
          <w:szCs w:val="20"/>
          <w:color w:val="auto"/>
        </w:rPr>
      </w:pPr>
      <w:r>
        <w:rPr>
          <w:rFonts w:ascii="Arial" w:cs="Arial" w:eastAsia="Arial" w:hAnsi="Arial"/>
          <w:sz w:val="17"/>
          <w:szCs w:val="17"/>
          <w:color w:val="auto"/>
        </w:rPr>
        <w:t>Effect of exchange rate changes on cash and cash equivalents Net increase (decrease)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46620" cy="1714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ind w:left="40" w:right="2860"/>
        <w:spacing w:after="0" w:line="399" w:lineRule="auto"/>
        <w:rPr>
          <w:sz w:val="20"/>
          <w:szCs w:val="20"/>
          <w:color w:val="auto"/>
        </w:rPr>
      </w:pPr>
      <w:r>
        <w:rPr>
          <w:rFonts w:ascii="Arial" w:cs="Arial" w:eastAsia="Arial" w:hAnsi="Arial"/>
          <w:sz w:val="17"/>
          <w:szCs w:val="17"/>
          <w:color w:val="auto"/>
        </w:rPr>
        <w:t xml:space="preserve">Cash and cash equivalents at beginning of year </w:t>
      </w:r>
      <w:r>
        <w:rPr>
          <w:rFonts w:ascii="Arial" w:cs="Arial" w:eastAsia="Arial" w:hAnsi="Arial"/>
          <w:sz w:val="17"/>
          <w:szCs w:val="17"/>
          <w:b w:val="1"/>
          <w:bCs w:val="1"/>
          <w:color w:val="auto"/>
        </w:rPr>
        <w:t>Cash and Cash Equivalents at End of Year</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(2,127.3)</w:t>
            </w:r>
          </w:p>
        </w:tc>
        <w:tc>
          <w:tcPr>
            <w:tcW w:w="3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(2,101.2)</w:t>
            </w:r>
          </w:p>
        </w:tc>
        <w:tc>
          <w:tcPr>
            <w:tcW w:w="3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(2,120.7)</w:t>
            </w:r>
          </w:p>
        </w:tc>
      </w:tr>
      <w:tr>
        <w:trPr>
          <w:trHeight w:val="270"/>
        </w:trPr>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(2,680.6)</w:t>
            </w:r>
          </w:p>
        </w:tc>
        <w:tc>
          <w:tcPr>
            <w:tcW w:w="380" w:type="dxa"/>
            <w:vAlign w:val="bottom"/>
          </w:tcPr>
          <w:p>
            <w:pPr>
              <w:spacing w:after="0"/>
              <w:rPr>
                <w:sz w:val="23"/>
                <w:szCs w:val="23"/>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2,680.6</w:t>
            </w:r>
          </w:p>
        </w:tc>
        <w:tc>
          <w:tcPr>
            <w:tcW w:w="38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300" w:type="dxa"/>
            <w:vAlign w:val="bottom"/>
          </w:tcPr>
          <w:p>
            <w:pPr>
              <w:spacing w:after="0"/>
              <w:rPr>
                <w:sz w:val="23"/>
                <w:szCs w:val="23"/>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b w:val="1"/>
                <w:bCs w:val="1"/>
                <w:color w:val="auto"/>
              </w:rPr>
              <w:t>4,454.7</w:t>
            </w:r>
          </w:p>
        </w:tc>
        <w:tc>
          <w:tcPr>
            <w:tcW w:w="380" w:type="dxa"/>
            <w:vAlign w:val="bottom"/>
          </w:tcPr>
          <w:p>
            <w:pPr>
              <w:spacing w:after="0"/>
              <w:rPr>
                <w:sz w:val="23"/>
                <w:szCs w:val="23"/>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992.9</w:t>
            </w:r>
          </w:p>
        </w:tc>
        <w:tc>
          <w:tcPr>
            <w:tcW w:w="38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(1,955.7)</w:t>
            </w:r>
          </w:p>
        </w:tc>
        <w:tc>
          <w:tcPr>
            <w:tcW w:w="3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(1,034.8)</w:t>
            </w:r>
          </w:p>
        </w:tc>
        <w:tc>
          <w:tcPr>
            <w:tcW w:w="3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270"/>
        </w:trPr>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(749.5)</w:t>
            </w:r>
          </w:p>
        </w:tc>
        <w:tc>
          <w:tcPr>
            <w:tcW w:w="3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(800.0)</w:t>
            </w:r>
          </w:p>
        </w:tc>
        <w:tc>
          <w:tcPr>
            <w:tcW w:w="3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(1,698.1)</w:t>
            </w:r>
          </w:p>
        </w:tc>
      </w:tr>
      <w:tr>
        <w:trPr>
          <w:trHeight w:val="271"/>
        </w:trPr>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139.2</w:t>
            </w:r>
          </w:p>
        </w:tc>
        <w:tc>
          <w:tcPr>
            <w:tcW w:w="38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187.4</w:t>
            </w:r>
          </w:p>
        </w:tc>
        <w:tc>
          <w:tcPr>
            <w:tcW w:w="3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63"/>
        </w:trPr>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(2,919.2)</w:t>
            </w:r>
          </w:p>
        </w:tc>
        <w:tc>
          <w:tcPr>
            <w:tcW w:w="3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(75.1)</w:t>
            </w:r>
          </w:p>
        </w:tc>
        <w:tc>
          <w:tcPr>
            <w:tcW w:w="3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(3,829.3)</w:t>
            </w:r>
          </w:p>
        </w:tc>
      </w:tr>
      <w:tr>
        <w:trPr>
          <w:trHeight w:val="271"/>
        </w:trPr>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(85.6)</w:t>
            </w:r>
          </w:p>
        </w:tc>
        <w:tc>
          <w:tcPr>
            <w:tcW w:w="38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(341.5)</w:t>
            </w:r>
          </w:p>
        </w:tc>
        <w:tc>
          <w:tcPr>
            <w:tcW w:w="3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w:t>
            </w:r>
          </w:p>
        </w:tc>
      </w:tr>
      <w:tr>
        <w:trPr>
          <w:trHeight w:val="263"/>
        </w:trPr>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(205.2)</w:t>
            </w:r>
          </w:p>
        </w:tc>
        <w:tc>
          <w:tcPr>
            <w:tcW w:w="380" w:type="dxa"/>
            <w:vAlign w:val="bottom"/>
          </w:tcPr>
          <w:p>
            <w:pPr>
              <w:spacing w:after="0"/>
              <w:rPr>
                <w:sz w:val="22"/>
                <w:szCs w:val="22"/>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41.4</w:t>
            </w:r>
          </w:p>
        </w:tc>
        <w:tc>
          <w:tcPr>
            <w:tcW w:w="3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(188.6)</w:t>
            </w:r>
          </w:p>
        </w:tc>
      </w:tr>
      <w:tr>
        <w:trPr>
          <w:trHeight w:val="271"/>
        </w:trPr>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3,871.6</w:t>
            </w:r>
          </w:p>
        </w:tc>
        <w:tc>
          <w:tcPr>
            <w:tcW w:w="38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3,830.2</w:t>
            </w:r>
          </w:p>
        </w:tc>
        <w:tc>
          <w:tcPr>
            <w:tcW w:w="3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4,018.8</w:t>
            </w:r>
          </w:p>
        </w:tc>
      </w:tr>
      <w:tr>
        <w:trPr>
          <w:trHeight w:val="271"/>
        </w:trPr>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3,666.4</w:t>
            </w:r>
          </w:p>
        </w:tc>
        <w:tc>
          <w:tcPr>
            <w:tcW w:w="3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3,871.6</w:t>
            </w:r>
          </w:p>
        </w:tc>
        <w:tc>
          <w:tcPr>
            <w:tcW w:w="3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3,830.2</w:t>
            </w:r>
          </w:p>
        </w:tc>
      </w:tr>
    </w:tbl>
    <w:p>
      <w:pPr>
        <w:spacing w:after="0" w:line="85" w:lineRule="exact"/>
        <w:rPr>
          <w:sz w:val="20"/>
          <w:szCs w:val="20"/>
          <w:color w:val="auto"/>
        </w:rPr>
      </w:pPr>
    </w:p>
    <w:p>
      <w:pPr>
        <w:sectPr>
          <w:pgSz w:w="11900" w:h="16838" w:orient="portrait"/>
          <w:cols w:equalWidth="0" w:num="2">
            <w:col w:w="6680" w:space="720"/>
            <w:col w:w="4020"/>
          </w:cols>
          <w:pgMar w:left="240" w:top="565" w:right="239" w:bottom="1440" w:gutter="0" w:footer="0" w:header="0"/>
          <w:type w:val="continuous"/>
        </w:sectPr>
      </w:pPr>
    </w:p>
    <w:p>
      <w:pPr>
        <w:jc w:val="center"/>
        <w:ind w:right="-19"/>
        <w:spacing w:after="0"/>
        <w:rPr>
          <w:sz w:val="20"/>
          <w:szCs w:val="20"/>
          <w:color w:val="auto"/>
        </w:rPr>
      </w:pPr>
      <w:r>
        <w:rPr>
          <w:rFonts w:ascii="Arial" w:cs="Arial" w:eastAsia="Arial" w:hAnsi="Arial"/>
          <w:sz w:val="17"/>
          <w:szCs w:val="17"/>
          <w:color w:val="auto"/>
        </w:rPr>
        <w:t>See notes to consolidated financial statements.</w:t>
      </w:r>
    </w:p>
    <w:p>
      <w:pPr>
        <w:sectPr>
          <w:pgSz w:w="11900" w:h="16838" w:orient="portrait"/>
          <w:cols w:equalWidth="0" w:num="1">
            <w:col w:w="11420"/>
          </w:cols>
          <w:pgMar w:left="240" w:top="565" w:right="239" w:bottom="1440" w:gutter="0" w:footer="0" w:header="0"/>
          <w:type w:val="continuous"/>
        </w:sect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58</w:t>
      </w:r>
    </w:p>
    <w:p>
      <w:pPr>
        <w:sectPr>
          <w:pgSz w:w="11900" w:h="16838" w:orient="portrait"/>
          <w:cols w:equalWidth="0" w:num="1">
            <w:col w:w="11420"/>
          </w:cols>
          <w:pgMar w:left="240" w:top="565" w:right="239" w:bottom="1440" w:gutter="0" w:footer="0" w:header="0"/>
          <w:type w:val="continuous"/>
        </w:sectPr>
      </w:pPr>
    </w:p>
    <w:bookmarkStart w:id="58" w:name="page59"/>
    <w:bookmarkEnd w:id="58"/>
    <w:p>
      <w:pPr>
        <w:spacing w:after="0"/>
        <w:rPr>
          <w:sz w:val="20"/>
          <w:szCs w:val="20"/>
          <w:color w:val="auto"/>
        </w:rPr>
      </w:pPr>
      <w:r>
        <w:rPr>
          <w:rFonts w:ascii="Arial" w:cs="Arial" w:eastAsia="Arial" w:hAnsi="Arial"/>
          <w:sz w:val="32"/>
          <w:szCs w:val="32"/>
          <w:i w:val="1"/>
          <w:iCs w:val="1"/>
          <w:color w:val="CC0000"/>
        </w:rPr>
        <w:t>Notes to Consolidated Financial Statements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CC0000"/>
        </w:rPr>
        <w:t>ELI LILLY AND COMPANY AND SUBSIDIARIES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CC0000"/>
        </w:rPr>
        <w:t>(Tables present dollars in millions, except per-share data)</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Note 1: Summary of Significant Accounting Policies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1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accompanying consolidated financial statements have been prepared in accordance with accounting principles generally accepted in the United States (GAAP). The accounts of all wholly-owned and majority-owned subsidiaries are included in the consolidated financial statements. Where our ownership of consolidated subsidiaries is less than 100 percent, the noncontrolling shareholders’ interests are reflected as a separate component of equity. All intercompany balances and transactions have been eliminated.</w:t>
      </w:r>
    </w:p>
    <w:p>
      <w:pPr>
        <w:spacing w:after="0" w:line="62"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liabilities, revenues, expenses, and related disclosures at the date of the financial statements and during the reporting period. Actual results could differ from those estimates. We issued our financial statements by filing with the Securities and Exchange Commission and have evaluated subsequent events up to the time of the filing.</w:t>
      </w:r>
    </w:p>
    <w:p>
      <w:pPr>
        <w:spacing w:after="0" w:line="62" w:lineRule="exact"/>
        <w:rPr>
          <w:sz w:val="20"/>
          <w:szCs w:val="20"/>
          <w:color w:val="auto"/>
        </w:rPr>
      </w:pPr>
    </w:p>
    <w:p>
      <w:pPr>
        <w:ind w:right="60"/>
        <w:spacing w:after="0" w:line="292" w:lineRule="auto"/>
        <w:rPr>
          <w:sz w:val="20"/>
          <w:szCs w:val="20"/>
          <w:color w:val="auto"/>
        </w:rPr>
      </w:pPr>
      <w:r>
        <w:rPr>
          <w:rFonts w:ascii="Arial" w:cs="Arial" w:eastAsia="Arial" w:hAnsi="Arial"/>
          <w:sz w:val="18"/>
          <w:szCs w:val="18"/>
          <w:color w:val="auto"/>
        </w:rPr>
        <w:t>Certain reclassifications have been made to prior periods in the consolidated financial statements and accompanying notes to conform with the current presentation.</w:t>
      </w:r>
    </w:p>
    <w:p>
      <w:pPr>
        <w:spacing w:after="0" w:line="37" w:lineRule="exact"/>
        <w:rPr>
          <w:sz w:val="20"/>
          <w:szCs w:val="20"/>
          <w:color w:val="auto"/>
        </w:rPr>
      </w:pPr>
    </w:p>
    <w:p>
      <w:pPr>
        <w:ind w:right="560"/>
        <w:spacing w:after="0" w:line="292" w:lineRule="auto"/>
        <w:rPr>
          <w:sz w:val="20"/>
          <w:szCs w:val="20"/>
          <w:color w:val="auto"/>
        </w:rPr>
      </w:pPr>
      <w:r>
        <w:rPr>
          <w:rFonts w:ascii="Arial" w:cs="Arial" w:eastAsia="Arial" w:hAnsi="Arial"/>
          <w:sz w:val="18"/>
          <w:szCs w:val="18"/>
          <w:color w:val="auto"/>
        </w:rPr>
        <w:t>All per-share amounts, unless otherwise noted in the footnotes, are presented on a diluted basis, that is, based on the weighted-average number of outstanding common shares plus the effect of incremental shares from our stock-based compensation programs.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19" w:lineRule="exact"/>
        <w:rPr>
          <w:sz w:val="20"/>
          <w:szCs w:val="20"/>
          <w:color w:val="auto"/>
        </w:rPr>
      </w:pPr>
    </w:p>
    <w:p>
      <w:pPr>
        <w:ind w:right="320"/>
        <w:spacing w:after="0" w:line="292" w:lineRule="auto"/>
        <w:rPr>
          <w:sz w:val="20"/>
          <w:szCs w:val="20"/>
          <w:color w:val="auto"/>
        </w:rPr>
      </w:pPr>
      <w:r>
        <w:rPr>
          <w:rFonts w:ascii="Arial" w:cs="Arial" w:eastAsia="Arial" w:hAnsi="Arial"/>
          <w:sz w:val="18"/>
          <w:szCs w:val="18"/>
          <w:color w:val="auto"/>
        </w:rPr>
        <w:t>We recognize revenue from sales of products at the time title of goods passes to the buyer and the buyer assumes the risks and rewards of ownership. Provisions for returns, discounts, and rebates are established in the same period the related sales are recognized.</w:t>
      </w:r>
    </w:p>
    <w:p>
      <w:pPr>
        <w:spacing w:after="0" w:line="37"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color w:val="auto"/>
        </w:rPr>
        <w:t>In arrangements involving the delivery of more than one element (e.g., research and development), marketing and selling, manufacturing, and distribution), each required deliverable is evaluated to determine whether it qualifies as a separate unit of accounting. Our determination is based on whether the deliverable has "standalone value" to the customer. If a deliverable does not qualify as a separate unit of accounting, it is combined with the other applicable undelivered item(s) within the arrangement and these combined deliverables are treated as a single unit of accounting. The arrangement's consideration that is fixed or determinable is then allocated to each separate unit of accounting based on the relative selling price of each deliverable.</w:t>
      </w:r>
    </w:p>
    <w:p>
      <w:pPr>
        <w:spacing w:after="0" w:line="69" w:lineRule="exact"/>
        <w:rPr>
          <w:sz w:val="20"/>
          <w:szCs w:val="20"/>
          <w:color w:val="auto"/>
        </w:rPr>
      </w:pPr>
    </w:p>
    <w:p>
      <w:pPr>
        <w:ind w:right="40"/>
        <w:spacing w:after="0" w:line="260" w:lineRule="auto"/>
        <w:rPr>
          <w:sz w:val="20"/>
          <w:szCs w:val="20"/>
          <w:color w:val="auto"/>
        </w:rPr>
      </w:pPr>
      <w:r>
        <w:rPr>
          <w:rFonts w:ascii="Arial" w:cs="Arial" w:eastAsia="Arial" w:hAnsi="Arial"/>
          <w:sz w:val="18"/>
          <w:szCs w:val="18"/>
          <w:color w:val="auto"/>
        </w:rPr>
        <w:t>Initial fees we receive in collaborative and other similar arrangements from the partnering of our compounds under development are generally deferred and amortized into income through the expected product approval date. Initial fees may also be received for out-licensing agreements that include both an out-license of our marketing rights to commercialized products and a related commitment to supply the products. When we have determined that the marketing rights do not have standalone value, the initial fees received are generally deferred and amortized to income as net product sales over the term of the supply agreement.</w:t>
      </w:r>
    </w:p>
    <w:p>
      <w:pPr>
        <w:spacing w:after="0" w:line="67"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color w:val="auto"/>
        </w:rPr>
        <w:t>Royalty revenue from licensees, which is based on third-party sales of licensed products and technology, is recorded as earned in accordance with the contract terms when third-party sales can be reasonably measured and collection of the funds is reasonably assured. This royalty revenue is included in collaboration and other revenue.</w:t>
      </w:r>
    </w:p>
    <w:p>
      <w:pPr>
        <w:spacing w:after="0" w:line="55" w:lineRule="exact"/>
        <w:rPr>
          <w:sz w:val="20"/>
          <w:szCs w:val="20"/>
          <w:color w:val="auto"/>
        </w:rPr>
      </w:pPr>
    </w:p>
    <w:p>
      <w:pPr>
        <w:ind w:right="760"/>
        <w:spacing w:after="0" w:line="292" w:lineRule="auto"/>
        <w:rPr>
          <w:sz w:val="20"/>
          <w:szCs w:val="20"/>
          <w:color w:val="auto"/>
        </w:rPr>
      </w:pPr>
      <w:r>
        <w:rPr>
          <w:rFonts w:ascii="Arial" w:cs="Arial" w:eastAsia="Arial" w:hAnsi="Arial"/>
          <w:sz w:val="18"/>
          <w:szCs w:val="18"/>
          <w:color w:val="auto"/>
        </w:rPr>
        <w:t>Profit-sharing due from our collaboration partners, which is based upon gross margins reported to us by our partners, is recognized as collaboration and other revenue as earned.</w:t>
      </w:r>
    </w:p>
    <w:p>
      <w:pPr>
        <w:spacing w:after="0" w:line="37"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Developmental milestone payments earned by us are generally recorded in other–net, (income) expense. We immediately recognize the full amount of developmental milestone payments due to us upon the achievement of the milestone event if the event is objectively determinable and the milestone is substantive in its entirety. A milestone is considered substantive if the consideration earned 1) relates solely to past performance, 2) is</w:t>
      </w:r>
    </w:p>
    <w:p>
      <w:pPr>
        <w:spacing w:after="0" w:line="19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59</w:t>
      </w:r>
    </w:p>
    <w:p>
      <w:pPr>
        <w:sectPr>
          <w:pgSz w:w="11900" w:h="16838" w:orient="portrait"/>
          <w:cols w:equalWidth="0" w:num="1">
            <w:col w:w="11420"/>
          </w:cols>
          <w:pgMar w:left="240" w:top="565" w:right="239" w:bottom="1440" w:gutter="0" w:footer="0" w:header="0"/>
        </w:sectPr>
      </w:pPr>
    </w:p>
    <w:bookmarkStart w:id="59" w:name="page60"/>
    <w:bookmarkEnd w:id="59"/>
    <w:p>
      <w:pPr>
        <w:ind w:right="20"/>
        <w:spacing w:after="0" w:line="260" w:lineRule="auto"/>
        <w:rPr>
          <w:sz w:val="20"/>
          <w:szCs w:val="20"/>
          <w:color w:val="auto"/>
        </w:rPr>
      </w:pPr>
      <w:r>
        <w:rPr>
          <w:rFonts w:ascii="Arial" w:cs="Arial" w:eastAsia="Arial" w:hAnsi="Arial"/>
          <w:sz w:val="18"/>
          <w:szCs w:val="18"/>
          <w:color w:val="auto"/>
        </w:rPr>
        <w:t>commensurate with the enhancement in the pharmaceutical or animal health product's value associated with the achievement of the important event in its development life cycle, and 3) is reasonable relative to all of the deliverables and payment terms within the arrangement. If a milestone payment to us is part of a multiple-element commercialization arrangement and is triggered by the initiation of the commercialization period (e.g., regulatory approval for marketing or launch of the product) or the achievement of a sales-based threshold, we amortize the payment to income as we perform under the terms of the arrangement. See Note 4 for specific agreement details.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expenses and acquired in-process research and development</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Research and development expenses include the following:</w:t>
      </w:r>
    </w:p>
    <w:p>
      <w:pPr>
        <w:spacing w:after="0" w:line="117" w:lineRule="exact"/>
        <w:rPr>
          <w:sz w:val="20"/>
          <w:szCs w:val="20"/>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Research and development costs, which are expensed as incurred.</w:t>
      </w:r>
    </w:p>
    <w:p>
      <w:pPr>
        <w:spacing w:after="0" w:line="117" w:lineRule="exact"/>
        <w:rPr>
          <w:rFonts w:ascii="Arial" w:cs="Arial" w:eastAsia="Arial" w:hAnsi="Arial"/>
          <w:sz w:val="18"/>
          <w:szCs w:val="18"/>
          <w:color w:val="auto"/>
        </w:rPr>
      </w:pPr>
    </w:p>
    <w:p>
      <w:pPr>
        <w:ind w:left="660" w:right="620" w:hanging="328"/>
        <w:spacing w:after="0" w:line="292"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Milestone payment obligations incurred prior to regulatory approval of the product, which are accrued when the event requiring payment of the milestone occurs.</w:t>
      </w:r>
    </w:p>
    <w:p>
      <w:pPr>
        <w:spacing w:after="0" w:line="37" w:lineRule="exact"/>
        <w:rPr>
          <w:sz w:val="20"/>
          <w:szCs w:val="20"/>
          <w:color w:val="auto"/>
        </w:rPr>
      </w:pPr>
    </w:p>
    <w:p>
      <w:pPr>
        <w:spacing w:after="0" w:line="292" w:lineRule="auto"/>
        <w:rPr>
          <w:sz w:val="20"/>
          <w:szCs w:val="20"/>
          <w:color w:val="auto"/>
        </w:rPr>
      </w:pPr>
      <w:r>
        <w:rPr>
          <w:rFonts w:ascii="Arial" w:cs="Arial" w:eastAsia="Arial" w:hAnsi="Arial"/>
          <w:sz w:val="18"/>
          <w:szCs w:val="18"/>
          <w:color w:val="auto"/>
        </w:rPr>
        <w:t>Acquired in-process research and development (IPR&amp;D) expense includes the initial costs of IPR&amp;D projects, acquired directly in a transaction other than a business combination, that do not have an alternative future use.</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share</w:t>
      </w:r>
    </w:p>
    <w:p>
      <w:pPr>
        <w:spacing w:after="0" w:line="119"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color w:val="auto"/>
        </w:rPr>
        <w:t>We calculate basic earnings per share (EPS) based on the weighted-average number of common shares outstanding and incremental shares from potential participating securities. We calculate diluted EPS based on the weighted-average number of common shares outstanding, including incremental shares from our stock-based compensation programs.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Translation</w:t>
      </w:r>
    </w:p>
    <w:p>
      <w:pPr>
        <w:spacing w:after="0" w:line="119"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color w:val="auto"/>
        </w:rPr>
        <w:t>Operations in our subsidiaries outside the United States (U.S.) are recorded in the functional currency of each subsidiary which is determined by a review of the environment where each subsidiary primarily generates and expends cash. The results of operations for our subsidiaries outside the U.S. are translated from functional currencies into U.S. dollars using the weighted average currency rate for the period. Assets and liabilities are translated using the period end exchange rates. The U.S. dollar effects that arise from translating the net assets of these subsidiaries are recorded in other comprehensive income (loss).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significant accounting policies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Our other significant accounting policies are described in the remaining appropriate notes to the consolidated financial statements.</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60</w:t>
      </w:r>
    </w:p>
    <w:p>
      <w:pPr>
        <w:sectPr>
          <w:pgSz w:w="11900" w:h="16838" w:orient="portrait"/>
          <w:cols w:equalWidth="0" w:num="1">
            <w:col w:w="11340"/>
          </w:cols>
          <w:pgMar w:left="240" w:top="684" w:right="31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color w:val="CC0000"/>
        </w:rPr>
        <w:t>Note 2: Implementation of New Financial Accounting Pronouncements</w:t>
      </w:r>
    </w:p>
    <w:p>
      <w:pPr>
        <w:spacing w:after="0" w:line="173" w:lineRule="exact"/>
        <w:rPr>
          <w:sz w:val="20"/>
          <w:szCs w:val="20"/>
          <w:color w:val="auto"/>
        </w:rPr>
      </w:pPr>
    </w:p>
    <w:p>
      <w:pPr>
        <w:ind w:right="60"/>
        <w:spacing w:after="0" w:line="292" w:lineRule="auto"/>
        <w:rPr>
          <w:sz w:val="20"/>
          <w:szCs w:val="20"/>
          <w:color w:val="auto"/>
        </w:rPr>
      </w:pPr>
      <w:r>
        <w:rPr>
          <w:rFonts w:ascii="Arial" w:cs="Arial" w:eastAsia="Arial" w:hAnsi="Arial"/>
          <w:sz w:val="18"/>
          <w:szCs w:val="18"/>
          <w:color w:val="auto"/>
        </w:rPr>
        <w:t>The following table provides a brief description of accounting standards that have not yet been adopted that could have a material effect on our financial statements: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0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920" w:type="dxa"/>
            <w:vAlign w:val="bottom"/>
          </w:tcPr>
          <w:p>
            <w:pPr>
              <w:ind w:left="100"/>
              <w:spacing w:after="0"/>
              <w:rPr>
                <w:sz w:val="20"/>
                <w:szCs w:val="20"/>
                <w:color w:val="auto"/>
              </w:rPr>
            </w:pPr>
            <w:r>
              <w:rPr>
                <w:rFonts w:ascii="Arial" w:cs="Arial" w:eastAsia="Arial" w:hAnsi="Arial"/>
                <w:sz w:val="14"/>
                <w:szCs w:val="14"/>
                <w:b w:val="1"/>
                <w:bCs w:val="1"/>
                <w:color w:val="auto"/>
              </w:rPr>
              <w:t>Effect on the financial statements or</w:t>
            </w:r>
          </w:p>
        </w:tc>
      </w:tr>
      <w:tr>
        <w:trPr>
          <w:trHeight w:val="203"/>
        </w:trPr>
        <w:tc>
          <w:tcPr>
            <w:tcW w:w="23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Standard</w:t>
            </w:r>
          </w:p>
        </w:tc>
        <w:tc>
          <w:tcPr>
            <w:tcW w:w="392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Description</w:t>
            </w:r>
          </w:p>
        </w:tc>
        <w:tc>
          <w:tcPr>
            <w:tcW w:w="22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Effective Date</w:t>
            </w:r>
          </w:p>
        </w:tc>
        <w:tc>
          <w:tcPr>
            <w:tcW w:w="292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other significant matters</w:t>
            </w:r>
          </w:p>
        </w:tc>
      </w:tr>
      <w:tr>
        <w:trPr>
          <w:trHeight w:val="201"/>
        </w:trPr>
        <w:tc>
          <w:tcPr>
            <w:tcW w:w="2300" w:type="dxa"/>
            <w:vAlign w:val="bottom"/>
            <w:shd w:val="clear" w:color="auto" w:fill="D8D8D8"/>
          </w:tcPr>
          <w:p>
            <w:pPr>
              <w:ind w:left="40"/>
              <w:spacing w:after="0" w:line="201" w:lineRule="exact"/>
              <w:rPr>
                <w:sz w:val="20"/>
                <w:szCs w:val="20"/>
                <w:color w:val="auto"/>
              </w:rPr>
            </w:pPr>
            <w:r>
              <w:rPr>
                <w:rFonts w:ascii="Arial" w:cs="Arial" w:eastAsia="Arial" w:hAnsi="Arial"/>
                <w:sz w:val="18"/>
                <w:szCs w:val="18"/>
                <w:color w:val="auto"/>
              </w:rPr>
              <w:t>Accounting Standards</w:t>
            </w:r>
          </w:p>
        </w:tc>
        <w:tc>
          <w:tcPr>
            <w:tcW w:w="3920" w:type="dxa"/>
            <w:vAlign w:val="bottom"/>
            <w:shd w:val="clear" w:color="auto" w:fill="D8D8D8"/>
          </w:tcPr>
          <w:p>
            <w:pPr>
              <w:ind w:left="160"/>
              <w:spacing w:after="0" w:line="201" w:lineRule="exact"/>
              <w:rPr>
                <w:sz w:val="20"/>
                <w:szCs w:val="20"/>
                <w:color w:val="auto"/>
              </w:rPr>
            </w:pPr>
            <w:r>
              <w:rPr>
                <w:rFonts w:ascii="Arial" w:cs="Arial" w:eastAsia="Arial" w:hAnsi="Arial"/>
                <w:sz w:val="18"/>
                <w:szCs w:val="18"/>
                <w:color w:val="auto"/>
              </w:rPr>
              <w:t>This standard will replace existing revenue</w:t>
            </w:r>
          </w:p>
        </w:tc>
        <w:tc>
          <w:tcPr>
            <w:tcW w:w="2280" w:type="dxa"/>
            <w:vAlign w:val="bottom"/>
            <w:shd w:val="clear" w:color="auto" w:fill="D8D8D8"/>
          </w:tcPr>
          <w:p>
            <w:pPr>
              <w:ind w:left="100"/>
              <w:spacing w:after="0" w:line="201" w:lineRule="exact"/>
              <w:rPr>
                <w:sz w:val="20"/>
                <w:szCs w:val="20"/>
                <w:color w:val="auto"/>
              </w:rPr>
            </w:pPr>
            <w:r>
              <w:rPr>
                <w:rFonts w:ascii="Arial" w:cs="Arial" w:eastAsia="Arial" w:hAnsi="Arial"/>
                <w:sz w:val="18"/>
                <w:szCs w:val="18"/>
                <w:color w:val="auto"/>
              </w:rPr>
              <w:t>This standard is effective</w:t>
            </w:r>
          </w:p>
        </w:tc>
        <w:tc>
          <w:tcPr>
            <w:tcW w:w="2920" w:type="dxa"/>
            <w:vAlign w:val="bottom"/>
            <w:shd w:val="clear" w:color="auto" w:fill="D8D8D8"/>
          </w:tcPr>
          <w:p>
            <w:pPr>
              <w:ind w:left="100"/>
              <w:spacing w:after="0" w:line="201" w:lineRule="exact"/>
              <w:rPr>
                <w:sz w:val="20"/>
                <w:szCs w:val="20"/>
                <w:color w:val="auto"/>
              </w:rPr>
            </w:pPr>
            <w:r>
              <w:rPr>
                <w:rFonts w:ascii="Arial" w:cs="Arial" w:eastAsia="Arial" w:hAnsi="Arial"/>
                <w:sz w:val="18"/>
                <w:szCs w:val="18"/>
                <w:color w:val="auto"/>
              </w:rPr>
              <w:t>There are areas within the</w:t>
            </w:r>
          </w:p>
        </w:tc>
      </w:tr>
      <w:tr>
        <w:trPr>
          <w:trHeight w:val="203"/>
        </w:trPr>
        <w:tc>
          <w:tcPr>
            <w:tcW w:w="2300" w:type="dxa"/>
            <w:vAlign w:val="bottom"/>
            <w:shd w:val="clear" w:color="auto" w:fill="D8D8D8"/>
          </w:tcPr>
          <w:p>
            <w:pPr>
              <w:ind w:left="40"/>
              <w:spacing w:after="0" w:line="202" w:lineRule="exact"/>
              <w:rPr>
                <w:sz w:val="20"/>
                <w:szCs w:val="20"/>
                <w:color w:val="auto"/>
              </w:rPr>
            </w:pPr>
            <w:r>
              <w:rPr>
                <w:rFonts w:ascii="Arial" w:cs="Arial" w:eastAsia="Arial" w:hAnsi="Arial"/>
                <w:sz w:val="18"/>
                <w:szCs w:val="18"/>
                <w:color w:val="auto"/>
              </w:rPr>
              <w:t xml:space="preserve">Update 2014-09, </w:t>
            </w:r>
            <w:r>
              <w:rPr>
                <w:rFonts w:ascii="Arial" w:cs="Arial" w:eastAsia="Arial" w:hAnsi="Arial"/>
                <w:sz w:val="18"/>
                <w:szCs w:val="18"/>
                <w:i w:val="1"/>
                <w:iCs w:val="1"/>
                <w:color w:val="auto"/>
              </w:rPr>
              <w:t>Revenue</w:t>
            </w:r>
          </w:p>
        </w:tc>
        <w:tc>
          <w:tcPr>
            <w:tcW w:w="3920" w:type="dxa"/>
            <w:vAlign w:val="bottom"/>
            <w:shd w:val="clear" w:color="auto" w:fill="D8D8D8"/>
          </w:tcPr>
          <w:p>
            <w:pPr>
              <w:ind w:left="160"/>
              <w:spacing w:after="0" w:line="202" w:lineRule="exact"/>
              <w:rPr>
                <w:sz w:val="20"/>
                <w:szCs w:val="20"/>
                <w:color w:val="auto"/>
              </w:rPr>
            </w:pPr>
            <w:r>
              <w:rPr>
                <w:rFonts w:ascii="Arial" w:cs="Arial" w:eastAsia="Arial" w:hAnsi="Arial"/>
                <w:sz w:val="18"/>
                <w:szCs w:val="18"/>
                <w:color w:val="auto"/>
              </w:rPr>
              <w:t>recognition standards and will require entities</w:t>
            </w:r>
          </w:p>
        </w:tc>
        <w:tc>
          <w:tcPr>
            <w:tcW w:w="2280" w:type="dxa"/>
            <w:vAlign w:val="bottom"/>
            <w:shd w:val="clear" w:color="auto" w:fill="D8D8D8"/>
          </w:tcPr>
          <w:p>
            <w:pPr>
              <w:ind w:left="100"/>
              <w:spacing w:after="0" w:line="202" w:lineRule="exact"/>
              <w:rPr>
                <w:sz w:val="20"/>
                <w:szCs w:val="20"/>
                <w:color w:val="auto"/>
              </w:rPr>
            </w:pPr>
            <w:r>
              <w:rPr>
                <w:rFonts w:ascii="Arial" w:cs="Arial" w:eastAsia="Arial" w:hAnsi="Arial"/>
                <w:sz w:val="18"/>
                <w:szCs w:val="18"/>
                <w:color w:val="auto"/>
              </w:rPr>
              <w:t>January 1, 2018, but we</w:t>
            </w:r>
          </w:p>
        </w:tc>
        <w:tc>
          <w:tcPr>
            <w:tcW w:w="2920" w:type="dxa"/>
            <w:vAlign w:val="bottom"/>
            <w:shd w:val="clear" w:color="auto" w:fill="D8D8D8"/>
          </w:tcPr>
          <w:p>
            <w:pPr>
              <w:ind w:left="100"/>
              <w:spacing w:after="0" w:line="202" w:lineRule="exact"/>
              <w:rPr>
                <w:sz w:val="20"/>
                <w:szCs w:val="20"/>
                <w:color w:val="auto"/>
              </w:rPr>
            </w:pPr>
            <w:r>
              <w:rPr>
                <w:rFonts w:ascii="Arial" w:cs="Arial" w:eastAsia="Arial" w:hAnsi="Arial"/>
                <w:sz w:val="18"/>
                <w:szCs w:val="18"/>
                <w:color w:val="auto"/>
              </w:rPr>
              <w:t>standard that are currently under</w:t>
            </w:r>
          </w:p>
        </w:tc>
      </w:tr>
      <w:tr>
        <w:trPr>
          <w:trHeight w:val="203"/>
        </w:trPr>
        <w:tc>
          <w:tcPr>
            <w:tcW w:w="2300" w:type="dxa"/>
            <w:vAlign w:val="bottom"/>
            <w:shd w:val="clear" w:color="auto" w:fill="D8D8D8"/>
          </w:tcPr>
          <w:p>
            <w:pPr>
              <w:ind w:left="40"/>
              <w:spacing w:after="0" w:line="202" w:lineRule="exact"/>
              <w:rPr>
                <w:sz w:val="20"/>
                <w:szCs w:val="20"/>
                <w:color w:val="auto"/>
              </w:rPr>
            </w:pPr>
            <w:r>
              <w:rPr>
                <w:rFonts w:ascii="Arial" w:cs="Arial" w:eastAsia="Arial" w:hAnsi="Arial"/>
                <w:sz w:val="18"/>
                <w:szCs w:val="18"/>
                <w:i w:val="1"/>
                <w:iCs w:val="1"/>
                <w:color w:val="auto"/>
              </w:rPr>
              <w:t>from Contracts with</w:t>
            </w:r>
          </w:p>
        </w:tc>
        <w:tc>
          <w:tcPr>
            <w:tcW w:w="3920" w:type="dxa"/>
            <w:vAlign w:val="bottom"/>
            <w:shd w:val="clear" w:color="auto" w:fill="D8D8D8"/>
          </w:tcPr>
          <w:p>
            <w:pPr>
              <w:ind w:left="160"/>
              <w:spacing w:after="0" w:line="202" w:lineRule="exact"/>
              <w:rPr>
                <w:sz w:val="20"/>
                <w:szCs w:val="20"/>
                <w:color w:val="auto"/>
              </w:rPr>
            </w:pPr>
            <w:r>
              <w:rPr>
                <w:rFonts w:ascii="Arial" w:cs="Arial" w:eastAsia="Arial" w:hAnsi="Arial"/>
                <w:sz w:val="18"/>
                <w:szCs w:val="18"/>
                <w:color w:val="auto"/>
              </w:rPr>
              <w:t>to recognize revenues to depict the transfer of</w:t>
            </w:r>
          </w:p>
        </w:tc>
        <w:tc>
          <w:tcPr>
            <w:tcW w:w="2280" w:type="dxa"/>
            <w:vAlign w:val="bottom"/>
            <w:shd w:val="clear" w:color="auto" w:fill="D8D8D8"/>
          </w:tcPr>
          <w:p>
            <w:pPr>
              <w:ind w:left="100"/>
              <w:spacing w:after="0" w:line="202" w:lineRule="exact"/>
              <w:rPr>
                <w:sz w:val="20"/>
                <w:szCs w:val="20"/>
                <w:color w:val="auto"/>
              </w:rPr>
            </w:pPr>
            <w:r>
              <w:rPr>
                <w:rFonts w:ascii="Arial" w:cs="Arial" w:eastAsia="Arial" w:hAnsi="Arial"/>
                <w:sz w:val="18"/>
                <w:szCs w:val="18"/>
                <w:color w:val="auto"/>
              </w:rPr>
              <w:t>are permitted to adopt this</w:t>
            </w:r>
          </w:p>
        </w:tc>
        <w:tc>
          <w:tcPr>
            <w:tcW w:w="2920" w:type="dxa"/>
            <w:vAlign w:val="bottom"/>
            <w:shd w:val="clear" w:color="auto" w:fill="D8D8D8"/>
          </w:tcPr>
          <w:p>
            <w:pPr>
              <w:ind w:left="100"/>
              <w:spacing w:after="0" w:line="202" w:lineRule="exact"/>
              <w:rPr>
                <w:sz w:val="20"/>
                <w:szCs w:val="20"/>
                <w:color w:val="auto"/>
              </w:rPr>
            </w:pPr>
            <w:r>
              <w:rPr>
                <w:rFonts w:ascii="Arial" w:cs="Arial" w:eastAsia="Arial" w:hAnsi="Arial"/>
                <w:sz w:val="18"/>
                <w:szCs w:val="18"/>
                <w:color w:val="auto"/>
              </w:rPr>
              <w:t>review and reconsideration by the</w:t>
            </w:r>
          </w:p>
        </w:tc>
      </w:tr>
      <w:tr>
        <w:trPr>
          <w:trHeight w:val="203"/>
        </w:trPr>
        <w:tc>
          <w:tcPr>
            <w:tcW w:w="2300" w:type="dxa"/>
            <w:vAlign w:val="bottom"/>
            <w:shd w:val="clear" w:color="auto" w:fill="D8D8D8"/>
          </w:tcPr>
          <w:p>
            <w:pPr>
              <w:ind w:left="40"/>
              <w:spacing w:after="0" w:line="202" w:lineRule="exact"/>
              <w:rPr>
                <w:sz w:val="20"/>
                <w:szCs w:val="20"/>
                <w:color w:val="auto"/>
              </w:rPr>
            </w:pPr>
            <w:r>
              <w:rPr>
                <w:rFonts w:ascii="Arial" w:cs="Arial" w:eastAsia="Arial" w:hAnsi="Arial"/>
                <w:sz w:val="18"/>
                <w:szCs w:val="18"/>
                <w:i w:val="1"/>
                <w:iCs w:val="1"/>
                <w:color w:val="auto"/>
              </w:rPr>
              <w:t>Customers</w:t>
            </w:r>
          </w:p>
        </w:tc>
        <w:tc>
          <w:tcPr>
            <w:tcW w:w="3920" w:type="dxa"/>
            <w:vAlign w:val="bottom"/>
            <w:shd w:val="clear" w:color="auto" w:fill="D8D8D8"/>
          </w:tcPr>
          <w:p>
            <w:pPr>
              <w:ind w:left="160"/>
              <w:spacing w:after="0" w:line="202" w:lineRule="exact"/>
              <w:rPr>
                <w:sz w:val="20"/>
                <w:szCs w:val="20"/>
                <w:color w:val="auto"/>
              </w:rPr>
            </w:pPr>
            <w:r>
              <w:rPr>
                <w:rFonts w:ascii="Arial" w:cs="Arial" w:eastAsia="Arial" w:hAnsi="Arial"/>
                <w:sz w:val="18"/>
                <w:szCs w:val="18"/>
                <w:color w:val="auto"/>
              </w:rPr>
              <w:t>promised goods or services to customers in</w:t>
            </w:r>
          </w:p>
        </w:tc>
        <w:tc>
          <w:tcPr>
            <w:tcW w:w="2280" w:type="dxa"/>
            <w:vAlign w:val="bottom"/>
            <w:shd w:val="clear" w:color="auto" w:fill="D8D8D8"/>
          </w:tcPr>
          <w:p>
            <w:pPr>
              <w:ind w:left="100"/>
              <w:spacing w:after="0" w:line="202" w:lineRule="exact"/>
              <w:rPr>
                <w:sz w:val="20"/>
                <w:szCs w:val="20"/>
                <w:color w:val="auto"/>
              </w:rPr>
            </w:pPr>
            <w:r>
              <w:rPr>
                <w:rFonts w:ascii="Arial" w:cs="Arial" w:eastAsia="Arial" w:hAnsi="Arial"/>
                <w:sz w:val="18"/>
                <w:szCs w:val="18"/>
                <w:color w:val="auto"/>
              </w:rPr>
              <w:t>standard one year earlier</w:t>
            </w:r>
          </w:p>
        </w:tc>
        <w:tc>
          <w:tcPr>
            <w:tcW w:w="2920" w:type="dxa"/>
            <w:vAlign w:val="bottom"/>
            <w:shd w:val="clear" w:color="auto" w:fill="D8D8D8"/>
          </w:tcPr>
          <w:p>
            <w:pPr>
              <w:ind w:left="100"/>
              <w:spacing w:after="0" w:line="202" w:lineRule="exact"/>
              <w:rPr>
                <w:sz w:val="20"/>
                <w:szCs w:val="20"/>
                <w:color w:val="auto"/>
              </w:rPr>
            </w:pPr>
            <w:r>
              <w:rPr>
                <w:rFonts w:ascii="Arial" w:cs="Arial" w:eastAsia="Arial" w:hAnsi="Arial"/>
                <w:sz w:val="18"/>
                <w:szCs w:val="18"/>
                <w:color w:val="auto"/>
              </w:rPr>
              <w:t>Financial Accounting Standards</w:t>
            </w:r>
          </w:p>
        </w:tc>
      </w:tr>
      <w:tr>
        <w:trPr>
          <w:trHeight w:val="203"/>
        </w:trPr>
        <w:tc>
          <w:tcPr>
            <w:tcW w:w="2300" w:type="dxa"/>
            <w:vAlign w:val="bottom"/>
            <w:shd w:val="clear" w:color="auto" w:fill="D8D8D8"/>
          </w:tcPr>
          <w:p>
            <w:pPr>
              <w:spacing w:after="0"/>
              <w:rPr>
                <w:sz w:val="17"/>
                <w:szCs w:val="17"/>
                <w:color w:val="auto"/>
              </w:rPr>
            </w:pPr>
          </w:p>
        </w:tc>
        <w:tc>
          <w:tcPr>
            <w:tcW w:w="3920" w:type="dxa"/>
            <w:vAlign w:val="bottom"/>
            <w:shd w:val="clear" w:color="auto" w:fill="D8D8D8"/>
          </w:tcPr>
          <w:p>
            <w:pPr>
              <w:ind w:left="160"/>
              <w:spacing w:after="0" w:line="202" w:lineRule="exact"/>
              <w:rPr>
                <w:sz w:val="20"/>
                <w:szCs w:val="20"/>
                <w:color w:val="auto"/>
              </w:rPr>
            </w:pPr>
            <w:r>
              <w:rPr>
                <w:rFonts w:ascii="Arial" w:cs="Arial" w:eastAsia="Arial" w:hAnsi="Arial"/>
                <w:sz w:val="18"/>
                <w:szCs w:val="18"/>
                <w:color w:val="auto"/>
              </w:rPr>
              <w:t>an amount that reflects the consideration to</w:t>
            </w:r>
          </w:p>
        </w:tc>
        <w:tc>
          <w:tcPr>
            <w:tcW w:w="2280" w:type="dxa"/>
            <w:vAlign w:val="bottom"/>
            <w:shd w:val="clear" w:color="auto" w:fill="D8D8D8"/>
          </w:tcPr>
          <w:p>
            <w:pPr>
              <w:ind w:left="100"/>
              <w:spacing w:after="0" w:line="202" w:lineRule="exact"/>
              <w:rPr>
                <w:sz w:val="20"/>
                <w:szCs w:val="20"/>
                <w:color w:val="auto"/>
              </w:rPr>
            </w:pPr>
            <w:r>
              <w:rPr>
                <w:rFonts w:ascii="Arial" w:cs="Arial" w:eastAsia="Arial" w:hAnsi="Arial"/>
                <w:sz w:val="18"/>
                <w:szCs w:val="18"/>
                <w:color w:val="auto"/>
              </w:rPr>
              <w:t>if we choose. We are</w:t>
            </w:r>
          </w:p>
        </w:tc>
        <w:tc>
          <w:tcPr>
            <w:tcW w:w="2920" w:type="dxa"/>
            <w:vAlign w:val="bottom"/>
            <w:shd w:val="clear" w:color="auto" w:fill="D8D8D8"/>
          </w:tcPr>
          <w:p>
            <w:pPr>
              <w:ind w:left="100"/>
              <w:spacing w:after="0" w:line="202" w:lineRule="exact"/>
              <w:rPr>
                <w:sz w:val="20"/>
                <w:szCs w:val="20"/>
                <w:color w:val="auto"/>
              </w:rPr>
            </w:pPr>
            <w:r>
              <w:rPr>
                <w:rFonts w:ascii="Arial" w:cs="Arial" w:eastAsia="Arial" w:hAnsi="Arial"/>
                <w:sz w:val="18"/>
                <w:szCs w:val="18"/>
                <w:color w:val="auto"/>
              </w:rPr>
              <w:t>Board, including accounting for</w:t>
            </w:r>
          </w:p>
        </w:tc>
      </w:tr>
      <w:tr>
        <w:trPr>
          <w:trHeight w:val="203"/>
        </w:trPr>
        <w:tc>
          <w:tcPr>
            <w:tcW w:w="2300" w:type="dxa"/>
            <w:vAlign w:val="bottom"/>
            <w:shd w:val="clear" w:color="auto" w:fill="D8D8D8"/>
          </w:tcPr>
          <w:p>
            <w:pPr>
              <w:spacing w:after="0"/>
              <w:rPr>
                <w:sz w:val="17"/>
                <w:szCs w:val="17"/>
                <w:color w:val="auto"/>
              </w:rPr>
            </w:pPr>
          </w:p>
        </w:tc>
        <w:tc>
          <w:tcPr>
            <w:tcW w:w="3920" w:type="dxa"/>
            <w:vAlign w:val="bottom"/>
            <w:shd w:val="clear" w:color="auto" w:fill="D8D8D8"/>
          </w:tcPr>
          <w:p>
            <w:pPr>
              <w:ind w:left="160"/>
              <w:spacing w:after="0" w:line="202" w:lineRule="exact"/>
              <w:rPr>
                <w:sz w:val="20"/>
                <w:szCs w:val="20"/>
                <w:color w:val="auto"/>
              </w:rPr>
            </w:pPr>
            <w:r>
              <w:rPr>
                <w:rFonts w:ascii="Arial" w:cs="Arial" w:eastAsia="Arial" w:hAnsi="Arial"/>
                <w:sz w:val="18"/>
                <w:szCs w:val="18"/>
                <w:color w:val="auto"/>
              </w:rPr>
              <w:t>which the entity expects to be entitled in</w:t>
            </w:r>
          </w:p>
        </w:tc>
        <w:tc>
          <w:tcPr>
            <w:tcW w:w="2280" w:type="dxa"/>
            <w:vAlign w:val="bottom"/>
            <w:shd w:val="clear" w:color="auto" w:fill="D8D8D8"/>
          </w:tcPr>
          <w:p>
            <w:pPr>
              <w:ind w:left="100"/>
              <w:spacing w:after="0" w:line="202" w:lineRule="exact"/>
              <w:rPr>
                <w:sz w:val="20"/>
                <w:szCs w:val="20"/>
                <w:color w:val="auto"/>
              </w:rPr>
            </w:pPr>
            <w:r>
              <w:rPr>
                <w:rFonts w:ascii="Arial" w:cs="Arial" w:eastAsia="Arial" w:hAnsi="Arial"/>
                <w:sz w:val="18"/>
                <w:szCs w:val="18"/>
                <w:color w:val="auto"/>
              </w:rPr>
              <w:t>evaluating our anticipated</w:t>
            </w:r>
          </w:p>
        </w:tc>
        <w:tc>
          <w:tcPr>
            <w:tcW w:w="2920" w:type="dxa"/>
            <w:vAlign w:val="bottom"/>
            <w:shd w:val="clear" w:color="auto" w:fill="D8D8D8"/>
          </w:tcPr>
          <w:p>
            <w:pPr>
              <w:ind w:left="100"/>
              <w:spacing w:after="0" w:line="202" w:lineRule="exact"/>
              <w:rPr>
                <w:sz w:val="20"/>
                <w:szCs w:val="20"/>
                <w:color w:val="auto"/>
              </w:rPr>
            </w:pPr>
            <w:r>
              <w:rPr>
                <w:rFonts w:ascii="Arial" w:cs="Arial" w:eastAsia="Arial" w:hAnsi="Arial"/>
                <w:sz w:val="18"/>
                <w:szCs w:val="18"/>
                <w:color w:val="auto"/>
              </w:rPr>
              <w:t>licensing transactions, which could</w:t>
            </w:r>
          </w:p>
        </w:tc>
      </w:tr>
      <w:tr>
        <w:trPr>
          <w:trHeight w:val="203"/>
        </w:trPr>
        <w:tc>
          <w:tcPr>
            <w:tcW w:w="2300" w:type="dxa"/>
            <w:vAlign w:val="bottom"/>
            <w:shd w:val="clear" w:color="auto" w:fill="D8D8D8"/>
          </w:tcPr>
          <w:p>
            <w:pPr>
              <w:spacing w:after="0"/>
              <w:rPr>
                <w:sz w:val="17"/>
                <w:szCs w:val="17"/>
                <w:color w:val="auto"/>
              </w:rPr>
            </w:pPr>
          </w:p>
        </w:tc>
        <w:tc>
          <w:tcPr>
            <w:tcW w:w="3920" w:type="dxa"/>
            <w:vAlign w:val="bottom"/>
            <w:shd w:val="clear" w:color="auto" w:fill="D8D8D8"/>
          </w:tcPr>
          <w:p>
            <w:pPr>
              <w:ind w:left="160"/>
              <w:spacing w:after="0" w:line="202" w:lineRule="exact"/>
              <w:rPr>
                <w:sz w:val="20"/>
                <w:szCs w:val="20"/>
                <w:color w:val="auto"/>
              </w:rPr>
            </w:pPr>
            <w:r>
              <w:rPr>
                <w:rFonts w:ascii="Arial" w:cs="Arial" w:eastAsia="Arial" w:hAnsi="Arial"/>
                <w:sz w:val="18"/>
                <w:szCs w:val="18"/>
                <w:color w:val="auto"/>
              </w:rPr>
              <w:t>exchange for those goods or services. An</w:t>
            </w:r>
          </w:p>
        </w:tc>
        <w:tc>
          <w:tcPr>
            <w:tcW w:w="2280" w:type="dxa"/>
            <w:vAlign w:val="bottom"/>
            <w:shd w:val="clear" w:color="auto" w:fill="D8D8D8"/>
          </w:tcPr>
          <w:p>
            <w:pPr>
              <w:ind w:left="100"/>
              <w:spacing w:after="0" w:line="202" w:lineRule="exact"/>
              <w:rPr>
                <w:sz w:val="20"/>
                <w:szCs w:val="20"/>
                <w:color w:val="auto"/>
              </w:rPr>
            </w:pPr>
            <w:r>
              <w:rPr>
                <w:rFonts w:ascii="Arial" w:cs="Arial" w:eastAsia="Arial" w:hAnsi="Arial"/>
                <w:sz w:val="18"/>
                <w:szCs w:val="18"/>
                <w:color w:val="auto"/>
              </w:rPr>
              <w:t>date of adoption.</w:t>
            </w:r>
          </w:p>
        </w:tc>
        <w:tc>
          <w:tcPr>
            <w:tcW w:w="2920" w:type="dxa"/>
            <w:vAlign w:val="bottom"/>
            <w:shd w:val="clear" w:color="auto" w:fill="D8D8D8"/>
          </w:tcPr>
          <w:p>
            <w:pPr>
              <w:ind w:left="100"/>
              <w:spacing w:after="0" w:line="202" w:lineRule="exact"/>
              <w:rPr>
                <w:sz w:val="20"/>
                <w:szCs w:val="20"/>
                <w:color w:val="auto"/>
              </w:rPr>
            </w:pPr>
            <w:r>
              <w:rPr>
                <w:rFonts w:ascii="Arial" w:cs="Arial" w:eastAsia="Arial" w:hAnsi="Arial"/>
                <w:sz w:val="18"/>
                <w:szCs w:val="18"/>
                <w:color w:val="auto"/>
              </w:rPr>
              <w:t>lead to updates to the standard. As</w:t>
            </w:r>
          </w:p>
        </w:tc>
      </w:tr>
      <w:tr>
        <w:trPr>
          <w:trHeight w:val="203"/>
        </w:trPr>
        <w:tc>
          <w:tcPr>
            <w:tcW w:w="2300" w:type="dxa"/>
            <w:vAlign w:val="bottom"/>
            <w:shd w:val="clear" w:color="auto" w:fill="D8D8D8"/>
          </w:tcPr>
          <w:p>
            <w:pPr>
              <w:spacing w:after="0"/>
              <w:rPr>
                <w:sz w:val="17"/>
                <w:szCs w:val="17"/>
                <w:color w:val="auto"/>
              </w:rPr>
            </w:pPr>
          </w:p>
        </w:tc>
        <w:tc>
          <w:tcPr>
            <w:tcW w:w="3920" w:type="dxa"/>
            <w:vAlign w:val="bottom"/>
            <w:shd w:val="clear" w:color="auto" w:fill="D8D8D8"/>
          </w:tcPr>
          <w:p>
            <w:pPr>
              <w:ind w:left="160"/>
              <w:spacing w:after="0" w:line="202" w:lineRule="exact"/>
              <w:rPr>
                <w:sz w:val="20"/>
                <w:szCs w:val="20"/>
                <w:color w:val="auto"/>
              </w:rPr>
            </w:pPr>
            <w:r>
              <w:rPr>
                <w:rFonts w:ascii="Arial" w:cs="Arial" w:eastAsia="Arial" w:hAnsi="Arial"/>
                <w:sz w:val="18"/>
                <w:szCs w:val="18"/>
                <w:color w:val="auto"/>
              </w:rPr>
              <w:t>entity can apply the new revenue standard</w:t>
            </w:r>
          </w:p>
        </w:tc>
        <w:tc>
          <w:tcPr>
            <w:tcW w:w="2280" w:type="dxa"/>
            <w:vAlign w:val="bottom"/>
            <w:shd w:val="clear" w:color="auto" w:fill="D8D8D8"/>
          </w:tcPr>
          <w:p>
            <w:pPr>
              <w:spacing w:after="0"/>
              <w:rPr>
                <w:sz w:val="17"/>
                <w:szCs w:val="17"/>
                <w:color w:val="auto"/>
              </w:rPr>
            </w:pPr>
          </w:p>
        </w:tc>
        <w:tc>
          <w:tcPr>
            <w:tcW w:w="2920" w:type="dxa"/>
            <w:vAlign w:val="bottom"/>
            <w:shd w:val="clear" w:color="auto" w:fill="D8D8D8"/>
          </w:tcPr>
          <w:p>
            <w:pPr>
              <w:ind w:left="100"/>
              <w:spacing w:after="0" w:line="202" w:lineRule="exact"/>
              <w:rPr>
                <w:sz w:val="20"/>
                <w:szCs w:val="20"/>
                <w:color w:val="auto"/>
              </w:rPr>
            </w:pPr>
            <w:r>
              <w:rPr>
                <w:rFonts w:ascii="Arial" w:cs="Arial" w:eastAsia="Arial" w:hAnsi="Arial"/>
                <w:sz w:val="18"/>
                <w:szCs w:val="18"/>
                <w:color w:val="auto"/>
              </w:rPr>
              <w:t>the outcomes of this review and</w:t>
            </w:r>
          </w:p>
        </w:tc>
      </w:tr>
      <w:tr>
        <w:trPr>
          <w:trHeight w:val="203"/>
        </w:trPr>
        <w:tc>
          <w:tcPr>
            <w:tcW w:w="2300" w:type="dxa"/>
            <w:vAlign w:val="bottom"/>
            <w:shd w:val="clear" w:color="auto" w:fill="D8D8D8"/>
          </w:tcPr>
          <w:p>
            <w:pPr>
              <w:spacing w:after="0"/>
              <w:rPr>
                <w:sz w:val="17"/>
                <w:szCs w:val="17"/>
                <w:color w:val="auto"/>
              </w:rPr>
            </w:pPr>
          </w:p>
        </w:tc>
        <w:tc>
          <w:tcPr>
            <w:tcW w:w="3920" w:type="dxa"/>
            <w:vAlign w:val="bottom"/>
            <w:shd w:val="clear" w:color="auto" w:fill="D8D8D8"/>
          </w:tcPr>
          <w:p>
            <w:pPr>
              <w:ind w:left="160"/>
              <w:spacing w:after="0" w:line="202" w:lineRule="exact"/>
              <w:rPr>
                <w:sz w:val="20"/>
                <w:szCs w:val="20"/>
                <w:color w:val="auto"/>
              </w:rPr>
            </w:pPr>
            <w:r>
              <w:rPr>
                <w:rFonts w:ascii="Arial" w:cs="Arial" w:eastAsia="Arial" w:hAnsi="Arial"/>
                <w:sz w:val="18"/>
                <w:szCs w:val="18"/>
                <w:color w:val="auto"/>
              </w:rPr>
              <w:t>retrospectively to each prior reporting period</w:t>
            </w:r>
          </w:p>
        </w:tc>
        <w:tc>
          <w:tcPr>
            <w:tcW w:w="2280" w:type="dxa"/>
            <w:vAlign w:val="bottom"/>
            <w:shd w:val="clear" w:color="auto" w:fill="D8D8D8"/>
          </w:tcPr>
          <w:p>
            <w:pPr>
              <w:spacing w:after="0"/>
              <w:rPr>
                <w:sz w:val="17"/>
                <w:szCs w:val="17"/>
                <w:color w:val="auto"/>
              </w:rPr>
            </w:pPr>
          </w:p>
        </w:tc>
        <w:tc>
          <w:tcPr>
            <w:tcW w:w="2920" w:type="dxa"/>
            <w:vAlign w:val="bottom"/>
            <w:shd w:val="clear" w:color="auto" w:fill="D8D8D8"/>
          </w:tcPr>
          <w:p>
            <w:pPr>
              <w:ind w:left="100"/>
              <w:spacing w:after="0" w:line="202" w:lineRule="exact"/>
              <w:rPr>
                <w:sz w:val="20"/>
                <w:szCs w:val="20"/>
                <w:color w:val="auto"/>
              </w:rPr>
            </w:pPr>
            <w:r>
              <w:rPr>
                <w:rFonts w:ascii="Arial" w:cs="Arial" w:eastAsia="Arial" w:hAnsi="Arial"/>
                <w:sz w:val="18"/>
                <w:szCs w:val="18"/>
                <w:color w:val="auto"/>
              </w:rPr>
              <w:t>reconsideration could lead to</w:t>
            </w:r>
          </w:p>
        </w:tc>
      </w:tr>
      <w:tr>
        <w:trPr>
          <w:trHeight w:val="203"/>
        </w:trPr>
        <w:tc>
          <w:tcPr>
            <w:tcW w:w="2300" w:type="dxa"/>
            <w:vAlign w:val="bottom"/>
            <w:shd w:val="clear" w:color="auto" w:fill="D8D8D8"/>
          </w:tcPr>
          <w:p>
            <w:pPr>
              <w:spacing w:after="0"/>
              <w:rPr>
                <w:sz w:val="17"/>
                <w:szCs w:val="17"/>
                <w:color w:val="auto"/>
              </w:rPr>
            </w:pPr>
          </w:p>
        </w:tc>
        <w:tc>
          <w:tcPr>
            <w:tcW w:w="3920" w:type="dxa"/>
            <w:vAlign w:val="bottom"/>
            <w:shd w:val="clear" w:color="auto" w:fill="D8D8D8"/>
          </w:tcPr>
          <w:p>
            <w:pPr>
              <w:ind w:left="160"/>
              <w:spacing w:after="0" w:line="202" w:lineRule="exact"/>
              <w:rPr>
                <w:sz w:val="20"/>
                <w:szCs w:val="20"/>
                <w:color w:val="auto"/>
              </w:rPr>
            </w:pPr>
            <w:r>
              <w:rPr>
                <w:rFonts w:ascii="Arial" w:cs="Arial" w:eastAsia="Arial" w:hAnsi="Arial"/>
                <w:sz w:val="18"/>
                <w:szCs w:val="18"/>
                <w:color w:val="auto"/>
              </w:rPr>
              <w:t>presented or with the cumulative effect of</w:t>
            </w:r>
          </w:p>
        </w:tc>
        <w:tc>
          <w:tcPr>
            <w:tcW w:w="2280" w:type="dxa"/>
            <w:vAlign w:val="bottom"/>
            <w:shd w:val="clear" w:color="auto" w:fill="D8D8D8"/>
          </w:tcPr>
          <w:p>
            <w:pPr>
              <w:spacing w:after="0"/>
              <w:rPr>
                <w:sz w:val="17"/>
                <w:szCs w:val="17"/>
                <w:color w:val="auto"/>
              </w:rPr>
            </w:pPr>
          </w:p>
        </w:tc>
        <w:tc>
          <w:tcPr>
            <w:tcW w:w="2920" w:type="dxa"/>
            <w:vAlign w:val="bottom"/>
            <w:shd w:val="clear" w:color="auto" w:fill="D8D8D8"/>
          </w:tcPr>
          <w:p>
            <w:pPr>
              <w:ind w:left="100"/>
              <w:spacing w:after="0" w:line="202" w:lineRule="exact"/>
              <w:rPr>
                <w:sz w:val="20"/>
                <w:szCs w:val="20"/>
                <w:color w:val="auto"/>
              </w:rPr>
            </w:pPr>
            <w:r>
              <w:rPr>
                <w:rFonts w:ascii="Arial" w:cs="Arial" w:eastAsia="Arial" w:hAnsi="Arial"/>
                <w:sz w:val="18"/>
                <w:szCs w:val="18"/>
                <w:color w:val="auto"/>
              </w:rPr>
              <w:t>significant changes to the</w:t>
            </w:r>
          </w:p>
        </w:tc>
      </w:tr>
      <w:tr>
        <w:trPr>
          <w:trHeight w:val="203"/>
        </w:trPr>
        <w:tc>
          <w:tcPr>
            <w:tcW w:w="2300" w:type="dxa"/>
            <w:vAlign w:val="bottom"/>
            <w:shd w:val="clear" w:color="auto" w:fill="D8D8D8"/>
          </w:tcPr>
          <w:p>
            <w:pPr>
              <w:spacing w:after="0"/>
              <w:rPr>
                <w:sz w:val="17"/>
                <w:szCs w:val="17"/>
                <w:color w:val="auto"/>
              </w:rPr>
            </w:pPr>
          </w:p>
        </w:tc>
        <w:tc>
          <w:tcPr>
            <w:tcW w:w="3920" w:type="dxa"/>
            <w:vAlign w:val="bottom"/>
            <w:shd w:val="clear" w:color="auto" w:fill="D8D8D8"/>
          </w:tcPr>
          <w:p>
            <w:pPr>
              <w:ind w:left="160"/>
              <w:spacing w:after="0" w:line="202" w:lineRule="exact"/>
              <w:rPr>
                <w:sz w:val="20"/>
                <w:szCs w:val="20"/>
                <w:color w:val="auto"/>
              </w:rPr>
            </w:pPr>
            <w:r>
              <w:rPr>
                <w:rFonts w:ascii="Arial" w:cs="Arial" w:eastAsia="Arial" w:hAnsi="Arial"/>
                <w:sz w:val="18"/>
                <w:szCs w:val="18"/>
                <w:color w:val="auto"/>
              </w:rPr>
              <w:t>initially applying the standard recognized at</w:t>
            </w:r>
          </w:p>
        </w:tc>
        <w:tc>
          <w:tcPr>
            <w:tcW w:w="2280" w:type="dxa"/>
            <w:vAlign w:val="bottom"/>
            <w:shd w:val="clear" w:color="auto" w:fill="D8D8D8"/>
          </w:tcPr>
          <w:p>
            <w:pPr>
              <w:spacing w:after="0"/>
              <w:rPr>
                <w:sz w:val="17"/>
                <w:szCs w:val="17"/>
                <w:color w:val="auto"/>
              </w:rPr>
            </w:pPr>
          </w:p>
        </w:tc>
        <w:tc>
          <w:tcPr>
            <w:tcW w:w="2920" w:type="dxa"/>
            <w:vAlign w:val="bottom"/>
            <w:shd w:val="clear" w:color="auto" w:fill="D8D8D8"/>
          </w:tcPr>
          <w:p>
            <w:pPr>
              <w:ind w:left="100"/>
              <w:spacing w:after="0" w:line="202" w:lineRule="exact"/>
              <w:rPr>
                <w:sz w:val="20"/>
                <w:szCs w:val="20"/>
                <w:color w:val="auto"/>
              </w:rPr>
            </w:pPr>
            <w:r>
              <w:rPr>
                <w:rFonts w:ascii="Arial" w:cs="Arial" w:eastAsia="Arial" w:hAnsi="Arial"/>
                <w:sz w:val="18"/>
                <w:szCs w:val="18"/>
                <w:color w:val="auto"/>
              </w:rPr>
              <w:t>standard, we are still in the</w:t>
            </w:r>
          </w:p>
        </w:tc>
      </w:tr>
      <w:tr>
        <w:trPr>
          <w:trHeight w:val="203"/>
        </w:trPr>
        <w:tc>
          <w:tcPr>
            <w:tcW w:w="2300" w:type="dxa"/>
            <w:vAlign w:val="bottom"/>
            <w:shd w:val="clear" w:color="auto" w:fill="D8D8D8"/>
          </w:tcPr>
          <w:p>
            <w:pPr>
              <w:spacing w:after="0"/>
              <w:rPr>
                <w:sz w:val="17"/>
                <w:szCs w:val="17"/>
                <w:color w:val="auto"/>
              </w:rPr>
            </w:pPr>
          </w:p>
        </w:tc>
        <w:tc>
          <w:tcPr>
            <w:tcW w:w="3920" w:type="dxa"/>
            <w:vAlign w:val="bottom"/>
            <w:shd w:val="clear" w:color="auto" w:fill="D8D8D8"/>
          </w:tcPr>
          <w:p>
            <w:pPr>
              <w:ind w:left="160"/>
              <w:spacing w:after="0" w:line="202" w:lineRule="exact"/>
              <w:rPr>
                <w:sz w:val="20"/>
                <w:szCs w:val="20"/>
                <w:color w:val="auto"/>
              </w:rPr>
            </w:pPr>
            <w:r>
              <w:rPr>
                <w:rFonts w:ascii="Arial" w:cs="Arial" w:eastAsia="Arial" w:hAnsi="Arial"/>
                <w:sz w:val="18"/>
                <w:szCs w:val="18"/>
                <w:color w:val="auto"/>
              </w:rPr>
              <w:t>the date of initial application in retained</w:t>
            </w:r>
          </w:p>
        </w:tc>
        <w:tc>
          <w:tcPr>
            <w:tcW w:w="2280" w:type="dxa"/>
            <w:vAlign w:val="bottom"/>
            <w:shd w:val="clear" w:color="auto" w:fill="D8D8D8"/>
          </w:tcPr>
          <w:p>
            <w:pPr>
              <w:spacing w:after="0"/>
              <w:rPr>
                <w:sz w:val="17"/>
                <w:szCs w:val="17"/>
                <w:color w:val="auto"/>
              </w:rPr>
            </w:pPr>
          </w:p>
        </w:tc>
        <w:tc>
          <w:tcPr>
            <w:tcW w:w="2920" w:type="dxa"/>
            <w:vAlign w:val="bottom"/>
            <w:shd w:val="clear" w:color="auto" w:fill="D8D8D8"/>
          </w:tcPr>
          <w:p>
            <w:pPr>
              <w:ind w:left="100"/>
              <w:spacing w:after="0" w:line="202" w:lineRule="exact"/>
              <w:rPr>
                <w:sz w:val="20"/>
                <w:szCs w:val="20"/>
                <w:color w:val="auto"/>
              </w:rPr>
            </w:pPr>
            <w:r>
              <w:rPr>
                <w:rFonts w:ascii="Arial" w:cs="Arial" w:eastAsia="Arial" w:hAnsi="Arial"/>
                <w:sz w:val="18"/>
                <w:szCs w:val="18"/>
                <w:color w:val="auto"/>
              </w:rPr>
              <w:t>process of determining our</w:t>
            </w:r>
          </w:p>
        </w:tc>
      </w:tr>
      <w:tr>
        <w:trPr>
          <w:trHeight w:val="203"/>
        </w:trPr>
        <w:tc>
          <w:tcPr>
            <w:tcW w:w="2300" w:type="dxa"/>
            <w:vAlign w:val="bottom"/>
            <w:shd w:val="clear" w:color="auto" w:fill="D8D8D8"/>
          </w:tcPr>
          <w:p>
            <w:pPr>
              <w:spacing w:after="0"/>
              <w:rPr>
                <w:sz w:val="17"/>
                <w:szCs w:val="17"/>
                <w:color w:val="auto"/>
              </w:rPr>
            </w:pPr>
          </w:p>
        </w:tc>
        <w:tc>
          <w:tcPr>
            <w:tcW w:w="3920" w:type="dxa"/>
            <w:vAlign w:val="bottom"/>
            <w:shd w:val="clear" w:color="auto" w:fill="D8D8D8"/>
          </w:tcPr>
          <w:p>
            <w:pPr>
              <w:ind w:left="160"/>
              <w:spacing w:after="0" w:line="202" w:lineRule="exact"/>
              <w:rPr>
                <w:sz w:val="20"/>
                <w:szCs w:val="20"/>
                <w:color w:val="auto"/>
              </w:rPr>
            </w:pPr>
            <w:r>
              <w:rPr>
                <w:rFonts w:ascii="Arial" w:cs="Arial" w:eastAsia="Arial" w:hAnsi="Arial"/>
                <w:sz w:val="18"/>
                <w:szCs w:val="18"/>
                <w:color w:val="auto"/>
              </w:rPr>
              <w:t>earnings.</w:t>
            </w:r>
          </w:p>
        </w:tc>
        <w:tc>
          <w:tcPr>
            <w:tcW w:w="2280" w:type="dxa"/>
            <w:vAlign w:val="bottom"/>
            <w:shd w:val="clear" w:color="auto" w:fill="D8D8D8"/>
          </w:tcPr>
          <w:p>
            <w:pPr>
              <w:spacing w:after="0"/>
              <w:rPr>
                <w:sz w:val="17"/>
                <w:szCs w:val="17"/>
                <w:color w:val="auto"/>
              </w:rPr>
            </w:pPr>
          </w:p>
        </w:tc>
        <w:tc>
          <w:tcPr>
            <w:tcW w:w="2920" w:type="dxa"/>
            <w:vAlign w:val="bottom"/>
            <w:shd w:val="clear" w:color="auto" w:fill="D8D8D8"/>
          </w:tcPr>
          <w:p>
            <w:pPr>
              <w:ind w:left="100"/>
              <w:spacing w:after="0" w:line="202" w:lineRule="exact"/>
              <w:rPr>
                <w:sz w:val="20"/>
                <w:szCs w:val="20"/>
                <w:color w:val="auto"/>
              </w:rPr>
            </w:pPr>
            <w:r>
              <w:rPr>
                <w:rFonts w:ascii="Arial" w:cs="Arial" w:eastAsia="Arial" w:hAnsi="Arial"/>
                <w:sz w:val="18"/>
                <w:szCs w:val="18"/>
                <w:color w:val="auto"/>
              </w:rPr>
              <w:t>approach to the adoption of the</w:t>
            </w:r>
          </w:p>
        </w:tc>
      </w:tr>
      <w:tr>
        <w:trPr>
          <w:trHeight w:val="203"/>
        </w:trPr>
        <w:tc>
          <w:tcPr>
            <w:tcW w:w="2300" w:type="dxa"/>
            <w:vAlign w:val="bottom"/>
            <w:shd w:val="clear" w:color="auto" w:fill="D8D8D8"/>
          </w:tcPr>
          <w:p>
            <w:pPr>
              <w:spacing w:after="0"/>
              <w:rPr>
                <w:sz w:val="17"/>
                <w:szCs w:val="17"/>
                <w:color w:val="auto"/>
              </w:rPr>
            </w:pPr>
          </w:p>
        </w:tc>
        <w:tc>
          <w:tcPr>
            <w:tcW w:w="3920" w:type="dxa"/>
            <w:vAlign w:val="bottom"/>
            <w:shd w:val="clear" w:color="auto" w:fill="D8D8D8"/>
          </w:tcPr>
          <w:p>
            <w:pPr>
              <w:spacing w:after="0"/>
              <w:rPr>
                <w:sz w:val="17"/>
                <w:szCs w:val="17"/>
                <w:color w:val="auto"/>
              </w:rPr>
            </w:pPr>
          </w:p>
        </w:tc>
        <w:tc>
          <w:tcPr>
            <w:tcW w:w="2280" w:type="dxa"/>
            <w:vAlign w:val="bottom"/>
            <w:shd w:val="clear" w:color="auto" w:fill="D8D8D8"/>
          </w:tcPr>
          <w:p>
            <w:pPr>
              <w:spacing w:after="0"/>
              <w:rPr>
                <w:sz w:val="17"/>
                <w:szCs w:val="17"/>
                <w:color w:val="auto"/>
              </w:rPr>
            </w:pPr>
          </w:p>
        </w:tc>
        <w:tc>
          <w:tcPr>
            <w:tcW w:w="2920" w:type="dxa"/>
            <w:vAlign w:val="bottom"/>
            <w:shd w:val="clear" w:color="auto" w:fill="D8D8D8"/>
          </w:tcPr>
          <w:p>
            <w:pPr>
              <w:ind w:left="100"/>
              <w:spacing w:after="0" w:line="202" w:lineRule="exact"/>
              <w:rPr>
                <w:sz w:val="20"/>
                <w:szCs w:val="20"/>
                <w:color w:val="auto"/>
              </w:rPr>
            </w:pPr>
            <w:r>
              <w:rPr>
                <w:rFonts w:ascii="Arial" w:cs="Arial" w:eastAsia="Arial" w:hAnsi="Arial"/>
                <w:sz w:val="18"/>
                <w:szCs w:val="18"/>
                <w:color w:val="auto"/>
              </w:rPr>
              <w:t>standard, as well as the</w:t>
            </w:r>
          </w:p>
        </w:tc>
      </w:tr>
      <w:tr>
        <w:trPr>
          <w:trHeight w:val="203"/>
        </w:trPr>
        <w:tc>
          <w:tcPr>
            <w:tcW w:w="2300" w:type="dxa"/>
            <w:vAlign w:val="bottom"/>
            <w:shd w:val="clear" w:color="auto" w:fill="D8D8D8"/>
          </w:tcPr>
          <w:p>
            <w:pPr>
              <w:spacing w:after="0"/>
              <w:rPr>
                <w:sz w:val="17"/>
                <w:szCs w:val="17"/>
                <w:color w:val="auto"/>
              </w:rPr>
            </w:pPr>
          </w:p>
        </w:tc>
        <w:tc>
          <w:tcPr>
            <w:tcW w:w="3920" w:type="dxa"/>
            <w:vAlign w:val="bottom"/>
            <w:shd w:val="clear" w:color="auto" w:fill="D8D8D8"/>
          </w:tcPr>
          <w:p>
            <w:pPr>
              <w:spacing w:after="0"/>
              <w:rPr>
                <w:sz w:val="17"/>
                <w:szCs w:val="17"/>
                <w:color w:val="auto"/>
              </w:rPr>
            </w:pPr>
          </w:p>
        </w:tc>
        <w:tc>
          <w:tcPr>
            <w:tcW w:w="2280" w:type="dxa"/>
            <w:vAlign w:val="bottom"/>
            <w:shd w:val="clear" w:color="auto" w:fill="D8D8D8"/>
          </w:tcPr>
          <w:p>
            <w:pPr>
              <w:spacing w:after="0"/>
              <w:rPr>
                <w:sz w:val="17"/>
                <w:szCs w:val="17"/>
                <w:color w:val="auto"/>
              </w:rPr>
            </w:pPr>
          </w:p>
        </w:tc>
        <w:tc>
          <w:tcPr>
            <w:tcW w:w="2920" w:type="dxa"/>
            <w:vAlign w:val="bottom"/>
            <w:shd w:val="clear" w:color="auto" w:fill="D8D8D8"/>
          </w:tcPr>
          <w:p>
            <w:pPr>
              <w:ind w:left="100"/>
              <w:spacing w:after="0" w:line="202" w:lineRule="exact"/>
              <w:rPr>
                <w:sz w:val="20"/>
                <w:szCs w:val="20"/>
                <w:color w:val="auto"/>
              </w:rPr>
            </w:pPr>
            <w:r>
              <w:rPr>
                <w:rFonts w:ascii="Arial" w:cs="Arial" w:eastAsia="Arial" w:hAnsi="Arial"/>
                <w:sz w:val="18"/>
                <w:szCs w:val="18"/>
                <w:color w:val="auto"/>
              </w:rPr>
              <w:t>anticipated impact to our</w:t>
            </w:r>
          </w:p>
        </w:tc>
      </w:tr>
      <w:tr>
        <w:trPr>
          <w:trHeight w:val="252"/>
        </w:trPr>
        <w:tc>
          <w:tcPr>
            <w:tcW w:w="2300" w:type="dxa"/>
            <w:vAlign w:val="bottom"/>
            <w:shd w:val="clear" w:color="auto" w:fill="D8D8D8"/>
          </w:tcPr>
          <w:p>
            <w:pPr>
              <w:spacing w:after="0"/>
              <w:rPr>
                <w:sz w:val="21"/>
                <w:szCs w:val="21"/>
                <w:color w:val="auto"/>
              </w:rPr>
            </w:pPr>
          </w:p>
        </w:tc>
        <w:tc>
          <w:tcPr>
            <w:tcW w:w="3920" w:type="dxa"/>
            <w:vAlign w:val="bottom"/>
            <w:shd w:val="clear" w:color="auto" w:fill="D8D8D8"/>
          </w:tcPr>
          <w:p>
            <w:pPr>
              <w:spacing w:after="0"/>
              <w:rPr>
                <w:sz w:val="21"/>
                <w:szCs w:val="21"/>
                <w:color w:val="auto"/>
              </w:rPr>
            </w:pPr>
          </w:p>
        </w:tc>
        <w:tc>
          <w:tcPr>
            <w:tcW w:w="2280" w:type="dxa"/>
            <w:vAlign w:val="bottom"/>
            <w:shd w:val="clear" w:color="auto" w:fill="D8D8D8"/>
          </w:tcPr>
          <w:p>
            <w:pPr>
              <w:spacing w:after="0"/>
              <w:rPr>
                <w:sz w:val="21"/>
                <w:szCs w:val="21"/>
                <w:color w:val="auto"/>
              </w:rPr>
            </w:pPr>
          </w:p>
        </w:tc>
        <w:tc>
          <w:tcPr>
            <w:tcW w:w="2920" w:type="dxa"/>
            <w:vAlign w:val="bottom"/>
            <w:shd w:val="clear" w:color="auto" w:fill="D8D8D8"/>
          </w:tcPr>
          <w:p>
            <w:pPr>
              <w:ind w:left="100"/>
              <w:spacing w:after="0"/>
              <w:rPr>
                <w:sz w:val="20"/>
                <w:szCs w:val="20"/>
                <w:color w:val="auto"/>
              </w:rPr>
            </w:pPr>
            <w:r>
              <w:rPr>
                <w:rFonts w:ascii="Arial" w:cs="Arial" w:eastAsia="Arial" w:hAnsi="Arial"/>
                <w:sz w:val="18"/>
                <w:szCs w:val="18"/>
                <w:color w:val="auto"/>
              </w:rPr>
              <w:t>consolidated financial statements.</w:t>
            </w:r>
          </w:p>
        </w:tc>
      </w:tr>
    </w:tbl>
    <w:p>
      <w:pPr>
        <w:spacing w:after="0" w:line="4" w:lineRule="exact"/>
        <w:rPr>
          <w:sz w:val="20"/>
          <w:szCs w:val="20"/>
          <w:color w:val="auto"/>
        </w:rPr>
      </w:pPr>
    </w:p>
    <w:p>
      <w:pPr>
        <w:sectPr>
          <w:pgSz w:w="11900" w:h="16838" w:orient="portrait"/>
          <w:cols w:equalWidth="0" w:num="1">
            <w:col w:w="11420"/>
          </w:cols>
          <w:pgMar w:left="240" w:top="574" w:right="239" w:bottom="1440" w:gutter="0" w:footer="0" w:header="0"/>
        </w:sectPr>
      </w:pPr>
    </w:p>
    <w:p>
      <w:pPr>
        <w:ind w:left="40"/>
        <w:spacing w:after="0"/>
        <w:tabs>
          <w:tab w:leader="none" w:pos="2440" w:val="left"/>
        </w:tabs>
        <w:rPr>
          <w:sz w:val="20"/>
          <w:szCs w:val="20"/>
          <w:color w:val="auto"/>
        </w:rPr>
      </w:pPr>
      <w:r>
        <w:rPr>
          <w:rFonts w:ascii="Arial" w:cs="Arial" w:eastAsia="Arial" w:hAnsi="Arial"/>
          <w:sz w:val="18"/>
          <w:szCs w:val="18"/>
          <w:color w:val="auto"/>
        </w:rPr>
        <w:t>Accounting Standards</w:t>
      </w:r>
      <w:r>
        <w:rPr>
          <w:sz w:val="20"/>
          <w:szCs w:val="20"/>
          <w:color w:val="auto"/>
        </w:rPr>
        <w:tab/>
      </w:r>
      <w:r>
        <w:rPr>
          <w:rFonts w:ascii="Arial" w:cs="Arial" w:eastAsia="Arial" w:hAnsi="Arial"/>
          <w:sz w:val="17"/>
          <w:szCs w:val="17"/>
          <w:color w:val="auto"/>
        </w:rPr>
        <w:t>This standard will require entities to recognize</w:t>
      </w:r>
    </w:p>
    <w:p>
      <w:pPr>
        <w:spacing w:after="0" w:line="13" w:lineRule="exact"/>
        <w:rPr>
          <w:sz w:val="20"/>
          <w:szCs w:val="20"/>
          <w:color w:val="auto"/>
        </w:rPr>
      </w:pPr>
    </w:p>
    <w:p>
      <w:pPr>
        <w:ind w:left="40"/>
        <w:spacing w:after="0"/>
        <w:tabs>
          <w:tab w:leader="none" w:pos="2440" w:val="left"/>
        </w:tabs>
        <w:rPr>
          <w:sz w:val="20"/>
          <w:szCs w:val="20"/>
          <w:color w:val="auto"/>
        </w:rPr>
      </w:pPr>
      <w:r>
        <w:rPr>
          <w:rFonts w:ascii="Arial" w:cs="Arial" w:eastAsia="Arial" w:hAnsi="Arial"/>
          <w:sz w:val="18"/>
          <w:szCs w:val="18"/>
          <w:color w:val="auto"/>
        </w:rPr>
        <w:t xml:space="preserve">Update 2016-01, </w:t>
      </w:r>
      <w:r>
        <w:rPr>
          <w:rFonts w:ascii="Arial" w:cs="Arial" w:eastAsia="Arial" w:hAnsi="Arial"/>
          <w:sz w:val="18"/>
          <w:szCs w:val="18"/>
          <w:i w:val="1"/>
          <w:iCs w:val="1"/>
          <w:color w:val="auto"/>
        </w:rPr>
        <w:t>Financial</w:t>
      </w:r>
      <w:r>
        <w:rPr>
          <w:sz w:val="20"/>
          <w:szCs w:val="20"/>
          <w:color w:val="auto"/>
        </w:rPr>
        <w:tab/>
      </w:r>
      <w:r>
        <w:rPr>
          <w:rFonts w:ascii="Arial" w:cs="Arial" w:eastAsia="Arial" w:hAnsi="Arial"/>
          <w:sz w:val="17"/>
          <w:szCs w:val="17"/>
          <w:color w:val="auto"/>
        </w:rPr>
        <w:t>changes in the fair value of equity investments</w:t>
      </w:r>
    </w:p>
    <w:p>
      <w:pPr>
        <w:ind w:left="40"/>
        <w:spacing w:after="0"/>
        <w:tabs>
          <w:tab w:leader="none" w:pos="2440" w:val="left"/>
        </w:tabs>
        <w:rPr>
          <w:sz w:val="20"/>
          <w:szCs w:val="20"/>
          <w:color w:val="auto"/>
        </w:rPr>
      </w:pPr>
      <w:r>
        <w:rPr>
          <w:rFonts w:ascii="Arial" w:cs="Arial" w:eastAsia="Arial" w:hAnsi="Arial"/>
          <w:sz w:val="18"/>
          <w:szCs w:val="18"/>
          <w:i w:val="1"/>
          <w:iCs w:val="1"/>
          <w:color w:val="auto"/>
        </w:rPr>
        <w:t>Instruments - Overall:</w:t>
      </w:r>
      <w:r>
        <w:rPr>
          <w:sz w:val="20"/>
          <w:szCs w:val="20"/>
          <w:color w:val="auto"/>
        </w:rPr>
        <w:tab/>
      </w:r>
      <w:r>
        <w:rPr>
          <w:rFonts w:ascii="Arial" w:cs="Arial" w:eastAsia="Arial" w:hAnsi="Arial"/>
          <w:sz w:val="17"/>
          <w:szCs w:val="17"/>
          <w:color w:val="auto"/>
        </w:rPr>
        <w:t>with readily determinable fair values in net</w:t>
      </w:r>
    </w:p>
    <w:p>
      <w:pPr>
        <w:ind w:left="40"/>
        <w:spacing w:after="0"/>
        <w:tabs>
          <w:tab w:leader="none" w:pos="2440" w:val="left"/>
        </w:tabs>
        <w:rPr>
          <w:sz w:val="20"/>
          <w:szCs w:val="20"/>
          <w:color w:val="auto"/>
        </w:rPr>
      </w:pPr>
      <w:r>
        <w:rPr>
          <w:rFonts w:ascii="Arial" w:cs="Arial" w:eastAsia="Arial" w:hAnsi="Arial"/>
          <w:sz w:val="18"/>
          <w:szCs w:val="18"/>
          <w:i w:val="1"/>
          <w:iCs w:val="1"/>
          <w:color w:val="auto"/>
        </w:rPr>
        <w:t>Recognition and</w:t>
      </w:r>
      <w:r>
        <w:rPr>
          <w:sz w:val="20"/>
          <w:szCs w:val="20"/>
          <w:color w:val="auto"/>
        </w:rPr>
        <w:tab/>
      </w:r>
      <w:r>
        <w:rPr>
          <w:rFonts w:ascii="Arial" w:cs="Arial" w:eastAsia="Arial" w:hAnsi="Arial"/>
          <w:sz w:val="17"/>
          <w:szCs w:val="17"/>
          <w:color w:val="auto"/>
        </w:rPr>
        <w:t>income (except for investments accounted for</w:t>
      </w:r>
    </w:p>
    <w:p>
      <w:pPr>
        <w:ind w:left="40"/>
        <w:spacing w:after="0"/>
        <w:tabs>
          <w:tab w:leader="none" w:pos="2440" w:val="left"/>
        </w:tabs>
        <w:rPr>
          <w:sz w:val="20"/>
          <w:szCs w:val="20"/>
          <w:color w:val="auto"/>
        </w:rPr>
      </w:pPr>
      <w:r>
        <w:rPr>
          <w:rFonts w:ascii="Arial" w:cs="Arial" w:eastAsia="Arial" w:hAnsi="Arial"/>
          <w:sz w:val="18"/>
          <w:szCs w:val="18"/>
          <w:i w:val="1"/>
          <w:iCs w:val="1"/>
          <w:color w:val="auto"/>
        </w:rPr>
        <w:t>Measurement of Financial</w:t>
      </w:r>
      <w:r>
        <w:rPr>
          <w:sz w:val="20"/>
          <w:szCs w:val="20"/>
          <w:color w:val="auto"/>
        </w:rPr>
        <w:tab/>
      </w:r>
      <w:r>
        <w:rPr>
          <w:rFonts w:ascii="Arial" w:cs="Arial" w:eastAsia="Arial" w:hAnsi="Arial"/>
          <w:sz w:val="17"/>
          <w:szCs w:val="17"/>
          <w:color w:val="auto"/>
        </w:rPr>
        <w:t>under the equity method of accounting or</w:t>
      </w:r>
    </w:p>
    <w:p>
      <w:pPr>
        <w:ind w:left="40"/>
        <w:spacing w:after="0"/>
        <w:tabs>
          <w:tab w:leader="none" w:pos="2440" w:val="left"/>
        </w:tabs>
        <w:rPr>
          <w:sz w:val="20"/>
          <w:szCs w:val="20"/>
          <w:color w:val="auto"/>
        </w:rPr>
      </w:pPr>
      <w:r>
        <w:rPr>
          <w:rFonts w:ascii="Arial" w:cs="Arial" w:eastAsia="Arial" w:hAnsi="Arial"/>
          <w:sz w:val="18"/>
          <w:szCs w:val="18"/>
          <w:i w:val="1"/>
          <w:iCs w:val="1"/>
          <w:color w:val="auto"/>
        </w:rPr>
        <w:t>Assets and Financial</w:t>
      </w:r>
      <w:r>
        <w:rPr>
          <w:sz w:val="20"/>
          <w:szCs w:val="20"/>
          <w:color w:val="auto"/>
        </w:rPr>
        <w:tab/>
      </w:r>
      <w:r>
        <w:rPr>
          <w:rFonts w:ascii="Arial" w:cs="Arial" w:eastAsia="Arial" w:hAnsi="Arial"/>
          <w:sz w:val="17"/>
          <w:szCs w:val="17"/>
          <w:color w:val="auto"/>
        </w:rPr>
        <w:t>those that result in consolidation of the</w:t>
      </w:r>
    </w:p>
    <w:p>
      <w:pPr>
        <w:ind w:left="40"/>
        <w:spacing w:after="0" w:line="235" w:lineRule="auto"/>
        <w:tabs>
          <w:tab w:leader="none" w:pos="2440" w:val="left"/>
        </w:tabs>
        <w:rPr>
          <w:sz w:val="20"/>
          <w:szCs w:val="20"/>
          <w:color w:val="auto"/>
        </w:rPr>
      </w:pPr>
      <w:r>
        <w:rPr>
          <w:rFonts w:ascii="Arial" w:cs="Arial" w:eastAsia="Arial" w:hAnsi="Arial"/>
          <w:sz w:val="18"/>
          <w:szCs w:val="18"/>
          <w:i w:val="1"/>
          <w:iCs w:val="1"/>
          <w:color w:val="auto"/>
        </w:rPr>
        <w:t>Liabilities</w:t>
      </w:r>
      <w:r>
        <w:rPr>
          <w:sz w:val="20"/>
          <w:szCs w:val="20"/>
          <w:color w:val="auto"/>
        </w:rPr>
        <w:tab/>
      </w:r>
      <w:r>
        <w:rPr>
          <w:rFonts w:ascii="Arial" w:cs="Arial" w:eastAsia="Arial" w:hAnsi="Arial"/>
          <w:sz w:val="18"/>
          <w:szCs w:val="18"/>
          <w:color w:val="auto"/>
        </w:rPr>
        <w:t>investee). An entity should apply the new</w:t>
      </w:r>
    </w:p>
    <w:p>
      <w:pPr>
        <w:ind w:left="2460" w:right="420"/>
        <w:spacing w:after="0" w:line="264" w:lineRule="auto"/>
        <w:rPr>
          <w:sz w:val="20"/>
          <w:szCs w:val="20"/>
          <w:color w:val="auto"/>
        </w:rPr>
      </w:pPr>
      <w:r>
        <w:rPr>
          <w:rFonts w:ascii="Arial" w:cs="Arial" w:eastAsia="Arial" w:hAnsi="Arial"/>
          <w:sz w:val="17"/>
          <w:szCs w:val="17"/>
          <w:color w:val="auto"/>
        </w:rPr>
        <w:t>standard through a cumulative effect adjustment to retained earnings as of the beginning of the fiscal year of adoption.</w:t>
      </w:r>
    </w:p>
    <w:p>
      <w:pPr>
        <w:spacing w:after="0" w:line="20" w:lineRule="exact"/>
        <w:rPr>
          <w:sz w:val="20"/>
          <w:szCs w:val="20"/>
          <w:color w:val="auto"/>
        </w:rPr>
      </w:pPr>
      <w:r>
        <w:rPr>
          <w:sz w:val="20"/>
          <w:szCs w:val="20"/>
          <w:color w:val="auto"/>
        </w:rPr>
        <w:br w:type="column"/>
      </w:r>
    </w:p>
    <w:p>
      <w:pPr>
        <w:spacing w:after="0" w:line="255" w:lineRule="auto"/>
        <w:rPr>
          <w:sz w:val="20"/>
          <w:szCs w:val="20"/>
          <w:color w:val="auto"/>
        </w:rPr>
      </w:pPr>
      <w:r>
        <w:rPr>
          <w:rFonts w:ascii="Arial" w:cs="Arial" w:eastAsia="Arial" w:hAnsi="Arial"/>
          <w:sz w:val="17"/>
          <w:szCs w:val="17"/>
          <w:color w:val="auto"/>
        </w:rPr>
        <w:t>This standard is effective January 1, 2018. Early adoption of the majority of the amendments in this standard is not permitted, however, early application of certain amendments is permitted. We intend to fully adopt this standard on January 1, 2018.</w:t>
      </w:r>
    </w:p>
    <w:p>
      <w:pPr>
        <w:spacing w:after="0" w:line="20" w:lineRule="exact"/>
        <w:rPr>
          <w:sz w:val="20"/>
          <w:szCs w:val="20"/>
          <w:color w:val="auto"/>
        </w:rPr>
      </w:pPr>
      <w:r>
        <w:rPr>
          <w:sz w:val="20"/>
          <w:szCs w:val="20"/>
          <w:color w:val="auto"/>
        </w:rPr>
        <w:br w:type="column"/>
      </w:r>
    </w:p>
    <w:p>
      <w:pPr>
        <w:ind w:right="60"/>
        <w:spacing w:after="0" w:line="243" w:lineRule="auto"/>
        <w:rPr>
          <w:sz w:val="20"/>
          <w:szCs w:val="20"/>
          <w:color w:val="auto"/>
        </w:rPr>
      </w:pPr>
      <w:r>
        <w:rPr>
          <w:rFonts w:ascii="Arial" w:cs="Arial" w:eastAsia="Arial" w:hAnsi="Arial"/>
          <w:sz w:val="18"/>
          <w:szCs w:val="18"/>
          <w:color w:val="auto"/>
        </w:rPr>
        <w:t>We are currently unable to estimate the impact of adopting this standard as the significance of the impact will depend upon our equity investments on hand as of the date of adoption.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61</w:t>
      </w:r>
    </w:p>
    <w:p>
      <w:pPr>
        <w:sectPr>
          <w:pgSz w:w="11900" w:h="16838" w:orient="portrait"/>
          <w:cols w:equalWidth="0" w:num="3">
            <w:col w:w="6140" w:space="180"/>
            <w:col w:w="2080" w:space="200"/>
            <w:col w:w="2820"/>
          </w:cols>
          <w:pgMar w:left="240" w:top="574" w:right="239" w:bottom="1440" w:gutter="0" w:footer="0" w:header="0"/>
          <w:type w:val="continuous"/>
        </w:sectPr>
      </w:pPr>
    </w:p>
    <w:bookmarkStart w:id="61" w:name="page62"/>
    <w:bookmarkEnd w:id="61"/>
    <w:p>
      <w:pPr>
        <w:spacing w:after="0"/>
        <w:rPr>
          <w:sz w:val="20"/>
          <w:szCs w:val="20"/>
          <w:color w:val="auto"/>
        </w:rPr>
      </w:pPr>
      <w:r>
        <w:rPr>
          <w:rFonts w:ascii="Arial" w:cs="Arial" w:eastAsia="Arial" w:hAnsi="Arial"/>
          <w:sz w:val="18"/>
          <w:szCs w:val="18"/>
          <w:color w:val="auto"/>
        </w:rPr>
        <w:t>The following table provides a brief description of an accounting standard that has been adopted:</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4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3040" w:type="dxa"/>
            <w:vAlign w:val="bottom"/>
          </w:tcPr>
          <w:p>
            <w:pPr>
              <w:ind w:left="220"/>
              <w:spacing w:after="0"/>
              <w:rPr>
                <w:sz w:val="20"/>
                <w:szCs w:val="20"/>
                <w:color w:val="auto"/>
              </w:rPr>
            </w:pPr>
            <w:r>
              <w:rPr>
                <w:rFonts w:ascii="Arial" w:cs="Arial" w:eastAsia="Arial" w:hAnsi="Arial"/>
                <w:sz w:val="14"/>
                <w:szCs w:val="14"/>
                <w:b w:val="1"/>
                <w:bCs w:val="1"/>
                <w:color w:val="auto"/>
              </w:rPr>
              <w:t>Effect on the financial statements or</w:t>
            </w:r>
          </w:p>
        </w:tc>
      </w:tr>
      <w:tr>
        <w:trPr>
          <w:trHeight w:val="203"/>
        </w:trPr>
        <w:tc>
          <w:tcPr>
            <w:tcW w:w="22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Standard</w:t>
            </w:r>
          </w:p>
        </w:tc>
        <w:tc>
          <w:tcPr>
            <w:tcW w:w="398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Description</w:t>
            </w:r>
          </w:p>
        </w:tc>
        <w:tc>
          <w:tcPr>
            <w:tcW w:w="216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Effective Date</w:t>
            </w:r>
          </w:p>
        </w:tc>
        <w:tc>
          <w:tcPr>
            <w:tcW w:w="304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other significant matters</w:t>
            </w:r>
          </w:p>
        </w:tc>
      </w:tr>
      <w:tr>
        <w:trPr>
          <w:trHeight w:val="201"/>
        </w:trPr>
        <w:tc>
          <w:tcPr>
            <w:tcW w:w="2240" w:type="dxa"/>
            <w:vAlign w:val="bottom"/>
            <w:shd w:val="clear" w:color="auto" w:fill="D8D8D8"/>
          </w:tcPr>
          <w:p>
            <w:pPr>
              <w:ind w:left="40"/>
              <w:spacing w:after="0" w:line="201" w:lineRule="exact"/>
              <w:rPr>
                <w:sz w:val="20"/>
                <w:szCs w:val="20"/>
                <w:color w:val="auto"/>
              </w:rPr>
            </w:pPr>
            <w:r>
              <w:rPr>
                <w:rFonts w:ascii="Arial" w:cs="Arial" w:eastAsia="Arial" w:hAnsi="Arial"/>
                <w:sz w:val="18"/>
                <w:szCs w:val="18"/>
                <w:color w:val="auto"/>
              </w:rPr>
              <w:t>Accounting Standards</w:t>
            </w:r>
          </w:p>
        </w:tc>
        <w:tc>
          <w:tcPr>
            <w:tcW w:w="3980" w:type="dxa"/>
            <w:vAlign w:val="bottom"/>
            <w:shd w:val="clear" w:color="auto" w:fill="D8D8D8"/>
          </w:tcPr>
          <w:p>
            <w:pPr>
              <w:ind w:left="220"/>
              <w:spacing w:after="0" w:line="201" w:lineRule="exact"/>
              <w:rPr>
                <w:sz w:val="20"/>
                <w:szCs w:val="20"/>
                <w:color w:val="auto"/>
              </w:rPr>
            </w:pPr>
            <w:r>
              <w:rPr>
                <w:rFonts w:ascii="Arial" w:cs="Arial" w:eastAsia="Arial" w:hAnsi="Arial"/>
                <w:sz w:val="18"/>
                <w:szCs w:val="18"/>
                <w:color w:val="auto"/>
              </w:rPr>
              <w:t>This standard simplifies the presentation of</w:t>
            </w:r>
          </w:p>
        </w:tc>
        <w:tc>
          <w:tcPr>
            <w:tcW w:w="2160" w:type="dxa"/>
            <w:vAlign w:val="bottom"/>
            <w:shd w:val="clear" w:color="auto" w:fill="D8D8D8"/>
          </w:tcPr>
          <w:p>
            <w:pPr>
              <w:ind w:left="100"/>
              <w:spacing w:after="0" w:line="201" w:lineRule="exact"/>
              <w:rPr>
                <w:sz w:val="20"/>
                <w:szCs w:val="20"/>
                <w:color w:val="auto"/>
              </w:rPr>
            </w:pPr>
            <w:r>
              <w:rPr>
                <w:rFonts w:ascii="Arial" w:cs="Arial" w:eastAsia="Arial" w:hAnsi="Arial"/>
                <w:sz w:val="18"/>
                <w:szCs w:val="18"/>
                <w:color w:val="auto"/>
              </w:rPr>
              <w:t>We have adopted this</w:t>
            </w:r>
          </w:p>
        </w:tc>
        <w:tc>
          <w:tcPr>
            <w:tcW w:w="3040" w:type="dxa"/>
            <w:vAlign w:val="bottom"/>
            <w:shd w:val="clear" w:color="auto" w:fill="D8D8D8"/>
          </w:tcPr>
          <w:p>
            <w:pPr>
              <w:ind w:left="220"/>
              <w:spacing w:after="0" w:line="201" w:lineRule="exact"/>
              <w:rPr>
                <w:sz w:val="20"/>
                <w:szCs w:val="20"/>
                <w:color w:val="auto"/>
              </w:rPr>
            </w:pPr>
            <w:r>
              <w:rPr>
                <w:rFonts w:ascii="Arial" w:cs="Arial" w:eastAsia="Arial" w:hAnsi="Arial"/>
                <w:sz w:val="18"/>
                <w:szCs w:val="18"/>
                <w:color w:val="auto"/>
              </w:rPr>
              <w:t>We applied this standard</w:t>
            </w:r>
          </w:p>
        </w:tc>
      </w:tr>
      <w:tr>
        <w:trPr>
          <w:trHeight w:val="203"/>
        </w:trPr>
        <w:tc>
          <w:tcPr>
            <w:tcW w:w="2240" w:type="dxa"/>
            <w:vAlign w:val="bottom"/>
            <w:shd w:val="clear" w:color="auto" w:fill="D8D8D8"/>
          </w:tcPr>
          <w:p>
            <w:pPr>
              <w:ind w:left="40"/>
              <w:spacing w:after="0" w:line="202" w:lineRule="exact"/>
              <w:rPr>
                <w:sz w:val="20"/>
                <w:szCs w:val="20"/>
                <w:color w:val="auto"/>
              </w:rPr>
            </w:pPr>
            <w:r>
              <w:rPr>
                <w:rFonts w:ascii="Arial" w:cs="Arial" w:eastAsia="Arial" w:hAnsi="Arial"/>
                <w:sz w:val="18"/>
                <w:szCs w:val="18"/>
                <w:color w:val="auto"/>
              </w:rPr>
              <w:t xml:space="preserve">Update 2015-17, </w:t>
            </w:r>
            <w:r>
              <w:rPr>
                <w:rFonts w:ascii="Arial" w:cs="Arial" w:eastAsia="Arial" w:hAnsi="Arial"/>
                <w:sz w:val="18"/>
                <w:szCs w:val="18"/>
                <w:i w:val="1"/>
                <w:iCs w:val="1"/>
                <w:color w:val="auto"/>
              </w:rPr>
              <w:t>Income</w:t>
            </w:r>
          </w:p>
        </w:tc>
        <w:tc>
          <w:tcPr>
            <w:tcW w:w="3980" w:type="dxa"/>
            <w:vAlign w:val="bottom"/>
            <w:shd w:val="clear" w:color="auto" w:fill="D8D8D8"/>
          </w:tcPr>
          <w:p>
            <w:pPr>
              <w:ind w:left="220"/>
              <w:spacing w:after="0" w:line="202" w:lineRule="exact"/>
              <w:rPr>
                <w:sz w:val="20"/>
                <w:szCs w:val="20"/>
                <w:color w:val="auto"/>
              </w:rPr>
            </w:pPr>
            <w:r>
              <w:rPr>
                <w:rFonts w:ascii="Arial" w:cs="Arial" w:eastAsia="Arial" w:hAnsi="Arial"/>
                <w:sz w:val="18"/>
                <w:szCs w:val="18"/>
                <w:color w:val="auto"/>
              </w:rPr>
              <w:t>deferred income taxes and requires that</w:t>
            </w:r>
          </w:p>
        </w:tc>
        <w:tc>
          <w:tcPr>
            <w:tcW w:w="2160" w:type="dxa"/>
            <w:vAlign w:val="bottom"/>
            <w:shd w:val="clear" w:color="auto" w:fill="D8D8D8"/>
          </w:tcPr>
          <w:p>
            <w:pPr>
              <w:ind w:left="100"/>
              <w:spacing w:after="0" w:line="202" w:lineRule="exact"/>
              <w:rPr>
                <w:sz w:val="20"/>
                <w:szCs w:val="20"/>
                <w:color w:val="auto"/>
              </w:rPr>
            </w:pPr>
            <w:r>
              <w:rPr>
                <w:rFonts w:ascii="Arial" w:cs="Arial" w:eastAsia="Arial" w:hAnsi="Arial"/>
                <w:sz w:val="18"/>
                <w:szCs w:val="18"/>
                <w:color w:val="auto"/>
              </w:rPr>
              <w:t>standard for the annual</w:t>
            </w:r>
          </w:p>
        </w:tc>
        <w:tc>
          <w:tcPr>
            <w:tcW w:w="3040" w:type="dxa"/>
            <w:vAlign w:val="bottom"/>
            <w:shd w:val="clear" w:color="auto" w:fill="D8D8D8"/>
          </w:tcPr>
          <w:p>
            <w:pPr>
              <w:ind w:left="220"/>
              <w:spacing w:after="0" w:line="202" w:lineRule="exact"/>
              <w:rPr>
                <w:sz w:val="20"/>
                <w:szCs w:val="20"/>
                <w:color w:val="auto"/>
              </w:rPr>
            </w:pPr>
            <w:r>
              <w:rPr>
                <w:rFonts w:ascii="Arial" w:cs="Arial" w:eastAsia="Arial" w:hAnsi="Arial"/>
                <w:sz w:val="18"/>
                <w:szCs w:val="18"/>
                <w:color w:val="auto"/>
              </w:rPr>
              <w:t>retrospectively.</w:t>
            </w:r>
          </w:p>
        </w:tc>
      </w:tr>
      <w:tr>
        <w:trPr>
          <w:trHeight w:val="203"/>
        </w:trPr>
        <w:tc>
          <w:tcPr>
            <w:tcW w:w="2240" w:type="dxa"/>
            <w:vAlign w:val="bottom"/>
            <w:shd w:val="clear" w:color="auto" w:fill="D8D8D8"/>
          </w:tcPr>
          <w:p>
            <w:pPr>
              <w:ind w:left="40"/>
              <w:spacing w:after="0" w:line="202" w:lineRule="exact"/>
              <w:rPr>
                <w:sz w:val="20"/>
                <w:szCs w:val="20"/>
                <w:color w:val="auto"/>
              </w:rPr>
            </w:pPr>
            <w:r>
              <w:rPr>
                <w:rFonts w:ascii="Arial" w:cs="Arial" w:eastAsia="Arial" w:hAnsi="Arial"/>
                <w:sz w:val="18"/>
                <w:szCs w:val="18"/>
                <w:i w:val="1"/>
                <w:iCs w:val="1"/>
                <w:color w:val="auto"/>
              </w:rPr>
              <w:t>Taxes: Balance Sheet</w:t>
            </w:r>
          </w:p>
        </w:tc>
        <w:tc>
          <w:tcPr>
            <w:tcW w:w="3980" w:type="dxa"/>
            <w:vAlign w:val="bottom"/>
            <w:shd w:val="clear" w:color="auto" w:fill="D8D8D8"/>
          </w:tcPr>
          <w:p>
            <w:pPr>
              <w:ind w:left="220"/>
              <w:spacing w:after="0" w:line="202" w:lineRule="exact"/>
              <w:rPr>
                <w:sz w:val="20"/>
                <w:szCs w:val="20"/>
                <w:color w:val="auto"/>
              </w:rPr>
            </w:pPr>
            <w:r>
              <w:rPr>
                <w:rFonts w:ascii="Arial" w:cs="Arial" w:eastAsia="Arial" w:hAnsi="Arial"/>
                <w:sz w:val="18"/>
                <w:szCs w:val="18"/>
                <w:color w:val="auto"/>
              </w:rPr>
              <w:t>deferred tax liabilities and assets be classified</w:t>
            </w:r>
          </w:p>
        </w:tc>
        <w:tc>
          <w:tcPr>
            <w:tcW w:w="2160" w:type="dxa"/>
            <w:vAlign w:val="bottom"/>
            <w:shd w:val="clear" w:color="auto" w:fill="D8D8D8"/>
          </w:tcPr>
          <w:p>
            <w:pPr>
              <w:ind w:left="100"/>
              <w:spacing w:after="0" w:line="202" w:lineRule="exact"/>
              <w:rPr>
                <w:sz w:val="20"/>
                <w:szCs w:val="20"/>
                <w:color w:val="auto"/>
              </w:rPr>
            </w:pPr>
            <w:r>
              <w:rPr>
                <w:rFonts w:ascii="Arial" w:cs="Arial" w:eastAsia="Arial" w:hAnsi="Arial"/>
                <w:sz w:val="18"/>
                <w:szCs w:val="18"/>
                <w:color w:val="auto"/>
              </w:rPr>
              <w:t>period beginning on</w:t>
            </w:r>
          </w:p>
        </w:tc>
        <w:tc>
          <w:tcPr>
            <w:tcW w:w="3040" w:type="dxa"/>
            <w:vAlign w:val="bottom"/>
            <w:shd w:val="clear" w:color="auto" w:fill="D8D8D8"/>
          </w:tcPr>
          <w:p>
            <w:pPr>
              <w:ind w:left="220"/>
              <w:spacing w:after="0" w:line="202" w:lineRule="exact"/>
              <w:rPr>
                <w:sz w:val="20"/>
                <w:szCs w:val="20"/>
                <w:color w:val="auto"/>
              </w:rPr>
            </w:pPr>
            <w:r>
              <w:rPr>
                <w:rFonts w:ascii="Arial" w:cs="Arial" w:eastAsia="Arial" w:hAnsi="Arial"/>
                <w:sz w:val="18"/>
                <w:szCs w:val="18"/>
                <w:color w:val="auto"/>
              </w:rPr>
              <w:t>As a result of adopting this</w:t>
            </w:r>
          </w:p>
        </w:tc>
      </w:tr>
      <w:tr>
        <w:trPr>
          <w:trHeight w:val="203"/>
        </w:trPr>
        <w:tc>
          <w:tcPr>
            <w:tcW w:w="2240" w:type="dxa"/>
            <w:vAlign w:val="bottom"/>
            <w:shd w:val="clear" w:color="auto" w:fill="D8D8D8"/>
          </w:tcPr>
          <w:p>
            <w:pPr>
              <w:ind w:left="40"/>
              <w:spacing w:after="0" w:line="202" w:lineRule="exact"/>
              <w:rPr>
                <w:sz w:val="20"/>
                <w:szCs w:val="20"/>
                <w:color w:val="auto"/>
              </w:rPr>
            </w:pPr>
            <w:r>
              <w:rPr>
                <w:rFonts w:ascii="Arial" w:cs="Arial" w:eastAsia="Arial" w:hAnsi="Arial"/>
                <w:sz w:val="18"/>
                <w:szCs w:val="18"/>
                <w:i w:val="1"/>
                <w:iCs w:val="1"/>
                <w:color w:val="auto"/>
              </w:rPr>
              <w:t>Classification of Deferred</w:t>
            </w:r>
          </w:p>
        </w:tc>
        <w:tc>
          <w:tcPr>
            <w:tcW w:w="3980" w:type="dxa"/>
            <w:vAlign w:val="bottom"/>
            <w:shd w:val="clear" w:color="auto" w:fill="D8D8D8"/>
          </w:tcPr>
          <w:p>
            <w:pPr>
              <w:ind w:left="220"/>
              <w:spacing w:after="0" w:line="202" w:lineRule="exact"/>
              <w:rPr>
                <w:sz w:val="20"/>
                <w:szCs w:val="20"/>
                <w:color w:val="auto"/>
              </w:rPr>
            </w:pPr>
            <w:r>
              <w:rPr>
                <w:rFonts w:ascii="Arial" w:cs="Arial" w:eastAsia="Arial" w:hAnsi="Arial"/>
                <w:sz w:val="18"/>
                <w:szCs w:val="18"/>
                <w:color w:val="auto"/>
              </w:rPr>
              <w:t>as noncurrent in a classified statement of</w:t>
            </w:r>
          </w:p>
        </w:tc>
        <w:tc>
          <w:tcPr>
            <w:tcW w:w="2160" w:type="dxa"/>
            <w:vAlign w:val="bottom"/>
            <w:shd w:val="clear" w:color="auto" w:fill="D8D8D8"/>
          </w:tcPr>
          <w:p>
            <w:pPr>
              <w:ind w:left="100"/>
              <w:spacing w:after="0" w:line="202" w:lineRule="exact"/>
              <w:rPr>
                <w:sz w:val="20"/>
                <w:szCs w:val="20"/>
                <w:color w:val="auto"/>
              </w:rPr>
            </w:pPr>
            <w:r>
              <w:rPr>
                <w:rFonts w:ascii="Arial" w:cs="Arial" w:eastAsia="Arial" w:hAnsi="Arial"/>
                <w:sz w:val="18"/>
                <w:szCs w:val="18"/>
                <w:color w:val="auto"/>
              </w:rPr>
              <w:t>January 1, 2015.</w:t>
            </w:r>
          </w:p>
        </w:tc>
        <w:tc>
          <w:tcPr>
            <w:tcW w:w="3040" w:type="dxa"/>
            <w:vAlign w:val="bottom"/>
            <w:shd w:val="clear" w:color="auto" w:fill="D8D8D8"/>
          </w:tcPr>
          <w:p>
            <w:pPr>
              <w:ind w:left="220"/>
              <w:spacing w:after="0" w:line="202" w:lineRule="exact"/>
              <w:rPr>
                <w:sz w:val="20"/>
                <w:szCs w:val="20"/>
                <w:color w:val="auto"/>
              </w:rPr>
            </w:pPr>
            <w:r>
              <w:rPr>
                <w:rFonts w:ascii="Arial" w:cs="Arial" w:eastAsia="Arial" w:hAnsi="Arial"/>
                <w:sz w:val="18"/>
                <w:szCs w:val="18"/>
                <w:color w:val="auto"/>
              </w:rPr>
              <w:t>standard, all deferred tax liabilities</w:t>
            </w:r>
          </w:p>
        </w:tc>
      </w:tr>
      <w:tr>
        <w:trPr>
          <w:trHeight w:val="203"/>
        </w:trPr>
        <w:tc>
          <w:tcPr>
            <w:tcW w:w="2240" w:type="dxa"/>
            <w:vAlign w:val="bottom"/>
            <w:shd w:val="clear" w:color="auto" w:fill="D8D8D8"/>
          </w:tcPr>
          <w:p>
            <w:pPr>
              <w:ind w:left="40"/>
              <w:spacing w:after="0" w:line="202" w:lineRule="exact"/>
              <w:rPr>
                <w:sz w:val="20"/>
                <w:szCs w:val="20"/>
                <w:color w:val="auto"/>
              </w:rPr>
            </w:pPr>
            <w:r>
              <w:rPr>
                <w:rFonts w:ascii="Arial" w:cs="Arial" w:eastAsia="Arial" w:hAnsi="Arial"/>
                <w:sz w:val="18"/>
                <w:szCs w:val="18"/>
                <w:i w:val="1"/>
                <w:iCs w:val="1"/>
                <w:color w:val="auto"/>
              </w:rPr>
              <w:t>Taxes</w:t>
            </w:r>
          </w:p>
        </w:tc>
        <w:tc>
          <w:tcPr>
            <w:tcW w:w="3980" w:type="dxa"/>
            <w:vAlign w:val="bottom"/>
            <w:shd w:val="clear" w:color="auto" w:fill="D8D8D8"/>
          </w:tcPr>
          <w:p>
            <w:pPr>
              <w:ind w:left="220"/>
              <w:spacing w:after="0" w:line="202" w:lineRule="exact"/>
              <w:rPr>
                <w:sz w:val="20"/>
                <w:szCs w:val="20"/>
                <w:color w:val="auto"/>
              </w:rPr>
            </w:pPr>
            <w:r>
              <w:rPr>
                <w:rFonts w:ascii="Arial" w:cs="Arial" w:eastAsia="Arial" w:hAnsi="Arial"/>
                <w:sz w:val="18"/>
                <w:szCs w:val="18"/>
                <w:color w:val="auto"/>
              </w:rPr>
              <w:t>financial position. An entity can apply this new</w:t>
            </w:r>
          </w:p>
        </w:tc>
        <w:tc>
          <w:tcPr>
            <w:tcW w:w="2160" w:type="dxa"/>
            <w:vAlign w:val="bottom"/>
            <w:shd w:val="clear" w:color="auto" w:fill="D8D8D8"/>
          </w:tcPr>
          <w:p>
            <w:pPr>
              <w:spacing w:after="0"/>
              <w:rPr>
                <w:sz w:val="17"/>
                <w:szCs w:val="17"/>
                <w:color w:val="auto"/>
              </w:rPr>
            </w:pPr>
          </w:p>
        </w:tc>
        <w:tc>
          <w:tcPr>
            <w:tcW w:w="3040" w:type="dxa"/>
            <w:vAlign w:val="bottom"/>
            <w:shd w:val="clear" w:color="auto" w:fill="D8D8D8"/>
          </w:tcPr>
          <w:p>
            <w:pPr>
              <w:ind w:left="220"/>
              <w:spacing w:after="0" w:line="202" w:lineRule="exact"/>
              <w:rPr>
                <w:sz w:val="20"/>
                <w:szCs w:val="20"/>
                <w:color w:val="auto"/>
              </w:rPr>
            </w:pPr>
            <w:r>
              <w:rPr>
                <w:rFonts w:ascii="Arial" w:cs="Arial" w:eastAsia="Arial" w:hAnsi="Arial"/>
                <w:sz w:val="18"/>
                <w:szCs w:val="18"/>
                <w:color w:val="auto"/>
              </w:rPr>
              <w:t>and assets have been classified as</w:t>
            </w:r>
          </w:p>
        </w:tc>
      </w:tr>
      <w:tr>
        <w:trPr>
          <w:trHeight w:val="203"/>
        </w:trPr>
        <w:tc>
          <w:tcPr>
            <w:tcW w:w="2240" w:type="dxa"/>
            <w:vAlign w:val="bottom"/>
            <w:shd w:val="clear" w:color="auto" w:fill="D8D8D8"/>
          </w:tcPr>
          <w:p>
            <w:pPr>
              <w:spacing w:after="0"/>
              <w:rPr>
                <w:sz w:val="17"/>
                <w:szCs w:val="17"/>
                <w:color w:val="auto"/>
              </w:rPr>
            </w:pPr>
          </w:p>
        </w:tc>
        <w:tc>
          <w:tcPr>
            <w:tcW w:w="3980" w:type="dxa"/>
            <w:vAlign w:val="bottom"/>
            <w:shd w:val="clear" w:color="auto" w:fill="D8D8D8"/>
          </w:tcPr>
          <w:p>
            <w:pPr>
              <w:ind w:left="220"/>
              <w:spacing w:after="0" w:line="202" w:lineRule="exact"/>
              <w:rPr>
                <w:sz w:val="20"/>
                <w:szCs w:val="20"/>
                <w:color w:val="auto"/>
              </w:rPr>
            </w:pPr>
            <w:r>
              <w:rPr>
                <w:rFonts w:ascii="Arial" w:cs="Arial" w:eastAsia="Arial" w:hAnsi="Arial"/>
                <w:sz w:val="18"/>
                <w:szCs w:val="18"/>
                <w:color w:val="auto"/>
              </w:rPr>
              <w:t>standard either prospectively to all deferred</w:t>
            </w:r>
          </w:p>
        </w:tc>
        <w:tc>
          <w:tcPr>
            <w:tcW w:w="2160" w:type="dxa"/>
            <w:vAlign w:val="bottom"/>
            <w:shd w:val="clear" w:color="auto" w:fill="D8D8D8"/>
          </w:tcPr>
          <w:p>
            <w:pPr>
              <w:spacing w:after="0"/>
              <w:rPr>
                <w:sz w:val="17"/>
                <w:szCs w:val="17"/>
                <w:color w:val="auto"/>
              </w:rPr>
            </w:pPr>
          </w:p>
        </w:tc>
        <w:tc>
          <w:tcPr>
            <w:tcW w:w="3040" w:type="dxa"/>
            <w:vAlign w:val="bottom"/>
            <w:shd w:val="clear" w:color="auto" w:fill="D8D8D8"/>
          </w:tcPr>
          <w:p>
            <w:pPr>
              <w:ind w:left="220"/>
              <w:spacing w:after="0" w:line="202" w:lineRule="exact"/>
              <w:rPr>
                <w:sz w:val="20"/>
                <w:szCs w:val="20"/>
                <w:color w:val="auto"/>
              </w:rPr>
            </w:pPr>
            <w:r>
              <w:rPr>
                <w:rFonts w:ascii="Arial" w:cs="Arial" w:eastAsia="Arial" w:hAnsi="Arial"/>
                <w:sz w:val="18"/>
                <w:szCs w:val="18"/>
                <w:color w:val="auto"/>
              </w:rPr>
              <w:t>noncurrent. The balance sheet as</w:t>
            </w:r>
          </w:p>
        </w:tc>
      </w:tr>
      <w:tr>
        <w:trPr>
          <w:trHeight w:val="203"/>
        </w:trPr>
        <w:tc>
          <w:tcPr>
            <w:tcW w:w="2240" w:type="dxa"/>
            <w:vAlign w:val="bottom"/>
            <w:shd w:val="clear" w:color="auto" w:fill="D8D8D8"/>
          </w:tcPr>
          <w:p>
            <w:pPr>
              <w:spacing w:after="0"/>
              <w:rPr>
                <w:sz w:val="17"/>
                <w:szCs w:val="17"/>
                <w:color w:val="auto"/>
              </w:rPr>
            </w:pPr>
          </w:p>
        </w:tc>
        <w:tc>
          <w:tcPr>
            <w:tcW w:w="3980" w:type="dxa"/>
            <w:vAlign w:val="bottom"/>
            <w:shd w:val="clear" w:color="auto" w:fill="D8D8D8"/>
          </w:tcPr>
          <w:p>
            <w:pPr>
              <w:ind w:left="220"/>
              <w:spacing w:after="0" w:line="202" w:lineRule="exact"/>
              <w:rPr>
                <w:sz w:val="20"/>
                <w:szCs w:val="20"/>
                <w:color w:val="auto"/>
              </w:rPr>
            </w:pPr>
            <w:r>
              <w:rPr>
                <w:rFonts w:ascii="Arial" w:cs="Arial" w:eastAsia="Arial" w:hAnsi="Arial"/>
                <w:sz w:val="18"/>
                <w:szCs w:val="18"/>
                <w:color w:val="auto"/>
              </w:rPr>
              <w:t>tax liabilities and assets or retrospectively to</w:t>
            </w:r>
          </w:p>
        </w:tc>
        <w:tc>
          <w:tcPr>
            <w:tcW w:w="2160" w:type="dxa"/>
            <w:vAlign w:val="bottom"/>
            <w:shd w:val="clear" w:color="auto" w:fill="D8D8D8"/>
          </w:tcPr>
          <w:p>
            <w:pPr>
              <w:spacing w:after="0"/>
              <w:rPr>
                <w:sz w:val="17"/>
                <w:szCs w:val="17"/>
                <w:color w:val="auto"/>
              </w:rPr>
            </w:pPr>
          </w:p>
        </w:tc>
        <w:tc>
          <w:tcPr>
            <w:tcW w:w="3040" w:type="dxa"/>
            <w:vAlign w:val="bottom"/>
            <w:shd w:val="clear" w:color="auto" w:fill="D8D8D8"/>
          </w:tcPr>
          <w:p>
            <w:pPr>
              <w:ind w:left="220"/>
              <w:spacing w:after="0" w:line="202" w:lineRule="exact"/>
              <w:rPr>
                <w:sz w:val="20"/>
                <w:szCs w:val="20"/>
                <w:color w:val="auto"/>
              </w:rPr>
            </w:pPr>
            <w:r>
              <w:rPr>
                <w:rFonts w:ascii="Arial" w:cs="Arial" w:eastAsia="Arial" w:hAnsi="Arial"/>
                <w:sz w:val="18"/>
                <w:szCs w:val="18"/>
                <w:color w:val="auto"/>
              </w:rPr>
              <w:t>of December 31, 2014 was</w:t>
            </w:r>
          </w:p>
        </w:tc>
      </w:tr>
      <w:tr>
        <w:trPr>
          <w:trHeight w:val="203"/>
        </w:trPr>
        <w:tc>
          <w:tcPr>
            <w:tcW w:w="2240" w:type="dxa"/>
            <w:vAlign w:val="bottom"/>
            <w:shd w:val="clear" w:color="auto" w:fill="D8D8D8"/>
          </w:tcPr>
          <w:p>
            <w:pPr>
              <w:spacing w:after="0"/>
              <w:rPr>
                <w:sz w:val="17"/>
                <w:szCs w:val="17"/>
                <w:color w:val="auto"/>
              </w:rPr>
            </w:pPr>
          </w:p>
        </w:tc>
        <w:tc>
          <w:tcPr>
            <w:tcW w:w="3980" w:type="dxa"/>
            <w:vAlign w:val="bottom"/>
            <w:shd w:val="clear" w:color="auto" w:fill="D8D8D8"/>
          </w:tcPr>
          <w:p>
            <w:pPr>
              <w:ind w:left="220"/>
              <w:spacing w:after="0" w:line="202" w:lineRule="exact"/>
              <w:rPr>
                <w:sz w:val="20"/>
                <w:szCs w:val="20"/>
                <w:color w:val="auto"/>
              </w:rPr>
            </w:pPr>
            <w:r>
              <w:rPr>
                <w:rFonts w:ascii="Arial" w:cs="Arial" w:eastAsia="Arial" w:hAnsi="Arial"/>
                <w:sz w:val="18"/>
                <w:szCs w:val="18"/>
                <w:color w:val="auto"/>
              </w:rPr>
              <w:t>all periods presented.</w:t>
            </w:r>
          </w:p>
        </w:tc>
        <w:tc>
          <w:tcPr>
            <w:tcW w:w="2160" w:type="dxa"/>
            <w:vAlign w:val="bottom"/>
            <w:shd w:val="clear" w:color="auto" w:fill="D8D8D8"/>
          </w:tcPr>
          <w:p>
            <w:pPr>
              <w:spacing w:after="0"/>
              <w:rPr>
                <w:sz w:val="17"/>
                <w:szCs w:val="17"/>
                <w:color w:val="auto"/>
              </w:rPr>
            </w:pPr>
          </w:p>
        </w:tc>
        <w:tc>
          <w:tcPr>
            <w:tcW w:w="3040" w:type="dxa"/>
            <w:vAlign w:val="bottom"/>
            <w:shd w:val="clear" w:color="auto" w:fill="D8D8D8"/>
          </w:tcPr>
          <w:p>
            <w:pPr>
              <w:ind w:left="220"/>
              <w:spacing w:after="0" w:line="202" w:lineRule="exact"/>
              <w:rPr>
                <w:sz w:val="20"/>
                <w:szCs w:val="20"/>
                <w:color w:val="auto"/>
              </w:rPr>
            </w:pPr>
            <w:r>
              <w:rPr>
                <w:rFonts w:ascii="Arial" w:cs="Arial" w:eastAsia="Arial" w:hAnsi="Arial"/>
                <w:sz w:val="18"/>
                <w:szCs w:val="18"/>
                <w:color w:val="auto"/>
              </w:rPr>
              <w:t>retrospectively adjusted which</w:t>
            </w:r>
          </w:p>
        </w:tc>
      </w:tr>
      <w:tr>
        <w:trPr>
          <w:trHeight w:val="203"/>
        </w:trPr>
        <w:tc>
          <w:tcPr>
            <w:tcW w:w="2240" w:type="dxa"/>
            <w:vAlign w:val="bottom"/>
            <w:shd w:val="clear" w:color="auto" w:fill="D8D8D8"/>
          </w:tcPr>
          <w:p>
            <w:pPr>
              <w:spacing w:after="0"/>
              <w:rPr>
                <w:sz w:val="17"/>
                <w:szCs w:val="17"/>
                <w:color w:val="auto"/>
              </w:rPr>
            </w:pPr>
          </w:p>
        </w:tc>
        <w:tc>
          <w:tcPr>
            <w:tcW w:w="3980" w:type="dxa"/>
            <w:vAlign w:val="bottom"/>
            <w:shd w:val="clear" w:color="auto" w:fill="D8D8D8"/>
          </w:tcPr>
          <w:p>
            <w:pPr>
              <w:spacing w:after="0"/>
              <w:rPr>
                <w:sz w:val="17"/>
                <w:szCs w:val="17"/>
                <w:color w:val="auto"/>
              </w:rPr>
            </w:pPr>
          </w:p>
        </w:tc>
        <w:tc>
          <w:tcPr>
            <w:tcW w:w="2160" w:type="dxa"/>
            <w:vAlign w:val="bottom"/>
            <w:shd w:val="clear" w:color="auto" w:fill="D8D8D8"/>
          </w:tcPr>
          <w:p>
            <w:pPr>
              <w:spacing w:after="0"/>
              <w:rPr>
                <w:sz w:val="17"/>
                <w:szCs w:val="17"/>
                <w:color w:val="auto"/>
              </w:rPr>
            </w:pPr>
          </w:p>
        </w:tc>
        <w:tc>
          <w:tcPr>
            <w:tcW w:w="3040" w:type="dxa"/>
            <w:vAlign w:val="bottom"/>
            <w:shd w:val="clear" w:color="auto" w:fill="D8D8D8"/>
          </w:tcPr>
          <w:p>
            <w:pPr>
              <w:ind w:left="220"/>
              <w:spacing w:after="0" w:line="202" w:lineRule="exact"/>
              <w:rPr>
                <w:sz w:val="20"/>
                <w:szCs w:val="20"/>
                <w:color w:val="auto"/>
              </w:rPr>
            </w:pPr>
            <w:r>
              <w:rPr>
                <w:rFonts w:ascii="Arial" w:cs="Arial" w:eastAsia="Arial" w:hAnsi="Arial"/>
                <w:sz w:val="18"/>
                <w:szCs w:val="18"/>
                <w:color w:val="auto"/>
              </w:rPr>
              <w:t>resulted in reductions to prepaid</w:t>
            </w:r>
          </w:p>
        </w:tc>
      </w:tr>
      <w:tr>
        <w:trPr>
          <w:trHeight w:val="203"/>
        </w:trPr>
        <w:tc>
          <w:tcPr>
            <w:tcW w:w="2240" w:type="dxa"/>
            <w:vAlign w:val="bottom"/>
            <w:shd w:val="clear" w:color="auto" w:fill="D8D8D8"/>
          </w:tcPr>
          <w:p>
            <w:pPr>
              <w:spacing w:after="0"/>
              <w:rPr>
                <w:sz w:val="17"/>
                <w:szCs w:val="17"/>
                <w:color w:val="auto"/>
              </w:rPr>
            </w:pPr>
          </w:p>
        </w:tc>
        <w:tc>
          <w:tcPr>
            <w:tcW w:w="3980" w:type="dxa"/>
            <w:vAlign w:val="bottom"/>
            <w:shd w:val="clear" w:color="auto" w:fill="D8D8D8"/>
          </w:tcPr>
          <w:p>
            <w:pPr>
              <w:spacing w:after="0"/>
              <w:rPr>
                <w:sz w:val="17"/>
                <w:szCs w:val="17"/>
                <w:color w:val="auto"/>
              </w:rPr>
            </w:pPr>
          </w:p>
        </w:tc>
        <w:tc>
          <w:tcPr>
            <w:tcW w:w="2160" w:type="dxa"/>
            <w:vAlign w:val="bottom"/>
            <w:shd w:val="clear" w:color="auto" w:fill="D8D8D8"/>
          </w:tcPr>
          <w:p>
            <w:pPr>
              <w:spacing w:after="0"/>
              <w:rPr>
                <w:sz w:val="17"/>
                <w:szCs w:val="17"/>
                <w:color w:val="auto"/>
              </w:rPr>
            </w:pPr>
          </w:p>
        </w:tc>
        <w:tc>
          <w:tcPr>
            <w:tcW w:w="3040" w:type="dxa"/>
            <w:vAlign w:val="bottom"/>
            <w:shd w:val="clear" w:color="auto" w:fill="D8D8D8"/>
          </w:tcPr>
          <w:p>
            <w:pPr>
              <w:ind w:left="220"/>
              <w:spacing w:after="0" w:line="202" w:lineRule="exact"/>
              <w:rPr>
                <w:sz w:val="20"/>
                <w:szCs w:val="20"/>
                <w:color w:val="auto"/>
              </w:rPr>
            </w:pPr>
            <w:r>
              <w:rPr>
                <w:rFonts w:ascii="Arial" w:cs="Arial" w:eastAsia="Arial" w:hAnsi="Arial"/>
                <w:sz w:val="18"/>
                <w:szCs w:val="18"/>
                <w:color w:val="auto"/>
              </w:rPr>
              <w:t>expenses and other of $251.5</w:t>
            </w:r>
          </w:p>
        </w:tc>
      </w:tr>
      <w:tr>
        <w:trPr>
          <w:trHeight w:val="203"/>
        </w:trPr>
        <w:tc>
          <w:tcPr>
            <w:tcW w:w="2240" w:type="dxa"/>
            <w:vAlign w:val="bottom"/>
            <w:shd w:val="clear" w:color="auto" w:fill="D8D8D8"/>
          </w:tcPr>
          <w:p>
            <w:pPr>
              <w:spacing w:after="0"/>
              <w:rPr>
                <w:sz w:val="17"/>
                <w:szCs w:val="17"/>
                <w:color w:val="auto"/>
              </w:rPr>
            </w:pPr>
          </w:p>
        </w:tc>
        <w:tc>
          <w:tcPr>
            <w:tcW w:w="3980" w:type="dxa"/>
            <w:vAlign w:val="bottom"/>
            <w:shd w:val="clear" w:color="auto" w:fill="D8D8D8"/>
          </w:tcPr>
          <w:p>
            <w:pPr>
              <w:spacing w:after="0"/>
              <w:rPr>
                <w:sz w:val="17"/>
                <w:szCs w:val="17"/>
                <w:color w:val="auto"/>
              </w:rPr>
            </w:pPr>
          </w:p>
        </w:tc>
        <w:tc>
          <w:tcPr>
            <w:tcW w:w="2160" w:type="dxa"/>
            <w:vAlign w:val="bottom"/>
            <w:shd w:val="clear" w:color="auto" w:fill="D8D8D8"/>
          </w:tcPr>
          <w:p>
            <w:pPr>
              <w:spacing w:after="0"/>
              <w:rPr>
                <w:sz w:val="17"/>
                <w:szCs w:val="17"/>
                <w:color w:val="auto"/>
              </w:rPr>
            </w:pPr>
          </w:p>
        </w:tc>
        <w:tc>
          <w:tcPr>
            <w:tcW w:w="3040" w:type="dxa"/>
            <w:vAlign w:val="bottom"/>
            <w:shd w:val="clear" w:color="auto" w:fill="D8D8D8"/>
          </w:tcPr>
          <w:p>
            <w:pPr>
              <w:ind w:left="220"/>
              <w:spacing w:after="0" w:line="202" w:lineRule="exact"/>
              <w:rPr>
                <w:sz w:val="20"/>
                <w:szCs w:val="20"/>
                <w:color w:val="auto"/>
              </w:rPr>
            </w:pPr>
            <w:r>
              <w:rPr>
                <w:rFonts w:ascii="Arial" w:cs="Arial" w:eastAsia="Arial" w:hAnsi="Arial"/>
                <w:sz w:val="18"/>
                <w:szCs w:val="18"/>
                <w:color w:val="auto"/>
              </w:rPr>
              <w:t>million, sundry of $584.2 million,</w:t>
            </w:r>
          </w:p>
        </w:tc>
      </w:tr>
      <w:tr>
        <w:trPr>
          <w:trHeight w:val="203"/>
        </w:trPr>
        <w:tc>
          <w:tcPr>
            <w:tcW w:w="2240" w:type="dxa"/>
            <w:vAlign w:val="bottom"/>
            <w:shd w:val="clear" w:color="auto" w:fill="D8D8D8"/>
          </w:tcPr>
          <w:p>
            <w:pPr>
              <w:spacing w:after="0"/>
              <w:rPr>
                <w:sz w:val="17"/>
                <w:szCs w:val="17"/>
                <w:color w:val="auto"/>
              </w:rPr>
            </w:pPr>
          </w:p>
        </w:tc>
        <w:tc>
          <w:tcPr>
            <w:tcW w:w="3980" w:type="dxa"/>
            <w:vAlign w:val="bottom"/>
            <w:shd w:val="clear" w:color="auto" w:fill="D8D8D8"/>
          </w:tcPr>
          <w:p>
            <w:pPr>
              <w:spacing w:after="0"/>
              <w:rPr>
                <w:sz w:val="17"/>
                <w:szCs w:val="17"/>
                <w:color w:val="auto"/>
              </w:rPr>
            </w:pPr>
          </w:p>
        </w:tc>
        <w:tc>
          <w:tcPr>
            <w:tcW w:w="2160" w:type="dxa"/>
            <w:vAlign w:val="bottom"/>
            <w:shd w:val="clear" w:color="auto" w:fill="D8D8D8"/>
          </w:tcPr>
          <w:p>
            <w:pPr>
              <w:spacing w:after="0"/>
              <w:rPr>
                <w:sz w:val="17"/>
                <w:szCs w:val="17"/>
                <w:color w:val="auto"/>
              </w:rPr>
            </w:pPr>
          </w:p>
        </w:tc>
        <w:tc>
          <w:tcPr>
            <w:tcW w:w="3040" w:type="dxa"/>
            <w:vAlign w:val="bottom"/>
            <w:shd w:val="clear" w:color="auto" w:fill="D8D8D8"/>
          </w:tcPr>
          <w:p>
            <w:pPr>
              <w:ind w:left="220"/>
              <w:spacing w:after="0" w:line="202" w:lineRule="exact"/>
              <w:rPr>
                <w:sz w:val="20"/>
                <w:szCs w:val="20"/>
                <w:color w:val="auto"/>
              </w:rPr>
            </w:pPr>
            <w:r>
              <w:rPr>
                <w:rFonts w:ascii="Arial" w:cs="Arial" w:eastAsia="Arial" w:hAnsi="Arial"/>
                <w:sz w:val="18"/>
                <w:szCs w:val="18"/>
                <w:color w:val="auto"/>
              </w:rPr>
              <w:t>and deferred income tax liabilities</w:t>
            </w:r>
          </w:p>
        </w:tc>
      </w:tr>
      <w:tr>
        <w:trPr>
          <w:trHeight w:val="203"/>
        </w:trPr>
        <w:tc>
          <w:tcPr>
            <w:tcW w:w="2240" w:type="dxa"/>
            <w:vAlign w:val="bottom"/>
            <w:shd w:val="clear" w:color="auto" w:fill="D8D8D8"/>
          </w:tcPr>
          <w:p>
            <w:pPr>
              <w:spacing w:after="0"/>
              <w:rPr>
                <w:sz w:val="17"/>
                <w:szCs w:val="17"/>
                <w:color w:val="auto"/>
              </w:rPr>
            </w:pPr>
          </w:p>
        </w:tc>
        <w:tc>
          <w:tcPr>
            <w:tcW w:w="3980" w:type="dxa"/>
            <w:vAlign w:val="bottom"/>
            <w:shd w:val="clear" w:color="auto" w:fill="D8D8D8"/>
          </w:tcPr>
          <w:p>
            <w:pPr>
              <w:spacing w:after="0"/>
              <w:rPr>
                <w:sz w:val="17"/>
                <w:szCs w:val="17"/>
                <w:color w:val="auto"/>
              </w:rPr>
            </w:pPr>
          </w:p>
        </w:tc>
        <w:tc>
          <w:tcPr>
            <w:tcW w:w="2160" w:type="dxa"/>
            <w:vAlign w:val="bottom"/>
            <w:shd w:val="clear" w:color="auto" w:fill="D8D8D8"/>
          </w:tcPr>
          <w:p>
            <w:pPr>
              <w:spacing w:after="0"/>
              <w:rPr>
                <w:sz w:val="17"/>
                <w:szCs w:val="17"/>
                <w:color w:val="auto"/>
              </w:rPr>
            </w:pPr>
          </w:p>
        </w:tc>
        <w:tc>
          <w:tcPr>
            <w:tcW w:w="3040" w:type="dxa"/>
            <w:vAlign w:val="bottom"/>
            <w:shd w:val="clear" w:color="auto" w:fill="D8D8D8"/>
          </w:tcPr>
          <w:p>
            <w:pPr>
              <w:ind w:left="220"/>
              <w:spacing w:after="0" w:line="202" w:lineRule="exact"/>
              <w:rPr>
                <w:sz w:val="20"/>
                <w:szCs w:val="20"/>
                <w:color w:val="auto"/>
              </w:rPr>
            </w:pPr>
            <w:r>
              <w:rPr>
                <w:rFonts w:ascii="Arial" w:cs="Arial" w:eastAsia="Arial" w:hAnsi="Arial"/>
                <w:sz w:val="18"/>
                <w:szCs w:val="18"/>
                <w:color w:val="auto"/>
              </w:rPr>
              <w:t>of $1.47 billion. Other noncurrent</w:t>
            </w:r>
          </w:p>
        </w:tc>
      </w:tr>
      <w:tr>
        <w:trPr>
          <w:trHeight w:val="203"/>
        </w:trPr>
        <w:tc>
          <w:tcPr>
            <w:tcW w:w="2240" w:type="dxa"/>
            <w:vAlign w:val="bottom"/>
            <w:shd w:val="clear" w:color="auto" w:fill="D8D8D8"/>
          </w:tcPr>
          <w:p>
            <w:pPr>
              <w:spacing w:after="0"/>
              <w:rPr>
                <w:sz w:val="17"/>
                <w:szCs w:val="17"/>
                <w:color w:val="auto"/>
              </w:rPr>
            </w:pPr>
          </w:p>
        </w:tc>
        <w:tc>
          <w:tcPr>
            <w:tcW w:w="3980" w:type="dxa"/>
            <w:vAlign w:val="bottom"/>
            <w:shd w:val="clear" w:color="auto" w:fill="D8D8D8"/>
          </w:tcPr>
          <w:p>
            <w:pPr>
              <w:spacing w:after="0"/>
              <w:rPr>
                <w:sz w:val="17"/>
                <w:szCs w:val="17"/>
                <w:color w:val="auto"/>
              </w:rPr>
            </w:pPr>
          </w:p>
        </w:tc>
        <w:tc>
          <w:tcPr>
            <w:tcW w:w="2160" w:type="dxa"/>
            <w:vAlign w:val="bottom"/>
            <w:shd w:val="clear" w:color="auto" w:fill="D8D8D8"/>
          </w:tcPr>
          <w:p>
            <w:pPr>
              <w:spacing w:after="0"/>
              <w:rPr>
                <w:sz w:val="17"/>
                <w:szCs w:val="17"/>
                <w:color w:val="auto"/>
              </w:rPr>
            </w:pPr>
          </w:p>
        </w:tc>
        <w:tc>
          <w:tcPr>
            <w:tcW w:w="3040" w:type="dxa"/>
            <w:vAlign w:val="bottom"/>
            <w:shd w:val="clear" w:color="auto" w:fill="D8D8D8"/>
          </w:tcPr>
          <w:p>
            <w:pPr>
              <w:ind w:left="220"/>
              <w:spacing w:after="0" w:line="202" w:lineRule="exact"/>
              <w:rPr>
                <w:sz w:val="20"/>
                <w:szCs w:val="20"/>
                <w:color w:val="auto"/>
              </w:rPr>
            </w:pPr>
            <w:r>
              <w:rPr>
                <w:rFonts w:ascii="Arial" w:cs="Arial" w:eastAsia="Arial" w:hAnsi="Arial"/>
                <w:sz w:val="18"/>
                <w:szCs w:val="18"/>
                <w:color w:val="auto"/>
              </w:rPr>
              <w:t>liabilities as of December 31, 2014</w:t>
            </w:r>
          </w:p>
        </w:tc>
      </w:tr>
      <w:tr>
        <w:trPr>
          <w:trHeight w:val="203"/>
        </w:trPr>
        <w:tc>
          <w:tcPr>
            <w:tcW w:w="2240" w:type="dxa"/>
            <w:vAlign w:val="bottom"/>
            <w:shd w:val="clear" w:color="auto" w:fill="D8D8D8"/>
          </w:tcPr>
          <w:p>
            <w:pPr>
              <w:spacing w:after="0"/>
              <w:rPr>
                <w:sz w:val="17"/>
                <w:szCs w:val="17"/>
                <w:color w:val="auto"/>
              </w:rPr>
            </w:pPr>
          </w:p>
        </w:tc>
        <w:tc>
          <w:tcPr>
            <w:tcW w:w="3980" w:type="dxa"/>
            <w:vAlign w:val="bottom"/>
            <w:shd w:val="clear" w:color="auto" w:fill="D8D8D8"/>
          </w:tcPr>
          <w:p>
            <w:pPr>
              <w:spacing w:after="0"/>
              <w:rPr>
                <w:sz w:val="17"/>
                <w:szCs w:val="17"/>
                <w:color w:val="auto"/>
              </w:rPr>
            </w:pPr>
          </w:p>
        </w:tc>
        <w:tc>
          <w:tcPr>
            <w:tcW w:w="2160" w:type="dxa"/>
            <w:vAlign w:val="bottom"/>
            <w:shd w:val="clear" w:color="auto" w:fill="D8D8D8"/>
          </w:tcPr>
          <w:p>
            <w:pPr>
              <w:spacing w:after="0"/>
              <w:rPr>
                <w:sz w:val="17"/>
                <w:szCs w:val="17"/>
                <w:color w:val="auto"/>
              </w:rPr>
            </w:pPr>
          </w:p>
        </w:tc>
        <w:tc>
          <w:tcPr>
            <w:tcW w:w="3040" w:type="dxa"/>
            <w:vAlign w:val="bottom"/>
            <w:shd w:val="clear" w:color="auto" w:fill="D8D8D8"/>
          </w:tcPr>
          <w:p>
            <w:pPr>
              <w:ind w:left="220"/>
              <w:spacing w:after="0" w:line="202" w:lineRule="exact"/>
              <w:rPr>
                <w:sz w:val="20"/>
                <w:szCs w:val="20"/>
                <w:color w:val="auto"/>
              </w:rPr>
            </w:pPr>
            <w:r>
              <w:rPr>
                <w:rFonts w:ascii="Arial" w:cs="Arial" w:eastAsia="Arial" w:hAnsi="Arial"/>
                <w:sz w:val="18"/>
                <w:szCs w:val="18"/>
                <w:color w:val="auto"/>
              </w:rPr>
              <w:t>were increased by $630.8 million</w:t>
            </w:r>
          </w:p>
        </w:tc>
      </w:tr>
      <w:tr>
        <w:trPr>
          <w:trHeight w:val="203"/>
        </w:trPr>
        <w:tc>
          <w:tcPr>
            <w:tcW w:w="2240" w:type="dxa"/>
            <w:vAlign w:val="bottom"/>
            <w:shd w:val="clear" w:color="auto" w:fill="D8D8D8"/>
          </w:tcPr>
          <w:p>
            <w:pPr>
              <w:spacing w:after="0"/>
              <w:rPr>
                <w:sz w:val="17"/>
                <w:szCs w:val="17"/>
                <w:color w:val="auto"/>
              </w:rPr>
            </w:pPr>
          </w:p>
        </w:tc>
        <w:tc>
          <w:tcPr>
            <w:tcW w:w="3980" w:type="dxa"/>
            <w:vAlign w:val="bottom"/>
            <w:shd w:val="clear" w:color="auto" w:fill="D8D8D8"/>
          </w:tcPr>
          <w:p>
            <w:pPr>
              <w:spacing w:after="0"/>
              <w:rPr>
                <w:sz w:val="17"/>
                <w:szCs w:val="17"/>
                <w:color w:val="auto"/>
              </w:rPr>
            </w:pPr>
          </w:p>
        </w:tc>
        <w:tc>
          <w:tcPr>
            <w:tcW w:w="2160" w:type="dxa"/>
            <w:vAlign w:val="bottom"/>
            <w:shd w:val="clear" w:color="auto" w:fill="D8D8D8"/>
          </w:tcPr>
          <w:p>
            <w:pPr>
              <w:spacing w:after="0"/>
              <w:rPr>
                <w:sz w:val="17"/>
                <w:szCs w:val="17"/>
                <w:color w:val="auto"/>
              </w:rPr>
            </w:pPr>
          </w:p>
        </w:tc>
        <w:tc>
          <w:tcPr>
            <w:tcW w:w="3040" w:type="dxa"/>
            <w:vAlign w:val="bottom"/>
            <w:shd w:val="clear" w:color="auto" w:fill="D8D8D8"/>
          </w:tcPr>
          <w:p>
            <w:pPr>
              <w:ind w:left="220"/>
              <w:spacing w:after="0" w:line="202" w:lineRule="exact"/>
              <w:rPr>
                <w:sz w:val="20"/>
                <w:szCs w:val="20"/>
                <w:color w:val="auto"/>
              </w:rPr>
            </w:pPr>
            <w:r>
              <w:rPr>
                <w:rFonts w:ascii="Arial" w:cs="Arial" w:eastAsia="Arial" w:hAnsi="Arial"/>
                <w:sz w:val="18"/>
                <w:szCs w:val="18"/>
                <w:color w:val="auto"/>
              </w:rPr>
              <w:t>as a result of the adoption of this</w:t>
            </w:r>
          </w:p>
        </w:tc>
      </w:tr>
      <w:tr>
        <w:trPr>
          <w:trHeight w:val="252"/>
        </w:trPr>
        <w:tc>
          <w:tcPr>
            <w:tcW w:w="2240" w:type="dxa"/>
            <w:vAlign w:val="bottom"/>
            <w:shd w:val="clear" w:color="auto" w:fill="D8D8D8"/>
          </w:tcPr>
          <w:p>
            <w:pPr>
              <w:spacing w:after="0"/>
              <w:rPr>
                <w:sz w:val="21"/>
                <w:szCs w:val="21"/>
                <w:color w:val="auto"/>
              </w:rPr>
            </w:pPr>
          </w:p>
        </w:tc>
        <w:tc>
          <w:tcPr>
            <w:tcW w:w="3980" w:type="dxa"/>
            <w:vAlign w:val="bottom"/>
            <w:shd w:val="clear" w:color="auto" w:fill="D8D8D8"/>
          </w:tcPr>
          <w:p>
            <w:pPr>
              <w:spacing w:after="0"/>
              <w:rPr>
                <w:sz w:val="21"/>
                <w:szCs w:val="21"/>
                <w:color w:val="auto"/>
              </w:rPr>
            </w:pPr>
          </w:p>
        </w:tc>
        <w:tc>
          <w:tcPr>
            <w:tcW w:w="2160" w:type="dxa"/>
            <w:vAlign w:val="bottom"/>
            <w:shd w:val="clear" w:color="auto" w:fill="D8D8D8"/>
          </w:tcPr>
          <w:p>
            <w:pPr>
              <w:spacing w:after="0"/>
              <w:rPr>
                <w:sz w:val="21"/>
                <w:szCs w:val="21"/>
                <w:color w:val="auto"/>
              </w:rPr>
            </w:pPr>
          </w:p>
        </w:tc>
        <w:tc>
          <w:tcPr>
            <w:tcW w:w="3040" w:type="dxa"/>
            <w:vAlign w:val="bottom"/>
            <w:shd w:val="clear" w:color="auto" w:fill="D8D8D8"/>
          </w:tcPr>
          <w:p>
            <w:pPr>
              <w:ind w:left="220"/>
              <w:spacing w:after="0"/>
              <w:rPr>
                <w:sz w:val="20"/>
                <w:szCs w:val="20"/>
                <w:color w:val="auto"/>
              </w:rPr>
            </w:pPr>
            <w:r>
              <w:rPr>
                <w:rFonts w:ascii="Arial" w:cs="Arial" w:eastAsia="Arial" w:hAnsi="Arial"/>
                <w:sz w:val="18"/>
                <w:szCs w:val="18"/>
                <w:color w:val="auto"/>
              </w:rPr>
              <w:t>standard.</w:t>
            </w:r>
          </w:p>
        </w:tc>
      </w:tr>
    </w:tbl>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Note 3: Acquisitions</w:t>
      </w:r>
    </w:p>
    <w:p>
      <w:pPr>
        <w:spacing w:after="0" w:line="173" w:lineRule="exact"/>
        <w:rPr>
          <w:sz w:val="20"/>
          <w:szCs w:val="20"/>
          <w:color w:val="auto"/>
        </w:rPr>
      </w:pPr>
    </w:p>
    <w:p>
      <w:pPr>
        <w:ind w:right="160"/>
        <w:spacing w:after="0" w:line="250" w:lineRule="auto"/>
        <w:rPr>
          <w:sz w:val="20"/>
          <w:szCs w:val="20"/>
          <w:color w:val="auto"/>
        </w:rPr>
      </w:pPr>
      <w:r>
        <w:rPr>
          <w:rFonts w:ascii="Arial" w:cs="Arial" w:eastAsia="Arial" w:hAnsi="Arial"/>
          <w:sz w:val="18"/>
          <w:szCs w:val="18"/>
          <w:color w:val="auto"/>
        </w:rPr>
        <w:t>During 2015 and 2014, we completed the acquisitions of Novartis Animal Health (Novartis AH) and Lohmann SE (Lohmann AH), respectively. Additionally, on October 1, 2015, Bristol-Myers Squibb Company and E.R. Squibb (collectively, BMS) transferred to us their commercialization rights with respect to Erbitux</w:t>
      </w:r>
      <w:r>
        <w:rPr>
          <w:rFonts w:ascii="Arial" w:cs="Arial" w:eastAsia="Arial" w:hAnsi="Arial"/>
          <w:sz w:val="21"/>
          <w:szCs w:val="21"/>
          <w:color w:val="auto"/>
          <w:vertAlign w:val="superscript"/>
        </w:rPr>
        <w:t>®</w:t>
      </w:r>
      <w:r>
        <w:rPr>
          <w:rFonts w:ascii="Arial" w:cs="Arial" w:eastAsia="Arial" w:hAnsi="Arial"/>
          <w:sz w:val="18"/>
          <w:szCs w:val="18"/>
          <w:color w:val="auto"/>
        </w:rPr>
        <w:t xml:space="preserve"> in the U.S. and Canada (collectively, North America) through a modification of our existing arrangement. These transactions were accounted for as business combinations under the acquisition method of accounting. See Note 4 for additional information related to the Erbitux arrangement. The assets acquired and liabilities assumed were recorded at their respective fair values as of the acquisition date in our consolidated financial statements. The determination of estimated fair value required management to make significant estimates and assumptions. The excess of the purchase price over the fair value of the acquired net assets, where applicable, has been recorded as goodwill. The results of operations of these acquisitions are included in our consolidated financial statements from the date of acquisition.</w:t>
      </w:r>
    </w:p>
    <w:p>
      <w:pPr>
        <w:spacing w:after="0" w:line="76"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In addition to the acquisitions of businesses, we also acquired assets in development in 2015, 2014, and 2013 which are further discussed below in Product and Other Acquisitions and in Note 4. Upon acquisition, the acquired IPR&amp;D related to these products was immediately written off as an expense because the products had no alternative future use. For the years ended December 31, 2015, 2014, and 2013, we recorded acquired IPR&amp;D charges of $535.0 million, $200.2 million, and $57.1 million, respectively. The charges were associated with the transactions discussed below in Product and Other Acquisitions, the 2015 upfront fee of $200.0 million related to tanezumab, and the 2014 charge of $55.2 million related to the transfer to us of Boehringer Ingelheim's rights to co-promote our new insulin glargine product in countries where it was not yet approved. See Note 4 for additional information related to the tanezumab and Boehringer Ingelheim arrangements.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62</w:t>
      </w:r>
    </w:p>
    <w:p>
      <w:pPr>
        <w:sectPr>
          <w:pgSz w:w="11900" w:h="16838" w:orient="portrait"/>
          <w:cols w:equalWidth="0" w:num="1">
            <w:col w:w="11420"/>
          </w:cols>
          <w:pgMar w:left="240" w:top="738" w:right="23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color w:val="auto"/>
        </w:rPr>
        <w:t>Acquisitions of Businesses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Novartis AH Acquisition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 of Transaction</w:t>
      </w:r>
    </w:p>
    <w:p>
      <w:pPr>
        <w:spacing w:after="0" w:line="115"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On January 1, 2015, we acquired from Novartis AG all of the shares of certain Novartis subsidiaries and all of the assets and liabilities of other Novartis subsidiaries that are exclusively related to the Novartis AH business in an all-cash transaction for a total purchase price of $5.28 billion. As of December 31, 2014, there was $5.41 billion of cash held in escrow for the pending acquisition of Novartis AH. This cash was classified as restricted cash, a noncurrent asset, on our consolidated balance sheet.</w:t>
      </w:r>
    </w:p>
    <w:p>
      <w:pPr>
        <w:spacing w:after="0" w:line="62" w:lineRule="exact"/>
        <w:rPr>
          <w:sz w:val="20"/>
          <w:szCs w:val="20"/>
          <w:color w:val="auto"/>
        </w:rPr>
      </w:pPr>
    </w:p>
    <w:p>
      <w:pPr>
        <w:ind w:right="160"/>
        <w:spacing w:after="0" w:line="251" w:lineRule="auto"/>
        <w:rPr>
          <w:sz w:val="20"/>
          <w:szCs w:val="20"/>
          <w:color w:val="auto"/>
        </w:rPr>
      </w:pPr>
      <w:r>
        <w:rPr>
          <w:rFonts w:ascii="Arial" w:cs="Arial" w:eastAsia="Arial" w:hAnsi="Arial"/>
          <w:sz w:val="18"/>
          <w:szCs w:val="18"/>
          <w:color w:val="auto"/>
        </w:rPr>
        <w:t>As a condition to the clearance of the transaction under the Hart-Scott-Rodino Antitrust Improvements Act, following the closing of the acquisition of Novartis AH, we divested certain animal health assets in the U.S. related to the Sentinel</w:t>
      </w:r>
      <w:r>
        <w:rPr>
          <w:rFonts w:ascii="Arial" w:cs="Arial" w:eastAsia="Arial" w:hAnsi="Arial"/>
          <w:sz w:val="21"/>
          <w:szCs w:val="21"/>
          <w:color w:val="auto"/>
          <w:vertAlign w:val="superscript"/>
        </w:rPr>
        <w:t>®</w:t>
      </w:r>
      <w:r>
        <w:rPr>
          <w:rFonts w:ascii="Arial" w:cs="Arial" w:eastAsia="Arial" w:hAnsi="Arial"/>
          <w:sz w:val="18"/>
          <w:szCs w:val="18"/>
          <w:color w:val="auto"/>
        </w:rPr>
        <w:t xml:space="preserve"> canine parasiticide franchise to Virbac Corporation for approximately $410 million.</w:t>
      </w:r>
    </w:p>
    <w:p>
      <w:pPr>
        <w:spacing w:after="0" w:line="71"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The acquired Novartis AH business consists of the research and development, manufacture, marketing, sale and distribution of veterinary products to prevent and treat diseases in pets, farm animals, and farmed fish. Under the terms of the agreement, we acquired manufacturing sites, research and development facilities, a global commercial infrastructure and portfolio of products, a pipeline of projects in development, and employees.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Acquired and Liabilities Assumed</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amounts recognized for assets acquired and liabilities assumed as of the acquisition date:</w:t>
      </w:r>
    </w:p>
    <w:p>
      <w:pPr>
        <w:spacing w:after="0" w:line="179"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Estimated Fair Value at January 1, 2015</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9940" w:type="dxa"/>
            <w:vAlign w:val="bottom"/>
            <w:tcBorders>
              <w:top w:val="single" w:sz="8" w:color="auto"/>
            </w:tcBorders>
            <w:shd w:val="clear" w:color="auto" w:fill="D8D8D8"/>
          </w:tcPr>
          <w:p>
            <w:pPr>
              <w:ind w:left="40"/>
              <w:spacing w:after="0"/>
              <w:rPr>
                <w:sz w:val="20"/>
                <w:szCs w:val="20"/>
                <w:color w:val="auto"/>
              </w:rPr>
            </w:pPr>
            <w:r>
              <w:rPr>
                <w:rFonts w:ascii="Arial" w:cs="Arial" w:eastAsia="Arial" w:hAnsi="Arial"/>
                <w:sz w:val="18"/>
                <w:szCs w:val="18"/>
                <w:color w:val="auto"/>
              </w:rPr>
              <w:t>Inventories</w:t>
            </w:r>
          </w:p>
        </w:tc>
        <w:tc>
          <w:tcPr>
            <w:tcW w:w="440" w:type="dxa"/>
            <w:vAlign w:val="bottom"/>
            <w:tcBorders>
              <w:top w:val="single" w:sz="8" w:color="auto"/>
            </w:tcBorders>
            <w:shd w:val="clear" w:color="auto" w:fill="D8D8D8"/>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D8D8D8"/>
          </w:tcPr>
          <w:p>
            <w:pPr>
              <w:jc w:val="right"/>
              <w:ind w:right="10"/>
              <w:spacing w:after="0"/>
              <w:rPr>
                <w:sz w:val="20"/>
                <w:szCs w:val="20"/>
                <w:color w:val="auto"/>
              </w:rPr>
            </w:pPr>
            <w:r>
              <w:rPr>
                <w:rFonts w:ascii="Arial" w:cs="Arial" w:eastAsia="Arial" w:hAnsi="Arial"/>
                <w:sz w:val="18"/>
                <w:szCs w:val="18"/>
                <w:color w:val="auto"/>
              </w:rPr>
              <w:t>380.2</w:t>
            </w:r>
          </w:p>
        </w:tc>
      </w:tr>
      <w:tr>
        <w:trPr>
          <w:trHeight w:val="252"/>
        </w:trPr>
        <w:tc>
          <w:tcPr>
            <w:tcW w:w="9940" w:type="dxa"/>
            <w:vAlign w:val="bottom"/>
          </w:tcPr>
          <w:p>
            <w:pPr>
              <w:ind w:left="40"/>
              <w:spacing w:after="0"/>
              <w:rPr>
                <w:sz w:val="20"/>
                <w:szCs w:val="20"/>
                <w:color w:val="auto"/>
              </w:rPr>
            </w:pPr>
            <w:r>
              <w:rPr>
                <w:rFonts w:ascii="Arial" w:cs="Arial" w:eastAsia="Arial" w:hAnsi="Arial"/>
                <w:sz w:val="18"/>
                <w:szCs w:val="18"/>
                <w:color w:val="auto"/>
              </w:rPr>
              <w:t>Acquired in-process research and development</w:t>
            </w:r>
          </w:p>
        </w:tc>
        <w:tc>
          <w:tcPr>
            <w:tcW w:w="4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298.0</w:t>
            </w:r>
          </w:p>
        </w:tc>
      </w:tr>
      <w:tr>
        <w:trPr>
          <w:trHeight w:val="261"/>
        </w:trPr>
        <w:tc>
          <w:tcPr>
            <w:tcW w:w="9940" w:type="dxa"/>
            <w:vAlign w:val="bottom"/>
            <w:shd w:val="clear" w:color="auto" w:fill="D8D8D8"/>
          </w:tcPr>
          <w:p>
            <w:pPr>
              <w:ind w:left="40"/>
              <w:spacing w:after="0"/>
              <w:rPr>
                <w:sz w:val="20"/>
                <w:szCs w:val="20"/>
                <w:color w:val="auto"/>
              </w:rPr>
            </w:pPr>
            <w:r>
              <w:rPr>
                <w:rFonts w:ascii="Arial" w:cs="Arial" w:eastAsia="Arial" w:hAnsi="Arial"/>
                <w:sz w:val="18"/>
                <w:szCs w:val="18"/>
                <w:color w:val="auto"/>
              </w:rPr>
              <w:t>Marketed products</w:t>
            </w:r>
            <w:r>
              <w:rPr>
                <w:rFonts w:ascii="Arial" w:cs="Arial" w:eastAsia="Arial" w:hAnsi="Arial"/>
                <w:sz w:val="21"/>
                <w:szCs w:val="21"/>
                <w:color w:val="auto"/>
                <w:vertAlign w:val="superscript"/>
              </w:rPr>
              <w:t>(1)</w:t>
            </w:r>
          </w:p>
        </w:tc>
        <w:tc>
          <w:tcPr>
            <w:tcW w:w="440" w:type="dxa"/>
            <w:vAlign w:val="bottom"/>
            <w:shd w:val="clear" w:color="auto" w:fill="D8D8D8"/>
          </w:tcPr>
          <w:p>
            <w:pPr>
              <w:spacing w:after="0"/>
              <w:rPr>
                <w:sz w:val="22"/>
                <w:szCs w:val="22"/>
                <w:color w:val="auto"/>
              </w:rPr>
            </w:pPr>
          </w:p>
        </w:tc>
        <w:tc>
          <w:tcPr>
            <w:tcW w:w="1040" w:type="dxa"/>
            <w:vAlign w:val="bottom"/>
            <w:shd w:val="clear" w:color="auto" w:fill="D8D8D8"/>
          </w:tcPr>
          <w:p>
            <w:pPr>
              <w:jc w:val="right"/>
              <w:ind w:right="10"/>
              <w:spacing w:after="0"/>
              <w:rPr>
                <w:sz w:val="20"/>
                <w:szCs w:val="20"/>
                <w:color w:val="auto"/>
              </w:rPr>
            </w:pPr>
            <w:r>
              <w:rPr>
                <w:rFonts w:ascii="Arial" w:cs="Arial" w:eastAsia="Arial" w:hAnsi="Arial"/>
                <w:sz w:val="18"/>
                <w:szCs w:val="18"/>
                <w:color w:val="auto"/>
              </w:rPr>
              <w:t>1,953.0</w:t>
            </w:r>
          </w:p>
        </w:tc>
      </w:tr>
      <w:tr>
        <w:trPr>
          <w:trHeight w:val="252"/>
        </w:trPr>
        <w:tc>
          <w:tcPr>
            <w:tcW w:w="9940" w:type="dxa"/>
            <w:vAlign w:val="bottom"/>
          </w:tcPr>
          <w:p>
            <w:pPr>
              <w:ind w:left="40"/>
              <w:spacing w:after="0"/>
              <w:rPr>
                <w:sz w:val="20"/>
                <w:szCs w:val="20"/>
                <w:color w:val="auto"/>
              </w:rPr>
            </w:pPr>
            <w:r>
              <w:rPr>
                <w:rFonts w:ascii="Arial" w:cs="Arial" w:eastAsia="Arial" w:hAnsi="Arial"/>
                <w:sz w:val="18"/>
                <w:szCs w:val="18"/>
                <w:color w:val="auto"/>
              </w:rPr>
              <w:t>Property and equipment</w:t>
            </w:r>
          </w:p>
        </w:tc>
        <w:tc>
          <w:tcPr>
            <w:tcW w:w="4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199.9</w:t>
            </w:r>
          </w:p>
        </w:tc>
      </w:tr>
      <w:tr>
        <w:trPr>
          <w:trHeight w:val="261"/>
        </w:trPr>
        <w:tc>
          <w:tcPr>
            <w:tcW w:w="9940" w:type="dxa"/>
            <w:vAlign w:val="bottom"/>
            <w:shd w:val="clear" w:color="auto" w:fill="D8D8D8"/>
          </w:tcPr>
          <w:p>
            <w:pPr>
              <w:ind w:left="40"/>
              <w:spacing w:after="0"/>
              <w:rPr>
                <w:sz w:val="20"/>
                <w:szCs w:val="20"/>
                <w:color w:val="auto"/>
              </w:rPr>
            </w:pPr>
            <w:r>
              <w:rPr>
                <w:rFonts w:ascii="Arial" w:cs="Arial" w:eastAsia="Arial" w:hAnsi="Arial"/>
                <w:sz w:val="18"/>
                <w:szCs w:val="18"/>
                <w:color w:val="auto"/>
              </w:rPr>
              <w:t>Assets held for sale (primarily the U.S. Sentinel rights)</w:t>
            </w:r>
          </w:p>
        </w:tc>
        <w:tc>
          <w:tcPr>
            <w:tcW w:w="440" w:type="dxa"/>
            <w:vAlign w:val="bottom"/>
            <w:shd w:val="clear" w:color="auto" w:fill="D8D8D8"/>
          </w:tcPr>
          <w:p>
            <w:pPr>
              <w:spacing w:after="0"/>
              <w:rPr>
                <w:sz w:val="22"/>
                <w:szCs w:val="22"/>
                <w:color w:val="auto"/>
              </w:rPr>
            </w:pPr>
          </w:p>
        </w:tc>
        <w:tc>
          <w:tcPr>
            <w:tcW w:w="1040" w:type="dxa"/>
            <w:vAlign w:val="bottom"/>
            <w:shd w:val="clear" w:color="auto" w:fill="D8D8D8"/>
          </w:tcPr>
          <w:p>
            <w:pPr>
              <w:jc w:val="right"/>
              <w:ind w:right="10"/>
              <w:spacing w:after="0"/>
              <w:rPr>
                <w:sz w:val="20"/>
                <w:szCs w:val="20"/>
                <w:color w:val="auto"/>
              </w:rPr>
            </w:pPr>
            <w:r>
              <w:rPr>
                <w:rFonts w:ascii="Arial" w:cs="Arial" w:eastAsia="Arial" w:hAnsi="Arial"/>
                <w:sz w:val="18"/>
                <w:szCs w:val="18"/>
                <w:color w:val="auto"/>
              </w:rPr>
              <w:t>422.7</w:t>
            </w:r>
          </w:p>
        </w:tc>
      </w:tr>
      <w:tr>
        <w:trPr>
          <w:trHeight w:val="252"/>
        </w:trPr>
        <w:tc>
          <w:tcPr>
            <w:tcW w:w="9940" w:type="dxa"/>
            <w:vAlign w:val="bottom"/>
          </w:tcPr>
          <w:p>
            <w:pPr>
              <w:ind w:left="40"/>
              <w:spacing w:after="0"/>
              <w:rPr>
                <w:sz w:val="20"/>
                <w:szCs w:val="20"/>
                <w:color w:val="auto"/>
              </w:rPr>
            </w:pPr>
            <w:r>
              <w:rPr>
                <w:rFonts w:ascii="Arial" w:cs="Arial" w:eastAsia="Arial" w:hAnsi="Arial"/>
                <w:sz w:val="18"/>
                <w:szCs w:val="18"/>
                <w:color w:val="auto"/>
              </w:rPr>
              <w:t>Accrued retirement benefits</w:t>
            </w:r>
          </w:p>
        </w:tc>
        <w:tc>
          <w:tcPr>
            <w:tcW w:w="4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(108.7)</w:t>
            </w:r>
          </w:p>
        </w:tc>
      </w:tr>
      <w:tr>
        <w:trPr>
          <w:trHeight w:val="261"/>
        </w:trPr>
        <w:tc>
          <w:tcPr>
            <w:tcW w:w="9940" w:type="dxa"/>
            <w:vAlign w:val="bottom"/>
            <w:shd w:val="clear" w:color="auto" w:fill="D8D8D8"/>
          </w:tcPr>
          <w:p>
            <w:pPr>
              <w:ind w:left="40"/>
              <w:spacing w:after="0"/>
              <w:rPr>
                <w:sz w:val="20"/>
                <w:szCs w:val="20"/>
                <w:color w:val="auto"/>
              </w:rPr>
            </w:pPr>
            <w:r>
              <w:rPr>
                <w:rFonts w:ascii="Arial" w:cs="Arial" w:eastAsia="Arial" w:hAnsi="Arial"/>
                <w:sz w:val="18"/>
                <w:szCs w:val="18"/>
                <w:color w:val="auto"/>
              </w:rPr>
              <w:t>Deferred income taxes</w:t>
            </w:r>
          </w:p>
        </w:tc>
        <w:tc>
          <w:tcPr>
            <w:tcW w:w="440" w:type="dxa"/>
            <w:vAlign w:val="bottom"/>
            <w:shd w:val="clear" w:color="auto" w:fill="D8D8D8"/>
          </w:tcPr>
          <w:p>
            <w:pPr>
              <w:spacing w:after="0"/>
              <w:rPr>
                <w:sz w:val="22"/>
                <w:szCs w:val="22"/>
                <w:color w:val="auto"/>
              </w:rPr>
            </w:pPr>
          </w:p>
        </w:tc>
        <w:tc>
          <w:tcPr>
            <w:tcW w:w="1040" w:type="dxa"/>
            <w:vAlign w:val="bottom"/>
            <w:shd w:val="clear" w:color="auto" w:fill="D8D8D8"/>
          </w:tcPr>
          <w:p>
            <w:pPr>
              <w:jc w:val="right"/>
              <w:spacing w:after="0"/>
              <w:rPr>
                <w:sz w:val="20"/>
                <w:szCs w:val="20"/>
                <w:color w:val="auto"/>
              </w:rPr>
            </w:pPr>
            <w:r>
              <w:rPr>
                <w:rFonts w:ascii="Arial" w:cs="Arial" w:eastAsia="Arial" w:hAnsi="Arial"/>
                <w:sz w:val="18"/>
                <w:szCs w:val="18"/>
                <w:color w:val="auto"/>
              </w:rPr>
              <w:t>(60.1)</w:t>
            </w:r>
          </w:p>
        </w:tc>
      </w:tr>
      <w:tr>
        <w:trPr>
          <w:trHeight w:val="252"/>
        </w:trPr>
        <w:tc>
          <w:tcPr>
            <w:tcW w:w="9940" w:type="dxa"/>
            <w:vAlign w:val="bottom"/>
            <w:tcBorders>
              <w:bottom w:val="single" w:sz="8" w:color="D8D8D8"/>
            </w:tcBorders>
          </w:tcPr>
          <w:p>
            <w:pPr>
              <w:ind w:left="40"/>
              <w:spacing w:after="0"/>
              <w:rPr>
                <w:sz w:val="20"/>
                <w:szCs w:val="20"/>
                <w:color w:val="auto"/>
              </w:rPr>
            </w:pPr>
            <w:r>
              <w:rPr>
                <w:rFonts w:ascii="Arial" w:cs="Arial" w:eastAsia="Arial" w:hAnsi="Arial"/>
                <w:sz w:val="18"/>
                <w:szCs w:val="18"/>
                <w:color w:val="auto"/>
              </w:rPr>
              <w:t>Other assets and liabilities - net</w:t>
            </w:r>
          </w:p>
        </w:tc>
        <w:tc>
          <w:tcPr>
            <w:tcW w:w="4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(73.0)</w:t>
            </w:r>
          </w:p>
        </w:tc>
      </w:tr>
      <w:tr>
        <w:trPr>
          <w:trHeight w:val="255"/>
        </w:trPr>
        <w:tc>
          <w:tcPr>
            <w:tcW w:w="9940" w:type="dxa"/>
            <w:vAlign w:val="bottom"/>
            <w:shd w:val="clear" w:color="auto" w:fill="D8D8D8"/>
          </w:tcPr>
          <w:p>
            <w:pPr>
              <w:ind w:left="40"/>
              <w:spacing w:after="0"/>
              <w:rPr>
                <w:sz w:val="20"/>
                <w:szCs w:val="20"/>
                <w:color w:val="auto"/>
              </w:rPr>
            </w:pPr>
            <w:r>
              <w:rPr>
                <w:rFonts w:ascii="Arial" w:cs="Arial" w:eastAsia="Arial" w:hAnsi="Arial"/>
                <w:sz w:val="18"/>
                <w:szCs w:val="18"/>
                <w:color w:val="auto"/>
              </w:rPr>
              <w:t>Total identifiable net assets</w:t>
            </w:r>
          </w:p>
        </w:tc>
        <w:tc>
          <w:tcPr>
            <w:tcW w:w="440" w:type="dxa"/>
            <w:vAlign w:val="bottom"/>
            <w:shd w:val="clear" w:color="auto" w:fill="D8D8D8"/>
          </w:tcPr>
          <w:p>
            <w:pPr>
              <w:spacing w:after="0"/>
              <w:rPr>
                <w:sz w:val="22"/>
                <w:szCs w:val="22"/>
                <w:color w:val="auto"/>
              </w:rPr>
            </w:pPr>
          </w:p>
        </w:tc>
        <w:tc>
          <w:tcPr>
            <w:tcW w:w="1040" w:type="dxa"/>
            <w:vAlign w:val="bottom"/>
            <w:shd w:val="clear" w:color="auto" w:fill="D8D8D8"/>
          </w:tcPr>
          <w:p>
            <w:pPr>
              <w:jc w:val="right"/>
              <w:ind w:right="10"/>
              <w:spacing w:after="0"/>
              <w:rPr>
                <w:sz w:val="20"/>
                <w:szCs w:val="20"/>
                <w:color w:val="auto"/>
              </w:rPr>
            </w:pPr>
            <w:r>
              <w:rPr>
                <w:rFonts w:ascii="Arial" w:cs="Arial" w:eastAsia="Arial" w:hAnsi="Arial"/>
                <w:sz w:val="18"/>
                <w:szCs w:val="18"/>
                <w:color w:val="auto"/>
              </w:rPr>
              <w:t>3,012.0</w:t>
            </w:r>
          </w:p>
        </w:tc>
      </w:tr>
      <w:tr>
        <w:trPr>
          <w:trHeight w:val="257"/>
        </w:trPr>
        <w:tc>
          <w:tcPr>
            <w:tcW w:w="9940" w:type="dxa"/>
            <w:vAlign w:val="bottom"/>
            <w:tcBorders>
              <w:bottom w:val="single" w:sz="8" w:color="D8D8D8"/>
            </w:tcBorders>
          </w:tcPr>
          <w:p>
            <w:pPr>
              <w:ind w:left="40"/>
              <w:spacing w:after="0"/>
              <w:rPr>
                <w:sz w:val="20"/>
                <w:szCs w:val="20"/>
                <w:color w:val="auto"/>
              </w:rPr>
            </w:pPr>
            <w:r>
              <w:rPr>
                <w:rFonts w:ascii="Arial" w:cs="Arial" w:eastAsia="Arial" w:hAnsi="Arial"/>
                <w:sz w:val="18"/>
                <w:szCs w:val="18"/>
                <w:color w:val="auto"/>
              </w:rPr>
              <w:t>Goodwill</w:t>
            </w:r>
            <w:r>
              <w:rPr>
                <w:rFonts w:ascii="Arial" w:cs="Arial" w:eastAsia="Arial" w:hAnsi="Arial"/>
                <w:sz w:val="21"/>
                <w:szCs w:val="21"/>
                <w:color w:val="auto"/>
                <w:vertAlign w:val="superscript"/>
              </w:rPr>
              <w:t>(2)</w:t>
            </w:r>
          </w:p>
        </w:tc>
        <w:tc>
          <w:tcPr>
            <w:tcW w:w="4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2,271.1</w:t>
            </w:r>
          </w:p>
        </w:tc>
      </w:tr>
      <w:tr>
        <w:trPr>
          <w:trHeight w:val="257"/>
        </w:trPr>
        <w:tc>
          <w:tcPr>
            <w:tcW w:w="9940" w:type="dxa"/>
            <w:vAlign w:val="bottom"/>
            <w:tcBorders>
              <w:bottom w:val="single" w:sz="8" w:color="D8D8D8"/>
            </w:tcBorders>
            <w:shd w:val="clear" w:color="auto" w:fill="D8D8D8"/>
          </w:tcPr>
          <w:p>
            <w:pPr>
              <w:ind w:left="40"/>
              <w:spacing w:after="0"/>
              <w:rPr>
                <w:sz w:val="20"/>
                <w:szCs w:val="20"/>
                <w:color w:val="auto"/>
              </w:rPr>
            </w:pPr>
            <w:r>
              <w:rPr>
                <w:rFonts w:ascii="Arial" w:cs="Arial" w:eastAsia="Arial" w:hAnsi="Arial"/>
                <w:sz w:val="18"/>
                <w:szCs w:val="18"/>
                <w:color w:val="auto"/>
              </w:rPr>
              <w:t>Total consideration transferred - net of cash acquired</w:t>
            </w:r>
          </w:p>
        </w:tc>
        <w:tc>
          <w:tcPr>
            <w:tcW w:w="440" w:type="dxa"/>
            <w:vAlign w:val="bottom"/>
            <w:tcBorders>
              <w:bottom w:val="single" w:sz="8" w:color="auto"/>
            </w:tcBorders>
            <w:shd w:val="clear" w:color="auto" w:fill="D8D8D8"/>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D8D8D8"/>
          </w:tcPr>
          <w:p>
            <w:pPr>
              <w:jc w:val="right"/>
              <w:ind w:right="10"/>
              <w:spacing w:after="0"/>
              <w:rPr>
                <w:sz w:val="20"/>
                <w:szCs w:val="20"/>
                <w:color w:val="auto"/>
              </w:rPr>
            </w:pPr>
            <w:r>
              <w:rPr>
                <w:rFonts w:ascii="Arial" w:cs="Arial" w:eastAsia="Arial" w:hAnsi="Arial"/>
                <w:sz w:val="18"/>
                <w:szCs w:val="18"/>
                <w:color w:val="auto"/>
              </w:rPr>
              <w:t>5,283.1</w:t>
            </w:r>
          </w:p>
        </w:tc>
      </w:tr>
    </w:tbl>
    <w:p>
      <w:pPr>
        <w:spacing w:after="0" w:line="95" w:lineRule="exact"/>
        <w:rPr>
          <w:sz w:val="20"/>
          <w:szCs w:val="20"/>
          <w:color w:val="auto"/>
        </w:rPr>
      </w:pPr>
    </w:p>
    <w:p>
      <w:pPr>
        <w:ind w:left="180" w:right="140" w:hanging="172"/>
        <w:spacing w:after="0" w:line="239" w:lineRule="auto"/>
        <w:tabs>
          <w:tab w:leader="none" w:pos="153" w:val="left"/>
        </w:tabs>
        <w:numPr>
          <w:ilvl w:val="0"/>
          <w:numId w:val="53"/>
        </w:numPr>
        <w:rPr>
          <w:rFonts w:ascii="Arial" w:cs="Arial" w:eastAsia="Arial" w:hAnsi="Arial"/>
          <w:sz w:val="17"/>
          <w:szCs w:val="17"/>
          <w:color w:val="auto"/>
          <w:vertAlign w:val="superscript"/>
        </w:rPr>
      </w:pPr>
      <w:r>
        <w:rPr>
          <w:rFonts w:ascii="Arial" w:cs="Arial" w:eastAsia="Arial" w:hAnsi="Arial"/>
          <w:sz w:val="14"/>
          <w:szCs w:val="14"/>
          <w:color w:val="auto"/>
        </w:rPr>
        <w:t>These intangible assets, which will be amortized to cost of sales on a straight-line basis over their estimated useful lives, are expected to have a weighted average useful life of 19 years.</w:t>
      </w:r>
    </w:p>
    <w:p>
      <w:pPr>
        <w:spacing w:after="0" w:line="77" w:lineRule="exact"/>
        <w:rPr>
          <w:rFonts w:ascii="Arial" w:cs="Arial" w:eastAsia="Arial" w:hAnsi="Arial"/>
          <w:sz w:val="17"/>
          <w:szCs w:val="17"/>
          <w:color w:val="auto"/>
          <w:vertAlign w:val="superscript"/>
        </w:rPr>
      </w:pPr>
    </w:p>
    <w:p>
      <w:pPr>
        <w:ind w:left="180" w:right="280" w:hanging="172"/>
        <w:spacing w:after="0"/>
        <w:tabs>
          <w:tab w:leader="none" w:pos="153" w:val="left"/>
        </w:tabs>
        <w:numPr>
          <w:ilvl w:val="0"/>
          <w:numId w:val="53"/>
        </w:numPr>
        <w:rPr>
          <w:rFonts w:ascii="Arial" w:cs="Arial" w:eastAsia="Arial" w:hAnsi="Arial"/>
          <w:sz w:val="17"/>
          <w:szCs w:val="17"/>
          <w:color w:val="auto"/>
          <w:vertAlign w:val="superscript"/>
        </w:rPr>
      </w:pPr>
      <w:r>
        <w:rPr>
          <w:rFonts w:ascii="Arial" w:cs="Arial" w:eastAsia="Arial" w:hAnsi="Arial"/>
          <w:sz w:val="14"/>
          <w:szCs w:val="14"/>
          <w:color w:val="auto"/>
        </w:rPr>
        <w:t>The goodwill recognized from this acquisition is attributable primarily to expected synergies that we believe will result from combining the operations of Novartis AH with our legacy animal health business, future unidentified projects and products, and the assembled workforce of Novartis AH. Approximately $950 million of the goodwill associated with this acquisition is estimated to be deductible for tax purposes.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Actual and Supplemental Pro Forma Information</w:t>
      </w:r>
    </w:p>
    <w:p>
      <w:pPr>
        <w:spacing w:after="0" w:line="115"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Our consolidated statement of operations for the year ended December 31, 2015 includes Novartis AH revenue of $1.02 billion. Novartis AH has been partially integrated into our animal health segment and as a result of these integration efforts, certain parts of the animal health business are operating on a combined basis, and we cannot distinguish the operations between Novartis AH and our legacy animal health business.</w:t>
      </w:r>
    </w:p>
    <w:p>
      <w:pPr>
        <w:spacing w:after="0" w:line="19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63</w:t>
      </w:r>
    </w:p>
    <w:p>
      <w:pPr>
        <w:sectPr>
          <w:pgSz w:w="11900" w:h="16838" w:orient="portrait"/>
          <w:cols w:equalWidth="0" w:num="1">
            <w:col w:w="11420"/>
          </w:cols>
          <w:pgMar w:left="240" w:top="736" w:right="239" w:bottom="1440" w:gutter="0" w:footer="0" w:header="0"/>
        </w:sectPr>
      </w:pPr>
    </w:p>
    <w:bookmarkStart w:id="63" w:name="page64"/>
    <w:bookmarkEnd w:id="63"/>
    <w:p>
      <w:pPr>
        <w:ind w:right="60"/>
        <w:spacing w:after="0" w:line="258" w:lineRule="auto"/>
        <w:rPr>
          <w:sz w:val="20"/>
          <w:szCs w:val="20"/>
          <w:color w:val="auto"/>
        </w:rPr>
      </w:pPr>
      <w:r>
        <w:rPr>
          <w:rFonts w:ascii="Arial" w:cs="Arial" w:eastAsia="Arial" w:hAnsi="Arial"/>
          <w:sz w:val="18"/>
          <w:szCs w:val="18"/>
          <w:color w:val="auto"/>
        </w:rPr>
        <w:t>The following unaudited pro forma financial information presents the combined consolidated results of our operations with Novartis AH as if the portion of Novartis AH that we retained after the sale to Virbac had been acquired as of January 1, 2014. We have adjusted the historical consolidated financial information to give effect to pro forma events that are directly attributable to the acquisition. The unaudited pro forma financial information is not necessarily indicative of what our consolidated results of operations would have been had we completed the acquisition at the beginning of 2014. In addition, the unaudited pro forma financial information does not attempt to project the future results of operations of our combined company.</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420" w:type="dxa"/>
            <w:vAlign w:val="bottom"/>
          </w:tcPr>
          <w:p>
            <w:pPr>
              <w:spacing w:after="0"/>
              <w:rPr>
                <w:sz w:val="17"/>
                <w:szCs w:val="17"/>
                <w:color w:val="auto"/>
              </w:rPr>
            </w:pPr>
          </w:p>
        </w:tc>
        <w:tc>
          <w:tcPr>
            <w:tcW w:w="4000" w:type="dxa"/>
            <w:vAlign w:val="bottom"/>
            <w:tcBorders>
              <w:bottom w:val="single" w:sz="8" w:color="auto"/>
            </w:tcBorders>
            <w:gridSpan w:val="4"/>
          </w:tcPr>
          <w:p>
            <w:pPr>
              <w:jc w:val="right"/>
              <w:ind w:right="414"/>
              <w:spacing w:after="0"/>
              <w:rPr>
                <w:sz w:val="20"/>
                <w:szCs w:val="20"/>
                <w:color w:val="auto"/>
              </w:rPr>
            </w:pPr>
            <w:r>
              <w:rPr>
                <w:rFonts w:ascii="Arial" w:cs="Arial" w:eastAsia="Arial" w:hAnsi="Arial"/>
                <w:sz w:val="14"/>
                <w:szCs w:val="14"/>
                <w:b w:val="1"/>
                <w:bCs w:val="1"/>
                <w:color w:val="auto"/>
              </w:rPr>
              <w:t>Unaudited Pro Forma Consolidated Results</w:t>
            </w:r>
          </w:p>
        </w:tc>
      </w:tr>
      <w:tr>
        <w:trPr>
          <w:trHeight w:val="264"/>
        </w:trPr>
        <w:tc>
          <w:tcPr>
            <w:tcW w:w="74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8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734"/>
              <w:spacing w:after="0"/>
              <w:rPr>
                <w:sz w:val="20"/>
                <w:szCs w:val="20"/>
                <w:color w:val="auto"/>
              </w:rPr>
            </w:pPr>
            <w:r>
              <w:rPr>
                <w:rFonts w:ascii="Arial" w:cs="Arial" w:eastAsia="Arial" w:hAnsi="Arial"/>
                <w:sz w:val="14"/>
                <w:szCs w:val="14"/>
                <w:b w:val="1"/>
                <w:bCs w:val="1"/>
                <w:color w:val="auto"/>
              </w:rPr>
              <w:t>2014</w:t>
            </w:r>
          </w:p>
        </w:tc>
      </w:tr>
      <w:tr>
        <w:trPr>
          <w:trHeight w:val="265"/>
        </w:trPr>
        <w:tc>
          <w:tcPr>
            <w:tcW w:w="7420" w:type="dxa"/>
            <w:vAlign w:val="bottom"/>
            <w:shd w:val="clear" w:color="auto" w:fill="D8D8D8"/>
          </w:tcPr>
          <w:p>
            <w:pPr>
              <w:ind w:left="40"/>
              <w:spacing w:after="0"/>
              <w:rPr>
                <w:sz w:val="20"/>
                <w:szCs w:val="20"/>
                <w:color w:val="auto"/>
              </w:rPr>
            </w:pPr>
            <w:r>
              <w:rPr>
                <w:rFonts w:ascii="Arial" w:cs="Arial" w:eastAsia="Arial" w:hAnsi="Arial"/>
                <w:sz w:val="18"/>
                <w:szCs w:val="18"/>
                <w:color w:val="auto"/>
              </w:rPr>
              <w:t>Revenue</w:t>
            </w:r>
          </w:p>
        </w:tc>
        <w:tc>
          <w:tcPr>
            <w:tcW w:w="1140" w:type="dxa"/>
            <w:vAlign w:val="bottom"/>
            <w:shd w:val="clear" w:color="auto" w:fill="D8D8D8"/>
          </w:tcPr>
          <w:p>
            <w:pPr>
              <w:jc w:val="right"/>
              <w:ind w:right="942"/>
              <w:spacing w:after="0"/>
              <w:rPr>
                <w:sz w:val="20"/>
                <w:szCs w:val="20"/>
                <w:color w:val="auto"/>
              </w:rPr>
            </w:pPr>
            <w:r>
              <w:rPr>
                <w:rFonts w:ascii="Arial" w:cs="Arial" w:eastAsia="Arial" w:hAnsi="Arial"/>
                <w:sz w:val="18"/>
                <w:szCs w:val="18"/>
                <w:b w:val="1"/>
                <w:bCs w:val="1"/>
                <w:color w:val="auto"/>
                <w:w w:val="99"/>
              </w:rPr>
              <w:t>$</w:t>
            </w:r>
          </w:p>
        </w:tc>
        <w:tc>
          <w:tcPr>
            <w:tcW w:w="820" w:type="dxa"/>
            <w:vAlign w:val="bottom"/>
            <w:shd w:val="clear" w:color="auto" w:fill="D8D8D8"/>
          </w:tcPr>
          <w:p>
            <w:pPr>
              <w:jc w:val="right"/>
              <w:ind w:right="30"/>
              <w:spacing w:after="0"/>
              <w:rPr>
                <w:sz w:val="20"/>
                <w:szCs w:val="20"/>
                <w:color w:val="auto"/>
              </w:rPr>
            </w:pPr>
            <w:r>
              <w:rPr>
                <w:rFonts w:ascii="Arial" w:cs="Arial" w:eastAsia="Arial" w:hAnsi="Arial"/>
                <w:sz w:val="18"/>
                <w:szCs w:val="18"/>
                <w:b w:val="1"/>
                <w:bCs w:val="1"/>
                <w:color w:val="auto"/>
                <w:w w:val="96"/>
              </w:rPr>
              <w:t>19,958.7</w:t>
            </w:r>
          </w:p>
        </w:tc>
        <w:tc>
          <w:tcPr>
            <w:tcW w:w="560" w:type="dxa"/>
            <w:vAlign w:val="bottom"/>
            <w:shd w:val="clear" w:color="auto" w:fill="D8D8D8"/>
          </w:tcPr>
          <w:p>
            <w:pPr>
              <w:jc w:val="right"/>
              <w:ind w:right="250"/>
              <w:spacing w:after="0"/>
              <w:rPr>
                <w:sz w:val="20"/>
                <w:szCs w:val="20"/>
                <w:color w:val="auto"/>
              </w:rPr>
            </w:pPr>
            <w:r>
              <w:rPr>
                <w:rFonts w:ascii="Arial" w:cs="Arial" w:eastAsia="Arial" w:hAnsi="Arial"/>
                <w:sz w:val="18"/>
                <w:szCs w:val="18"/>
                <w:color w:val="auto"/>
              </w:rPr>
              <w:t>$</w:t>
            </w:r>
          </w:p>
        </w:tc>
        <w:tc>
          <w:tcPr>
            <w:tcW w:w="1480" w:type="dxa"/>
            <w:vAlign w:val="bottom"/>
            <w:shd w:val="clear" w:color="auto" w:fill="D8D8D8"/>
          </w:tcPr>
          <w:p>
            <w:pPr>
              <w:jc w:val="right"/>
              <w:ind w:right="14"/>
              <w:spacing w:after="0"/>
              <w:rPr>
                <w:sz w:val="20"/>
                <w:szCs w:val="20"/>
                <w:color w:val="auto"/>
              </w:rPr>
            </w:pPr>
            <w:r>
              <w:rPr>
                <w:rFonts w:ascii="Arial" w:cs="Arial" w:eastAsia="Arial" w:hAnsi="Arial"/>
                <w:sz w:val="18"/>
                <w:szCs w:val="18"/>
                <w:color w:val="auto"/>
              </w:rPr>
              <w:t>20,696.7</w:t>
            </w:r>
          </w:p>
        </w:tc>
      </w:tr>
      <w:tr>
        <w:trPr>
          <w:trHeight w:val="269"/>
        </w:trPr>
        <w:tc>
          <w:tcPr>
            <w:tcW w:w="742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140" w:type="dxa"/>
            <w:vAlign w:val="bottom"/>
          </w:tcPr>
          <w:p>
            <w:pPr>
              <w:spacing w:after="0"/>
              <w:rPr>
                <w:sz w:val="23"/>
                <w:szCs w:val="23"/>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b w:val="1"/>
                <w:bCs w:val="1"/>
                <w:color w:val="auto"/>
              </w:rPr>
              <w:t>2,518.1</w:t>
            </w:r>
          </w:p>
        </w:tc>
        <w:tc>
          <w:tcPr>
            <w:tcW w:w="560" w:type="dxa"/>
            <w:vAlign w:val="bottom"/>
          </w:tcPr>
          <w:p>
            <w:pPr>
              <w:spacing w:after="0"/>
              <w:rPr>
                <w:sz w:val="23"/>
                <w:szCs w:val="23"/>
                <w:color w:val="auto"/>
              </w:rPr>
            </w:pP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2,127.9</w:t>
            </w:r>
          </w:p>
        </w:tc>
      </w:tr>
      <w:tr>
        <w:trPr>
          <w:trHeight w:val="271"/>
        </w:trPr>
        <w:tc>
          <w:tcPr>
            <w:tcW w:w="7420" w:type="dxa"/>
            <w:vAlign w:val="bottom"/>
            <w:shd w:val="clear" w:color="auto" w:fill="D8D8D8"/>
          </w:tcPr>
          <w:p>
            <w:pPr>
              <w:ind w:left="40"/>
              <w:spacing w:after="0"/>
              <w:rPr>
                <w:sz w:val="20"/>
                <w:szCs w:val="20"/>
                <w:color w:val="auto"/>
              </w:rPr>
            </w:pPr>
            <w:r>
              <w:rPr>
                <w:rFonts w:ascii="Arial" w:cs="Arial" w:eastAsia="Arial" w:hAnsi="Arial"/>
                <w:sz w:val="18"/>
                <w:szCs w:val="18"/>
                <w:color w:val="auto"/>
              </w:rPr>
              <w:t>Diluted earnings per share</w:t>
            </w:r>
          </w:p>
        </w:tc>
        <w:tc>
          <w:tcPr>
            <w:tcW w:w="1140" w:type="dxa"/>
            <w:vAlign w:val="bottom"/>
            <w:shd w:val="clear" w:color="auto" w:fill="D8D8D8"/>
          </w:tcPr>
          <w:p>
            <w:pPr>
              <w:spacing w:after="0"/>
              <w:rPr>
                <w:sz w:val="23"/>
                <w:szCs w:val="23"/>
                <w:color w:val="auto"/>
              </w:rPr>
            </w:pPr>
          </w:p>
        </w:tc>
        <w:tc>
          <w:tcPr>
            <w:tcW w:w="820" w:type="dxa"/>
            <w:vAlign w:val="bottom"/>
            <w:shd w:val="clear" w:color="auto" w:fill="D8D8D8"/>
          </w:tcPr>
          <w:p>
            <w:pPr>
              <w:jc w:val="right"/>
              <w:ind w:right="30"/>
              <w:spacing w:after="0"/>
              <w:rPr>
                <w:sz w:val="20"/>
                <w:szCs w:val="20"/>
                <w:color w:val="auto"/>
              </w:rPr>
            </w:pPr>
            <w:r>
              <w:rPr>
                <w:rFonts w:ascii="Arial" w:cs="Arial" w:eastAsia="Arial" w:hAnsi="Arial"/>
                <w:sz w:val="18"/>
                <w:szCs w:val="18"/>
                <w:b w:val="1"/>
                <w:bCs w:val="1"/>
                <w:color w:val="auto"/>
              </w:rPr>
              <w:t>2.36</w:t>
            </w:r>
          </w:p>
        </w:tc>
        <w:tc>
          <w:tcPr>
            <w:tcW w:w="560" w:type="dxa"/>
            <w:vAlign w:val="bottom"/>
            <w:shd w:val="clear" w:color="auto" w:fill="D8D8D8"/>
          </w:tcPr>
          <w:p>
            <w:pPr>
              <w:spacing w:after="0"/>
              <w:rPr>
                <w:sz w:val="23"/>
                <w:szCs w:val="23"/>
                <w:color w:val="auto"/>
              </w:rPr>
            </w:pPr>
          </w:p>
        </w:tc>
        <w:tc>
          <w:tcPr>
            <w:tcW w:w="1480" w:type="dxa"/>
            <w:vAlign w:val="bottom"/>
            <w:shd w:val="clear" w:color="auto" w:fill="D8D8D8"/>
          </w:tcPr>
          <w:p>
            <w:pPr>
              <w:jc w:val="right"/>
              <w:ind w:right="14"/>
              <w:spacing w:after="0"/>
              <w:rPr>
                <w:sz w:val="20"/>
                <w:szCs w:val="20"/>
                <w:color w:val="auto"/>
              </w:rPr>
            </w:pPr>
            <w:r>
              <w:rPr>
                <w:rFonts w:ascii="Arial" w:cs="Arial" w:eastAsia="Arial" w:hAnsi="Arial"/>
                <w:sz w:val="18"/>
                <w:szCs w:val="18"/>
                <w:color w:val="auto"/>
              </w:rPr>
              <w:t>1.98</w:t>
            </w:r>
          </w:p>
        </w:tc>
      </w:tr>
    </w:tbl>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The unaudited pro forma financial information above reflects primarily the following pro forma pretax adjustments:</w:t>
      </w:r>
    </w:p>
    <w:p>
      <w:pPr>
        <w:spacing w:after="0" w:line="117" w:lineRule="exact"/>
        <w:rPr>
          <w:sz w:val="20"/>
          <w:szCs w:val="20"/>
          <w:color w:val="auto"/>
        </w:rPr>
      </w:pPr>
    </w:p>
    <w:p>
      <w:pPr>
        <w:ind w:left="660" w:right="560" w:hanging="328"/>
        <w:spacing w:after="0" w:line="292" w:lineRule="auto"/>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Additional amortization expense of approximately $104 million for the year ended December 31, 2014, related to the fair value of identifiable intangible assets acquired.</w:t>
      </w:r>
    </w:p>
    <w:p>
      <w:pPr>
        <w:spacing w:after="0" w:line="36" w:lineRule="exact"/>
        <w:rPr>
          <w:rFonts w:ascii="Arial" w:cs="Arial" w:eastAsia="Arial" w:hAnsi="Arial"/>
          <w:sz w:val="18"/>
          <w:szCs w:val="18"/>
          <w:color w:val="auto"/>
        </w:rPr>
      </w:pPr>
    </w:p>
    <w:p>
      <w:pPr>
        <w:ind w:left="660" w:right="40" w:hanging="328"/>
        <w:spacing w:after="0" w:line="292" w:lineRule="auto"/>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Additional cost of sales in 2014, and a corresponding reduction in cost of sales in 2015, of approximately $153 million related to the fair value adjustments to acquisition date inventory that has been sold in the year ended December 31, 2015.</w:t>
      </w:r>
    </w:p>
    <w:p>
      <w:pPr>
        <w:spacing w:after="0" w:line="36" w:lineRule="exact"/>
        <w:rPr>
          <w:rFonts w:ascii="Arial" w:cs="Arial" w:eastAsia="Arial" w:hAnsi="Arial"/>
          <w:sz w:val="18"/>
          <w:szCs w:val="18"/>
          <w:color w:val="auto"/>
        </w:rPr>
      </w:pPr>
    </w:p>
    <w:p>
      <w:pPr>
        <w:jc w:val="both"/>
        <w:ind w:left="660" w:right="100" w:hanging="328"/>
        <w:spacing w:after="0" w:line="271" w:lineRule="auto"/>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 decrease to pro forma net income of approximately $112 million in the year ended December 31, 2014, associated with an increase to interest expense related to the incremental debt that we issued to partially finance the acquisition and a reduction of interest income associated with investments which would have been used to partially fund the acquisition.</w:t>
      </w:r>
    </w:p>
    <w:p>
      <w:pPr>
        <w:spacing w:after="0" w:line="55" w:lineRule="exact"/>
        <w:rPr>
          <w:sz w:val="20"/>
          <w:szCs w:val="20"/>
          <w:color w:val="auto"/>
        </w:rPr>
      </w:pPr>
    </w:p>
    <w:p>
      <w:pPr>
        <w:ind w:right="200"/>
        <w:spacing w:after="0" w:line="292" w:lineRule="auto"/>
        <w:rPr>
          <w:sz w:val="20"/>
          <w:szCs w:val="20"/>
          <w:color w:val="auto"/>
        </w:rPr>
      </w:pPr>
      <w:r>
        <w:rPr>
          <w:rFonts w:ascii="Arial" w:cs="Arial" w:eastAsia="Arial" w:hAnsi="Arial"/>
          <w:sz w:val="18"/>
          <w:szCs w:val="18"/>
          <w:color w:val="auto"/>
        </w:rPr>
        <w:t>In addition, all of the above adjustments were adjusted for the applicable tax impact. The taxes associated with the adjustments above reflect the statutory tax rates in the various jurisdictions where the fair value adjustments occurred.</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Lohmann AH Acquisition</w:t>
      </w:r>
    </w:p>
    <w:p>
      <w:pPr>
        <w:spacing w:after="0" w:line="11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On April 30, 2014, we acquired Lohmann AH, a privately-held company headquartered in Cuxhaven, Germany, through a stock purchase for a total purchase price of $591.2 million, comprised of $551.4 million of net cash plus $39.8 million of assumed debt. Lohmann AH was a global leader in poultry vaccines. As part of this transaction, we acquired the rights to a range of vaccines, commercial capabilities, and manufacturing sites in Germany and the U.S. The acquisition was not material to our consolidated financial statements.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amounts recognized for assets acquired and liabilities assumed as of the acquisition date:</w:t>
      </w:r>
    </w:p>
    <w:p>
      <w:pPr>
        <w:spacing w:after="0" w:line="179"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Estimated Fair Value at April 30, 2014</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9940" w:type="dxa"/>
            <w:vAlign w:val="bottom"/>
            <w:tcBorders>
              <w:top w:val="single" w:sz="8" w:color="auto"/>
            </w:tcBorders>
            <w:shd w:val="clear" w:color="auto" w:fill="D8D8D8"/>
          </w:tcPr>
          <w:p>
            <w:pPr>
              <w:ind w:left="40"/>
              <w:spacing w:after="0"/>
              <w:rPr>
                <w:sz w:val="20"/>
                <w:szCs w:val="20"/>
                <w:color w:val="auto"/>
              </w:rPr>
            </w:pPr>
            <w:r>
              <w:rPr>
                <w:rFonts w:ascii="Arial" w:cs="Arial" w:eastAsia="Arial" w:hAnsi="Arial"/>
                <w:sz w:val="18"/>
                <w:szCs w:val="18"/>
                <w:color w:val="auto"/>
              </w:rPr>
              <w:t>Marketed products</w:t>
            </w:r>
          </w:p>
        </w:tc>
        <w:tc>
          <w:tcPr>
            <w:tcW w:w="520" w:type="dxa"/>
            <w:vAlign w:val="bottom"/>
            <w:tcBorders>
              <w:top w:val="single" w:sz="8" w:color="auto"/>
            </w:tcBorders>
            <w:shd w:val="clear" w:color="auto" w:fill="D8D8D8"/>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D8D8D8"/>
          </w:tcPr>
          <w:p>
            <w:pPr>
              <w:jc w:val="right"/>
              <w:ind w:right="10"/>
              <w:spacing w:after="0"/>
              <w:rPr>
                <w:sz w:val="20"/>
                <w:szCs w:val="20"/>
                <w:color w:val="auto"/>
              </w:rPr>
            </w:pPr>
            <w:r>
              <w:rPr>
                <w:rFonts w:ascii="Arial" w:cs="Arial" w:eastAsia="Arial" w:hAnsi="Arial"/>
                <w:sz w:val="18"/>
                <w:szCs w:val="18"/>
                <w:color w:val="auto"/>
              </w:rPr>
              <w:t>275.4</w:t>
            </w:r>
          </w:p>
        </w:tc>
      </w:tr>
      <w:tr>
        <w:trPr>
          <w:trHeight w:val="252"/>
        </w:trPr>
        <w:tc>
          <w:tcPr>
            <w:tcW w:w="9940" w:type="dxa"/>
            <w:vAlign w:val="bottom"/>
          </w:tcPr>
          <w:p>
            <w:pPr>
              <w:ind w:left="40"/>
              <w:spacing w:after="0"/>
              <w:rPr>
                <w:sz w:val="20"/>
                <w:szCs w:val="20"/>
                <w:color w:val="auto"/>
              </w:rPr>
            </w:pPr>
            <w:r>
              <w:rPr>
                <w:rFonts w:ascii="Arial" w:cs="Arial" w:eastAsia="Arial" w:hAnsi="Arial"/>
                <w:sz w:val="18"/>
                <w:szCs w:val="18"/>
                <w:color w:val="auto"/>
              </w:rPr>
              <w:t>Other intangible assets</w:t>
            </w: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23.9</w:t>
            </w:r>
          </w:p>
        </w:tc>
      </w:tr>
      <w:tr>
        <w:trPr>
          <w:trHeight w:val="261"/>
        </w:trPr>
        <w:tc>
          <w:tcPr>
            <w:tcW w:w="9940" w:type="dxa"/>
            <w:vAlign w:val="bottom"/>
            <w:shd w:val="clear" w:color="auto" w:fill="D8D8D8"/>
          </w:tcPr>
          <w:p>
            <w:pPr>
              <w:ind w:left="40"/>
              <w:spacing w:after="0"/>
              <w:rPr>
                <w:sz w:val="20"/>
                <w:szCs w:val="20"/>
                <w:color w:val="auto"/>
              </w:rPr>
            </w:pPr>
            <w:r>
              <w:rPr>
                <w:rFonts w:ascii="Arial" w:cs="Arial" w:eastAsia="Arial" w:hAnsi="Arial"/>
                <w:sz w:val="18"/>
                <w:szCs w:val="18"/>
                <w:color w:val="auto"/>
              </w:rPr>
              <w:t>Property and equipment</w:t>
            </w:r>
          </w:p>
        </w:tc>
        <w:tc>
          <w:tcPr>
            <w:tcW w:w="520" w:type="dxa"/>
            <w:vAlign w:val="bottom"/>
            <w:shd w:val="clear" w:color="auto" w:fill="D8D8D8"/>
          </w:tcPr>
          <w:p>
            <w:pPr>
              <w:spacing w:after="0"/>
              <w:rPr>
                <w:sz w:val="22"/>
                <w:szCs w:val="22"/>
                <w:color w:val="auto"/>
              </w:rPr>
            </w:pPr>
          </w:p>
        </w:tc>
        <w:tc>
          <w:tcPr>
            <w:tcW w:w="960" w:type="dxa"/>
            <w:vAlign w:val="bottom"/>
            <w:shd w:val="clear" w:color="auto" w:fill="D8D8D8"/>
          </w:tcPr>
          <w:p>
            <w:pPr>
              <w:jc w:val="right"/>
              <w:ind w:right="10"/>
              <w:spacing w:after="0"/>
              <w:rPr>
                <w:sz w:val="20"/>
                <w:szCs w:val="20"/>
                <w:color w:val="auto"/>
              </w:rPr>
            </w:pPr>
            <w:r>
              <w:rPr>
                <w:rFonts w:ascii="Arial" w:cs="Arial" w:eastAsia="Arial" w:hAnsi="Arial"/>
                <w:sz w:val="18"/>
                <w:szCs w:val="18"/>
                <w:color w:val="auto"/>
              </w:rPr>
              <w:t>81.9</w:t>
            </w:r>
          </w:p>
        </w:tc>
      </w:tr>
      <w:tr>
        <w:trPr>
          <w:trHeight w:val="252"/>
        </w:trPr>
        <w:tc>
          <w:tcPr>
            <w:tcW w:w="9940" w:type="dxa"/>
            <w:vAlign w:val="bottom"/>
          </w:tcPr>
          <w:p>
            <w:pPr>
              <w:ind w:left="40"/>
              <w:spacing w:after="0"/>
              <w:rPr>
                <w:sz w:val="20"/>
                <w:szCs w:val="20"/>
                <w:color w:val="auto"/>
              </w:rPr>
            </w:pPr>
            <w:r>
              <w:rPr>
                <w:rFonts w:ascii="Arial" w:cs="Arial" w:eastAsia="Arial" w:hAnsi="Arial"/>
                <w:sz w:val="18"/>
                <w:szCs w:val="18"/>
                <w:color w:val="auto"/>
              </w:rPr>
              <w:t>Deferred income taxes</w:t>
            </w: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(92.7)</w:t>
            </w:r>
          </w:p>
        </w:tc>
      </w:tr>
      <w:tr>
        <w:trPr>
          <w:trHeight w:val="261"/>
        </w:trPr>
        <w:tc>
          <w:tcPr>
            <w:tcW w:w="9940" w:type="dxa"/>
            <w:vAlign w:val="bottom"/>
            <w:shd w:val="clear" w:color="auto" w:fill="D8D8D8"/>
          </w:tcPr>
          <w:p>
            <w:pPr>
              <w:ind w:left="40"/>
              <w:spacing w:after="0"/>
              <w:rPr>
                <w:sz w:val="20"/>
                <w:szCs w:val="20"/>
                <w:color w:val="auto"/>
              </w:rPr>
            </w:pPr>
            <w:r>
              <w:rPr>
                <w:rFonts w:ascii="Arial" w:cs="Arial" w:eastAsia="Arial" w:hAnsi="Arial"/>
                <w:sz w:val="18"/>
                <w:szCs w:val="18"/>
                <w:color w:val="auto"/>
              </w:rPr>
              <w:t>Other assets and liabilities - net</w:t>
            </w:r>
          </w:p>
        </w:tc>
        <w:tc>
          <w:tcPr>
            <w:tcW w:w="520" w:type="dxa"/>
            <w:vAlign w:val="bottom"/>
            <w:tcBorders>
              <w:bottom w:val="single" w:sz="8" w:color="auto"/>
            </w:tcBorders>
            <w:shd w:val="clear" w:color="auto" w:fill="D8D8D8"/>
          </w:tcPr>
          <w:p>
            <w:pPr>
              <w:spacing w:after="0"/>
              <w:rPr>
                <w:sz w:val="22"/>
                <w:szCs w:val="22"/>
                <w:color w:val="auto"/>
              </w:rPr>
            </w:pPr>
          </w:p>
        </w:tc>
        <w:tc>
          <w:tcPr>
            <w:tcW w:w="960" w:type="dxa"/>
            <w:vAlign w:val="bottom"/>
            <w:tcBorders>
              <w:bottom w:val="single" w:sz="8" w:color="auto"/>
            </w:tcBorders>
            <w:shd w:val="clear" w:color="auto" w:fill="D8D8D8"/>
          </w:tcPr>
          <w:p>
            <w:pPr>
              <w:jc w:val="right"/>
              <w:ind w:right="10"/>
              <w:spacing w:after="0"/>
              <w:rPr>
                <w:sz w:val="20"/>
                <w:szCs w:val="20"/>
                <w:color w:val="auto"/>
              </w:rPr>
            </w:pPr>
            <w:r>
              <w:rPr>
                <w:rFonts w:ascii="Arial" w:cs="Arial" w:eastAsia="Arial" w:hAnsi="Arial"/>
                <w:sz w:val="18"/>
                <w:szCs w:val="18"/>
                <w:color w:val="auto"/>
              </w:rPr>
              <w:t>51.1</w:t>
            </w:r>
          </w:p>
        </w:tc>
      </w:tr>
      <w:tr>
        <w:trPr>
          <w:trHeight w:val="245"/>
        </w:trPr>
        <w:tc>
          <w:tcPr>
            <w:tcW w:w="9940" w:type="dxa"/>
            <w:vAlign w:val="bottom"/>
          </w:tcPr>
          <w:p>
            <w:pPr>
              <w:ind w:left="40"/>
              <w:spacing w:after="0"/>
              <w:rPr>
                <w:sz w:val="20"/>
                <w:szCs w:val="20"/>
                <w:color w:val="auto"/>
              </w:rPr>
            </w:pPr>
            <w:r>
              <w:rPr>
                <w:rFonts w:ascii="Arial" w:cs="Arial" w:eastAsia="Arial" w:hAnsi="Arial"/>
                <w:sz w:val="18"/>
                <w:szCs w:val="18"/>
                <w:color w:val="auto"/>
              </w:rPr>
              <w:t>Total identifiable net assets</w:t>
            </w: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339.6</w:t>
            </w:r>
          </w:p>
        </w:tc>
      </w:tr>
      <w:tr>
        <w:trPr>
          <w:trHeight w:val="261"/>
        </w:trPr>
        <w:tc>
          <w:tcPr>
            <w:tcW w:w="9940" w:type="dxa"/>
            <w:vAlign w:val="bottom"/>
            <w:shd w:val="clear" w:color="auto" w:fill="D8D8D8"/>
          </w:tcPr>
          <w:p>
            <w:pPr>
              <w:ind w:left="40"/>
              <w:spacing w:after="0"/>
              <w:rPr>
                <w:sz w:val="20"/>
                <w:szCs w:val="20"/>
                <w:color w:val="auto"/>
              </w:rPr>
            </w:pPr>
            <w:r>
              <w:rPr>
                <w:rFonts w:ascii="Arial" w:cs="Arial" w:eastAsia="Arial" w:hAnsi="Arial"/>
                <w:sz w:val="18"/>
                <w:szCs w:val="18"/>
                <w:color w:val="auto"/>
              </w:rPr>
              <w:t>Goodwill</w:t>
            </w:r>
            <w:r>
              <w:rPr>
                <w:rFonts w:ascii="Arial" w:cs="Arial" w:eastAsia="Arial" w:hAnsi="Arial"/>
                <w:sz w:val="21"/>
                <w:szCs w:val="21"/>
                <w:color w:val="auto"/>
                <w:vertAlign w:val="superscript"/>
              </w:rPr>
              <w:t>(1)</w:t>
            </w:r>
          </w:p>
        </w:tc>
        <w:tc>
          <w:tcPr>
            <w:tcW w:w="520" w:type="dxa"/>
            <w:vAlign w:val="bottom"/>
            <w:tcBorders>
              <w:bottom w:val="single" w:sz="8" w:color="auto"/>
            </w:tcBorders>
            <w:shd w:val="clear" w:color="auto" w:fill="D8D8D8"/>
          </w:tcPr>
          <w:p>
            <w:pPr>
              <w:spacing w:after="0"/>
              <w:rPr>
                <w:sz w:val="22"/>
                <w:szCs w:val="22"/>
                <w:color w:val="auto"/>
              </w:rPr>
            </w:pPr>
          </w:p>
        </w:tc>
        <w:tc>
          <w:tcPr>
            <w:tcW w:w="960" w:type="dxa"/>
            <w:vAlign w:val="bottom"/>
            <w:tcBorders>
              <w:bottom w:val="single" w:sz="8" w:color="auto"/>
            </w:tcBorders>
            <w:shd w:val="clear" w:color="auto" w:fill="D8D8D8"/>
          </w:tcPr>
          <w:p>
            <w:pPr>
              <w:jc w:val="right"/>
              <w:ind w:right="10"/>
              <w:spacing w:after="0"/>
              <w:rPr>
                <w:sz w:val="20"/>
                <w:szCs w:val="20"/>
                <w:color w:val="auto"/>
              </w:rPr>
            </w:pPr>
            <w:r>
              <w:rPr>
                <w:rFonts w:ascii="Arial" w:cs="Arial" w:eastAsia="Arial" w:hAnsi="Arial"/>
                <w:sz w:val="18"/>
                <w:szCs w:val="18"/>
                <w:color w:val="auto"/>
              </w:rPr>
              <w:t>251.6</w:t>
            </w:r>
          </w:p>
        </w:tc>
      </w:tr>
      <w:tr>
        <w:trPr>
          <w:trHeight w:val="257"/>
        </w:trPr>
        <w:tc>
          <w:tcPr>
            <w:tcW w:w="9940" w:type="dxa"/>
            <w:vAlign w:val="bottom"/>
          </w:tcPr>
          <w:p>
            <w:pPr>
              <w:ind w:left="40"/>
              <w:spacing w:after="0"/>
              <w:rPr>
                <w:sz w:val="20"/>
                <w:szCs w:val="20"/>
                <w:color w:val="auto"/>
              </w:rPr>
            </w:pPr>
            <w:r>
              <w:rPr>
                <w:rFonts w:ascii="Arial" w:cs="Arial" w:eastAsia="Arial" w:hAnsi="Arial"/>
                <w:sz w:val="18"/>
                <w:szCs w:val="18"/>
                <w:color w:val="auto"/>
              </w:rPr>
              <w:t>Total consideration transferred - net of cash acquired</w:t>
            </w: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591.2</w:t>
            </w:r>
          </w:p>
        </w:tc>
      </w:tr>
    </w:tbl>
    <w:p>
      <w:pPr>
        <w:spacing w:after="0" w:line="95" w:lineRule="exact"/>
        <w:rPr>
          <w:sz w:val="20"/>
          <w:szCs w:val="20"/>
          <w:color w:val="auto"/>
        </w:rPr>
      </w:pPr>
    </w:p>
    <w:p>
      <w:pPr>
        <w:ind w:left="140" w:hanging="132"/>
        <w:spacing w:after="0"/>
        <w:tabs>
          <w:tab w:leader="none" w:pos="140" w:val="left"/>
        </w:tabs>
        <w:numPr>
          <w:ilvl w:val="0"/>
          <w:numId w:val="55"/>
        </w:numPr>
        <w:rPr>
          <w:rFonts w:ascii="Arial" w:cs="Arial" w:eastAsia="Arial" w:hAnsi="Arial"/>
          <w:sz w:val="16"/>
          <w:szCs w:val="16"/>
          <w:color w:val="auto"/>
          <w:vertAlign w:val="superscript"/>
        </w:rPr>
      </w:pPr>
      <w:r>
        <w:rPr>
          <w:rFonts w:ascii="Arial" w:cs="Arial" w:eastAsia="Arial" w:hAnsi="Arial"/>
          <w:sz w:val="13"/>
          <w:szCs w:val="13"/>
          <w:color w:val="auto"/>
        </w:rPr>
        <w:t>Goodwill associated with this acquisition is not deductible for tax purposes.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64</w:t>
      </w:r>
    </w:p>
    <w:p>
      <w:pPr>
        <w:sectPr>
          <w:pgSz w:w="11900" w:h="16838" w:orient="portrait"/>
          <w:cols w:equalWidth="0" w:num="1">
            <w:col w:w="11420"/>
          </w:cols>
          <w:pgMar w:left="240" w:top="684" w:right="23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color w:val="auto"/>
        </w:rPr>
        <w:t>Product and Other Acquisitions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product and other acquisitions which are discussed in detail below:</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8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400" w:type="dxa"/>
            <w:vAlign w:val="bottom"/>
          </w:tcPr>
          <w:p>
            <w:pPr>
              <w:jc w:val="center"/>
              <w:ind w:right="12"/>
              <w:spacing w:after="0"/>
              <w:rPr>
                <w:sz w:val="20"/>
                <w:szCs w:val="20"/>
                <w:color w:val="auto"/>
              </w:rPr>
            </w:pPr>
            <w:r>
              <w:rPr>
                <w:rFonts w:ascii="Arial" w:cs="Arial" w:eastAsia="Arial" w:hAnsi="Arial"/>
                <w:sz w:val="14"/>
                <w:szCs w:val="14"/>
                <w:b w:val="1"/>
                <w:bCs w:val="1"/>
                <w:color w:val="auto"/>
              </w:rPr>
              <w:t>Acquisition</w:t>
            </w: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rPr>
              <w:t>Phase of</w:t>
            </w:r>
          </w:p>
        </w:tc>
        <w:tc>
          <w:tcPr>
            <w:tcW w:w="380" w:type="dxa"/>
            <w:vAlign w:val="bottom"/>
          </w:tcPr>
          <w:p>
            <w:pPr>
              <w:spacing w:after="0"/>
              <w:rPr>
                <w:sz w:val="14"/>
                <w:szCs w:val="14"/>
                <w:color w:val="auto"/>
              </w:rPr>
            </w:pPr>
          </w:p>
        </w:tc>
        <w:tc>
          <w:tcPr>
            <w:tcW w:w="1500" w:type="dxa"/>
            <w:vAlign w:val="bottom"/>
          </w:tcPr>
          <w:p>
            <w:pPr>
              <w:jc w:val="right"/>
              <w:ind w:right="213"/>
              <w:spacing w:after="0"/>
              <w:rPr>
                <w:sz w:val="20"/>
                <w:szCs w:val="20"/>
                <w:color w:val="auto"/>
              </w:rPr>
            </w:pPr>
            <w:r>
              <w:rPr>
                <w:rFonts w:ascii="Arial" w:cs="Arial" w:eastAsia="Arial" w:hAnsi="Arial"/>
                <w:sz w:val="14"/>
                <w:szCs w:val="14"/>
                <w:b w:val="1"/>
                <w:bCs w:val="1"/>
                <w:color w:val="auto"/>
              </w:rPr>
              <w:t>Acquired IPR&amp;D</w:t>
            </w:r>
          </w:p>
        </w:tc>
        <w:tc>
          <w:tcPr>
            <w:tcW w:w="0" w:type="dxa"/>
            <w:vAlign w:val="bottom"/>
          </w:tcPr>
          <w:p>
            <w:pPr>
              <w:spacing w:after="0"/>
              <w:rPr>
                <w:sz w:val="1"/>
                <w:szCs w:val="1"/>
                <w:color w:val="auto"/>
              </w:rPr>
            </w:pPr>
          </w:p>
        </w:tc>
      </w:tr>
      <w:tr>
        <w:trPr>
          <w:trHeight w:val="204"/>
        </w:trPr>
        <w:tc>
          <w:tcPr>
            <w:tcW w:w="3380" w:type="dxa"/>
            <w:vAlign w:val="bottom"/>
            <w:tcBorders>
              <w:bottom w:val="single" w:sz="8" w:color="auto"/>
            </w:tcBorders>
          </w:tcPr>
          <w:p>
            <w:pPr>
              <w:ind w:left="1280"/>
              <w:spacing w:after="0"/>
              <w:rPr>
                <w:sz w:val="20"/>
                <w:szCs w:val="20"/>
                <w:color w:val="auto"/>
              </w:rPr>
            </w:pPr>
            <w:r>
              <w:rPr>
                <w:rFonts w:ascii="Arial" w:cs="Arial" w:eastAsia="Arial" w:hAnsi="Arial"/>
                <w:sz w:val="14"/>
                <w:szCs w:val="14"/>
                <w:b w:val="1"/>
                <w:bCs w:val="1"/>
                <w:color w:val="auto"/>
              </w:rPr>
              <w:t>Counterparty</w:t>
            </w:r>
          </w:p>
        </w:tc>
        <w:tc>
          <w:tcPr>
            <w:tcW w:w="3360" w:type="dxa"/>
            <w:vAlign w:val="bottom"/>
            <w:tcBorders>
              <w:bottom w:val="single" w:sz="8" w:color="auto"/>
            </w:tcBorders>
          </w:tcPr>
          <w:p>
            <w:pPr>
              <w:ind w:left="860"/>
              <w:spacing w:after="0"/>
              <w:rPr>
                <w:sz w:val="20"/>
                <w:szCs w:val="20"/>
                <w:color w:val="auto"/>
              </w:rPr>
            </w:pPr>
            <w:r>
              <w:rPr>
                <w:rFonts w:ascii="Arial" w:cs="Arial" w:eastAsia="Arial" w:hAnsi="Arial"/>
                <w:sz w:val="14"/>
                <w:szCs w:val="14"/>
                <w:b w:val="1"/>
                <w:bCs w:val="1"/>
                <w:color w:val="auto"/>
              </w:rPr>
              <w:t>Compound(s) or Therapy</w:t>
            </w:r>
          </w:p>
        </w:tc>
        <w:tc>
          <w:tcPr>
            <w:tcW w:w="140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99"/>
              </w:rPr>
              <w:t>Month</w:t>
            </w: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Development</w:t>
            </w:r>
            <w:r>
              <w:rPr>
                <w:rFonts w:ascii="Arial" w:cs="Arial" w:eastAsia="Arial" w:hAnsi="Arial"/>
                <w:sz w:val="17"/>
                <w:szCs w:val="17"/>
                <w:b w:val="1"/>
                <w:bCs w:val="1"/>
                <w:color w:val="auto"/>
                <w:w w:val="98"/>
                <w:vertAlign w:val="superscript"/>
              </w:rPr>
              <w:t>(1)</w:t>
            </w:r>
          </w:p>
        </w:tc>
        <w:tc>
          <w:tcPr>
            <w:tcW w:w="38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Expense</w:t>
            </w:r>
          </w:p>
        </w:tc>
        <w:tc>
          <w:tcPr>
            <w:tcW w:w="0" w:type="dxa"/>
            <w:vAlign w:val="bottom"/>
          </w:tcPr>
          <w:p>
            <w:pPr>
              <w:spacing w:after="0"/>
              <w:rPr>
                <w:sz w:val="1"/>
                <w:szCs w:val="1"/>
                <w:color w:val="auto"/>
              </w:rPr>
            </w:pPr>
          </w:p>
        </w:tc>
      </w:tr>
      <w:tr>
        <w:trPr>
          <w:trHeight w:val="200"/>
        </w:trPr>
        <w:tc>
          <w:tcPr>
            <w:tcW w:w="3380" w:type="dxa"/>
            <w:vAlign w:val="bottom"/>
            <w:shd w:val="clear" w:color="auto" w:fill="D8D8D8"/>
          </w:tcPr>
          <w:p>
            <w:pPr>
              <w:spacing w:after="0"/>
              <w:rPr>
                <w:sz w:val="17"/>
                <w:szCs w:val="17"/>
                <w:color w:val="auto"/>
              </w:rPr>
            </w:pPr>
          </w:p>
        </w:tc>
        <w:tc>
          <w:tcPr>
            <w:tcW w:w="3360" w:type="dxa"/>
            <w:vAlign w:val="bottom"/>
            <w:shd w:val="clear" w:color="auto" w:fill="D8D8D8"/>
          </w:tcPr>
          <w:p>
            <w:pPr>
              <w:ind w:left="80"/>
              <w:spacing w:after="0" w:line="201" w:lineRule="exact"/>
              <w:rPr>
                <w:sz w:val="20"/>
                <w:szCs w:val="20"/>
                <w:color w:val="auto"/>
              </w:rPr>
            </w:pPr>
            <w:r>
              <w:rPr>
                <w:rFonts w:ascii="Arial" w:cs="Arial" w:eastAsia="Arial" w:hAnsi="Arial"/>
                <w:sz w:val="18"/>
                <w:szCs w:val="18"/>
                <w:color w:val="auto"/>
              </w:rPr>
              <w:t>Monoclonal antibody targeting protein</w:t>
            </w:r>
          </w:p>
        </w:tc>
        <w:tc>
          <w:tcPr>
            <w:tcW w:w="1400" w:type="dxa"/>
            <w:vAlign w:val="bottom"/>
            <w:shd w:val="clear" w:color="auto" w:fill="D8D8D8"/>
          </w:tcPr>
          <w:p>
            <w:pPr>
              <w:spacing w:after="0"/>
              <w:rPr>
                <w:sz w:val="17"/>
                <w:szCs w:val="17"/>
                <w:color w:val="auto"/>
              </w:rPr>
            </w:pPr>
          </w:p>
        </w:tc>
        <w:tc>
          <w:tcPr>
            <w:tcW w:w="1400" w:type="dxa"/>
            <w:vAlign w:val="bottom"/>
            <w:shd w:val="clear" w:color="auto" w:fill="D8D8D8"/>
          </w:tcPr>
          <w:p>
            <w:pPr>
              <w:spacing w:after="0"/>
              <w:rPr>
                <w:sz w:val="17"/>
                <w:szCs w:val="17"/>
                <w:color w:val="auto"/>
              </w:rPr>
            </w:pPr>
          </w:p>
        </w:tc>
        <w:tc>
          <w:tcPr>
            <w:tcW w:w="380" w:type="dxa"/>
            <w:vAlign w:val="bottom"/>
            <w:shd w:val="clear" w:color="auto" w:fill="D8D8D8"/>
          </w:tcPr>
          <w:p>
            <w:pPr>
              <w:spacing w:after="0"/>
              <w:rPr>
                <w:sz w:val="17"/>
                <w:szCs w:val="17"/>
                <w:color w:val="auto"/>
              </w:rPr>
            </w:pPr>
          </w:p>
        </w:tc>
        <w:tc>
          <w:tcPr>
            <w:tcW w:w="1500" w:type="dxa"/>
            <w:vAlign w:val="bottom"/>
            <w:shd w:val="clear" w:color="auto" w:fill="D8D8D8"/>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3380" w:type="dxa"/>
            <w:vAlign w:val="bottom"/>
            <w:shd w:val="clear" w:color="auto" w:fill="D8D8D8"/>
          </w:tcPr>
          <w:p>
            <w:pPr>
              <w:spacing w:after="0"/>
              <w:rPr>
                <w:sz w:val="21"/>
                <w:szCs w:val="21"/>
                <w:color w:val="auto"/>
              </w:rPr>
            </w:pPr>
          </w:p>
        </w:tc>
        <w:tc>
          <w:tcPr>
            <w:tcW w:w="3360" w:type="dxa"/>
            <w:vAlign w:val="bottom"/>
            <w:shd w:val="clear" w:color="auto" w:fill="D8D8D8"/>
          </w:tcPr>
          <w:p>
            <w:pPr>
              <w:ind w:left="80"/>
              <w:spacing w:after="0"/>
              <w:rPr>
                <w:sz w:val="20"/>
                <w:szCs w:val="20"/>
                <w:color w:val="auto"/>
              </w:rPr>
            </w:pPr>
            <w:r>
              <w:rPr>
                <w:rFonts w:ascii="Arial" w:cs="Arial" w:eastAsia="Arial" w:hAnsi="Arial"/>
                <w:sz w:val="18"/>
                <w:szCs w:val="18"/>
                <w:color w:val="auto"/>
              </w:rPr>
              <w:t>CD-20</w:t>
            </w:r>
          </w:p>
        </w:tc>
        <w:tc>
          <w:tcPr>
            <w:tcW w:w="1400" w:type="dxa"/>
            <w:vAlign w:val="bottom"/>
            <w:shd w:val="clear" w:color="auto" w:fill="D8D8D8"/>
          </w:tcPr>
          <w:p>
            <w:pPr>
              <w:spacing w:after="0"/>
              <w:rPr>
                <w:sz w:val="21"/>
                <w:szCs w:val="21"/>
                <w:color w:val="auto"/>
              </w:rPr>
            </w:pPr>
          </w:p>
        </w:tc>
        <w:tc>
          <w:tcPr>
            <w:tcW w:w="1400" w:type="dxa"/>
            <w:vAlign w:val="bottom"/>
            <w:shd w:val="clear" w:color="auto" w:fill="D8D8D8"/>
          </w:tcPr>
          <w:p>
            <w:pPr>
              <w:spacing w:after="0"/>
              <w:rPr>
                <w:sz w:val="21"/>
                <w:szCs w:val="21"/>
                <w:color w:val="auto"/>
              </w:rPr>
            </w:pPr>
          </w:p>
        </w:tc>
        <w:tc>
          <w:tcPr>
            <w:tcW w:w="380" w:type="dxa"/>
            <w:vAlign w:val="bottom"/>
            <w:shd w:val="clear" w:color="auto" w:fill="D8D8D8"/>
          </w:tcPr>
          <w:p>
            <w:pPr>
              <w:spacing w:after="0"/>
              <w:rPr>
                <w:sz w:val="21"/>
                <w:szCs w:val="21"/>
                <w:color w:val="auto"/>
              </w:rPr>
            </w:pPr>
          </w:p>
        </w:tc>
        <w:tc>
          <w:tcPr>
            <w:tcW w:w="1500" w:type="dxa"/>
            <w:vAlign w:val="bottom"/>
            <w:shd w:val="clear" w:color="auto" w:fill="D8D8D8"/>
          </w:tcPr>
          <w:p>
            <w:pPr>
              <w:spacing w:after="0"/>
              <w:rPr>
                <w:sz w:val="21"/>
                <w:szCs w:val="21"/>
                <w:color w:val="auto"/>
              </w:rPr>
            </w:pPr>
          </w:p>
        </w:tc>
        <w:tc>
          <w:tcPr>
            <w:tcW w:w="0" w:type="dxa"/>
            <w:vAlign w:val="bottom"/>
          </w:tcPr>
          <w:p>
            <w:pPr>
              <w:spacing w:after="0"/>
              <w:rPr>
                <w:sz w:val="1"/>
                <w:szCs w:val="1"/>
                <w:color w:val="auto"/>
              </w:rPr>
            </w:pPr>
          </w:p>
        </w:tc>
      </w:tr>
      <w:tr>
        <w:trPr>
          <w:trHeight w:val="347"/>
        </w:trPr>
        <w:tc>
          <w:tcPr>
            <w:tcW w:w="3380" w:type="dxa"/>
            <w:vAlign w:val="bottom"/>
            <w:shd w:val="clear" w:color="auto" w:fill="D8D8D8"/>
          </w:tcPr>
          <w:p>
            <w:pPr>
              <w:ind w:left="40"/>
              <w:spacing w:after="0"/>
              <w:rPr>
                <w:sz w:val="20"/>
                <w:szCs w:val="20"/>
                <w:color w:val="auto"/>
              </w:rPr>
            </w:pPr>
            <w:r>
              <w:rPr>
                <w:rFonts w:ascii="Arial" w:cs="Arial" w:eastAsia="Arial" w:hAnsi="Arial"/>
                <w:sz w:val="18"/>
                <w:szCs w:val="18"/>
                <w:color w:val="auto"/>
              </w:rPr>
              <w:t>Innovent Biologics, Inc. (Innovent)</w:t>
            </w:r>
          </w:p>
        </w:tc>
        <w:tc>
          <w:tcPr>
            <w:tcW w:w="3360" w:type="dxa"/>
            <w:vAlign w:val="bottom"/>
            <w:vMerge w:val="restart"/>
            <w:shd w:val="clear" w:color="auto" w:fill="D8D8D8"/>
          </w:tcPr>
          <w:p>
            <w:pPr>
              <w:ind w:left="80"/>
              <w:spacing w:after="0"/>
              <w:rPr>
                <w:sz w:val="20"/>
                <w:szCs w:val="20"/>
                <w:color w:val="auto"/>
              </w:rPr>
            </w:pPr>
            <w:r>
              <w:rPr>
                <w:rFonts w:ascii="Arial" w:cs="Arial" w:eastAsia="Arial" w:hAnsi="Arial"/>
                <w:sz w:val="18"/>
                <w:szCs w:val="18"/>
                <w:color w:val="auto"/>
              </w:rPr>
              <w:t>Immuno-oncology molecule</w:t>
            </w:r>
          </w:p>
        </w:tc>
        <w:tc>
          <w:tcPr>
            <w:tcW w:w="1400" w:type="dxa"/>
            <w:vAlign w:val="bottom"/>
            <w:shd w:val="clear" w:color="auto" w:fill="D8D8D8"/>
          </w:tcPr>
          <w:p>
            <w:pPr>
              <w:jc w:val="center"/>
              <w:ind w:right="12"/>
              <w:spacing w:after="0"/>
              <w:rPr>
                <w:sz w:val="20"/>
                <w:szCs w:val="20"/>
                <w:color w:val="auto"/>
              </w:rPr>
            </w:pPr>
            <w:r>
              <w:rPr>
                <w:rFonts w:ascii="Arial" w:cs="Arial" w:eastAsia="Arial" w:hAnsi="Arial"/>
                <w:sz w:val="18"/>
                <w:szCs w:val="18"/>
                <w:color w:val="auto"/>
                <w:w w:val="98"/>
              </w:rPr>
              <w:t>March 2015</w:t>
            </w:r>
          </w:p>
        </w:tc>
        <w:tc>
          <w:tcPr>
            <w:tcW w:w="1400" w:type="dxa"/>
            <w:vAlign w:val="bottom"/>
            <w:shd w:val="clear" w:color="auto" w:fill="D8D8D8"/>
          </w:tcPr>
          <w:p>
            <w:pPr>
              <w:jc w:val="center"/>
              <w:spacing w:after="0"/>
              <w:rPr>
                <w:sz w:val="20"/>
                <w:szCs w:val="20"/>
                <w:color w:val="auto"/>
              </w:rPr>
            </w:pPr>
            <w:r>
              <w:rPr>
                <w:rFonts w:ascii="Arial" w:cs="Arial" w:eastAsia="Arial" w:hAnsi="Arial"/>
                <w:sz w:val="18"/>
                <w:szCs w:val="18"/>
                <w:color w:val="auto"/>
                <w:w w:val="95"/>
              </w:rPr>
              <w:t>Pre-clinical</w:t>
            </w:r>
            <w:r>
              <w:rPr>
                <w:rFonts w:ascii="Arial" w:cs="Arial" w:eastAsia="Arial" w:hAnsi="Arial"/>
                <w:sz w:val="21"/>
                <w:szCs w:val="21"/>
                <w:color w:val="auto"/>
                <w:w w:val="95"/>
                <w:vertAlign w:val="superscript"/>
              </w:rPr>
              <w:t>(2)</w:t>
            </w:r>
          </w:p>
        </w:tc>
        <w:tc>
          <w:tcPr>
            <w:tcW w:w="3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1500" w:type="dxa"/>
            <w:vAlign w:val="bottom"/>
            <w:shd w:val="clear" w:color="auto" w:fill="D8D8D8"/>
          </w:tcPr>
          <w:p>
            <w:pPr>
              <w:jc w:val="right"/>
              <w:ind w:right="13"/>
              <w:spacing w:after="0"/>
              <w:rPr>
                <w:sz w:val="20"/>
                <w:szCs w:val="20"/>
                <w:color w:val="auto"/>
              </w:rPr>
            </w:pPr>
            <w:r>
              <w:rPr>
                <w:rFonts w:ascii="Arial" w:cs="Arial" w:eastAsia="Arial" w:hAnsi="Arial"/>
                <w:sz w:val="18"/>
                <w:szCs w:val="18"/>
                <w:color w:val="auto"/>
              </w:rPr>
              <w:t>56.0</w:t>
            </w:r>
          </w:p>
        </w:tc>
        <w:tc>
          <w:tcPr>
            <w:tcW w:w="0" w:type="dxa"/>
            <w:vAlign w:val="bottom"/>
          </w:tcPr>
          <w:p>
            <w:pPr>
              <w:spacing w:after="0"/>
              <w:rPr>
                <w:sz w:val="1"/>
                <w:szCs w:val="1"/>
                <w:color w:val="auto"/>
              </w:rPr>
            </w:pPr>
          </w:p>
        </w:tc>
      </w:tr>
      <w:tr>
        <w:trPr>
          <w:trHeight w:val="58"/>
        </w:trPr>
        <w:tc>
          <w:tcPr>
            <w:tcW w:w="3380" w:type="dxa"/>
            <w:vAlign w:val="bottom"/>
            <w:shd w:val="clear" w:color="auto" w:fill="D8D8D8"/>
          </w:tcPr>
          <w:p>
            <w:pPr>
              <w:spacing w:after="0"/>
              <w:rPr>
                <w:sz w:val="5"/>
                <w:szCs w:val="5"/>
                <w:color w:val="auto"/>
              </w:rPr>
            </w:pPr>
          </w:p>
        </w:tc>
        <w:tc>
          <w:tcPr>
            <w:tcW w:w="3360" w:type="dxa"/>
            <w:vAlign w:val="bottom"/>
            <w:vMerge w:val="continue"/>
            <w:shd w:val="clear" w:color="auto" w:fill="D8D8D8"/>
          </w:tcPr>
          <w:p>
            <w:pPr>
              <w:spacing w:after="0"/>
              <w:rPr>
                <w:sz w:val="5"/>
                <w:szCs w:val="5"/>
                <w:color w:val="auto"/>
              </w:rPr>
            </w:pPr>
          </w:p>
        </w:tc>
        <w:tc>
          <w:tcPr>
            <w:tcW w:w="1400" w:type="dxa"/>
            <w:vAlign w:val="bottom"/>
            <w:shd w:val="clear" w:color="auto" w:fill="D8D8D8"/>
          </w:tcPr>
          <w:p>
            <w:pPr>
              <w:spacing w:after="0"/>
              <w:rPr>
                <w:sz w:val="5"/>
                <w:szCs w:val="5"/>
                <w:color w:val="auto"/>
              </w:rPr>
            </w:pPr>
          </w:p>
        </w:tc>
        <w:tc>
          <w:tcPr>
            <w:tcW w:w="1400" w:type="dxa"/>
            <w:vAlign w:val="bottom"/>
            <w:shd w:val="clear" w:color="auto" w:fill="D8D8D8"/>
          </w:tcPr>
          <w:p>
            <w:pPr>
              <w:spacing w:after="0"/>
              <w:rPr>
                <w:sz w:val="5"/>
                <w:szCs w:val="5"/>
                <w:color w:val="auto"/>
              </w:rPr>
            </w:pPr>
          </w:p>
        </w:tc>
        <w:tc>
          <w:tcPr>
            <w:tcW w:w="380" w:type="dxa"/>
            <w:vAlign w:val="bottom"/>
            <w:shd w:val="clear" w:color="auto" w:fill="D8D8D8"/>
          </w:tcPr>
          <w:p>
            <w:pPr>
              <w:spacing w:after="0"/>
              <w:rPr>
                <w:sz w:val="5"/>
                <w:szCs w:val="5"/>
                <w:color w:val="auto"/>
              </w:rPr>
            </w:pPr>
          </w:p>
        </w:tc>
        <w:tc>
          <w:tcPr>
            <w:tcW w:w="1500" w:type="dxa"/>
            <w:vAlign w:val="bottom"/>
            <w:shd w:val="clear" w:color="auto" w:fill="D8D8D8"/>
          </w:tcPr>
          <w:p>
            <w:pPr>
              <w:spacing w:after="0"/>
              <w:rPr>
                <w:sz w:val="5"/>
                <w:szCs w:val="5"/>
                <w:color w:val="auto"/>
              </w:rPr>
            </w:pPr>
          </w:p>
        </w:tc>
        <w:tc>
          <w:tcPr>
            <w:tcW w:w="0" w:type="dxa"/>
            <w:vAlign w:val="bottom"/>
          </w:tcPr>
          <w:p>
            <w:pPr>
              <w:spacing w:after="0"/>
              <w:rPr>
                <w:sz w:val="1"/>
                <w:szCs w:val="1"/>
                <w:color w:val="auto"/>
              </w:rPr>
            </w:pPr>
          </w:p>
        </w:tc>
      </w:tr>
      <w:tr>
        <w:trPr>
          <w:trHeight w:val="410"/>
        </w:trPr>
        <w:tc>
          <w:tcPr>
            <w:tcW w:w="3380" w:type="dxa"/>
            <w:vAlign w:val="bottom"/>
            <w:tcBorders>
              <w:bottom w:val="single" w:sz="8" w:color="auto"/>
            </w:tcBorders>
            <w:shd w:val="clear" w:color="auto" w:fill="D8D8D8"/>
          </w:tcPr>
          <w:p>
            <w:pPr>
              <w:spacing w:after="0"/>
              <w:rPr>
                <w:sz w:val="24"/>
                <w:szCs w:val="24"/>
                <w:color w:val="auto"/>
              </w:rPr>
            </w:pPr>
          </w:p>
        </w:tc>
        <w:tc>
          <w:tcPr>
            <w:tcW w:w="3360" w:type="dxa"/>
            <w:vAlign w:val="bottom"/>
            <w:tcBorders>
              <w:bottom w:val="single" w:sz="8" w:color="auto"/>
            </w:tcBorders>
            <w:shd w:val="clear" w:color="auto" w:fill="D8D8D8"/>
          </w:tcPr>
          <w:p>
            <w:pPr>
              <w:ind w:left="80"/>
              <w:spacing w:after="0"/>
              <w:rPr>
                <w:sz w:val="20"/>
                <w:szCs w:val="20"/>
                <w:color w:val="auto"/>
              </w:rPr>
            </w:pPr>
            <w:r>
              <w:rPr>
                <w:rFonts w:ascii="Arial" w:cs="Arial" w:eastAsia="Arial" w:hAnsi="Arial"/>
                <w:sz w:val="18"/>
                <w:szCs w:val="18"/>
                <w:color w:val="auto"/>
              </w:rPr>
              <w:t>cMet monoclonal antibody</w:t>
            </w:r>
          </w:p>
        </w:tc>
        <w:tc>
          <w:tcPr>
            <w:tcW w:w="1400" w:type="dxa"/>
            <w:vAlign w:val="bottom"/>
            <w:tcBorders>
              <w:bottom w:val="single" w:sz="8" w:color="auto"/>
            </w:tcBorders>
            <w:shd w:val="clear" w:color="auto" w:fill="D8D8D8"/>
          </w:tcPr>
          <w:p>
            <w:pPr>
              <w:spacing w:after="0"/>
              <w:rPr>
                <w:sz w:val="24"/>
                <w:szCs w:val="24"/>
                <w:color w:val="auto"/>
              </w:rPr>
            </w:pPr>
          </w:p>
        </w:tc>
        <w:tc>
          <w:tcPr>
            <w:tcW w:w="1400" w:type="dxa"/>
            <w:vAlign w:val="bottom"/>
            <w:tcBorders>
              <w:bottom w:val="single" w:sz="8" w:color="auto"/>
            </w:tcBorders>
            <w:shd w:val="clear" w:color="auto" w:fill="D8D8D8"/>
          </w:tcPr>
          <w:p>
            <w:pPr>
              <w:spacing w:after="0"/>
              <w:rPr>
                <w:sz w:val="24"/>
                <w:szCs w:val="24"/>
                <w:color w:val="auto"/>
              </w:rPr>
            </w:pPr>
          </w:p>
        </w:tc>
        <w:tc>
          <w:tcPr>
            <w:tcW w:w="380" w:type="dxa"/>
            <w:vAlign w:val="bottom"/>
            <w:tcBorders>
              <w:bottom w:val="single" w:sz="8" w:color="auto"/>
            </w:tcBorders>
            <w:shd w:val="clear" w:color="auto" w:fill="D8D8D8"/>
          </w:tcPr>
          <w:p>
            <w:pPr>
              <w:spacing w:after="0"/>
              <w:rPr>
                <w:sz w:val="24"/>
                <w:szCs w:val="24"/>
                <w:color w:val="auto"/>
              </w:rPr>
            </w:pPr>
          </w:p>
        </w:tc>
        <w:tc>
          <w:tcPr>
            <w:tcW w:w="1500" w:type="dxa"/>
            <w:vAlign w:val="bottom"/>
            <w:tcBorders>
              <w:bottom w:val="single" w:sz="8" w:color="auto"/>
            </w:tcBorders>
            <w:shd w:val="clear" w:color="auto" w:fill="D8D8D8"/>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3380" w:type="dxa"/>
            <w:vAlign w:val="bottom"/>
          </w:tcPr>
          <w:p>
            <w:pPr>
              <w:ind w:left="40"/>
              <w:spacing w:after="0"/>
              <w:rPr>
                <w:sz w:val="20"/>
                <w:szCs w:val="20"/>
                <w:color w:val="auto"/>
              </w:rPr>
            </w:pPr>
            <w:r>
              <w:rPr>
                <w:rFonts w:ascii="Arial" w:cs="Arial" w:eastAsia="Arial" w:hAnsi="Arial"/>
                <w:sz w:val="18"/>
                <w:szCs w:val="18"/>
                <w:color w:val="auto"/>
              </w:rPr>
              <w:t>Hanmi Pharmaceutical Co., Ltd. (Hanmi)</w:t>
            </w:r>
          </w:p>
        </w:tc>
        <w:tc>
          <w:tcPr>
            <w:tcW w:w="3360" w:type="dxa"/>
            <w:vAlign w:val="bottom"/>
          </w:tcPr>
          <w:p>
            <w:pPr>
              <w:ind w:left="80"/>
              <w:spacing w:after="0"/>
              <w:rPr>
                <w:sz w:val="20"/>
                <w:szCs w:val="20"/>
                <w:color w:val="auto"/>
              </w:rPr>
            </w:pPr>
            <w:r>
              <w:rPr>
                <w:rFonts w:ascii="Arial" w:cs="Arial" w:eastAsia="Arial" w:hAnsi="Arial"/>
                <w:sz w:val="18"/>
                <w:szCs w:val="18"/>
                <w:color w:val="auto"/>
              </w:rPr>
              <w:t>BTK Inhibitor - HM71224</w:t>
            </w:r>
          </w:p>
        </w:tc>
        <w:tc>
          <w:tcPr>
            <w:tcW w:w="1400" w:type="dxa"/>
            <w:vAlign w:val="bottom"/>
          </w:tcPr>
          <w:p>
            <w:pPr>
              <w:jc w:val="center"/>
              <w:ind w:right="12"/>
              <w:spacing w:after="0"/>
              <w:rPr>
                <w:sz w:val="20"/>
                <w:szCs w:val="20"/>
                <w:color w:val="auto"/>
              </w:rPr>
            </w:pPr>
            <w:r>
              <w:rPr>
                <w:rFonts w:ascii="Arial" w:cs="Arial" w:eastAsia="Arial" w:hAnsi="Arial"/>
                <w:sz w:val="18"/>
                <w:szCs w:val="18"/>
                <w:color w:val="auto"/>
              </w:rPr>
              <w:t>April 2015</w:t>
            </w:r>
          </w:p>
        </w:tc>
        <w:tc>
          <w:tcPr>
            <w:tcW w:w="1400" w:type="dxa"/>
            <w:vAlign w:val="bottom"/>
          </w:tcPr>
          <w:p>
            <w:pPr>
              <w:jc w:val="center"/>
              <w:spacing w:after="0"/>
              <w:rPr>
                <w:sz w:val="20"/>
                <w:szCs w:val="20"/>
                <w:color w:val="auto"/>
              </w:rPr>
            </w:pPr>
            <w:r>
              <w:rPr>
                <w:rFonts w:ascii="Arial" w:cs="Arial" w:eastAsia="Arial" w:hAnsi="Arial"/>
                <w:sz w:val="18"/>
                <w:szCs w:val="18"/>
                <w:color w:val="auto"/>
                <w:w w:val="98"/>
              </w:rPr>
              <w:t>Phase I</w:t>
            </w:r>
          </w:p>
        </w:tc>
        <w:tc>
          <w:tcPr>
            <w:tcW w:w="380" w:type="dxa"/>
            <w:vAlign w:val="bottom"/>
          </w:tcPr>
          <w:p>
            <w:pPr>
              <w:spacing w:after="0"/>
              <w:rPr>
                <w:sz w:val="21"/>
                <w:szCs w:val="21"/>
                <w:color w:val="auto"/>
              </w:rPr>
            </w:pP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3"/>
        </w:trPr>
        <w:tc>
          <w:tcPr>
            <w:tcW w:w="3380" w:type="dxa"/>
            <w:vAlign w:val="bottom"/>
            <w:tcBorders>
              <w:bottom w:val="single" w:sz="8" w:color="auto"/>
            </w:tcBorders>
          </w:tcPr>
          <w:p>
            <w:pPr>
              <w:spacing w:after="0"/>
              <w:rPr>
                <w:sz w:val="2"/>
                <w:szCs w:val="2"/>
                <w:color w:val="auto"/>
              </w:rPr>
            </w:pPr>
          </w:p>
        </w:tc>
        <w:tc>
          <w:tcPr>
            <w:tcW w:w="33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380" w:type="dxa"/>
            <w:vAlign w:val="bottom"/>
            <w:tcBorders>
              <w:bottom w:val="single" w:sz="8" w:color="D8D8D8"/>
            </w:tcBorders>
            <w:shd w:val="clear" w:color="auto" w:fill="D8D8D8"/>
          </w:tcPr>
          <w:p>
            <w:pPr>
              <w:ind w:left="40"/>
              <w:spacing w:after="0"/>
              <w:rPr>
                <w:sz w:val="20"/>
                <w:szCs w:val="20"/>
                <w:color w:val="auto"/>
              </w:rPr>
            </w:pPr>
            <w:r>
              <w:rPr>
                <w:rFonts w:ascii="Arial" w:cs="Arial" w:eastAsia="Arial" w:hAnsi="Arial"/>
                <w:sz w:val="18"/>
                <w:szCs w:val="18"/>
                <w:color w:val="auto"/>
              </w:rPr>
              <w:t>BioNTech AG (BioNTech)</w:t>
            </w:r>
          </w:p>
        </w:tc>
        <w:tc>
          <w:tcPr>
            <w:tcW w:w="3360" w:type="dxa"/>
            <w:vAlign w:val="bottom"/>
            <w:tcBorders>
              <w:bottom w:val="single" w:sz="8" w:color="D8D8D8"/>
            </w:tcBorders>
            <w:shd w:val="clear" w:color="auto" w:fill="D8D8D8"/>
          </w:tcPr>
          <w:p>
            <w:pPr>
              <w:ind w:left="80"/>
              <w:spacing w:after="0"/>
              <w:rPr>
                <w:sz w:val="20"/>
                <w:szCs w:val="20"/>
                <w:color w:val="auto"/>
              </w:rPr>
            </w:pPr>
            <w:r>
              <w:rPr>
                <w:rFonts w:ascii="Arial" w:cs="Arial" w:eastAsia="Arial" w:hAnsi="Arial"/>
                <w:sz w:val="18"/>
                <w:szCs w:val="18"/>
                <w:color w:val="auto"/>
              </w:rPr>
              <w:t>Cancer immunotherapies</w:t>
            </w:r>
          </w:p>
        </w:tc>
        <w:tc>
          <w:tcPr>
            <w:tcW w:w="1400" w:type="dxa"/>
            <w:vAlign w:val="bottom"/>
            <w:tcBorders>
              <w:bottom w:val="single" w:sz="8" w:color="D8D8D8"/>
            </w:tcBorders>
            <w:shd w:val="clear" w:color="auto" w:fill="D8D8D8"/>
          </w:tcPr>
          <w:p>
            <w:pPr>
              <w:jc w:val="center"/>
              <w:ind w:right="12"/>
              <w:spacing w:after="0"/>
              <w:rPr>
                <w:sz w:val="20"/>
                <w:szCs w:val="20"/>
                <w:color w:val="auto"/>
              </w:rPr>
            </w:pPr>
            <w:r>
              <w:rPr>
                <w:rFonts w:ascii="Arial" w:cs="Arial" w:eastAsia="Arial" w:hAnsi="Arial"/>
                <w:sz w:val="18"/>
                <w:szCs w:val="18"/>
                <w:color w:val="auto"/>
                <w:w w:val="98"/>
              </w:rPr>
              <w:t>May 2015</w:t>
            </w:r>
          </w:p>
        </w:tc>
        <w:tc>
          <w:tcPr>
            <w:tcW w:w="1400" w:type="dxa"/>
            <w:vAlign w:val="bottom"/>
            <w:tcBorders>
              <w:bottom w:val="single" w:sz="8" w:color="D8D8D8"/>
            </w:tcBorders>
            <w:shd w:val="clear" w:color="auto" w:fill="D8D8D8"/>
          </w:tcPr>
          <w:p>
            <w:pPr>
              <w:jc w:val="center"/>
              <w:spacing w:after="0"/>
              <w:rPr>
                <w:sz w:val="20"/>
                <w:szCs w:val="20"/>
                <w:color w:val="auto"/>
              </w:rPr>
            </w:pPr>
            <w:r>
              <w:rPr>
                <w:rFonts w:ascii="Arial" w:cs="Arial" w:eastAsia="Arial" w:hAnsi="Arial"/>
                <w:sz w:val="18"/>
                <w:szCs w:val="18"/>
                <w:color w:val="auto"/>
                <w:w w:val="99"/>
              </w:rPr>
              <w:t>Pre-clinical</w:t>
            </w:r>
          </w:p>
        </w:tc>
        <w:tc>
          <w:tcPr>
            <w:tcW w:w="380" w:type="dxa"/>
            <w:vAlign w:val="bottom"/>
            <w:tcBorders>
              <w:bottom w:val="single" w:sz="8" w:color="D8D8D8"/>
            </w:tcBorders>
            <w:shd w:val="clear" w:color="auto" w:fill="D8D8D8"/>
          </w:tcPr>
          <w:p>
            <w:pPr>
              <w:spacing w:after="0"/>
              <w:rPr>
                <w:sz w:val="22"/>
                <w:szCs w:val="22"/>
                <w:color w:val="auto"/>
              </w:rPr>
            </w:pPr>
          </w:p>
        </w:tc>
        <w:tc>
          <w:tcPr>
            <w:tcW w:w="1500" w:type="dxa"/>
            <w:vAlign w:val="bottom"/>
            <w:tcBorders>
              <w:bottom w:val="single" w:sz="8" w:color="D8D8D8"/>
            </w:tcBorders>
            <w:shd w:val="clear" w:color="auto" w:fill="D8D8D8"/>
          </w:tcPr>
          <w:p>
            <w:pPr>
              <w:jc w:val="right"/>
              <w:ind w:right="13"/>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41"/>
        </w:trPr>
        <w:tc>
          <w:tcPr>
            <w:tcW w:w="33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Locemia Solutions</w:t>
            </w:r>
          </w:p>
        </w:tc>
        <w:tc>
          <w:tcPr>
            <w:tcW w:w="336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Intranasal glucagon</w:t>
            </w:r>
          </w:p>
        </w:tc>
        <w:tc>
          <w:tcPr>
            <w:tcW w:w="1400" w:type="dxa"/>
            <w:vAlign w:val="bottom"/>
            <w:tcBorders>
              <w:top w:val="single" w:sz="8" w:color="auto"/>
            </w:tcBorders>
          </w:tcPr>
          <w:p>
            <w:pPr>
              <w:jc w:val="center"/>
              <w:ind w:right="12"/>
              <w:spacing w:after="0"/>
              <w:rPr>
                <w:sz w:val="20"/>
                <w:szCs w:val="20"/>
                <w:color w:val="auto"/>
              </w:rPr>
            </w:pPr>
            <w:r>
              <w:rPr>
                <w:rFonts w:ascii="Arial" w:cs="Arial" w:eastAsia="Arial" w:hAnsi="Arial"/>
                <w:sz w:val="18"/>
                <w:szCs w:val="18"/>
                <w:color w:val="auto"/>
              </w:rPr>
              <w:t>October 2015</w:t>
            </w:r>
          </w:p>
        </w:tc>
        <w:tc>
          <w:tcPr>
            <w:tcW w:w="14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Phase III</w:t>
            </w:r>
          </w:p>
        </w:tc>
        <w:tc>
          <w:tcPr>
            <w:tcW w:w="38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149.0</w:t>
            </w:r>
          </w:p>
        </w:tc>
        <w:tc>
          <w:tcPr>
            <w:tcW w:w="0" w:type="dxa"/>
            <w:vAlign w:val="bottom"/>
          </w:tcPr>
          <w:p>
            <w:pPr>
              <w:spacing w:after="0"/>
              <w:rPr>
                <w:sz w:val="1"/>
                <w:szCs w:val="1"/>
                <w:color w:val="auto"/>
              </w:rPr>
            </w:pPr>
          </w:p>
        </w:tc>
      </w:tr>
      <w:tr>
        <w:trPr>
          <w:trHeight w:val="23"/>
        </w:trPr>
        <w:tc>
          <w:tcPr>
            <w:tcW w:w="3380" w:type="dxa"/>
            <w:vAlign w:val="bottom"/>
            <w:tcBorders>
              <w:bottom w:val="single" w:sz="8" w:color="auto"/>
            </w:tcBorders>
          </w:tcPr>
          <w:p>
            <w:pPr>
              <w:spacing w:after="0"/>
              <w:rPr>
                <w:sz w:val="2"/>
                <w:szCs w:val="2"/>
                <w:color w:val="auto"/>
              </w:rPr>
            </w:pPr>
          </w:p>
        </w:tc>
        <w:tc>
          <w:tcPr>
            <w:tcW w:w="33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3380" w:type="dxa"/>
            <w:vAlign w:val="bottom"/>
            <w:vMerge w:val="restart"/>
            <w:shd w:val="clear" w:color="auto" w:fill="D8D8D8"/>
          </w:tcPr>
          <w:p>
            <w:pPr>
              <w:ind w:left="40"/>
              <w:spacing w:after="0"/>
              <w:rPr>
                <w:sz w:val="20"/>
                <w:szCs w:val="20"/>
                <w:color w:val="auto"/>
              </w:rPr>
            </w:pPr>
            <w:r>
              <w:rPr>
                <w:rFonts w:ascii="Arial" w:cs="Arial" w:eastAsia="Arial" w:hAnsi="Arial"/>
                <w:sz w:val="18"/>
                <w:szCs w:val="18"/>
                <w:color w:val="auto"/>
              </w:rPr>
              <w:t>Undisclosed</w:t>
            </w:r>
          </w:p>
        </w:tc>
        <w:tc>
          <w:tcPr>
            <w:tcW w:w="3360" w:type="dxa"/>
            <w:vAlign w:val="bottom"/>
            <w:vMerge w:val="restart"/>
            <w:shd w:val="clear" w:color="auto" w:fill="D8D8D8"/>
          </w:tcPr>
          <w:p>
            <w:pPr>
              <w:ind w:left="80"/>
              <w:spacing w:after="0"/>
              <w:rPr>
                <w:sz w:val="20"/>
                <w:szCs w:val="20"/>
                <w:color w:val="auto"/>
              </w:rPr>
            </w:pPr>
            <w:r>
              <w:rPr>
                <w:rFonts w:ascii="Arial" w:cs="Arial" w:eastAsia="Arial" w:hAnsi="Arial"/>
                <w:sz w:val="18"/>
                <w:szCs w:val="18"/>
                <w:color w:val="auto"/>
              </w:rPr>
              <w:t>Technology collaboration</w:t>
            </w:r>
          </w:p>
        </w:tc>
        <w:tc>
          <w:tcPr>
            <w:tcW w:w="1400" w:type="dxa"/>
            <w:vAlign w:val="bottom"/>
            <w:shd w:val="clear" w:color="auto" w:fill="D8D8D8"/>
          </w:tcPr>
          <w:p>
            <w:pPr>
              <w:jc w:val="center"/>
              <w:ind w:right="12"/>
              <w:spacing w:after="0" w:line="201" w:lineRule="exact"/>
              <w:rPr>
                <w:sz w:val="20"/>
                <w:szCs w:val="20"/>
                <w:color w:val="auto"/>
              </w:rPr>
            </w:pPr>
            <w:r>
              <w:rPr>
                <w:rFonts w:ascii="Arial" w:cs="Arial" w:eastAsia="Arial" w:hAnsi="Arial"/>
                <w:sz w:val="18"/>
                <w:szCs w:val="18"/>
                <w:color w:val="auto"/>
                <w:w w:val="98"/>
              </w:rPr>
              <w:t>December</w:t>
            </w:r>
          </w:p>
        </w:tc>
        <w:tc>
          <w:tcPr>
            <w:tcW w:w="1400" w:type="dxa"/>
            <w:vAlign w:val="bottom"/>
            <w:vMerge w:val="restart"/>
            <w:shd w:val="clear" w:color="auto" w:fill="D8D8D8"/>
          </w:tcPr>
          <w:p>
            <w:pPr>
              <w:jc w:val="center"/>
              <w:spacing w:after="0"/>
              <w:rPr>
                <w:sz w:val="20"/>
                <w:szCs w:val="20"/>
                <w:color w:val="auto"/>
              </w:rPr>
            </w:pPr>
            <w:r>
              <w:rPr>
                <w:rFonts w:ascii="Arial" w:cs="Arial" w:eastAsia="Arial" w:hAnsi="Arial"/>
                <w:sz w:val="18"/>
                <w:szCs w:val="18"/>
                <w:color w:val="auto"/>
                <w:w w:val="99"/>
              </w:rPr>
              <w:t>N/A</w:t>
            </w:r>
          </w:p>
        </w:tc>
        <w:tc>
          <w:tcPr>
            <w:tcW w:w="380" w:type="dxa"/>
            <w:vAlign w:val="bottom"/>
            <w:shd w:val="clear" w:color="auto" w:fill="D8D8D8"/>
          </w:tcPr>
          <w:p>
            <w:pPr>
              <w:spacing w:after="0"/>
              <w:rPr>
                <w:sz w:val="17"/>
                <w:szCs w:val="17"/>
                <w:color w:val="auto"/>
              </w:rPr>
            </w:pPr>
          </w:p>
        </w:tc>
        <w:tc>
          <w:tcPr>
            <w:tcW w:w="1500" w:type="dxa"/>
            <w:vAlign w:val="bottom"/>
            <w:vMerge w:val="restart"/>
            <w:shd w:val="clear" w:color="auto" w:fill="D8D8D8"/>
          </w:tcPr>
          <w:p>
            <w:pPr>
              <w:jc w:val="right"/>
              <w:ind w:right="13"/>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135"/>
        </w:trPr>
        <w:tc>
          <w:tcPr>
            <w:tcW w:w="3380" w:type="dxa"/>
            <w:vAlign w:val="bottom"/>
            <w:vMerge w:val="continue"/>
            <w:shd w:val="clear" w:color="auto" w:fill="D8D8D8"/>
          </w:tcPr>
          <w:p>
            <w:pPr>
              <w:spacing w:after="0"/>
              <w:rPr>
                <w:sz w:val="11"/>
                <w:szCs w:val="11"/>
                <w:color w:val="auto"/>
              </w:rPr>
            </w:pPr>
          </w:p>
        </w:tc>
        <w:tc>
          <w:tcPr>
            <w:tcW w:w="3360" w:type="dxa"/>
            <w:vAlign w:val="bottom"/>
            <w:vMerge w:val="continue"/>
            <w:shd w:val="clear" w:color="auto" w:fill="D8D8D8"/>
          </w:tcPr>
          <w:p>
            <w:pPr>
              <w:spacing w:after="0"/>
              <w:rPr>
                <w:sz w:val="11"/>
                <w:szCs w:val="11"/>
                <w:color w:val="auto"/>
              </w:rPr>
            </w:pPr>
          </w:p>
        </w:tc>
        <w:tc>
          <w:tcPr>
            <w:tcW w:w="1400" w:type="dxa"/>
            <w:vAlign w:val="bottom"/>
            <w:vMerge w:val="restart"/>
            <w:shd w:val="clear" w:color="auto" w:fill="D8D8D8"/>
          </w:tcPr>
          <w:p>
            <w:pPr>
              <w:jc w:val="center"/>
              <w:ind w:right="32"/>
              <w:spacing w:after="0"/>
              <w:rPr>
                <w:sz w:val="20"/>
                <w:szCs w:val="20"/>
                <w:color w:val="auto"/>
              </w:rPr>
            </w:pPr>
            <w:r>
              <w:rPr>
                <w:rFonts w:ascii="Arial" w:cs="Arial" w:eastAsia="Arial" w:hAnsi="Arial"/>
                <w:sz w:val="18"/>
                <w:szCs w:val="18"/>
                <w:color w:val="auto"/>
                <w:w w:val="99"/>
              </w:rPr>
              <w:t>2015</w:t>
            </w:r>
          </w:p>
        </w:tc>
        <w:tc>
          <w:tcPr>
            <w:tcW w:w="1400" w:type="dxa"/>
            <w:vAlign w:val="bottom"/>
            <w:vMerge w:val="continue"/>
            <w:shd w:val="clear" w:color="auto" w:fill="D8D8D8"/>
          </w:tcPr>
          <w:p>
            <w:pPr>
              <w:spacing w:after="0"/>
              <w:rPr>
                <w:sz w:val="11"/>
                <w:szCs w:val="11"/>
                <w:color w:val="auto"/>
              </w:rPr>
            </w:pPr>
          </w:p>
        </w:tc>
        <w:tc>
          <w:tcPr>
            <w:tcW w:w="380" w:type="dxa"/>
            <w:vAlign w:val="bottom"/>
            <w:shd w:val="clear" w:color="auto" w:fill="D8D8D8"/>
          </w:tcPr>
          <w:p>
            <w:pPr>
              <w:spacing w:after="0"/>
              <w:rPr>
                <w:sz w:val="11"/>
                <w:szCs w:val="11"/>
                <w:color w:val="auto"/>
              </w:rPr>
            </w:pPr>
          </w:p>
        </w:tc>
        <w:tc>
          <w:tcPr>
            <w:tcW w:w="1500" w:type="dxa"/>
            <w:vAlign w:val="bottom"/>
            <w:vMerge w:val="continue"/>
            <w:shd w:val="clear" w:color="auto" w:fill="D8D8D8"/>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3380" w:type="dxa"/>
            <w:vAlign w:val="bottom"/>
            <w:tcBorders>
              <w:bottom w:val="single" w:sz="8" w:color="auto"/>
            </w:tcBorders>
            <w:shd w:val="clear" w:color="auto" w:fill="D8D8D8"/>
          </w:tcPr>
          <w:p>
            <w:pPr>
              <w:spacing w:after="0"/>
              <w:rPr>
                <w:sz w:val="9"/>
                <w:szCs w:val="9"/>
                <w:color w:val="auto"/>
              </w:rPr>
            </w:pPr>
          </w:p>
        </w:tc>
        <w:tc>
          <w:tcPr>
            <w:tcW w:w="3360" w:type="dxa"/>
            <w:vAlign w:val="bottom"/>
            <w:tcBorders>
              <w:bottom w:val="single" w:sz="8" w:color="auto"/>
            </w:tcBorders>
            <w:shd w:val="clear" w:color="auto" w:fill="D8D8D8"/>
          </w:tcPr>
          <w:p>
            <w:pPr>
              <w:spacing w:after="0"/>
              <w:rPr>
                <w:sz w:val="9"/>
                <w:szCs w:val="9"/>
                <w:color w:val="auto"/>
              </w:rPr>
            </w:pPr>
          </w:p>
        </w:tc>
        <w:tc>
          <w:tcPr>
            <w:tcW w:w="1400" w:type="dxa"/>
            <w:vAlign w:val="bottom"/>
            <w:tcBorders>
              <w:bottom w:val="single" w:sz="8" w:color="auto"/>
            </w:tcBorders>
            <w:vMerge w:val="continue"/>
            <w:shd w:val="clear" w:color="auto" w:fill="D8D8D8"/>
          </w:tcPr>
          <w:p>
            <w:pPr>
              <w:spacing w:after="0"/>
              <w:rPr>
                <w:sz w:val="9"/>
                <w:szCs w:val="9"/>
                <w:color w:val="auto"/>
              </w:rPr>
            </w:pPr>
          </w:p>
        </w:tc>
        <w:tc>
          <w:tcPr>
            <w:tcW w:w="1400" w:type="dxa"/>
            <w:vAlign w:val="bottom"/>
            <w:tcBorders>
              <w:bottom w:val="single" w:sz="8" w:color="auto"/>
            </w:tcBorders>
            <w:shd w:val="clear" w:color="auto" w:fill="D8D8D8"/>
          </w:tcPr>
          <w:p>
            <w:pPr>
              <w:spacing w:after="0"/>
              <w:rPr>
                <w:sz w:val="9"/>
                <w:szCs w:val="9"/>
                <w:color w:val="auto"/>
              </w:rPr>
            </w:pPr>
          </w:p>
        </w:tc>
        <w:tc>
          <w:tcPr>
            <w:tcW w:w="380" w:type="dxa"/>
            <w:vAlign w:val="bottom"/>
            <w:tcBorders>
              <w:bottom w:val="single" w:sz="8" w:color="auto"/>
            </w:tcBorders>
            <w:shd w:val="clear" w:color="auto" w:fill="D8D8D8"/>
          </w:tcPr>
          <w:p>
            <w:pPr>
              <w:spacing w:after="0"/>
              <w:rPr>
                <w:sz w:val="9"/>
                <w:szCs w:val="9"/>
                <w:color w:val="auto"/>
              </w:rPr>
            </w:pPr>
          </w:p>
        </w:tc>
        <w:tc>
          <w:tcPr>
            <w:tcW w:w="1500" w:type="dxa"/>
            <w:vAlign w:val="bottom"/>
            <w:tcBorders>
              <w:bottom w:val="single" w:sz="8" w:color="auto"/>
            </w:tcBorders>
            <w:shd w:val="clear" w:color="auto" w:fill="D8D8D8"/>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Arial" w:cs="Arial" w:eastAsia="Arial" w:hAnsi="Arial"/>
                <w:sz w:val="18"/>
                <w:szCs w:val="18"/>
                <w:color w:val="auto"/>
              </w:rPr>
              <w:t>Halozyme Therapeutics, Inc. (Halozyme)</w:t>
            </w:r>
          </w:p>
        </w:tc>
        <w:tc>
          <w:tcPr>
            <w:tcW w:w="3360" w:type="dxa"/>
            <w:vAlign w:val="bottom"/>
          </w:tcPr>
          <w:p>
            <w:pPr>
              <w:ind w:left="80"/>
              <w:spacing w:after="0"/>
              <w:rPr>
                <w:sz w:val="20"/>
                <w:szCs w:val="20"/>
                <w:color w:val="auto"/>
              </w:rPr>
            </w:pPr>
            <w:r>
              <w:rPr>
                <w:rFonts w:ascii="Arial" w:cs="Arial" w:eastAsia="Arial" w:hAnsi="Arial"/>
                <w:sz w:val="18"/>
                <w:szCs w:val="18"/>
                <w:color w:val="auto"/>
              </w:rPr>
              <w:t>Recombinant human hyaluronidase</w:t>
            </w:r>
          </w:p>
        </w:tc>
        <w:tc>
          <w:tcPr>
            <w:tcW w:w="1400" w:type="dxa"/>
            <w:vAlign w:val="bottom"/>
          </w:tcPr>
          <w:p>
            <w:pPr>
              <w:jc w:val="center"/>
              <w:ind w:right="12"/>
              <w:spacing w:after="0"/>
              <w:rPr>
                <w:sz w:val="20"/>
                <w:szCs w:val="20"/>
                <w:color w:val="auto"/>
              </w:rPr>
            </w:pPr>
            <w:r>
              <w:rPr>
                <w:rFonts w:ascii="Arial" w:cs="Arial" w:eastAsia="Arial" w:hAnsi="Arial"/>
                <w:sz w:val="18"/>
                <w:szCs w:val="18"/>
                <w:color w:val="auto"/>
                <w:w w:val="98"/>
              </w:rPr>
              <w:t>December</w:t>
            </w:r>
          </w:p>
        </w:tc>
        <w:tc>
          <w:tcPr>
            <w:tcW w:w="1400" w:type="dxa"/>
            <w:vAlign w:val="bottom"/>
          </w:tcPr>
          <w:p>
            <w:pPr>
              <w:jc w:val="center"/>
              <w:spacing w:after="0"/>
              <w:rPr>
                <w:sz w:val="20"/>
                <w:szCs w:val="20"/>
                <w:color w:val="auto"/>
              </w:rPr>
            </w:pPr>
            <w:r>
              <w:rPr>
                <w:rFonts w:ascii="Arial" w:cs="Arial" w:eastAsia="Arial" w:hAnsi="Arial"/>
                <w:sz w:val="18"/>
                <w:szCs w:val="18"/>
                <w:color w:val="auto"/>
                <w:w w:val="99"/>
              </w:rPr>
              <w:t>N/A</w:t>
            </w:r>
          </w:p>
        </w:tc>
        <w:tc>
          <w:tcPr>
            <w:tcW w:w="380" w:type="dxa"/>
            <w:vAlign w:val="bottom"/>
          </w:tcPr>
          <w:p>
            <w:pPr>
              <w:spacing w:after="0"/>
              <w:rPr>
                <w:sz w:val="24"/>
                <w:szCs w:val="24"/>
                <w:color w:val="auto"/>
              </w:rPr>
            </w:pP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183"/>
        </w:trPr>
        <w:tc>
          <w:tcPr>
            <w:tcW w:w="3380" w:type="dxa"/>
            <w:vAlign w:val="bottom"/>
            <w:tcBorders>
              <w:bottom w:val="single" w:sz="8" w:color="auto"/>
            </w:tcBorders>
          </w:tcPr>
          <w:p>
            <w:pPr>
              <w:spacing w:after="0"/>
              <w:rPr>
                <w:sz w:val="15"/>
                <w:szCs w:val="15"/>
                <w:color w:val="auto"/>
              </w:rPr>
            </w:pPr>
          </w:p>
        </w:tc>
        <w:tc>
          <w:tcPr>
            <w:tcW w:w="3360" w:type="dxa"/>
            <w:vAlign w:val="bottom"/>
            <w:tcBorders>
              <w:bottom w:val="single" w:sz="8" w:color="auto"/>
            </w:tcBorders>
          </w:tcPr>
          <w:p>
            <w:pPr>
              <w:ind w:left="80"/>
              <w:spacing w:after="0" w:line="176" w:lineRule="exact"/>
              <w:rPr>
                <w:sz w:val="20"/>
                <w:szCs w:val="20"/>
                <w:color w:val="auto"/>
              </w:rPr>
            </w:pPr>
            <w:r>
              <w:rPr>
                <w:rFonts w:ascii="Arial" w:cs="Arial" w:eastAsia="Arial" w:hAnsi="Arial"/>
                <w:sz w:val="18"/>
                <w:szCs w:val="18"/>
                <w:color w:val="auto"/>
              </w:rPr>
              <w:t>enzyme - rHuPH20</w:t>
            </w:r>
          </w:p>
        </w:tc>
        <w:tc>
          <w:tcPr>
            <w:tcW w:w="1400" w:type="dxa"/>
            <w:vAlign w:val="bottom"/>
            <w:tcBorders>
              <w:bottom w:val="single" w:sz="8" w:color="auto"/>
            </w:tcBorders>
          </w:tcPr>
          <w:p>
            <w:pPr>
              <w:jc w:val="center"/>
              <w:ind w:right="32"/>
              <w:spacing w:after="0" w:line="176" w:lineRule="exact"/>
              <w:rPr>
                <w:sz w:val="20"/>
                <w:szCs w:val="20"/>
                <w:color w:val="auto"/>
              </w:rPr>
            </w:pPr>
            <w:r>
              <w:rPr>
                <w:rFonts w:ascii="Arial" w:cs="Arial" w:eastAsia="Arial" w:hAnsi="Arial"/>
                <w:sz w:val="18"/>
                <w:szCs w:val="18"/>
                <w:color w:val="auto"/>
                <w:w w:val="99"/>
              </w:rPr>
              <w:t>2015</w:t>
            </w:r>
          </w:p>
        </w:tc>
        <w:tc>
          <w:tcPr>
            <w:tcW w:w="14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31"/>
        </w:trPr>
        <w:tc>
          <w:tcPr>
            <w:tcW w:w="3380" w:type="dxa"/>
            <w:vAlign w:val="bottom"/>
            <w:tcBorders>
              <w:bottom w:val="single" w:sz="8" w:color="auto"/>
            </w:tcBorders>
            <w:shd w:val="clear" w:color="auto" w:fill="D8D8D8"/>
          </w:tcPr>
          <w:p>
            <w:pPr>
              <w:spacing w:after="0"/>
              <w:rPr>
                <w:sz w:val="24"/>
                <w:szCs w:val="24"/>
                <w:color w:val="auto"/>
              </w:rPr>
            </w:pPr>
          </w:p>
        </w:tc>
        <w:tc>
          <w:tcPr>
            <w:tcW w:w="3360" w:type="dxa"/>
            <w:vAlign w:val="bottom"/>
            <w:tcBorders>
              <w:bottom w:val="single" w:sz="8" w:color="auto"/>
            </w:tcBorders>
            <w:shd w:val="clear" w:color="auto" w:fill="D8D8D8"/>
          </w:tcPr>
          <w:p>
            <w:pPr>
              <w:spacing w:after="0"/>
              <w:rPr>
                <w:sz w:val="24"/>
                <w:szCs w:val="24"/>
                <w:color w:val="auto"/>
              </w:rPr>
            </w:pPr>
          </w:p>
        </w:tc>
        <w:tc>
          <w:tcPr>
            <w:tcW w:w="1400" w:type="dxa"/>
            <w:vAlign w:val="bottom"/>
            <w:tcBorders>
              <w:bottom w:val="single" w:sz="8" w:color="auto"/>
            </w:tcBorders>
            <w:shd w:val="clear" w:color="auto" w:fill="D8D8D8"/>
          </w:tcPr>
          <w:p>
            <w:pPr>
              <w:spacing w:after="0"/>
              <w:rPr>
                <w:sz w:val="24"/>
                <w:szCs w:val="24"/>
                <w:color w:val="auto"/>
              </w:rPr>
            </w:pPr>
          </w:p>
        </w:tc>
        <w:tc>
          <w:tcPr>
            <w:tcW w:w="1400" w:type="dxa"/>
            <w:vAlign w:val="bottom"/>
            <w:tcBorders>
              <w:bottom w:val="single" w:sz="8" w:color="auto"/>
            </w:tcBorders>
            <w:shd w:val="clear" w:color="auto" w:fill="D8D8D8"/>
          </w:tcPr>
          <w:p>
            <w:pPr>
              <w:spacing w:after="0"/>
              <w:rPr>
                <w:sz w:val="24"/>
                <w:szCs w:val="24"/>
                <w:color w:val="auto"/>
              </w:rPr>
            </w:pPr>
          </w:p>
        </w:tc>
        <w:tc>
          <w:tcPr>
            <w:tcW w:w="380" w:type="dxa"/>
            <w:vAlign w:val="bottom"/>
            <w:tcBorders>
              <w:bottom w:val="single" w:sz="8" w:color="auto"/>
            </w:tcBorders>
            <w:shd w:val="clear" w:color="auto" w:fill="D8D8D8"/>
          </w:tcPr>
          <w:p>
            <w:pPr>
              <w:spacing w:after="0"/>
              <w:rPr>
                <w:sz w:val="24"/>
                <w:szCs w:val="24"/>
                <w:color w:val="auto"/>
              </w:rPr>
            </w:pPr>
          </w:p>
        </w:tc>
        <w:tc>
          <w:tcPr>
            <w:tcW w:w="1500" w:type="dxa"/>
            <w:vAlign w:val="bottom"/>
            <w:tcBorders>
              <w:bottom w:val="single" w:sz="8" w:color="auto"/>
            </w:tcBorders>
            <w:shd w:val="clear" w:color="auto" w:fill="D8D8D8"/>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3380" w:type="dxa"/>
            <w:vAlign w:val="bottom"/>
          </w:tcPr>
          <w:p>
            <w:pPr>
              <w:ind w:left="40"/>
              <w:spacing w:after="0"/>
              <w:rPr>
                <w:sz w:val="20"/>
                <w:szCs w:val="20"/>
                <w:color w:val="auto"/>
              </w:rPr>
            </w:pPr>
            <w:r>
              <w:rPr>
                <w:rFonts w:ascii="Arial" w:cs="Arial" w:eastAsia="Arial" w:hAnsi="Arial"/>
                <w:sz w:val="18"/>
                <w:szCs w:val="18"/>
                <w:color w:val="auto"/>
              </w:rPr>
              <w:t>Immunocore Limited (Immunocore)</w:t>
            </w:r>
          </w:p>
        </w:tc>
        <w:tc>
          <w:tcPr>
            <w:tcW w:w="3360" w:type="dxa"/>
            <w:vAlign w:val="bottom"/>
          </w:tcPr>
          <w:p>
            <w:pPr>
              <w:ind w:left="80"/>
              <w:spacing w:after="0"/>
              <w:rPr>
                <w:sz w:val="20"/>
                <w:szCs w:val="20"/>
                <w:color w:val="auto"/>
              </w:rPr>
            </w:pPr>
            <w:r>
              <w:rPr>
                <w:rFonts w:ascii="Arial" w:cs="Arial" w:eastAsia="Arial" w:hAnsi="Arial"/>
                <w:sz w:val="18"/>
                <w:szCs w:val="18"/>
                <w:color w:val="auto"/>
              </w:rPr>
              <w:t>T cell-based cancer therapies</w:t>
            </w:r>
          </w:p>
        </w:tc>
        <w:tc>
          <w:tcPr>
            <w:tcW w:w="1400" w:type="dxa"/>
            <w:vAlign w:val="bottom"/>
          </w:tcPr>
          <w:p>
            <w:pPr>
              <w:jc w:val="center"/>
              <w:ind w:right="12"/>
              <w:spacing w:after="0"/>
              <w:rPr>
                <w:sz w:val="20"/>
                <w:szCs w:val="20"/>
                <w:color w:val="auto"/>
              </w:rPr>
            </w:pPr>
            <w:r>
              <w:rPr>
                <w:rFonts w:ascii="Arial" w:cs="Arial" w:eastAsia="Arial" w:hAnsi="Arial"/>
                <w:sz w:val="18"/>
                <w:szCs w:val="18"/>
                <w:color w:val="auto"/>
              </w:rPr>
              <w:t>July 2014</w:t>
            </w:r>
          </w:p>
        </w:tc>
        <w:tc>
          <w:tcPr>
            <w:tcW w:w="1400" w:type="dxa"/>
            <w:vAlign w:val="bottom"/>
          </w:tcPr>
          <w:p>
            <w:pPr>
              <w:jc w:val="center"/>
              <w:spacing w:after="0"/>
              <w:rPr>
                <w:sz w:val="20"/>
                <w:szCs w:val="20"/>
                <w:color w:val="auto"/>
              </w:rPr>
            </w:pPr>
            <w:r>
              <w:rPr>
                <w:rFonts w:ascii="Arial" w:cs="Arial" w:eastAsia="Arial" w:hAnsi="Arial"/>
                <w:sz w:val="18"/>
                <w:szCs w:val="18"/>
                <w:color w:val="auto"/>
                <w:w w:val="99"/>
              </w:rPr>
              <w:t>Pre-clinical</w:t>
            </w:r>
          </w:p>
        </w:tc>
        <w:tc>
          <w:tcPr>
            <w:tcW w:w="380" w:type="dxa"/>
            <w:vAlign w:val="bottom"/>
          </w:tcPr>
          <w:p>
            <w:pPr>
              <w:spacing w:after="0"/>
              <w:rPr>
                <w:sz w:val="21"/>
                <w:szCs w:val="21"/>
                <w:color w:val="auto"/>
              </w:rPr>
            </w:pP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3"/>
        </w:trPr>
        <w:tc>
          <w:tcPr>
            <w:tcW w:w="3380" w:type="dxa"/>
            <w:vAlign w:val="bottom"/>
            <w:tcBorders>
              <w:bottom w:val="single" w:sz="8" w:color="auto"/>
            </w:tcBorders>
          </w:tcPr>
          <w:p>
            <w:pPr>
              <w:spacing w:after="0"/>
              <w:rPr>
                <w:sz w:val="2"/>
                <w:szCs w:val="2"/>
                <w:color w:val="auto"/>
              </w:rPr>
            </w:pPr>
          </w:p>
        </w:tc>
        <w:tc>
          <w:tcPr>
            <w:tcW w:w="33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3380" w:type="dxa"/>
            <w:vAlign w:val="bottom"/>
            <w:vMerge w:val="restart"/>
            <w:shd w:val="clear" w:color="auto" w:fill="D8D8D8"/>
          </w:tcPr>
          <w:p>
            <w:pPr>
              <w:ind w:left="40"/>
              <w:spacing w:after="0"/>
              <w:rPr>
                <w:sz w:val="20"/>
                <w:szCs w:val="20"/>
                <w:color w:val="auto"/>
              </w:rPr>
            </w:pPr>
            <w:r>
              <w:rPr>
                <w:rFonts w:ascii="Arial" w:cs="Arial" w:eastAsia="Arial" w:hAnsi="Arial"/>
                <w:sz w:val="18"/>
                <w:szCs w:val="18"/>
                <w:color w:val="auto"/>
              </w:rPr>
              <w:t>AstraZeneca UK Limited (AstraZeneca)</w:t>
            </w:r>
          </w:p>
        </w:tc>
        <w:tc>
          <w:tcPr>
            <w:tcW w:w="3360" w:type="dxa"/>
            <w:vAlign w:val="bottom"/>
            <w:shd w:val="clear" w:color="auto" w:fill="D8D8D8"/>
          </w:tcPr>
          <w:p>
            <w:pPr>
              <w:ind w:left="80"/>
              <w:spacing w:after="0" w:line="201" w:lineRule="exact"/>
              <w:rPr>
                <w:sz w:val="20"/>
                <w:szCs w:val="20"/>
                <w:color w:val="auto"/>
              </w:rPr>
            </w:pPr>
            <w:r>
              <w:rPr>
                <w:rFonts w:ascii="Arial" w:cs="Arial" w:eastAsia="Arial" w:hAnsi="Arial"/>
                <w:sz w:val="18"/>
                <w:szCs w:val="18"/>
                <w:color w:val="auto"/>
              </w:rPr>
              <w:t>Oral beta-secretase cleaving enzyme</w:t>
            </w:r>
          </w:p>
        </w:tc>
        <w:tc>
          <w:tcPr>
            <w:tcW w:w="1400" w:type="dxa"/>
            <w:vAlign w:val="bottom"/>
            <w:shd w:val="clear" w:color="auto" w:fill="D8D8D8"/>
          </w:tcPr>
          <w:p>
            <w:pPr>
              <w:jc w:val="center"/>
              <w:ind w:right="32"/>
              <w:spacing w:after="0" w:line="201" w:lineRule="exact"/>
              <w:rPr>
                <w:sz w:val="20"/>
                <w:szCs w:val="20"/>
                <w:color w:val="auto"/>
              </w:rPr>
            </w:pPr>
            <w:r>
              <w:rPr>
                <w:rFonts w:ascii="Arial" w:cs="Arial" w:eastAsia="Arial" w:hAnsi="Arial"/>
                <w:sz w:val="18"/>
                <w:szCs w:val="18"/>
                <w:color w:val="auto"/>
                <w:w w:val="99"/>
              </w:rPr>
              <w:t>September</w:t>
            </w:r>
          </w:p>
        </w:tc>
        <w:tc>
          <w:tcPr>
            <w:tcW w:w="1400" w:type="dxa"/>
            <w:vAlign w:val="bottom"/>
            <w:vMerge w:val="restart"/>
            <w:shd w:val="clear" w:color="auto" w:fill="D8D8D8"/>
          </w:tcPr>
          <w:p>
            <w:pPr>
              <w:jc w:val="center"/>
              <w:spacing w:after="0"/>
              <w:rPr>
                <w:sz w:val="20"/>
                <w:szCs w:val="20"/>
                <w:color w:val="auto"/>
              </w:rPr>
            </w:pPr>
            <w:r>
              <w:rPr>
                <w:rFonts w:ascii="Arial" w:cs="Arial" w:eastAsia="Arial" w:hAnsi="Arial"/>
                <w:sz w:val="18"/>
                <w:szCs w:val="18"/>
                <w:color w:val="auto"/>
                <w:w w:val="98"/>
              </w:rPr>
              <w:t>Phase I</w:t>
            </w:r>
          </w:p>
        </w:tc>
        <w:tc>
          <w:tcPr>
            <w:tcW w:w="380" w:type="dxa"/>
            <w:vAlign w:val="bottom"/>
            <w:shd w:val="clear" w:color="auto" w:fill="D8D8D8"/>
          </w:tcPr>
          <w:p>
            <w:pPr>
              <w:spacing w:after="0"/>
              <w:rPr>
                <w:sz w:val="17"/>
                <w:szCs w:val="17"/>
                <w:color w:val="auto"/>
              </w:rPr>
            </w:pPr>
          </w:p>
        </w:tc>
        <w:tc>
          <w:tcPr>
            <w:tcW w:w="1500" w:type="dxa"/>
            <w:vAlign w:val="bottom"/>
            <w:vMerge w:val="restart"/>
            <w:shd w:val="clear" w:color="auto" w:fill="D8D8D8"/>
          </w:tcPr>
          <w:p>
            <w:pPr>
              <w:jc w:val="right"/>
              <w:ind w:right="13"/>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135"/>
        </w:trPr>
        <w:tc>
          <w:tcPr>
            <w:tcW w:w="3380" w:type="dxa"/>
            <w:vAlign w:val="bottom"/>
            <w:vMerge w:val="continue"/>
            <w:shd w:val="clear" w:color="auto" w:fill="D8D8D8"/>
          </w:tcPr>
          <w:p>
            <w:pPr>
              <w:spacing w:after="0"/>
              <w:rPr>
                <w:sz w:val="11"/>
                <w:szCs w:val="11"/>
                <w:color w:val="auto"/>
              </w:rPr>
            </w:pPr>
          </w:p>
        </w:tc>
        <w:tc>
          <w:tcPr>
            <w:tcW w:w="3360" w:type="dxa"/>
            <w:vAlign w:val="bottom"/>
            <w:vMerge w:val="restart"/>
            <w:shd w:val="clear" w:color="auto" w:fill="D8D8D8"/>
          </w:tcPr>
          <w:p>
            <w:pPr>
              <w:ind w:left="80"/>
              <w:spacing w:after="0"/>
              <w:rPr>
                <w:sz w:val="20"/>
                <w:szCs w:val="20"/>
                <w:color w:val="auto"/>
              </w:rPr>
            </w:pPr>
            <w:r>
              <w:rPr>
                <w:rFonts w:ascii="Arial" w:cs="Arial" w:eastAsia="Arial" w:hAnsi="Arial"/>
                <w:sz w:val="18"/>
                <w:szCs w:val="18"/>
                <w:color w:val="auto"/>
              </w:rPr>
              <w:t>inhibitor - AZD3293</w:t>
            </w:r>
          </w:p>
        </w:tc>
        <w:tc>
          <w:tcPr>
            <w:tcW w:w="1400" w:type="dxa"/>
            <w:vAlign w:val="bottom"/>
            <w:vMerge w:val="restart"/>
            <w:shd w:val="clear" w:color="auto" w:fill="D8D8D8"/>
          </w:tcPr>
          <w:p>
            <w:pPr>
              <w:jc w:val="center"/>
              <w:ind w:right="32"/>
              <w:spacing w:after="0"/>
              <w:rPr>
                <w:sz w:val="20"/>
                <w:szCs w:val="20"/>
                <w:color w:val="auto"/>
              </w:rPr>
            </w:pPr>
            <w:r>
              <w:rPr>
                <w:rFonts w:ascii="Arial" w:cs="Arial" w:eastAsia="Arial" w:hAnsi="Arial"/>
                <w:sz w:val="18"/>
                <w:szCs w:val="18"/>
                <w:color w:val="auto"/>
                <w:w w:val="99"/>
              </w:rPr>
              <w:t>2014</w:t>
            </w:r>
          </w:p>
        </w:tc>
        <w:tc>
          <w:tcPr>
            <w:tcW w:w="1400" w:type="dxa"/>
            <w:vAlign w:val="bottom"/>
            <w:vMerge w:val="continue"/>
            <w:shd w:val="clear" w:color="auto" w:fill="D8D8D8"/>
          </w:tcPr>
          <w:p>
            <w:pPr>
              <w:spacing w:after="0"/>
              <w:rPr>
                <w:sz w:val="11"/>
                <w:szCs w:val="11"/>
                <w:color w:val="auto"/>
              </w:rPr>
            </w:pPr>
          </w:p>
        </w:tc>
        <w:tc>
          <w:tcPr>
            <w:tcW w:w="380" w:type="dxa"/>
            <w:vAlign w:val="bottom"/>
            <w:shd w:val="clear" w:color="auto" w:fill="D8D8D8"/>
          </w:tcPr>
          <w:p>
            <w:pPr>
              <w:spacing w:after="0"/>
              <w:rPr>
                <w:sz w:val="11"/>
                <w:szCs w:val="11"/>
                <w:color w:val="auto"/>
              </w:rPr>
            </w:pPr>
          </w:p>
        </w:tc>
        <w:tc>
          <w:tcPr>
            <w:tcW w:w="1500" w:type="dxa"/>
            <w:vAlign w:val="bottom"/>
            <w:vMerge w:val="continue"/>
            <w:shd w:val="clear" w:color="auto" w:fill="D8D8D8"/>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3380" w:type="dxa"/>
            <w:vAlign w:val="bottom"/>
            <w:tcBorders>
              <w:bottom w:val="single" w:sz="8" w:color="auto"/>
            </w:tcBorders>
            <w:shd w:val="clear" w:color="auto" w:fill="D8D8D8"/>
          </w:tcPr>
          <w:p>
            <w:pPr>
              <w:spacing w:after="0"/>
              <w:rPr>
                <w:sz w:val="9"/>
                <w:szCs w:val="9"/>
                <w:color w:val="auto"/>
              </w:rPr>
            </w:pPr>
          </w:p>
        </w:tc>
        <w:tc>
          <w:tcPr>
            <w:tcW w:w="3360" w:type="dxa"/>
            <w:vAlign w:val="bottom"/>
            <w:tcBorders>
              <w:bottom w:val="single" w:sz="8" w:color="auto"/>
            </w:tcBorders>
            <w:vMerge w:val="continue"/>
            <w:shd w:val="clear" w:color="auto" w:fill="D8D8D8"/>
          </w:tcPr>
          <w:p>
            <w:pPr>
              <w:spacing w:after="0"/>
              <w:rPr>
                <w:sz w:val="9"/>
                <w:szCs w:val="9"/>
                <w:color w:val="auto"/>
              </w:rPr>
            </w:pPr>
          </w:p>
        </w:tc>
        <w:tc>
          <w:tcPr>
            <w:tcW w:w="1400" w:type="dxa"/>
            <w:vAlign w:val="bottom"/>
            <w:tcBorders>
              <w:bottom w:val="single" w:sz="8" w:color="auto"/>
            </w:tcBorders>
            <w:vMerge w:val="continue"/>
            <w:shd w:val="clear" w:color="auto" w:fill="D8D8D8"/>
          </w:tcPr>
          <w:p>
            <w:pPr>
              <w:spacing w:after="0"/>
              <w:rPr>
                <w:sz w:val="9"/>
                <w:szCs w:val="9"/>
                <w:color w:val="auto"/>
              </w:rPr>
            </w:pPr>
          </w:p>
        </w:tc>
        <w:tc>
          <w:tcPr>
            <w:tcW w:w="1400" w:type="dxa"/>
            <w:vAlign w:val="bottom"/>
            <w:tcBorders>
              <w:bottom w:val="single" w:sz="8" w:color="auto"/>
            </w:tcBorders>
            <w:shd w:val="clear" w:color="auto" w:fill="D8D8D8"/>
          </w:tcPr>
          <w:p>
            <w:pPr>
              <w:spacing w:after="0"/>
              <w:rPr>
                <w:sz w:val="9"/>
                <w:szCs w:val="9"/>
                <w:color w:val="auto"/>
              </w:rPr>
            </w:pPr>
          </w:p>
        </w:tc>
        <w:tc>
          <w:tcPr>
            <w:tcW w:w="380" w:type="dxa"/>
            <w:vAlign w:val="bottom"/>
            <w:tcBorders>
              <w:bottom w:val="single" w:sz="8" w:color="auto"/>
            </w:tcBorders>
            <w:shd w:val="clear" w:color="auto" w:fill="D8D8D8"/>
          </w:tcPr>
          <w:p>
            <w:pPr>
              <w:spacing w:after="0"/>
              <w:rPr>
                <w:sz w:val="9"/>
                <w:szCs w:val="9"/>
                <w:color w:val="auto"/>
              </w:rPr>
            </w:pPr>
          </w:p>
        </w:tc>
        <w:tc>
          <w:tcPr>
            <w:tcW w:w="1500" w:type="dxa"/>
            <w:vAlign w:val="bottom"/>
            <w:tcBorders>
              <w:bottom w:val="single" w:sz="8" w:color="auto"/>
            </w:tcBorders>
            <w:shd w:val="clear" w:color="auto" w:fill="D8D8D8"/>
          </w:tcPr>
          <w:p>
            <w:pPr>
              <w:spacing w:after="0"/>
              <w:rPr>
                <w:sz w:val="9"/>
                <w:szCs w:val="9"/>
                <w:color w:val="auto"/>
              </w:rPr>
            </w:pPr>
          </w:p>
        </w:tc>
        <w:tc>
          <w:tcPr>
            <w:tcW w:w="0" w:type="dxa"/>
            <w:vAlign w:val="bottom"/>
          </w:tcPr>
          <w:p>
            <w:pPr>
              <w:spacing w:after="0"/>
              <w:rPr>
                <w:sz w:val="1"/>
                <w:szCs w:val="1"/>
                <w:color w:val="auto"/>
              </w:rPr>
            </w:pPr>
          </w:p>
        </w:tc>
      </w:tr>
      <w:tr>
        <w:trPr>
          <w:trHeight w:val="205"/>
        </w:trPr>
        <w:tc>
          <w:tcPr>
            <w:tcW w:w="3380" w:type="dxa"/>
            <w:vAlign w:val="bottom"/>
            <w:vMerge w:val="restart"/>
          </w:tcPr>
          <w:p>
            <w:pPr>
              <w:ind w:left="40"/>
              <w:spacing w:after="0"/>
              <w:rPr>
                <w:sz w:val="20"/>
                <w:szCs w:val="20"/>
                <w:color w:val="auto"/>
              </w:rPr>
            </w:pPr>
            <w:r>
              <w:rPr>
                <w:rFonts w:ascii="Arial" w:cs="Arial" w:eastAsia="Arial" w:hAnsi="Arial"/>
                <w:sz w:val="18"/>
                <w:szCs w:val="18"/>
                <w:color w:val="auto"/>
              </w:rPr>
              <w:t>Adocia</w:t>
            </w:r>
          </w:p>
        </w:tc>
        <w:tc>
          <w:tcPr>
            <w:tcW w:w="3360" w:type="dxa"/>
            <w:vAlign w:val="bottom"/>
            <w:vMerge w:val="restart"/>
          </w:tcPr>
          <w:p>
            <w:pPr>
              <w:ind w:left="80"/>
              <w:spacing w:after="0"/>
              <w:rPr>
                <w:sz w:val="20"/>
                <w:szCs w:val="20"/>
                <w:color w:val="auto"/>
              </w:rPr>
            </w:pPr>
            <w:r>
              <w:rPr>
                <w:rFonts w:ascii="Arial" w:cs="Arial" w:eastAsia="Arial" w:hAnsi="Arial"/>
                <w:sz w:val="18"/>
                <w:szCs w:val="18"/>
                <w:color w:val="auto"/>
              </w:rPr>
              <w:t>BioChaperone Lispro</w:t>
            </w:r>
          </w:p>
        </w:tc>
        <w:tc>
          <w:tcPr>
            <w:tcW w:w="1400" w:type="dxa"/>
            <w:vAlign w:val="bottom"/>
          </w:tcPr>
          <w:p>
            <w:pPr>
              <w:jc w:val="center"/>
              <w:ind w:right="12"/>
              <w:spacing w:after="0" w:line="205" w:lineRule="exact"/>
              <w:rPr>
                <w:sz w:val="20"/>
                <w:szCs w:val="20"/>
                <w:color w:val="auto"/>
              </w:rPr>
            </w:pPr>
            <w:r>
              <w:rPr>
                <w:rFonts w:ascii="Arial" w:cs="Arial" w:eastAsia="Arial" w:hAnsi="Arial"/>
                <w:sz w:val="18"/>
                <w:szCs w:val="18"/>
                <w:color w:val="auto"/>
                <w:w w:val="98"/>
              </w:rPr>
              <w:t>December</w:t>
            </w:r>
          </w:p>
        </w:tc>
        <w:tc>
          <w:tcPr>
            <w:tcW w:w="1400" w:type="dxa"/>
            <w:vAlign w:val="bottom"/>
            <w:vMerge w:val="restart"/>
          </w:tcPr>
          <w:p>
            <w:pPr>
              <w:jc w:val="center"/>
              <w:spacing w:after="0"/>
              <w:rPr>
                <w:sz w:val="20"/>
                <w:szCs w:val="20"/>
                <w:color w:val="auto"/>
              </w:rPr>
            </w:pPr>
            <w:r>
              <w:rPr>
                <w:rFonts w:ascii="Arial" w:cs="Arial" w:eastAsia="Arial" w:hAnsi="Arial"/>
                <w:sz w:val="18"/>
                <w:szCs w:val="18"/>
                <w:color w:val="auto"/>
                <w:w w:val="98"/>
              </w:rPr>
              <w:t>Phase I</w:t>
            </w:r>
          </w:p>
        </w:tc>
        <w:tc>
          <w:tcPr>
            <w:tcW w:w="380" w:type="dxa"/>
            <w:vAlign w:val="bottom"/>
          </w:tcPr>
          <w:p>
            <w:pPr>
              <w:spacing w:after="0"/>
              <w:rPr>
                <w:sz w:val="17"/>
                <w:szCs w:val="17"/>
                <w:color w:val="auto"/>
              </w:rPr>
            </w:pPr>
          </w:p>
        </w:tc>
        <w:tc>
          <w:tcPr>
            <w:tcW w:w="1500" w:type="dxa"/>
            <w:vAlign w:val="bottom"/>
            <w:vMerge w:val="restart"/>
          </w:tcPr>
          <w:p>
            <w:pPr>
              <w:jc w:val="right"/>
              <w:ind w:right="13"/>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135"/>
        </w:trPr>
        <w:tc>
          <w:tcPr>
            <w:tcW w:w="3380" w:type="dxa"/>
            <w:vAlign w:val="bottom"/>
            <w:vMerge w:val="continue"/>
          </w:tcPr>
          <w:p>
            <w:pPr>
              <w:spacing w:after="0"/>
              <w:rPr>
                <w:sz w:val="11"/>
                <w:szCs w:val="11"/>
                <w:color w:val="auto"/>
              </w:rPr>
            </w:pPr>
          </w:p>
        </w:tc>
        <w:tc>
          <w:tcPr>
            <w:tcW w:w="3360" w:type="dxa"/>
            <w:vAlign w:val="bottom"/>
            <w:vMerge w:val="continue"/>
          </w:tcPr>
          <w:p>
            <w:pPr>
              <w:spacing w:after="0"/>
              <w:rPr>
                <w:sz w:val="11"/>
                <w:szCs w:val="11"/>
                <w:color w:val="auto"/>
              </w:rPr>
            </w:pPr>
          </w:p>
        </w:tc>
        <w:tc>
          <w:tcPr>
            <w:tcW w:w="1400" w:type="dxa"/>
            <w:vAlign w:val="bottom"/>
            <w:vMerge w:val="restart"/>
          </w:tcPr>
          <w:p>
            <w:pPr>
              <w:jc w:val="center"/>
              <w:ind w:right="32"/>
              <w:spacing w:after="0"/>
              <w:rPr>
                <w:sz w:val="20"/>
                <w:szCs w:val="20"/>
                <w:color w:val="auto"/>
              </w:rPr>
            </w:pPr>
            <w:r>
              <w:rPr>
                <w:rFonts w:ascii="Arial" w:cs="Arial" w:eastAsia="Arial" w:hAnsi="Arial"/>
                <w:sz w:val="18"/>
                <w:szCs w:val="18"/>
                <w:color w:val="auto"/>
                <w:w w:val="99"/>
              </w:rPr>
              <w:t>2014</w:t>
            </w:r>
          </w:p>
        </w:tc>
        <w:tc>
          <w:tcPr>
            <w:tcW w:w="1400" w:type="dxa"/>
            <w:vAlign w:val="bottom"/>
            <w:vMerge w:val="continue"/>
          </w:tcPr>
          <w:p>
            <w:pPr>
              <w:spacing w:after="0"/>
              <w:rPr>
                <w:sz w:val="11"/>
                <w:szCs w:val="11"/>
                <w:color w:val="auto"/>
              </w:rPr>
            </w:pPr>
          </w:p>
        </w:tc>
        <w:tc>
          <w:tcPr>
            <w:tcW w:w="380" w:type="dxa"/>
            <w:vAlign w:val="bottom"/>
          </w:tcPr>
          <w:p>
            <w:pPr>
              <w:spacing w:after="0"/>
              <w:rPr>
                <w:sz w:val="11"/>
                <w:szCs w:val="11"/>
                <w:color w:val="auto"/>
              </w:rPr>
            </w:pPr>
          </w:p>
        </w:tc>
        <w:tc>
          <w:tcPr>
            <w:tcW w:w="1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3380" w:type="dxa"/>
            <w:vAlign w:val="bottom"/>
            <w:tcBorders>
              <w:bottom w:val="single" w:sz="8" w:color="auto"/>
            </w:tcBorders>
          </w:tcPr>
          <w:p>
            <w:pPr>
              <w:spacing w:after="0"/>
              <w:rPr>
                <w:sz w:val="10"/>
                <w:szCs w:val="10"/>
                <w:color w:val="auto"/>
              </w:rPr>
            </w:pPr>
          </w:p>
        </w:tc>
        <w:tc>
          <w:tcPr>
            <w:tcW w:w="336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vMerge w:val="continue"/>
          </w:tcPr>
          <w:p>
            <w:pPr>
              <w:spacing w:after="0"/>
              <w:rPr>
                <w:sz w:val="10"/>
                <w:szCs w:val="10"/>
                <w:color w:val="auto"/>
              </w:rPr>
            </w:pPr>
          </w:p>
        </w:tc>
        <w:tc>
          <w:tcPr>
            <w:tcW w:w="14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5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31"/>
        </w:trPr>
        <w:tc>
          <w:tcPr>
            <w:tcW w:w="3380" w:type="dxa"/>
            <w:vAlign w:val="bottom"/>
            <w:tcBorders>
              <w:bottom w:val="single" w:sz="8" w:color="auto"/>
            </w:tcBorders>
            <w:shd w:val="clear" w:color="auto" w:fill="D8D8D8"/>
          </w:tcPr>
          <w:p>
            <w:pPr>
              <w:spacing w:after="0"/>
              <w:rPr>
                <w:sz w:val="24"/>
                <w:szCs w:val="24"/>
                <w:color w:val="auto"/>
              </w:rPr>
            </w:pPr>
          </w:p>
        </w:tc>
        <w:tc>
          <w:tcPr>
            <w:tcW w:w="3360" w:type="dxa"/>
            <w:vAlign w:val="bottom"/>
            <w:tcBorders>
              <w:bottom w:val="single" w:sz="8" w:color="auto"/>
            </w:tcBorders>
            <w:shd w:val="clear" w:color="auto" w:fill="D8D8D8"/>
          </w:tcPr>
          <w:p>
            <w:pPr>
              <w:spacing w:after="0"/>
              <w:rPr>
                <w:sz w:val="24"/>
                <w:szCs w:val="24"/>
                <w:color w:val="auto"/>
              </w:rPr>
            </w:pPr>
          </w:p>
        </w:tc>
        <w:tc>
          <w:tcPr>
            <w:tcW w:w="1400" w:type="dxa"/>
            <w:vAlign w:val="bottom"/>
            <w:tcBorders>
              <w:bottom w:val="single" w:sz="8" w:color="auto"/>
            </w:tcBorders>
            <w:shd w:val="clear" w:color="auto" w:fill="D8D8D8"/>
          </w:tcPr>
          <w:p>
            <w:pPr>
              <w:spacing w:after="0"/>
              <w:rPr>
                <w:sz w:val="24"/>
                <w:szCs w:val="24"/>
                <w:color w:val="auto"/>
              </w:rPr>
            </w:pPr>
          </w:p>
        </w:tc>
        <w:tc>
          <w:tcPr>
            <w:tcW w:w="1400" w:type="dxa"/>
            <w:vAlign w:val="bottom"/>
            <w:tcBorders>
              <w:bottom w:val="single" w:sz="8" w:color="auto"/>
            </w:tcBorders>
            <w:shd w:val="clear" w:color="auto" w:fill="D8D8D8"/>
          </w:tcPr>
          <w:p>
            <w:pPr>
              <w:spacing w:after="0"/>
              <w:rPr>
                <w:sz w:val="24"/>
                <w:szCs w:val="24"/>
                <w:color w:val="auto"/>
              </w:rPr>
            </w:pPr>
          </w:p>
        </w:tc>
        <w:tc>
          <w:tcPr>
            <w:tcW w:w="380" w:type="dxa"/>
            <w:vAlign w:val="bottom"/>
            <w:tcBorders>
              <w:bottom w:val="single" w:sz="8" w:color="auto"/>
            </w:tcBorders>
            <w:shd w:val="clear" w:color="auto" w:fill="D8D8D8"/>
          </w:tcPr>
          <w:p>
            <w:pPr>
              <w:spacing w:after="0"/>
              <w:rPr>
                <w:sz w:val="24"/>
                <w:szCs w:val="24"/>
                <w:color w:val="auto"/>
              </w:rPr>
            </w:pPr>
          </w:p>
        </w:tc>
        <w:tc>
          <w:tcPr>
            <w:tcW w:w="1500" w:type="dxa"/>
            <w:vAlign w:val="bottom"/>
            <w:tcBorders>
              <w:bottom w:val="single" w:sz="8" w:color="auto"/>
            </w:tcBorders>
            <w:shd w:val="clear" w:color="auto" w:fill="D8D8D8"/>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3380" w:type="dxa"/>
            <w:vAlign w:val="bottom"/>
            <w:vMerge w:val="restart"/>
          </w:tcPr>
          <w:p>
            <w:pPr>
              <w:ind w:left="40"/>
              <w:spacing w:after="0"/>
              <w:rPr>
                <w:sz w:val="20"/>
                <w:szCs w:val="20"/>
                <w:color w:val="auto"/>
              </w:rPr>
            </w:pPr>
            <w:r>
              <w:rPr>
                <w:rFonts w:ascii="Arial" w:cs="Arial" w:eastAsia="Arial" w:hAnsi="Arial"/>
                <w:sz w:val="18"/>
                <w:szCs w:val="18"/>
                <w:color w:val="auto"/>
              </w:rPr>
              <w:t>Arteaus Therapeutics</w:t>
            </w:r>
          </w:p>
        </w:tc>
        <w:tc>
          <w:tcPr>
            <w:tcW w:w="3360" w:type="dxa"/>
            <w:vAlign w:val="bottom"/>
          </w:tcPr>
          <w:p>
            <w:pPr>
              <w:ind w:left="80"/>
              <w:spacing w:after="0"/>
              <w:rPr>
                <w:sz w:val="20"/>
                <w:szCs w:val="20"/>
                <w:color w:val="auto"/>
              </w:rPr>
            </w:pPr>
            <w:r>
              <w:rPr>
                <w:rFonts w:ascii="Arial" w:cs="Arial" w:eastAsia="Arial" w:hAnsi="Arial"/>
                <w:sz w:val="18"/>
                <w:szCs w:val="18"/>
                <w:color w:val="auto"/>
              </w:rPr>
              <w:t>Calcitonin gene-related peptide (CGRP)</w:t>
            </w:r>
          </w:p>
        </w:tc>
        <w:tc>
          <w:tcPr>
            <w:tcW w:w="1400" w:type="dxa"/>
            <w:vAlign w:val="bottom"/>
          </w:tcPr>
          <w:p>
            <w:pPr>
              <w:jc w:val="center"/>
              <w:ind w:right="12"/>
              <w:spacing w:after="0"/>
              <w:rPr>
                <w:sz w:val="20"/>
                <w:szCs w:val="20"/>
                <w:color w:val="auto"/>
              </w:rPr>
            </w:pPr>
            <w:r>
              <w:rPr>
                <w:rFonts w:ascii="Arial" w:cs="Arial" w:eastAsia="Arial" w:hAnsi="Arial"/>
                <w:sz w:val="18"/>
                <w:szCs w:val="18"/>
                <w:color w:val="auto"/>
                <w:w w:val="98"/>
              </w:rPr>
              <w:t>December</w:t>
            </w:r>
          </w:p>
        </w:tc>
        <w:tc>
          <w:tcPr>
            <w:tcW w:w="1400" w:type="dxa"/>
            <w:vAlign w:val="bottom"/>
            <w:vMerge w:val="restart"/>
          </w:tcPr>
          <w:p>
            <w:pPr>
              <w:jc w:val="center"/>
              <w:spacing w:after="0"/>
              <w:rPr>
                <w:sz w:val="20"/>
                <w:szCs w:val="20"/>
                <w:color w:val="auto"/>
              </w:rPr>
            </w:pPr>
            <w:r>
              <w:rPr>
                <w:rFonts w:ascii="Arial" w:cs="Arial" w:eastAsia="Arial" w:hAnsi="Arial"/>
                <w:sz w:val="18"/>
                <w:szCs w:val="18"/>
                <w:color w:val="auto"/>
                <w:w w:val="99"/>
              </w:rPr>
              <w:t>Phase II</w:t>
            </w:r>
          </w:p>
        </w:tc>
        <w:tc>
          <w:tcPr>
            <w:tcW w:w="380" w:type="dxa"/>
            <w:vAlign w:val="bottom"/>
          </w:tcPr>
          <w:p>
            <w:pPr>
              <w:spacing w:after="0"/>
              <w:rPr>
                <w:sz w:val="17"/>
                <w:szCs w:val="17"/>
                <w:color w:val="auto"/>
              </w:rPr>
            </w:pPr>
          </w:p>
        </w:tc>
        <w:tc>
          <w:tcPr>
            <w:tcW w:w="1500" w:type="dxa"/>
            <w:vAlign w:val="bottom"/>
            <w:vMerge w:val="restart"/>
          </w:tcPr>
          <w:p>
            <w:pPr>
              <w:jc w:val="right"/>
              <w:ind w:right="13"/>
              <w:spacing w:after="0"/>
              <w:rPr>
                <w:sz w:val="20"/>
                <w:szCs w:val="20"/>
                <w:color w:val="auto"/>
              </w:rPr>
            </w:pPr>
            <w:r>
              <w:rPr>
                <w:rFonts w:ascii="Arial" w:cs="Arial" w:eastAsia="Arial" w:hAnsi="Arial"/>
                <w:sz w:val="18"/>
                <w:szCs w:val="18"/>
                <w:color w:val="auto"/>
              </w:rPr>
              <w:t>57.1</w:t>
            </w:r>
          </w:p>
        </w:tc>
        <w:tc>
          <w:tcPr>
            <w:tcW w:w="0" w:type="dxa"/>
            <w:vAlign w:val="bottom"/>
          </w:tcPr>
          <w:p>
            <w:pPr>
              <w:spacing w:after="0"/>
              <w:rPr>
                <w:sz w:val="1"/>
                <w:szCs w:val="1"/>
                <w:color w:val="auto"/>
              </w:rPr>
            </w:pPr>
          </w:p>
        </w:tc>
      </w:tr>
      <w:tr>
        <w:trPr>
          <w:trHeight w:val="135"/>
        </w:trPr>
        <w:tc>
          <w:tcPr>
            <w:tcW w:w="3380" w:type="dxa"/>
            <w:vAlign w:val="bottom"/>
            <w:vMerge w:val="continue"/>
          </w:tcPr>
          <w:p>
            <w:pPr>
              <w:spacing w:after="0"/>
              <w:rPr>
                <w:sz w:val="11"/>
                <w:szCs w:val="11"/>
                <w:color w:val="auto"/>
              </w:rPr>
            </w:pPr>
          </w:p>
        </w:tc>
        <w:tc>
          <w:tcPr>
            <w:tcW w:w="3360" w:type="dxa"/>
            <w:vAlign w:val="bottom"/>
            <w:vMerge w:val="restart"/>
          </w:tcPr>
          <w:p>
            <w:pPr>
              <w:ind w:left="80"/>
              <w:spacing w:after="0"/>
              <w:rPr>
                <w:sz w:val="20"/>
                <w:szCs w:val="20"/>
                <w:color w:val="auto"/>
              </w:rPr>
            </w:pPr>
            <w:r>
              <w:rPr>
                <w:rFonts w:ascii="Arial" w:cs="Arial" w:eastAsia="Arial" w:hAnsi="Arial"/>
                <w:sz w:val="18"/>
                <w:szCs w:val="18"/>
                <w:color w:val="auto"/>
              </w:rPr>
              <w:t>monoclonal antibody</w:t>
            </w:r>
          </w:p>
        </w:tc>
        <w:tc>
          <w:tcPr>
            <w:tcW w:w="1400" w:type="dxa"/>
            <w:vAlign w:val="bottom"/>
            <w:vMerge w:val="restart"/>
          </w:tcPr>
          <w:p>
            <w:pPr>
              <w:jc w:val="center"/>
              <w:ind w:right="32"/>
              <w:spacing w:after="0"/>
              <w:rPr>
                <w:sz w:val="20"/>
                <w:szCs w:val="20"/>
                <w:color w:val="auto"/>
              </w:rPr>
            </w:pPr>
            <w:r>
              <w:rPr>
                <w:rFonts w:ascii="Arial" w:cs="Arial" w:eastAsia="Arial" w:hAnsi="Arial"/>
                <w:sz w:val="18"/>
                <w:szCs w:val="18"/>
                <w:color w:val="auto"/>
                <w:w w:val="99"/>
              </w:rPr>
              <w:t>2013</w:t>
            </w:r>
          </w:p>
        </w:tc>
        <w:tc>
          <w:tcPr>
            <w:tcW w:w="1400" w:type="dxa"/>
            <w:vAlign w:val="bottom"/>
            <w:vMerge w:val="continue"/>
          </w:tcPr>
          <w:p>
            <w:pPr>
              <w:spacing w:after="0"/>
              <w:rPr>
                <w:sz w:val="11"/>
                <w:szCs w:val="11"/>
                <w:color w:val="auto"/>
              </w:rPr>
            </w:pPr>
          </w:p>
        </w:tc>
        <w:tc>
          <w:tcPr>
            <w:tcW w:w="380" w:type="dxa"/>
            <w:vAlign w:val="bottom"/>
          </w:tcPr>
          <w:p>
            <w:pPr>
              <w:spacing w:after="0"/>
              <w:rPr>
                <w:sz w:val="11"/>
                <w:szCs w:val="11"/>
                <w:color w:val="auto"/>
              </w:rPr>
            </w:pPr>
          </w:p>
        </w:tc>
        <w:tc>
          <w:tcPr>
            <w:tcW w:w="1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3380" w:type="dxa"/>
            <w:vAlign w:val="bottom"/>
            <w:tcBorders>
              <w:bottom w:val="single" w:sz="8" w:color="auto"/>
            </w:tcBorders>
          </w:tcPr>
          <w:p>
            <w:pPr>
              <w:spacing w:after="0"/>
              <w:rPr>
                <w:sz w:val="10"/>
                <w:szCs w:val="10"/>
                <w:color w:val="auto"/>
              </w:rPr>
            </w:pPr>
          </w:p>
        </w:tc>
        <w:tc>
          <w:tcPr>
            <w:tcW w:w="3360" w:type="dxa"/>
            <w:vAlign w:val="bottom"/>
            <w:tcBorders>
              <w:bottom w:val="single" w:sz="8" w:color="auto"/>
            </w:tcBorders>
            <w:vMerge w:val="continue"/>
          </w:tcPr>
          <w:p>
            <w:pPr>
              <w:spacing w:after="0"/>
              <w:rPr>
                <w:sz w:val="10"/>
                <w:szCs w:val="10"/>
                <w:color w:val="auto"/>
              </w:rPr>
            </w:pPr>
          </w:p>
        </w:tc>
        <w:tc>
          <w:tcPr>
            <w:tcW w:w="1400" w:type="dxa"/>
            <w:vAlign w:val="bottom"/>
            <w:tcBorders>
              <w:bottom w:val="single" w:sz="8" w:color="auto"/>
            </w:tcBorders>
            <w:vMerge w:val="continue"/>
          </w:tcPr>
          <w:p>
            <w:pPr>
              <w:spacing w:after="0"/>
              <w:rPr>
                <w:sz w:val="10"/>
                <w:szCs w:val="10"/>
                <w:color w:val="auto"/>
              </w:rPr>
            </w:pPr>
          </w:p>
        </w:tc>
        <w:tc>
          <w:tcPr>
            <w:tcW w:w="14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5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122" w:lineRule="exact"/>
        <w:rPr>
          <w:sz w:val="20"/>
          <w:szCs w:val="20"/>
          <w:color w:val="auto"/>
        </w:rPr>
      </w:pPr>
    </w:p>
    <w:p>
      <w:pPr>
        <w:ind w:left="140" w:hanging="132"/>
        <w:spacing w:after="0"/>
        <w:tabs>
          <w:tab w:leader="none" w:pos="140" w:val="left"/>
        </w:tabs>
        <w:numPr>
          <w:ilvl w:val="0"/>
          <w:numId w:val="56"/>
        </w:numPr>
        <w:rPr>
          <w:rFonts w:ascii="Arial" w:cs="Arial" w:eastAsia="Arial" w:hAnsi="Arial"/>
          <w:sz w:val="16"/>
          <w:szCs w:val="16"/>
          <w:color w:val="auto"/>
          <w:vertAlign w:val="superscript"/>
        </w:rPr>
      </w:pPr>
      <w:r>
        <w:rPr>
          <w:rFonts w:ascii="Arial" w:cs="Arial" w:eastAsia="Arial" w:hAnsi="Arial"/>
          <w:sz w:val="13"/>
          <w:szCs w:val="13"/>
          <w:color w:val="auto"/>
        </w:rPr>
        <w:t>The phase of development presented is as of the date of the arrangement.</w:t>
      </w:r>
    </w:p>
    <w:p>
      <w:pPr>
        <w:spacing w:after="0" w:line="100" w:lineRule="exact"/>
        <w:rPr>
          <w:rFonts w:ascii="Arial" w:cs="Arial" w:eastAsia="Arial" w:hAnsi="Arial"/>
          <w:sz w:val="16"/>
          <w:szCs w:val="16"/>
          <w:color w:val="auto"/>
          <w:vertAlign w:val="superscript"/>
        </w:rPr>
      </w:pPr>
    </w:p>
    <w:p>
      <w:pPr>
        <w:ind w:left="160" w:hanging="152"/>
        <w:spacing w:after="0"/>
        <w:tabs>
          <w:tab w:leader="none" w:pos="160" w:val="left"/>
        </w:tabs>
        <w:numPr>
          <w:ilvl w:val="0"/>
          <w:numId w:val="56"/>
        </w:numPr>
        <w:rPr>
          <w:rFonts w:ascii="Arial" w:cs="Arial" w:eastAsia="Arial" w:hAnsi="Arial"/>
          <w:sz w:val="18"/>
          <w:szCs w:val="18"/>
          <w:color w:val="auto"/>
          <w:vertAlign w:val="superscript"/>
        </w:rPr>
      </w:pPr>
      <w:r>
        <w:rPr>
          <w:rFonts w:ascii="Arial" w:cs="Arial" w:eastAsia="Arial" w:hAnsi="Arial"/>
          <w:sz w:val="14"/>
          <w:szCs w:val="14"/>
          <w:color w:val="auto"/>
        </w:rPr>
        <w:t>Prior to acquisition, Innovent's monoclonal antibody targeting protein CD-20 had received investigational new drug approval in China to begin Phase I development.</w:t>
      </w:r>
    </w:p>
    <w:p>
      <w:pPr>
        <w:spacing w:after="0" w:line="66" w:lineRule="exact"/>
        <w:rPr>
          <w:sz w:val="20"/>
          <w:szCs w:val="20"/>
          <w:color w:val="auto"/>
        </w:rPr>
      </w:pPr>
    </w:p>
    <w:p>
      <w:pPr>
        <w:ind w:right="40"/>
        <w:spacing w:after="0" w:line="292" w:lineRule="auto"/>
        <w:rPr>
          <w:sz w:val="20"/>
          <w:szCs w:val="20"/>
          <w:color w:val="auto"/>
        </w:rPr>
      </w:pPr>
      <w:r>
        <w:rPr>
          <w:rFonts w:ascii="Arial" w:cs="Arial" w:eastAsia="Arial" w:hAnsi="Arial"/>
          <w:sz w:val="18"/>
          <w:szCs w:val="18"/>
          <w:color w:val="auto"/>
        </w:rPr>
        <w:t>In connection with the arrangements described herein, our partners may be entitled to future royalties based on sales should these products be approved for commercialization and/or milestones based on the successful progress of the drug candidate through the development process.</w:t>
      </w:r>
    </w:p>
    <w:p>
      <w:pPr>
        <w:spacing w:after="0" w:line="37" w:lineRule="exact"/>
        <w:rPr>
          <w:sz w:val="20"/>
          <w:szCs w:val="20"/>
          <w:color w:val="auto"/>
        </w:rPr>
      </w:pPr>
    </w:p>
    <w:p>
      <w:pPr>
        <w:ind w:right="160"/>
        <w:spacing w:after="0" w:line="260" w:lineRule="auto"/>
        <w:rPr>
          <w:sz w:val="20"/>
          <w:szCs w:val="20"/>
          <w:color w:val="auto"/>
        </w:rPr>
      </w:pPr>
      <w:r>
        <w:rPr>
          <w:rFonts w:ascii="Arial" w:cs="Arial" w:eastAsia="Arial" w:hAnsi="Arial"/>
          <w:sz w:val="18"/>
          <w:szCs w:val="18"/>
          <w:color w:val="auto"/>
        </w:rPr>
        <w:t>Our collaboration agreement with Innovent is to develop and commercialize a portfolio of cancer treatments. In China, we will be responsible for the commercialization efforts, while Innovent will lead the development and manufacturing efforts. Innovent also has co-promotion rights in China. We will be responsible for development, manufacturing, and commercialization efforts of Innovent's pre-clinical immuno-oncology molecules outside of China. Separate from the collaboration, we will continue the development of our cMet monoclonal antibody gene outside of China.</w:t>
      </w:r>
    </w:p>
    <w:p>
      <w:pPr>
        <w:spacing w:after="0" w:line="67" w:lineRule="exact"/>
        <w:rPr>
          <w:sz w:val="20"/>
          <w:szCs w:val="20"/>
          <w:color w:val="auto"/>
        </w:rPr>
      </w:pPr>
    </w:p>
    <w:p>
      <w:pPr>
        <w:ind w:right="500"/>
        <w:spacing w:after="0" w:line="271" w:lineRule="auto"/>
        <w:rPr>
          <w:sz w:val="20"/>
          <w:szCs w:val="20"/>
          <w:color w:val="auto"/>
        </w:rPr>
      </w:pPr>
      <w:r>
        <w:rPr>
          <w:rFonts w:ascii="Arial" w:cs="Arial" w:eastAsia="Arial" w:hAnsi="Arial"/>
          <w:sz w:val="18"/>
          <w:szCs w:val="18"/>
          <w:color w:val="auto"/>
        </w:rPr>
        <w:t>Our collaboration agreement with Hanmi is to develop and commercialize Hanmi's compound being investigated for the treatment of autoimmune and other diseases. We received rights to the molecule for all indications on a worldwide basis excluding China, Hong Kong, Taiwan, and Korea. We will be responsible for leading development, regulatory, manufacturing, and commercial efforts in our territories.</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color w:val="auto"/>
        </w:rPr>
        <w:t>Our research collaboration with BioNTech is to discover novel cancer immunotherapies.</w:t>
      </w:r>
    </w:p>
    <w:p>
      <w:pPr>
        <w:spacing w:after="0" w:line="117" w:lineRule="exact"/>
        <w:rPr>
          <w:sz w:val="20"/>
          <w:szCs w:val="20"/>
          <w:color w:val="auto"/>
        </w:rPr>
      </w:pPr>
    </w:p>
    <w:p>
      <w:pPr>
        <w:ind w:right="980"/>
        <w:spacing w:after="0" w:line="305" w:lineRule="auto"/>
        <w:rPr>
          <w:sz w:val="20"/>
          <w:szCs w:val="20"/>
          <w:color w:val="auto"/>
        </w:rPr>
      </w:pPr>
      <w:r>
        <w:rPr>
          <w:rFonts w:ascii="Arial" w:cs="Arial" w:eastAsia="Arial" w:hAnsi="Arial"/>
          <w:sz w:val="18"/>
          <w:szCs w:val="18"/>
          <w:color w:val="auto"/>
        </w:rPr>
        <w:t>Our global collaboration and license agreement with Halozyme is to develop and commercialize products combining our proprietary compounds with Halozyme's ENHANZE</w:t>
      </w:r>
      <w:r>
        <w:rPr>
          <w:rFonts w:ascii="Arial" w:cs="Arial" w:eastAsia="Arial" w:hAnsi="Arial"/>
          <w:sz w:val="21"/>
          <w:szCs w:val="21"/>
          <w:color w:val="auto"/>
          <w:vertAlign w:val="superscript"/>
        </w:rPr>
        <w:t>™</w:t>
      </w:r>
      <w:r>
        <w:rPr>
          <w:rFonts w:ascii="Arial" w:cs="Arial" w:eastAsia="Arial" w:hAnsi="Arial"/>
          <w:sz w:val="18"/>
          <w:szCs w:val="18"/>
          <w:color w:val="auto"/>
        </w:rPr>
        <w:t xml:space="preserve"> platform to aid in the dispersion and absorption of other injected therapeutic drugs.</w:t>
      </w:r>
    </w:p>
    <w:p>
      <w:pPr>
        <w:spacing w:after="0" w:line="10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65</w:t>
      </w:r>
    </w:p>
    <w:p>
      <w:pPr>
        <w:sectPr>
          <w:pgSz w:w="11900" w:h="16838" w:orient="portrait"/>
          <w:cols w:equalWidth="0" w:num="1">
            <w:col w:w="11420"/>
          </w:cols>
          <w:pgMar w:left="240" w:top="736" w:right="239" w:bottom="1440" w:gutter="0" w:footer="0" w:header="0"/>
        </w:sectPr>
      </w:pPr>
    </w:p>
    <w:bookmarkStart w:id="65" w:name="page66"/>
    <w:bookmarkEnd w:id="65"/>
    <w:p>
      <w:pPr>
        <w:ind w:right="440"/>
        <w:spacing w:after="0" w:line="292" w:lineRule="auto"/>
        <w:rPr>
          <w:sz w:val="20"/>
          <w:szCs w:val="20"/>
          <w:color w:val="auto"/>
        </w:rPr>
      </w:pPr>
      <w:r>
        <w:rPr>
          <w:rFonts w:ascii="Arial" w:cs="Arial" w:eastAsia="Arial" w:hAnsi="Arial"/>
          <w:sz w:val="18"/>
          <w:szCs w:val="18"/>
          <w:color w:val="auto"/>
        </w:rPr>
        <w:t>Our co-discovery and co-development collaboration with Immunocore is to research and potentially develop pre-clinical novel T cell-based cancer therapies.</w:t>
      </w:r>
    </w:p>
    <w:p>
      <w:pPr>
        <w:spacing w:after="0" w:line="37"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color w:val="auto"/>
        </w:rPr>
        <w:t>Our collaboration agreement with AstraZeneca is for the worldwide co-development and co-commercialization of AstraZeneca’s molecule being investigated for the potential treatment of Alzheimer’s disease. We are responsible for leading development efforts, while AstraZeneca will be responsible for manufacturing efforts. If successful, both parties will take joint responsibility for commercialization of AZD3293. Under the agreement, both parties will share equally in the ongoing development costs, gross margins, and certain other costs associated with commercialization of the molecule.</w:t>
      </w:r>
    </w:p>
    <w:p>
      <w:pPr>
        <w:spacing w:after="0" w:line="67"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color w:val="auto"/>
        </w:rPr>
        <w:t>Our collaboration agreement with Adocia is for the worldwide development and commercialization of Adocia's ultra-rapid insulin, a molecule being developed for the treatment of patients with type 1 and type 2 diabetes. We will be responsible for leading development, manufacturing, and commercialization efforts.</w:t>
      </w:r>
    </w:p>
    <w:p>
      <w:pPr>
        <w:spacing w:after="0" w:line="55" w:lineRule="exact"/>
        <w:rPr>
          <w:sz w:val="20"/>
          <w:szCs w:val="20"/>
          <w:color w:val="auto"/>
        </w:rPr>
      </w:pPr>
    </w:p>
    <w:p>
      <w:pPr>
        <w:ind w:right="80"/>
        <w:spacing w:after="0" w:line="292" w:lineRule="auto"/>
        <w:rPr>
          <w:sz w:val="20"/>
          <w:szCs w:val="20"/>
          <w:color w:val="auto"/>
        </w:rPr>
      </w:pPr>
      <w:r>
        <w:rPr>
          <w:rFonts w:ascii="Arial" w:cs="Arial" w:eastAsia="Arial" w:hAnsi="Arial"/>
          <w:sz w:val="18"/>
          <w:szCs w:val="18"/>
          <w:color w:val="auto"/>
        </w:rPr>
        <w:t>We acquired all development and commercial rights from Arteaus Therapeutics for a CGRP antibody being studied as a potential treatment for the treatment of cluster headache and migraine prevention.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Note 4: Collaborations and Other Arrangements</w:t>
      </w:r>
    </w:p>
    <w:p>
      <w:pPr>
        <w:spacing w:after="0" w:line="173"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We often enter into collaborative and other similar arrangements to develop and commercialize drug candidates. Collaborative activities may include research and development, marketing and selling (including promotional activities and physician detailing), manufacturing, and distribution. These arrangements often require milestone and royalty or profit-share payments, contingent upon the occurrence of certain future events linked to the success of the asset in development, as well as expense reimbursements or payments to the collaboration partner. Elements within a collaboration are separated into individual units of accounting if they have standalone value from other elements within the arrangement. In these situations, the arrangement consideration is allocated to the elements on a relative selling price basis. Revenues related to products we sell pursuant to these arrangements are included in net product revenues, while other sources of revenue (e.g., royalties and profit sharing due from our partner) are included in collaboration and other revenue.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collaboration and other revenue recognized: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700" w:type="dxa"/>
            <w:vAlign w:val="bottom"/>
            <w:tcBorders>
              <w:bottom w:val="single" w:sz="8" w:color="auto"/>
            </w:tcBorders>
          </w:tcPr>
          <w:p>
            <w:pPr>
              <w:spacing w:after="0"/>
              <w:rPr>
                <w:sz w:val="17"/>
                <w:szCs w:val="17"/>
                <w:color w:val="auto"/>
              </w:rPr>
            </w:pPr>
          </w:p>
        </w:tc>
        <w:tc>
          <w:tcPr>
            <w:tcW w:w="2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58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2014</w:t>
            </w:r>
          </w:p>
        </w:tc>
        <w:tc>
          <w:tcPr>
            <w:tcW w:w="4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2013</w:t>
            </w:r>
          </w:p>
        </w:tc>
      </w:tr>
      <w:tr>
        <w:trPr>
          <w:trHeight w:val="265"/>
        </w:trPr>
        <w:tc>
          <w:tcPr>
            <w:tcW w:w="4700" w:type="dxa"/>
            <w:vAlign w:val="bottom"/>
            <w:shd w:val="clear" w:color="auto" w:fill="D8D8D8"/>
          </w:tcPr>
          <w:p>
            <w:pPr>
              <w:ind w:left="40"/>
              <w:spacing w:after="0"/>
              <w:rPr>
                <w:sz w:val="20"/>
                <w:szCs w:val="20"/>
                <w:color w:val="auto"/>
              </w:rPr>
            </w:pPr>
            <w:r>
              <w:rPr>
                <w:rFonts w:ascii="Arial" w:cs="Arial" w:eastAsia="Arial" w:hAnsi="Arial"/>
                <w:sz w:val="18"/>
                <w:szCs w:val="18"/>
                <w:color w:val="auto"/>
              </w:rPr>
              <w:t>Collaboration and other revenue</w:t>
            </w:r>
          </w:p>
        </w:tc>
        <w:tc>
          <w:tcPr>
            <w:tcW w:w="2960" w:type="dxa"/>
            <w:vAlign w:val="bottom"/>
            <w:shd w:val="clear" w:color="auto" w:fill="D8D8D8"/>
          </w:tcPr>
          <w:p>
            <w:pPr>
              <w:jc w:val="right"/>
              <w:ind w:right="699"/>
              <w:spacing w:after="0"/>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D8D8D8"/>
          </w:tcPr>
          <w:p>
            <w:pPr>
              <w:jc w:val="right"/>
              <w:ind w:right="30"/>
              <w:spacing w:after="0"/>
              <w:rPr>
                <w:sz w:val="20"/>
                <w:szCs w:val="20"/>
                <w:color w:val="auto"/>
              </w:rPr>
            </w:pPr>
            <w:r>
              <w:rPr>
                <w:rFonts w:ascii="Arial" w:cs="Arial" w:eastAsia="Arial" w:hAnsi="Arial"/>
                <w:sz w:val="18"/>
                <w:szCs w:val="18"/>
                <w:b w:val="1"/>
                <w:bCs w:val="1"/>
                <w:color w:val="auto"/>
                <w:w w:val="97"/>
              </w:rPr>
              <w:t>808.1</w:t>
            </w:r>
          </w:p>
        </w:tc>
        <w:tc>
          <w:tcPr>
            <w:tcW w:w="460" w:type="dxa"/>
            <w:vAlign w:val="bottom"/>
            <w:shd w:val="clear" w:color="auto" w:fill="D8D8D8"/>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shd w:val="clear" w:color="auto" w:fill="D8D8D8"/>
          </w:tcPr>
          <w:p>
            <w:pPr>
              <w:jc w:val="right"/>
              <w:ind w:right="39"/>
              <w:spacing w:after="0"/>
              <w:rPr>
                <w:sz w:val="20"/>
                <w:szCs w:val="20"/>
                <w:color w:val="auto"/>
              </w:rPr>
            </w:pPr>
            <w:r>
              <w:rPr>
                <w:rFonts w:ascii="Arial" w:cs="Arial" w:eastAsia="Arial" w:hAnsi="Arial"/>
                <w:sz w:val="18"/>
                <w:szCs w:val="18"/>
                <w:color w:val="auto"/>
              </w:rPr>
              <w:t>788.4</w:t>
            </w:r>
          </w:p>
        </w:tc>
        <w:tc>
          <w:tcPr>
            <w:tcW w:w="440" w:type="dxa"/>
            <w:vAlign w:val="bottom"/>
            <w:shd w:val="clear" w:color="auto" w:fill="D8D8D8"/>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D8D8D8"/>
          </w:tcPr>
          <w:p>
            <w:pPr>
              <w:jc w:val="right"/>
              <w:ind w:right="19"/>
              <w:spacing w:after="0"/>
              <w:rPr>
                <w:sz w:val="20"/>
                <w:szCs w:val="20"/>
                <w:color w:val="auto"/>
              </w:rPr>
            </w:pPr>
            <w:r>
              <w:rPr>
                <w:rFonts w:ascii="Arial" w:cs="Arial" w:eastAsia="Arial" w:hAnsi="Arial"/>
                <w:sz w:val="18"/>
                <w:szCs w:val="18"/>
                <w:color w:val="auto"/>
              </w:rPr>
              <w:t>707.5</w:t>
            </w:r>
          </w:p>
        </w:tc>
      </w:tr>
    </w:tbl>
    <w:p>
      <w:pPr>
        <w:spacing w:after="0" w:line="139"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Operating expenses for costs incurred pursuant to these arrangements are reported in their respective expense line items, net of any payments due to or reimbursements due from our collaboration partners, with such reimbursements being recognized at the time the party becomes obligated to pay. Each collaboration is unique in nature, and our more significant arrangements are discussed below.</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66</w:t>
      </w:r>
    </w:p>
    <w:p>
      <w:pPr>
        <w:sectPr>
          <w:pgSz w:w="11900" w:h="16838" w:orient="portrait"/>
          <w:cols w:equalWidth="0" w:num="1">
            <w:col w:w="11420"/>
          </w:cols>
          <w:pgMar w:left="240" w:top="684" w:right="23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color w:val="auto"/>
        </w:rPr>
        <w:t>Boehringer Ingelheim Diabetes Collaboration</w:t>
      </w:r>
    </w:p>
    <w:p>
      <w:pPr>
        <w:spacing w:after="0" w:line="119"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We and Boehringer Ingelheim have a global agreement to jointly develop and commercialize a portfolio of diabetes compounds. Currently, included in the collaboration are Boehringer Ingelheim’s oral diabetes products: Trajenta</w:t>
      </w:r>
      <w:r>
        <w:rPr>
          <w:rFonts w:ascii="Arial" w:cs="Arial" w:eastAsia="Arial" w:hAnsi="Arial"/>
          <w:sz w:val="21"/>
          <w:szCs w:val="21"/>
          <w:color w:val="auto"/>
          <w:vertAlign w:val="superscript"/>
        </w:rPr>
        <w:t>®</w:t>
      </w:r>
      <w:r>
        <w:rPr>
          <w:rFonts w:ascii="Arial" w:cs="Arial" w:eastAsia="Arial" w:hAnsi="Arial"/>
          <w:sz w:val="18"/>
          <w:szCs w:val="18"/>
          <w:color w:val="auto"/>
        </w:rPr>
        <w:t>, Jentadueto</w:t>
      </w:r>
      <w:r>
        <w:rPr>
          <w:rFonts w:ascii="Arial" w:cs="Arial" w:eastAsia="Arial" w:hAnsi="Arial"/>
          <w:sz w:val="21"/>
          <w:szCs w:val="21"/>
          <w:color w:val="auto"/>
          <w:vertAlign w:val="superscript"/>
        </w:rPr>
        <w:t>®</w:t>
      </w:r>
      <w:r>
        <w:rPr>
          <w:rFonts w:ascii="Arial" w:cs="Arial" w:eastAsia="Arial" w:hAnsi="Arial"/>
          <w:sz w:val="18"/>
          <w:szCs w:val="18"/>
          <w:color w:val="auto"/>
        </w:rPr>
        <w:t>, Jardiance</w:t>
      </w:r>
      <w:r>
        <w:rPr>
          <w:rFonts w:ascii="Arial" w:cs="Arial" w:eastAsia="Arial" w:hAnsi="Arial"/>
          <w:sz w:val="21"/>
          <w:szCs w:val="21"/>
          <w:color w:val="auto"/>
          <w:vertAlign w:val="superscript"/>
        </w:rPr>
        <w:t>®</w:t>
      </w:r>
      <w:r>
        <w:rPr>
          <w:rFonts w:ascii="Arial" w:cs="Arial" w:eastAsia="Arial" w:hAnsi="Arial"/>
          <w:sz w:val="18"/>
          <w:szCs w:val="18"/>
          <w:color w:val="auto"/>
        </w:rPr>
        <w:t>, Glyxambi</w:t>
      </w:r>
      <w:r>
        <w:rPr>
          <w:rFonts w:ascii="Arial" w:cs="Arial" w:eastAsia="Arial" w:hAnsi="Arial"/>
          <w:sz w:val="21"/>
          <w:szCs w:val="21"/>
          <w:color w:val="auto"/>
          <w:vertAlign w:val="superscript"/>
        </w:rPr>
        <w:t>®</w:t>
      </w:r>
      <w:r>
        <w:rPr>
          <w:rFonts w:ascii="Arial" w:cs="Arial" w:eastAsia="Arial" w:hAnsi="Arial"/>
          <w:sz w:val="18"/>
          <w:szCs w:val="18"/>
          <w:color w:val="auto"/>
        </w:rPr>
        <w:t>, and Synjardy</w:t>
      </w:r>
      <w:r>
        <w:rPr>
          <w:rFonts w:ascii="Arial" w:cs="Arial" w:eastAsia="Arial" w:hAnsi="Arial"/>
          <w:sz w:val="21"/>
          <w:szCs w:val="21"/>
          <w:color w:val="auto"/>
          <w:vertAlign w:val="superscript"/>
        </w:rPr>
        <w:t>®</w:t>
      </w:r>
      <w:r>
        <w:rPr>
          <w:rFonts w:ascii="Arial" w:cs="Arial" w:eastAsia="Arial" w:hAnsi="Arial"/>
          <w:sz w:val="18"/>
          <w:szCs w:val="18"/>
          <w:color w:val="auto"/>
        </w:rPr>
        <w:t>, as well as our Basaglar</w:t>
      </w:r>
      <w:r>
        <w:rPr>
          <w:rFonts w:ascii="Arial" w:cs="Arial" w:eastAsia="Arial" w:hAnsi="Arial"/>
          <w:sz w:val="21"/>
          <w:szCs w:val="21"/>
          <w:color w:val="auto"/>
          <w:vertAlign w:val="superscript"/>
        </w:rPr>
        <w:t>®</w:t>
      </w:r>
      <w:r>
        <w:rPr>
          <w:rFonts w:ascii="Arial" w:cs="Arial" w:eastAsia="Arial" w:hAnsi="Arial"/>
          <w:sz w:val="18"/>
          <w:szCs w:val="18"/>
          <w:color w:val="auto"/>
        </w:rPr>
        <w:t>.</w:t>
      </w:r>
    </w:p>
    <w:p>
      <w:pPr>
        <w:spacing w:after="0" w:line="6" w:lineRule="exact"/>
        <w:rPr>
          <w:sz w:val="20"/>
          <w:szCs w:val="20"/>
          <w:color w:val="auto"/>
        </w:rPr>
      </w:pPr>
    </w:p>
    <w:p>
      <w:pPr>
        <w:ind w:right="40"/>
        <w:spacing w:after="0" w:line="292" w:lineRule="auto"/>
        <w:rPr>
          <w:sz w:val="20"/>
          <w:szCs w:val="20"/>
          <w:color w:val="auto"/>
        </w:rPr>
      </w:pPr>
      <w:r>
        <w:rPr>
          <w:rFonts w:ascii="Arial" w:cs="Arial" w:eastAsia="Arial" w:hAnsi="Arial"/>
          <w:sz w:val="18"/>
          <w:szCs w:val="18"/>
          <w:color w:val="auto"/>
        </w:rPr>
        <w:t>The table below summarizes significant regulatory and commercialization events and milestones (received) paid for the compounds included in this collaboration:</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Milestones</w:t>
            </w: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gridSpan w:val="2"/>
          </w:tcPr>
          <w:p>
            <w:pPr>
              <w:jc w:val="right"/>
              <w:spacing w:after="0"/>
              <w:rPr>
                <w:sz w:val="20"/>
                <w:szCs w:val="20"/>
                <w:color w:val="auto"/>
              </w:rPr>
            </w:pPr>
            <w:r>
              <w:rPr>
                <w:rFonts w:ascii="Arial" w:cs="Arial" w:eastAsia="Arial" w:hAnsi="Arial"/>
                <w:sz w:val="14"/>
                <w:szCs w:val="14"/>
                <w:b w:val="1"/>
                <w:bCs w:val="1"/>
                <w:color w:val="auto"/>
              </w:rPr>
              <w:t>Milestones</w:t>
            </w: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1280" w:type="dxa"/>
            <w:vAlign w:val="bottom"/>
          </w:tcPr>
          <w:p>
            <w:pPr>
              <w:spacing w:after="0"/>
              <w:rPr>
                <w:sz w:val="17"/>
                <w:szCs w:val="17"/>
                <w:color w:val="auto"/>
              </w:rPr>
            </w:pPr>
          </w:p>
        </w:tc>
        <w:tc>
          <w:tcPr>
            <w:tcW w:w="144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Product Status</w:t>
            </w:r>
          </w:p>
        </w:tc>
        <w:tc>
          <w:tcPr>
            <w:tcW w:w="12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8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9"/>
              </w:rPr>
              <w:t>(Earned) Expensed</w:t>
            </w:r>
            <w:r>
              <w:rPr>
                <w:rFonts w:ascii="Arial" w:cs="Arial" w:eastAsia="Arial" w:hAnsi="Arial"/>
                <w:sz w:val="17"/>
                <w:szCs w:val="17"/>
                <w:b w:val="1"/>
                <w:bCs w:val="1"/>
                <w:color w:val="auto"/>
                <w:w w:val="99"/>
                <w:vertAlign w:val="superscript"/>
              </w:rPr>
              <w:t>(1)</w:t>
            </w:r>
          </w:p>
        </w:tc>
        <w:tc>
          <w:tcPr>
            <w:tcW w:w="120" w:type="dxa"/>
            <w:vAlign w:val="bottom"/>
          </w:tcPr>
          <w:p>
            <w:pPr>
              <w:spacing w:after="0"/>
              <w:rPr>
                <w:sz w:val="17"/>
                <w:szCs w:val="17"/>
                <w:color w:val="auto"/>
              </w:rPr>
            </w:pPr>
          </w:p>
        </w:tc>
        <w:tc>
          <w:tcPr>
            <w:tcW w:w="2840" w:type="dxa"/>
            <w:vAlign w:val="bottom"/>
            <w:tcBorders>
              <w:bottom w:val="single" w:sz="8" w:color="auto"/>
            </w:tcBorders>
            <w:gridSpan w:val="3"/>
          </w:tcPr>
          <w:p>
            <w:pPr>
              <w:jc w:val="right"/>
              <w:ind w:right="531"/>
              <w:spacing w:after="0"/>
              <w:rPr>
                <w:sz w:val="20"/>
                <w:szCs w:val="20"/>
                <w:color w:val="auto"/>
              </w:rPr>
            </w:pPr>
            <w:r>
              <w:rPr>
                <w:rFonts w:ascii="Arial" w:cs="Arial" w:eastAsia="Arial" w:hAnsi="Arial"/>
                <w:sz w:val="14"/>
                <w:szCs w:val="14"/>
                <w:b w:val="1"/>
                <w:bCs w:val="1"/>
                <w:color w:val="auto"/>
              </w:rPr>
              <w:t>(Deferred) Capitalized</w:t>
            </w:r>
            <w:r>
              <w:rPr>
                <w:rFonts w:ascii="Arial" w:cs="Arial" w:eastAsia="Arial" w:hAnsi="Arial"/>
                <w:sz w:val="17"/>
                <w:szCs w:val="17"/>
                <w:b w:val="1"/>
                <w:bCs w:val="1"/>
                <w:color w:val="auto"/>
                <w:vertAlign w:val="superscript"/>
              </w:rPr>
              <w:t>(2)</w:t>
            </w:r>
          </w:p>
        </w:tc>
        <w:tc>
          <w:tcPr>
            <w:tcW w:w="0" w:type="dxa"/>
            <w:vAlign w:val="bottom"/>
          </w:tcPr>
          <w:p>
            <w:pPr>
              <w:spacing w:after="0"/>
              <w:rPr>
                <w:sz w:val="1"/>
                <w:szCs w:val="1"/>
                <w:color w:val="auto"/>
              </w:rPr>
            </w:pPr>
          </w:p>
        </w:tc>
      </w:tr>
      <w:tr>
        <w:trPr>
          <w:trHeight w:val="208"/>
        </w:trPr>
        <w:tc>
          <w:tcPr>
            <w:tcW w:w="128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Product Family</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rPr>
              <w:t>U.S.</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rPr>
              <w:t>Europe</w:t>
            </w: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Japan</w:t>
            </w:r>
          </w:p>
        </w:tc>
        <w:tc>
          <w:tcPr>
            <w:tcW w:w="980" w:type="dxa"/>
            <w:vAlign w:val="bottom"/>
          </w:tcPr>
          <w:p>
            <w:pPr>
              <w:jc w:val="center"/>
              <w:ind w:left="393"/>
              <w:spacing w:after="0"/>
              <w:rPr>
                <w:sz w:val="20"/>
                <w:szCs w:val="20"/>
                <w:color w:val="auto"/>
              </w:rPr>
            </w:pPr>
            <w:r>
              <w:rPr>
                <w:rFonts w:ascii="Arial" w:cs="Arial" w:eastAsia="Arial" w:hAnsi="Arial"/>
                <w:sz w:val="14"/>
                <w:szCs w:val="14"/>
                <w:b w:val="1"/>
                <w:bCs w:val="1"/>
                <w:color w:val="auto"/>
                <w:w w:val="98"/>
              </w:rPr>
              <w:t>Year</w:t>
            </w:r>
          </w:p>
        </w:tc>
        <w:tc>
          <w:tcPr>
            <w:tcW w:w="860" w:type="dxa"/>
            <w:vAlign w:val="bottom"/>
          </w:tcPr>
          <w:p>
            <w:pPr>
              <w:spacing w:after="0"/>
              <w:rPr>
                <w:sz w:val="18"/>
                <w:szCs w:val="18"/>
                <w:color w:val="auto"/>
              </w:rPr>
            </w:pPr>
          </w:p>
        </w:tc>
        <w:tc>
          <w:tcPr>
            <w:tcW w:w="1120" w:type="dxa"/>
            <w:vAlign w:val="bottom"/>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1360" w:type="dxa"/>
            <w:vAlign w:val="bottom"/>
          </w:tcPr>
          <w:p>
            <w:pPr>
              <w:jc w:val="center"/>
              <w:ind w:left="14"/>
              <w:spacing w:after="0"/>
              <w:rPr>
                <w:sz w:val="20"/>
                <w:szCs w:val="20"/>
                <w:color w:val="auto"/>
              </w:rPr>
            </w:pPr>
            <w:r>
              <w:rPr>
                <w:rFonts w:ascii="Arial" w:cs="Arial" w:eastAsia="Arial" w:hAnsi="Arial"/>
                <w:sz w:val="14"/>
                <w:szCs w:val="14"/>
                <w:b w:val="1"/>
                <w:bCs w:val="1"/>
                <w:color w:val="auto"/>
                <w:w w:val="98"/>
              </w:rPr>
              <w:t>Year</w:t>
            </w:r>
          </w:p>
        </w:tc>
        <w:tc>
          <w:tcPr>
            <w:tcW w:w="480" w:type="dxa"/>
            <w:vAlign w:val="bottom"/>
          </w:tcPr>
          <w:p>
            <w:pPr>
              <w:spacing w:after="0"/>
              <w:rPr>
                <w:sz w:val="18"/>
                <w:szCs w:val="18"/>
                <w:color w:val="auto"/>
              </w:rPr>
            </w:pPr>
          </w:p>
        </w:tc>
        <w:tc>
          <w:tcPr>
            <w:tcW w:w="1000" w:type="dxa"/>
            <w:vAlign w:val="bottom"/>
          </w:tcPr>
          <w:p>
            <w:pPr>
              <w:jc w:val="right"/>
              <w:ind w:right="331"/>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55"/>
        </w:trPr>
        <w:tc>
          <w:tcPr>
            <w:tcW w:w="1280" w:type="dxa"/>
            <w:vAlign w:val="bottom"/>
            <w:tcBorders>
              <w:bottom w:val="single" w:sz="8" w:color="auto"/>
            </w:tcBorders>
            <w:vMerge w:val="continue"/>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28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jc w:val="center"/>
              <w:ind w:left="373"/>
              <w:spacing w:after="0"/>
              <w:rPr>
                <w:sz w:val="20"/>
                <w:szCs w:val="20"/>
                <w:color w:val="auto"/>
              </w:rPr>
            </w:pPr>
            <w:r>
              <w:rPr>
                <w:rFonts w:ascii="Arial" w:cs="Arial" w:eastAsia="Arial" w:hAnsi="Arial"/>
                <w:sz w:val="18"/>
                <w:szCs w:val="18"/>
                <w:color w:val="auto"/>
                <w:w w:val="99"/>
              </w:rPr>
              <w:t>2015</w:t>
            </w:r>
          </w:p>
        </w:tc>
        <w:tc>
          <w:tcPr>
            <w:tcW w:w="860" w:type="dxa"/>
            <w:vAlign w:val="bottom"/>
          </w:tcPr>
          <w:p>
            <w:pPr>
              <w:jc w:val="right"/>
              <w:ind w:right="159"/>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360" w:type="dxa"/>
            <w:vAlign w:val="bottom"/>
          </w:tcPr>
          <w:p>
            <w:pPr>
              <w:jc w:val="center"/>
              <w:spacing w:after="0"/>
              <w:rPr>
                <w:sz w:val="20"/>
                <w:szCs w:val="20"/>
                <w:color w:val="auto"/>
              </w:rPr>
            </w:pPr>
            <w:r>
              <w:rPr>
                <w:rFonts w:ascii="Arial" w:cs="Arial" w:eastAsia="Arial" w:hAnsi="Arial"/>
                <w:sz w:val="18"/>
                <w:szCs w:val="18"/>
                <w:color w:val="auto"/>
                <w:w w:val="99"/>
              </w:rPr>
              <w:t>2015</w:t>
            </w:r>
          </w:p>
        </w:tc>
        <w:tc>
          <w:tcPr>
            <w:tcW w:w="480" w:type="dxa"/>
            <w:vAlign w:val="bottom"/>
          </w:tcPr>
          <w:p>
            <w:pPr>
              <w:jc w:val="right"/>
              <w:ind w:right="17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11"/>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62"/>
        </w:trPr>
        <w:tc>
          <w:tcPr>
            <w:tcW w:w="1280" w:type="dxa"/>
            <w:vAlign w:val="bottom"/>
            <w:vMerge w:val="restart"/>
          </w:tcPr>
          <w:p>
            <w:pPr>
              <w:ind w:left="40"/>
              <w:spacing w:after="0"/>
              <w:rPr>
                <w:sz w:val="20"/>
                <w:szCs w:val="20"/>
                <w:color w:val="auto"/>
              </w:rPr>
            </w:pPr>
            <w:r>
              <w:rPr>
                <w:rFonts w:ascii="Arial" w:cs="Arial" w:eastAsia="Arial" w:hAnsi="Arial"/>
                <w:sz w:val="18"/>
                <w:szCs w:val="18"/>
                <w:color w:val="auto"/>
              </w:rPr>
              <w:t>Trajenta</w:t>
            </w:r>
            <w:r>
              <w:rPr>
                <w:rFonts w:ascii="Arial" w:cs="Arial" w:eastAsia="Arial" w:hAnsi="Arial"/>
                <w:sz w:val="21"/>
                <w:szCs w:val="21"/>
                <w:color w:val="auto"/>
                <w:vertAlign w:val="superscript"/>
              </w:rPr>
              <w:t>(3)</w:t>
            </w:r>
          </w:p>
        </w:tc>
        <w:tc>
          <w:tcPr>
            <w:tcW w:w="1440" w:type="dxa"/>
            <w:vAlign w:val="bottom"/>
            <w:vMerge w:val="restart"/>
          </w:tcPr>
          <w:p>
            <w:pPr>
              <w:jc w:val="center"/>
              <w:spacing w:after="0"/>
              <w:rPr>
                <w:sz w:val="20"/>
                <w:szCs w:val="20"/>
                <w:color w:val="auto"/>
              </w:rPr>
            </w:pPr>
            <w:r>
              <w:rPr>
                <w:rFonts w:ascii="Arial" w:cs="Arial" w:eastAsia="Arial" w:hAnsi="Arial"/>
                <w:sz w:val="18"/>
                <w:szCs w:val="18"/>
                <w:color w:val="auto"/>
                <w:w w:val="98"/>
              </w:rPr>
              <w:t>Launched 2011</w:t>
            </w:r>
          </w:p>
        </w:tc>
        <w:tc>
          <w:tcPr>
            <w:tcW w:w="1560" w:type="dxa"/>
            <w:vAlign w:val="bottom"/>
            <w:vMerge w:val="restart"/>
          </w:tcPr>
          <w:p>
            <w:pPr>
              <w:jc w:val="center"/>
              <w:spacing w:after="0"/>
              <w:rPr>
                <w:sz w:val="20"/>
                <w:szCs w:val="20"/>
                <w:color w:val="auto"/>
              </w:rPr>
            </w:pPr>
            <w:r>
              <w:rPr>
                <w:rFonts w:ascii="Arial" w:cs="Arial" w:eastAsia="Arial" w:hAnsi="Arial"/>
                <w:sz w:val="18"/>
                <w:szCs w:val="18"/>
                <w:color w:val="auto"/>
                <w:w w:val="98"/>
              </w:rPr>
              <w:t>Launched 2011</w:t>
            </w:r>
          </w:p>
        </w:tc>
        <w:tc>
          <w:tcPr>
            <w:tcW w:w="1340" w:type="dxa"/>
            <w:vAlign w:val="bottom"/>
            <w:gridSpan w:val="2"/>
            <w:vMerge w:val="restart"/>
          </w:tcPr>
          <w:p>
            <w:pPr>
              <w:jc w:val="center"/>
              <w:ind w:right="140"/>
              <w:spacing w:after="0"/>
              <w:rPr>
                <w:sz w:val="20"/>
                <w:szCs w:val="20"/>
                <w:color w:val="auto"/>
              </w:rPr>
            </w:pPr>
            <w:r>
              <w:rPr>
                <w:rFonts w:ascii="Arial" w:cs="Arial" w:eastAsia="Arial" w:hAnsi="Arial"/>
                <w:sz w:val="18"/>
                <w:szCs w:val="18"/>
                <w:color w:val="auto"/>
              </w:rPr>
              <w:t>Launched</w:t>
            </w:r>
          </w:p>
        </w:tc>
        <w:tc>
          <w:tcPr>
            <w:tcW w:w="980" w:type="dxa"/>
            <w:vAlign w:val="bottom"/>
          </w:tcPr>
          <w:p>
            <w:pPr>
              <w:jc w:val="center"/>
              <w:ind w:left="373"/>
              <w:spacing w:after="0"/>
              <w:rPr>
                <w:sz w:val="20"/>
                <w:szCs w:val="20"/>
                <w:color w:val="auto"/>
              </w:rPr>
            </w:pPr>
            <w:r>
              <w:rPr>
                <w:rFonts w:ascii="Arial" w:cs="Arial" w:eastAsia="Arial" w:hAnsi="Arial"/>
                <w:sz w:val="18"/>
                <w:szCs w:val="18"/>
                <w:color w:val="auto"/>
                <w:w w:val="99"/>
              </w:rPr>
              <w:t>2014</w:t>
            </w:r>
          </w:p>
        </w:tc>
        <w:tc>
          <w:tcPr>
            <w:tcW w:w="86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tcPr>
          <w:p>
            <w:pPr>
              <w:jc w:val="center"/>
              <w:spacing w:after="0"/>
              <w:rPr>
                <w:sz w:val="20"/>
                <w:szCs w:val="20"/>
                <w:color w:val="auto"/>
              </w:rPr>
            </w:pPr>
            <w:r>
              <w:rPr>
                <w:rFonts w:ascii="Arial" w:cs="Arial" w:eastAsia="Arial" w:hAnsi="Arial"/>
                <w:sz w:val="18"/>
                <w:szCs w:val="18"/>
                <w:color w:val="auto"/>
                <w:w w:val="99"/>
              </w:rPr>
              <w:t>2014</w:t>
            </w:r>
          </w:p>
        </w:tc>
        <w:tc>
          <w:tcPr>
            <w:tcW w:w="480" w:type="dxa"/>
            <w:vAlign w:val="bottom"/>
          </w:tcPr>
          <w:p>
            <w:pPr>
              <w:spacing w:after="0"/>
              <w:rPr>
                <w:sz w:val="22"/>
                <w:szCs w:val="22"/>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4"/>
        </w:trPr>
        <w:tc>
          <w:tcPr>
            <w:tcW w:w="1280" w:type="dxa"/>
            <w:vAlign w:val="bottom"/>
            <w:vMerge w:val="continue"/>
          </w:tcPr>
          <w:p>
            <w:pPr>
              <w:spacing w:after="0"/>
              <w:rPr>
                <w:sz w:val="5"/>
                <w:szCs w:val="5"/>
                <w:color w:val="auto"/>
              </w:rPr>
            </w:pPr>
          </w:p>
        </w:tc>
        <w:tc>
          <w:tcPr>
            <w:tcW w:w="1440" w:type="dxa"/>
            <w:vAlign w:val="bottom"/>
            <w:vMerge w:val="continue"/>
          </w:tcPr>
          <w:p>
            <w:pPr>
              <w:spacing w:after="0"/>
              <w:rPr>
                <w:sz w:val="5"/>
                <w:szCs w:val="5"/>
                <w:color w:val="auto"/>
              </w:rPr>
            </w:pPr>
          </w:p>
        </w:tc>
        <w:tc>
          <w:tcPr>
            <w:tcW w:w="1560" w:type="dxa"/>
            <w:vAlign w:val="bottom"/>
            <w:vMerge w:val="continue"/>
          </w:tcPr>
          <w:p>
            <w:pPr>
              <w:spacing w:after="0"/>
              <w:rPr>
                <w:sz w:val="5"/>
                <w:szCs w:val="5"/>
                <w:color w:val="auto"/>
              </w:rPr>
            </w:pPr>
          </w:p>
        </w:tc>
        <w:tc>
          <w:tcPr>
            <w:tcW w:w="1340" w:type="dxa"/>
            <w:vAlign w:val="bottom"/>
            <w:gridSpan w:val="2"/>
            <w:vMerge w:val="continue"/>
          </w:tcPr>
          <w:p>
            <w:pPr>
              <w:spacing w:after="0"/>
              <w:rPr>
                <w:sz w:val="5"/>
                <w:szCs w:val="5"/>
                <w:color w:val="auto"/>
              </w:rPr>
            </w:pPr>
          </w:p>
        </w:tc>
        <w:tc>
          <w:tcPr>
            <w:tcW w:w="980" w:type="dxa"/>
            <w:vAlign w:val="bottom"/>
            <w:vMerge w:val="restart"/>
          </w:tcPr>
          <w:p>
            <w:pPr>
              <w:jc w:val="center"/>
              <w:ind w:left="373"/>
              <w:spacing w:after="0"/>
              <w:rPr>
                <w:sz w:val="20"/>
                <w:szCs w:val="20"/>
                <w:color w:val="auto"/>
              </w:rPr>
            </w:pPr>
            <w:r>
              <w:rPr>
                <w:rFonts w:ascii="Arial" w:cs="Arial" w:eastAsia="Arial" w:hAnsi="Arial"/>
                <w:sz w:val="18"/>
                <w:szCs w:val="18"/>
                <w:color w:val="auto"/>
                <w:w w:val="99"/>
              </w:rPr>
              <w:t>2013</w:t>
            </w:r>
          </w:p>
        </w:tc>
        <w:tc>
          <w:tcPr>
            <w:tcW w:w="860" w:type="dxa"/>
            <w:vAlign w:val="bottom"/>
          </w:tcPr>
          <w:p>
            <w:pPr>
              <w:spacing w:after="0"/>
              <w:rPr>
                <w:sz w:val="5"/>
                <w:szCs w:val="5"/>
                <w:color w:val="auto"/>
              </w:rPr>
            </w:pPr>
          </w:p>
        </w:tc>
        <w:tc>
          <w:tcPr>
            <w:tcW w:w="112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vMerge w:val="restart"/>
          </w:tcPr>
          <w:p>
            <w:pPr>
              <w:jc w:val="center"/>
              <w:spacing w:after="0"/>
              <w:rPr>
                <w:sz w:val="20"/>
                <w:szCs w:val="20"/>
                <w:color w:val="auto"/>
              </w:rPr>
            </w:pPr>
            <w:r>
              <w:rPr>
                <w:rFonts w:ascii="Arial" w:cs="Arial" w:eastAsia="Arial" w:hAnsi="Arial"/>
                <w:sz w:val="18"/>
                <w:szCs w:val="18"/>
                <w:color w:val="auto"/>
                <w:w w:val="99"/>
              </w:rPr>
              <w:t>2013</w:t>
            </w:r>
          </w:p>
        </w:tc>
        <w:tc>
          <w:tcPr>
            <w:tcW w:w="480" w:type="dxa"/>
            <w:vAlign w:val="bottom"/>
          </w:tcPr>
          <w:p>
            <w:pPr>
              <w:spacing w:after="0"/>
              <w:rPr>
                <w:sz w:val="5"/>
                <w:szCs w:val="5"/>
                <w:color w:val="auto"/>
              </w:rPr>
            </w:pPr>
          </w:p>
        </w:tc>
        <w:tc>
          <w:tcPr>
            <w:tcW w:w="1000" w:type="dxa"/>
            <w:vAlign w:val="bottom"/>
            <w:vMerge w:val="restart"/>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4"/>
              </w:rPr>
              <w:t>2011</w:t>
            </w:r>
          </w:p>
        </w:tc>
        <w:tc>
          <w:tcPr>
            <w:tcW w:w="120" w:type="dxa"/>
            <w:vAlign w:val="bottom"/>
          </w:tcPr>
          <w:p>
            <w:pPr>
              <w:spacing w:after="0"/>
              <w:rPr>
                <w:sz w:val="20"/>
                <w:szCs w:val="20"/>
                <w:color w:val="auto"/>
              </w:rPr>
            </w:pPr>
          </w:p>
        </w:tc>
        <w:tc>
          <w:tcPr>
            <w:tcW w:w="980" w:type="dxa"/>
            <w:vAlign w:val="bottom"/>
            <w:vMerge w:val="continue"/>
          </w:tcPr>
          <w:p>
            <w:pPr>
              <w:spacing w:after="0"/>
              <w:rPr>
                <w:sz w:val="20"/>
                <w:szCs w:val="20"/>
                <w:color w:val="auto"/>
              </w:rPr>
            </w:pPr>
          </w:p>
        </w:tc>
        <w:tc>
          <w:tcPr>
            <w:tcW w:w="860" w:type="dxa"/>
            <w:vAlign w:val="bottom"/>
          </w:tcPr>
          <w:p>
            <w:pPr>
              <w:spacing w:after="0"/>
              <w:rPr>
                <w:sz w:val="20"/>
                <w:szCs w:val="20"/>
                <w:color w:val="auto"/>
              </w:rPr>
            </w:pPr>
          </w:p>
        </w:tc>
        <w:tc>
          <w:tcPr>
            <w:tcW w:w="1120" w:type="dxa"/>
            <w:vAlign w:val="bottom"/>
            <w:gridSpan w:val="2"/>
            <w:vMerge w:val="continue"/>
          </w:tcPr>
          <w:p>
            <w:pPr>
              <w:spacing w:after="0"/>
              <w:rPr>
                <w:sz w:val="20"/>
                <w:szCs w:val="20"/>
                <w:color w:val="auto"/>
              </w:rPr>
            </w:pPr>
          </w:p>
        </w:tc>
        <w:tc>
          <w:tcPr>
            <w:tcW w:w="1360" w:type="dxa"/>
            <w:vAlign w:val="bottom"/>
            <w:vMerge w:val="continue"/>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128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center"/>
              <w:ind w:left="14"/>
              <w:spacing w:after="0"/>
              <w:rPr>
                <w:sz w:val="20"/>
                <w:szCs w:val="20"/>
                <w:color w:val="auto"/>
              </w:rPr>
            </w:pPr>
            <w:r>
              <w:rPr>
                <w:rFonts w:ascii="Arial" w:cs="Arial" w:eastAsia="Arial" w:hAnsi="Arial"/>
                <w:sz w:val="18"/>
                <w:szCs w:val="18"/>
                <w:color w:val="auto"/>
                <w:w w:val="95"/>
              </w:rPr>
              <w:t>Cumulative</w:t>
            </w:r>
            <w:r>
              <w:rPr>
                <w:rFonts w:ascii="Arial" w:cs="Arial" w:eastAsia="Arial" w:hAnsi="Arial"/>
                <w:sz w:val="21"/>
                <w:szCs w:val="21"/>
                <w:color w:val="auto"/>
                <w:w w:val="95"/>
                <w:vertAlign w:val="superscript"/>
              </w:rPr>
              <w:t>(6)</w:t>
            </w:r>
          </w:p>
        </w:tc>
        <w:tc>
          <w:tcPr>
            <w:tcW w:w="4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446.4</w:t>
            </w:r>
          </w:p>
        </w:tc>
        <w:tc>
          <w:tcPr>
            <w:tcW w:w="0" w:type="dxa"/>
            <w:vAlign w:val="bottom"/>
          </w:tcPr>
          <w:p>
            <w:pPr>
              <w:spacing w:after="0"/>
              <w:rPr>
                <w:sz w:val="1"/>
                <w:szCs w:val="1"/>
                <w:color w:val="auto"/>
              </w:rPr>
            </w:pPr>
          </w:p>
        </w:tc>
      </w:tr>
      <w:tr>
        <w:trPr>
          <w:trHeight w:val="262"/>
        </w:trPr>
        <w:tc>
          <w:tcPr>
            <w:tcW w:w="128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jc w:val="center"/>
              <w:ind w:left="373"/>
              <w:spacing w:after="0"/>
              <w:rPr>
                <w:sz w:val="20"/>
                <w:szCs w:val="20"/>
                <w:color w:val="auto"/>
              </w:rPr>
            </w:pPr>
            <w:r>
              <w:rPr>
                <w:rFonts w:ascii="Arial" w:cs="Arial" w:eastAsia="Arial" w:hAnsi="Arial"/>
                <w:sz w:val="18"/>
                <w:szCs w:val="18"/>
                <w:color w:val="auto"/>
                <w:w w:val="99"/>
              </w:rPr>
              <w:t>2015</w:t>
            </w:r>
          </w:p>
        </w:tc>
        <w:tc>
          <w:tcPr>
            <w:tcW w:w="86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360" w:type="dxa"/>
            <w:vAlign w:val="bottom"/>
          </w:tcPr>
          <w:p>
            <w:pPr>
              <w:jc w:val="center"/>
              <w:spacing w:after="0"/>
              <w:rPr>
                <w:sz w:val="20"/>
                <w:szCs w:val="20"/>
                <w:color w:val="auto"/>
              </w:rPr>
            </w:pPr>
            <w:r>
              <w:rPr>
                <w:rFonts w:ascii="Arial" w:cs="Arial" w:eastAsia="Arial" w:hAnsi="Arial"/>
                <w:sz w:val="18"/>
                <w:szCs w:val="18"/>
                <w:color w:val="auto"/>
                <w:w w:val="99"/>
              </w:rPr>
              <w:t>2015</w:t>
            </w:r>
          </w:p>
        </w:tc>
        <w:tc>
          <w:tcPr>
            <w:tcW w:w="480" w:type="dxa"/>
            <w:vAlign w:val="bottom"/>
          </w:tcPr>
          <w:p>
            <w:pPr>
              <w:spacing w:after="0"/>
              <w:rPr>
                <w:sz w:val="22"/>
                <w:szCs w:val="22"/>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62"/>
        </w:trPr>
        <w:tc>
          <w:tcPr>
            <w:tcW w:w="1280" w:type="dxa"/>
            <w:vAlign w:val="bottom"/>
            <w:vMerge w:val="restart"/>
          </w:tcPr>
          <w:p>
            <w:pPr>
              <w:ind w:left="40"/>
              <w:spacing w:after="0"/>
              <w:rPr>
                <w:sz w:val="20"/>
                <w:szCs w:val="20"/>
                <w:color w:val="auto"/>
              </w:rPr>
            </w:pPr>
            <w:r>
              <w:rPr>
                <w:rFonts w:ascii="Arial" w:cs="Arial" w:eastAsia="Arial" w:hAnsi="Arial"/>
                <w:sz w:val="18"/>
                <w:szCs w:val="18"/>
                <w:color w:val="auto"/>
              </w:rPr>
              <w:t>Jardiance</w:t>
            </w:r>
            <w:r>
              <w:rPr>
                <w:rFonts w:ascii="Arial" w:cs="Arial" w:eastAsia="Arial" w:hAnsi="Arial"/>
                <w:sz w:val="21"/>
                <w:szCs w:val="21"/>
                <w:color w:val="auto"/>
                <w:vertAlign w:val="superscript"/>
              </w:rPr>
              <w:t>(4)</w:t>
            </w:r>
          </w:p>
        </w:tc>
        <w:tc>
          <w:tcPr>
            <w:tcW w:w="1440" w:type="dxa"/>
            <w:vAlign w:val="bottom"/>
            <w:vMerge w:val="restart"/>
          </w:tcPr>
          <w:p>
            <w:pPr>
              <w:jc w:val="center"/>
              <w:spacing w:after="0"/>
              <w:rPr>
                <w:sz w:val="20"/>
                <w:szCs w:val="20"/>
                <w:color w:val="auto"/>
              </w:rPr>
            </w:pPr>
            <w:r>
              <w:rPr>
                <w:rFonts w:ascii="Arial" w:cs="Arial" w:eastAsia="Arial" w:hAnsi="Arial"/>
                <w:sz w:val="18"/>
                <w:szCs w:val="18"/>
                <w:color w:val="auto"/>
                <w:w w:val="99"/>
              </w:rPr>
              <w:t>Launched 2014</w:t>
            </w:r>
          </w:p>
        </w:tc>
        <w:tc>
          <w:tcPr>
            <w:tcW w:w="1560" w:type="dxa"/>
            <w:vAlign w:val="bottom"/>
            <w:vMerge w:val="restart"/>
          </w:tcPr>
          <w:p>
            <w:pPr>
              <w:jc w:val="center"/>
              <w:spacing w:after="0"/>
              <w:rPr>
                <w:sz w:val="20"/>
                <w:szCs w:val="20"/>
                <w:color w:val="auto"/>
              </w:rPr>
            </w:pPr>
            <w:r>
              <w:rPr>
                <w:rFonts w:ascii="Arial" w:cs="Arial" w:eastAsia="Arial" w:hAnsi="Arial"/>
                <w:sz w:val="18"/>
                <w:szCs w:val="18"/>
                <w:color w:val="auto"/>
                <w:w w:val="99"/>
              </w:rPr>
              <w:t>Launched 2014</w:t>
            </w:r>
          </w:p>
        </w:tc>
        <w:tc>
          <w:tcPr>
            <w:tcW w:w="1340" w:type="dxa"/>
            <w:vAlign w:val="bottom"/>
            <w:gridSpan w:val="2"/>
            <w:vMerge w:val="restart"/>
          </w:tcPr>
          <w:p>
            <w:pPr>
              <w:jc w:val="center"/>
              <w:ind w:right="140"/>
              <w:spacing w:after="0"/>
              <w:rPr>
                <w:sz w:val="20"/>
                <w:szCs w:val="20"/>
                <w:color w:val="auto"/>
              </w:rPr>
            </w:pPr>
            <w:r>
              <w:rPr>
                <w:rFonts w:ascii="Arial" w:cs="Arial" w:eastAsia="Arial" w:hAnsi="Arial"/>
                <w:sz w:val="18"/>
                <w:szCs w:val="18"/>
                <w:color w:val="auto"/>
              </w:rPr>
              <w:t>Launched</w:t>
            </w:r>
          </w:p>
        </w:tc>
        <w:tc>
          <w:tcPr>
            <w:tcW w:w="980" w:type="dxa"/>
            <w:vAlign w:val="bottom"/>
          </w:tcPr>
          <w:p>
            <w:pPr>
              <w:jc w:val="center"/>
              <w:ind w:left="373"/>
              <w:spacing w:after="0"/>
              <w:rPr>
                <w:sz w:val="20"/>
                <w:szCs w:val="20"/>
                <w:color w:val="auto"/>
              </w:rPr>
            </w:pPr>
            <w:r>
              <w:rPr>
                <w:rFonts w:ascii="Arial" w:cs="Arial" w:eastAsia="Arial" w:hAnsi="Arial"/>
                <w:sz w:val="18"/>
                <w:szCs w:val="18"/>
                <w:color w:val="auto"/>
                <w:w w:val="99"/>
              </w:rPr>
              <w:t>2014</w:t>
            </w:r>
          </w:p>
        </w:tc>
        <w:tc>
          <w:tcPr>
            <w:tcW w:w="86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tcPr>
          <w:p>
            <w:pPr>
              <w:jc w:val="center"/>
              <w:spacing w:after="0"/>
              <w:rPr>
                <w:sz w:val="20"/>
                <w:szCs w:val="20"/>
                <w:color w:val="auto"/>
              </w:rPr>
            </w:pPr>
            <w:r>
              <w:rPr>
                <w:rFonts w:ascii="Arial" w:cs="Arial" w:eastAsia="Arial" w:hAnsi="Arial"/>
                <w:sz w:val="18"/>
                <w:szCs w:val="18"/>
                <w:color w:val="auto"/>
                <w:w w:val="99"/>
              </w:rPr>
              <w:t>2014</w:t>
            </w:r>
          </w:p>
        </w:tc>
        <w:tc>
          <w:tcPr>
            <w:tcW w:w="480" w:type="dxa"/>
            <w:vAlign w:val="bottom"/>
          </w:tcPr>
          <w:p>
            <w:pPr>
              <w:spacing w:after="0"/>
              <w:rPr>
                <w:sz w:val="22"/>
                <w:szCs w:val="22"/>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299.5</w:t>
            </w:r>
          </w:p>
        </w:tc>
        <w:tc>
          <w:tcPr>
            <w:tcW w:w="0" w:type="dxa"/>
            <w:vAlign w:val="bottom"/>
          </w:tcPr>
          <w:p>
            <w:pPr>
              <w:spacing w:after="0"/>
              <w:rPr>
                <w:sz w:val="1"/>
                <w:szCs w:val="1"/>
                <w:color w:val="auto"/>
              </w:rPr>
            </w:pPr>
          </w:p>
        </w:tc>
      </w:tr>
      <w:tr>
        <w:trPr>
          <w:trHeight w:val="64"/>
        </w:trPr>
        <w:tc>
          <w:tcPr>
            <w:tcW w:w="1280" w:type="dxa"/>
            <w:vAlign w:val="bottom"/>
            <w:vMerge w:val="continue"/>
          </w:tcPr>
          <w:p>
            <w:pPr>
              <w:spacing w:after="0"/>
              <w:rPr>
                <w:sz w:val="5"/>
                <w:szCs w:val="5"/>
                <w:color w:val="auto"/>
              </w:rPr>
            </w:pPr>
          </w:p>
        </w:tc>
        <w:tc>
          <w:tcPr>
            <w:tcW w:w="1440" w:type="dxa"/>
            <w:vAlign w:val="bottom"/>
            <w:vMerge w:val="continue"/>
          </w:tcPr>
          <w:p>
            <w:pPr>
              <w:spacing w:after="0"/>
              <w:rPr>
                <w:sz w:val="5"/>
                <w:szCs w:val="5"/>
                <w:color w:val="auto"/>
              </w:rPr>
            </w:pPr>
          </w:p>
        </w:tc>
        <w:tc>
          <w:tcPr>
            <w:tcW w:w="1560" w:type="dxa"/>
            <w:vAlign w:val="bottom"/>
            <w:vMerge w:val="continue"/>
          </w:tcPr>
          <w:p>
            <w:pPr>
              <w:spacing w:after="0"/>
              <w:rPr>
                <w:sz w:val="5"/>
                <w:szCs w:val="5"/>
                <w:color w:val="auto"/>
              </w:rPr>
            </w:pPr>
          </w:p>
        </w:tc>
        <w:tc>
          <w:tcPr>
            <w:tcW w:w="1340" w:type="dxa"/>
            <w:vAlign w:val="bottom"/>
            <w:gridSpan w:val="2"/>
            <w:vMerge w:val="continue"/>
          </w:tcPr>
          <w:p>
            <w:pPr>
              <w:spacing w:after="0"/>
              <w:rPr>
                <w:sz w:val="5"/>
                <w:szCs w:val="5"/>
                <w:color w:val="auto"/>
              </w:rPr>
            </w:pPr>
          </w:p>
        </w:tc>
        <w:tc>
          <w:tcPr>
            <w:tcW w:w="980" w:type="dxa"/>
            <w:vAlign w:val="bottom"/>
            <w:vMerge w:val="restart"/>
          </w:tcPr>
          <w:p>
            <w:pPr>
              <w:jc w:val="center"/>
              <w:ind w:left="373"/>
              <w:spacing w:after="0"/>
              <w:rPr>
                <w:sz w:val="20"/>
                <w:szCs w:val="20"/>
                <w:color w:val="auto"/>
              </w:rPr>
            </w:pPr>
            <w:r>
              <w:rPr>
                <w:rFonts w:ascii="Arial" w:cs="Arial" w:eastAsia="Arial" w:hAnsi="Arial"/>
                <w:sz w:val="18"/>
                <w:szCs w:val="18"/>
                <w:color w:val="auto"/>
                <w:w w:val="99"/>
              </w:rPr>
              <w:t>2013</w:t>
            </w:r>
          </w:p>
        </w:tc>
        <w:tc>
          <w:tcPr>
            <w:tcW w:w="860" w:type="dxa"/>
            <w:vAlign w:val="bottom"/>
          </w:tcPr>
          <w:p>
            <w:pPr>
              <w:spacing w:after="0"/>
              <w:rPr>
                <w:sz w:val="5"/>
                <w:szCs w:val="5"/>
                <w:color w:val="auto"/>
              </w:rPr>
            </w:pPr>
          </w:p>
        </w:tc>
        <w:tc>
          <w:tcPr>
            <w:tcW w:w="1000" w:type="dxa"/>
            <w:vAlign w:val="bottom"/>
            <w:vMerge w:val="restart"/>
          </w:tcPr>
          <w:p>
            <w:pPr>
              <w:jc w:val="right"/>
              <w:ind w:right="12"/>
              <w:spacing w:after="0"/>
              <w:rPr>
                <w:sz w:val="20"/>
                <w:szCs w:val="20"/>
                <w:color w:val="auto"/>
              </w:rPr>
            </w:pPr>
            <w:r>
              <w:rPr>
                <w:rFonts w:ascii="Arial" w:cs="Arial" w:eastAsia="Arial" w:hAnsi="Arial"/>
                <w:sz w:val="18"/>
                <w:szCs w:val="18"/>
                <w:color w:val="auto"/>
              </w:rPr>
              <w:t>97.2</w:t>
            </w:r>
          </w:p>
        </w:tc>
        <w:tc>
          <w:tcPr>
            <w:tcW w:w="120" w:type="dxa"/>
            <w:vAlign w:val="bottom"/>
          </w:tcPr>
          <w:p>
            <w:pPr>
              <w:spacing w:after="0"/>
              <w:rPr>
                <w:sz w:val="5"/>
                <w:szCs w:val="5"/>
                <w:color w:val="auto"/>
              </w:rPr>
            </w:pPr>
          </w:p>
        </w:tc>
        <w:tc>
          <w:tcPr>
            <w:tcW w:w="1360" w:type="dxa"/>
            <w:vAlign w:val="bottom"/>
            <w:vMerge w:val="restart"/>
          </w:tcPr>
          <w:p>
            <w:pPr>
              <w:jc w:val="center"/>
              <w:spacing w:after="0"/>
              <w:rPr>
                <w:sz w:val="20"/>
                <w:szCs w:val="20"/>
                <w:color w:val="auto"/>
              </w:rPr>
            </w:pPr>
            <w:r>
              <w:rPr>
                <w:rFonts w:ascii="Arial" w:cs="Arial" w:eastAsia="Arial" w:hAnsi="Arial"/>
                <w:sz w:val="18"/>
                <w:szCs w:val="18"/>
                <w:color w:val="auto"/>
                <w:w w:val="99"/>
              </w:rPr>
              <w:t>2013</w:t>
            </w:r>
          </w:p>
        </w:tc>
        <w:tc>
          <w:tcPr>
            <w:tcW w:w="480" w:type="dxa"/>
            <w:vAlign w:val="bottom"/>
          </w:tcPr>
          <w:p>
            <w:pPr>
              <w:spacing w:after="0"/>
              <w:rPr>
                <w:sz w:val="5"/>
                <w:szCs w:val="5"/>
                <w:color w:val="auto"/>
              </w:rPr>
            </w:pPr>
          </w:p>
        </w:tc>
        <w:tc>
          <w:tcPr>
            <w:tcW w:w="1000" w:type="dxa"/>
            <w:vAlign w:val="bottom"/>
            <w:vMerge w:val="restart"/>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9"/>
              </w:rPr>
              <w:t>2015</w:t>
            </w:r>
          </w:p>
        </w:tc>
        <w:tc>
          <w:tcPr>
            <w:tcW w:w="120" w:type="dxa"/>
            <w:vAlign w:val="bottom"/>
          </w:tcPr>
          <w:p>
            <w:pPr>
              <w:spacing w:after="0"/>
              <w:rPr>
                <w:sz w:val="20"/>
                <w:szCs w:val="20"/>
                <w:color w:val="auto"/>
              </w:rPr>
            </w:pPr>
          </w:p>
        </w:tc>
        <w:tc>
          <w:tcPr>
            <w:tcW w:w="980" w:type="dxa"/>
            <w:vAlign w:val="bottom"/>
            <w:vMerge w:val="continue"/>
          </w:tcPr>
          <w:p>
            <w:pPr>
              <w:spacing w:after="0"/>
              <w:rPr>
                <w:sz w:val="20"/>
                <w:szCs w:val="20"/>
                <w:color w:val="auto"/>
              </w:rPr>
            </w:pPr>
          </w:p>
        </w:tc>
        <w:tc>
          <w:tcPr>
            <w:tcW w:w="860" w:type="dxa"/>
            <w:vAlign w:val="bottom"/>
          </w:tcPr>
          <w:p>
            <w:pPr>
              <w:spacing w:after="0"/>
              <w:rPr>
                <w:sz w:val="20"/>
                <w:szCs w:val="20"/>
                <w:color w:val="auto"/>
              </w:rPr>
            </w:pPr>
          </w:p>
        </w:tc>
        <w:tc>
          <w:tcPr>
            <w:tcW w:w="10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vMerge w:val="continue"/>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128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center"/>
              <w:ind w:left="14"/>
              <w:spacing w:after="0"/>
              <w:rPr>
                <w:sz w:val="20"/>
                <w:szCs w:val="20"/>
                <w:color w:val="auto"/>
              </w:rPr>
            </w:pPr>
            <w:r>
              <w:rPr>
                <w:rFonts w:ascii="Arial" w:cs="Arial" w:eastAsia="Arial" w:hAnsi="Arial"/>
                <w:sz w:val="18"/>
                <w:szCs w:val="18"/>
                <w:color w:val="auto"/>
                <w:w w:val="95"/>
              </w:rPr>
              <w:t>Cumulative</w:t>
            </w:r>
            <w:r>
              <w:rPr>
                <w:rFonts w:ascii="Arial" w:cs="Arial" w:eastAsia="Arial" w:hAnsi="Arial"/>
                <w:sz w:val="21"/>
                <w:szCs w:val="21"/>
                <w:color w:val="auto"/>
                <w:w w:val="95"/>
                <w:vertAlign w:val="superscript"/>
              </w:rPr>
              <w:t>(6)</w:t>
            </w:r>
          </w:p>
        </w:tc>
        <w:tc>
          <w:tcPr>
            <w:tcW w:w="4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299.5</w:t>
            </w:r>
          </w:p>
        </w:tc>
        <w:tc>
          <w:tcPr>
            <w:tcW w:w="0" w:type="dxa"/>
            <w:vAlign w:val="bottom"/>
          </w:tcPr>
          <w:p>
            <w:pPr>
              <w:spacing w:after="0"/>
              <w:rPr>
                <w:sz w:val="1"/>
                <w:szCs w:val="1"/>
                <w:color w:val="auto"/>
              </w:rPr>
            </w:pPr>
          </w:p>
        </w:tc>
      </w:tr>
      <w:tr>
        <w:trPr>
          <w:trHeight w:val="262"/>
        </w:trPr>
        <w:tc>
          <w:tcPr>
            <w:tcW w:w="128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jc w:val="center"/>
              <w:ind w:left="373"/>
              <w:spacing w:after="0"/>
              <w:rPr>
                <w:sz w:val="20"/>
                <w:szCs w:val="20"/>
                <w:color w:val="auto"/>
              </w:rPr>
            </w:pPr>
            <w:r>
              <w:rPr>
                <w:rFonts w:ascii="Arial" w:cs="Arial" w:eastAsia="Arial" w:hAnsi="Arial"/>
                <w:sz w:val="18"/>
                <w:szCs w:val="18"/>
                <w:color w:val="auto"/>
                <w:w w:val="99"/>
              </w:rPr>
              <w:t>2015</w:t>
            </w:r>
          </w:p>
        </w:tc>
        <w:tc>
          <w:tcPr>
            <w:tcW w:w="86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360" w:type="dxa"/>
            <w:vAlign w:val="bottom"/>
          </w:tcPr>
          <w:p>
            <w:pPr>
              <w:jc w:val="center"/>
              <w:spacing w:after="0"/>
              <w:rPr>
                <w:sz w:val="20"/>
                <w:szCs w:val="20"/>
                <w:color w:val="auto"/>
              </w:rPr>
            </w:pPr>
            <w:r>
              <w:rPr>
                <w:rFonts w:ascii="Arial" w:cs="Arial" w:eastAsia="Arial" w:hAnsi="Arial"/>
                <w:sz w:val="18"/>
                <w:szCs w:val="18"/>
                <w:color w:val="auto"/>
                <w:w w:val="99"/>
              </w:rPr>
              <w:t>2015</w:t>
            </w:r>
          </w:p>
        </w:tc>
        <w:tc>
          <w:tcPr>
            <w:tcW w:w="480" w:type="dxa"/>
            <w:vAlign w:val="bottom"/>
          </w:tcPr>
          <w:p>
            <w:pPr>
              <w:spacing w:after="0"/>
              <w:rPr>
                <w:sz w:val="22"/>
                <w:szCs w:val="22"/>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62"/>
        </w:trPr>
        <w:tc>
          <w:tcPr>
            <w:tcW w:w="1280" w:type="dxa"/>
            <w:vAlign w:val="bottom"/>
            <w:vMerge w:val="restart"/>
          </w:tcPr>
          <w:p>
            <w:pPr>
              <w:ind w:left="40"/>
              <w:spacing w:after="0"/>
              <w:rPr>
                <w:sz w:val="20"/>
                <w:szCs w:val="20"/>
                <w:color w:val="auto"/>
              </w:rPr>
            </w:pPr>
            <w:r>
              <w:rPr>
                <w:rFonts w:ascii="Arial" w:cs="Arial" w:eastAsia="Arial" w:hAnsi="Arial"/>
                <w:sz w:val="18"/>
                <w:szCs w:val="18"/>
                <w:color w:val="auto"/>
              </w:rPr>
              <w:t>Basaglar</w:t>
            </w:r>
          </w:p>
        </w:tc>
        <w:tc>
          <w:tcPr>
            <w:tcW w:w="1440" w:type="dxa"/>
            <w:vAlign w:val="bottom"/>
            <w:vMerge w:val="restart"/>
          </w:tcPr>
          <w:p>
            <w:pPr>
              <w:jc w:val="center"/>
              <w:spacing w:after="0"/>
              <w:rPr>
                <w:sz w:val="20"/>
                <w:szCs w:val="20"/>
                <w:color w:val="auto"/>
              </w:rPr>
            </w:pPr>
            <w:r>
              <w:rPr>
                <w:rFonts w:ascii="Arial" w:cs="Arial" w:eastAsia="Arial" w:hAnsi="Arial"/>
                <w:sz w:val="18"/>
                <w:szCs w:val="18"/>
                <w:color w:val="auto"/>
                <w:w w:val="95"/>
              </w:rPr>
              <w:t>Approved</w:t>
            </w:r>
            <w:r>
              <w:rPr>
                <w:rFonts w:ascii="Arial" w:cs="Arial" w:eastAsia="Arial" w:hAnsi="Arial"/>
                <w:sz w:val="21"/>
                <w:szCs w:val="21"/>
                <w:color w:val="auto"/>
                <w:w w:val="95"/>
                <w:vertAlign w:val="superscript"/>
              </w:rPr>
              <w:t>(5)</w:t>
            </w:r>
          </w:p>
        </w:tc>
        <w:tc>
          <w:tcPr>
            <w:tcW w:w="1560" w:type="dxa"/>
            <w:vAlign w:val="bottom"/>
            <w:vMerge w:val="restart"/>
          </w:tcPr>
          <w:p>
            <w:pPr>
              <w:jc w:val="center"/>
              <w:spacing w:after="0"/>
              <w:rPr>
                <w:sz w:val="20"/>
                <w:szCs w:val="20"/>
                <w:color w:val="auto"/>
              </w:rPr>
            </w:pPr>
            <w:r>
              <w:rPr>
                <w:rFonts w:ascii="Arial" w:cs="Arial" w:eastAsia="Arial" w:hAnsi="Arial"/>
                <w:sz w:val="18"/>
                <w:szCs w:val="18"/>
                <w:color w:val="auto"/>
                <w:w w:val="99"/>
              </w:rPr>
              <w:t>Launched 2015</w:t>
            </w:r>
          </w:p>
        </w:tc>
        <w:tc>
          <w:tcPr>
            <w:tcW w:w="1340" w:type="dxa"/>
            <w:vAlign w:val="bottom"/>
            <w:gridSpan w:val="2"/>
            <w:vMerge w:val="restart"/>
          </w:tcPr>
          <w:p>
            <w:pPr>
              <w:jc w:val="center"/>
              <w:ind w:right="140"/>
              <w:spacing w:after="0"/>
              <w:rPr>
                <w:sz w:val="20"/>
                <w:szCs w:val="20"/>
                <w:color w:val="auto"/>
              </w:rPr>
            </w:pPr>
            <w:r>
              <w:rPr>
                <w:rFonts w:ascii="Arial" w:cs="Arial" w:eastAsia="Arial" w:hAnsi="Arial"/>
                <w:sz w:val="18"/>
                <w:szCs w:val="18"/>
                <w:color w:val="auto"/>
              </w:rPr>
              <w:t>Launched</w:t>
            </w:r>
          </w:p>
        </w:tc>
        <w:tc>
          <w:tcPr>
            <w:tcW w:w="980" w:type="dxa"/>
            <w:vAlign w:val="bottom"/>
          </w:tcPr>
          <w:p>
            <w:pPr>
              <w:jc w:val="center"/>
              <w:ind w:left="373"/>
              <w:spacing w:after="0"/>
              <w:rPr>
                <w:sz w:val="20"/>
                <w:szCs w:val="20"/>
                <w:color w:val="auto"/>
              </w:rPr>
            </w:pPr>
            <w:r>
              <w:rPr>
                <w:rFonts w:ascii="Arial" w:cs="Arial" w:eastAsia="Arial" w:hAnsi="Arial"/>
                <w:sz w:val="18"/>
                <w:szCs w:val="18"/>
                <w:color w:val="auto"/>
                <w:w w:val="99"/>
              </w:rPr>
              <w:t>2014</w:t>
            </w:r>
          </w:p>
        </w:tc>
        <w:tc>
          <w:tcPr>
            <w:tcW w:w="86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tcPr>
          <w:p>
            <w:pPr>
              <w:jc w:val="center"/>
              <w:spacing w:after="0"/>
              <w:rPr>
                <w:sz w:val="20"/>
                <w:szCs w:val="20"/>
                <w:color w:val="auto"/>
              </w:rPr>
            </w:pPr>
            <w:r>
              <w:rPr>
                <w:rFonts w:ascii="Arial" w:cs="Arial" w:eastAsia="Arial" w:hAnsi="Arial"/>
                <w:sz w:val="18"/>
                <w:szCs w:val="18"/>
                <w:color w:val="auto"/>
                <w:w w:val="99"/>
              </w:rPr>
              <w:t>2014</w:t>
            </w:r>
          </w:p>
        </w:tc>
        <w:tc>
          <w:tcPr>
            <w:tcW w:w="4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(62.5)</w:t>
            </w:r>
          </w:p>
        </w:tc>
        <w:tc>
          <w:tcPr>
            <w:tcW w:w="0" w:type="dxa"/>
            <w:vAlign w:val="bottom"/>
          </w:tcPr>
          <w:p>
            <w:pPr>
              <w:spacing w:after="0"/>
              <w:rPr>
                <w:sz w:val="1"/>
                <w:szCs w:val="1"/>
                <w:color w:val="auto"/>
              </w:rPr>
            </w:pPr>
          </w:p>
        </w:tc>
      </w:tr>
      <w:tr>
        <w:trPr>
          <w:trHeight w:val="64"/>
        </w:trPr>
        <w:tc>
          <w:tcPr>
            <w:tcW w:w="1280" w:type="dxa"/>
            <w:vAlign w:val="bottom"/>
            <w:vMerge w:val="continue"/>
          </w:tcPr>
          <w:p>
            <w:pPr>
              <w:spacing w:after="0"/>
              <w:rPr>
                <w:sz w:val="5"/>
                <w:szCs w:val="5"/>
                <w:color w:val="auto"/>
              </w:rPr>
            </w:pPr>
          </w:p>
        </w:tc>
        <w:tc>
          <w:tcPr>
            <w:tcW w:w="1440" w:type="dxa"/>
            <w:vAlign w:val="bottom"/>
            <w:vMerge w:val="continue"/>
          </w:tcPr>
          <w:p>
            <w:pPr>
              <w:spacing w:after="0"/>
              <w:rPr>
                <w:sz w:val="5"/>
                <w:szCs w:val="5"/>
                <w:color w:val="auto"/>
              </w:rPr>
            </w:pPr>
          </w:p>
        </w:tc>
        <w:tc>
          <w:tcPr>
            <w:tcW w:w="1560" w:type="dxa"/>
            <w:vAlign w:val="bottom"/>
            <w:vMerge w:val="continue"/>
          </w:tcPr>
          <w:p>
            <w:pPr>
              <w:spacing w:after="0"/>
              <w:rPr>
                <w:sz w:val="5"/>
                <w:szCs w:val="5"/>
                <w:color w:val="auto"/>
              </w:rPr>
            </w:pPr>
          </w:p>
        </w:tc>
        <w:tc>
          <w:tcPr>
            <w:tcW w:w="1340" w:type="dxa"/>
            <w:vAlign w:val="bottom"/>
            <w:gridSpan w:val="2"/>
            <w:vMerge w:val="continue"/>
          </w:tcPr>
          <w:p>
            <w:pPr>
              <w:spacing w:after="0"/>
              <w:rPr>
                <w:sz w:val="5"/>
                <w:szCs w:val="5"/>
                <w:color w:val="auto"/>
              </w:rPr>
            </w:pPr>
          </w:p>
        </w:tc>
        <w:tc>
          <w:tcPr>
            <w:tcW w:w="980" w:type="dxa"/>
            <w:vAlign w:val="bottom"/>
            <w:vMerge w:val="restart"/>
          </w:tcPr>
          <w:p>
            <w:pPr>
              <w:jc w:val="center"/>
              <w:ind w:left="373"/>
              <w:spacing w:after="0"/>
              <w:rPr>
                <w:sz w:val="20"/>
                <w:szCs w:val="20"/>
                <w:color w:val="auto"/>
              </w:rPr>
            </w:pPr>
            <w:r>
              <w:rPr>
                <w:rFonts w:ascii="Arial" w:cs="Arial" w:eastAsia="Arial" w:hAnsi="Arial"/>
                <w:sz w:val="18"/>
                <w:szCs w:val="18"/>
                <w:color w:val="auto"/>
                <w:w w:val="99"/>
              </w:rPr>
              <w:t>2013</w:t>
            </w:r>
          </w:p>
        </w:tc>
        <w:tc>
          <w:tcPr>
            <w:tcW w:w="860" w:type="dxa"/>
            <w:vAlign w:val="bottom"/>
          </w:tcPr>
          <w:p>
            <w:pPr>
              <w:spacing w:after="0"/>
              <w:rPr>
                <w:sz w:val="5"/>
                <w:szCs w:val="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(50.0)</w:t>
            </w:r>
          </w:p>
        </w:tc>
        <w:tc>
          <w:tcPr>
            <w:tcW w:w="120" w:type="dxa"/>
            <w:vAlign w:val="bottom"/>
          </w:tcPr>
          <w:p>
            <w:pPr>
              <w:spacing w:after="0"/>
              <w:rPr>
                <w:sz w:val="5"/>
                <w:szCs w:val="5"/>
                <w:color w:val="auto"/>
              </w:rPr>
            </w:pPr>
          </w:p>
        </w:tc>
        <w:tc>
          <w:tcPr>
            <w:tcW w:w="1360" w:type="dxa"/>
            <w:vAlign w:val="bottom"/>
            <w:vMerge w:val="restart"/>
          </w:tcPr>
          <w:p>
            <w:pPr>
              <w:jc w:val="center"/>
              <w:spacing w:after="0"/>
              <w:rPr>
                <w:sz w:val="20"/>
                <w:szCs w:val="20"/>
                <w:color w:val="auto"/>
              </w:rPr>
            </w:pPr>
            <w:r>
              <w:rPr>
                <w:rFonts w:ascii="Arial" w:cs="Arial" w:eastAsia="Arial" w:hAnsi="Arial"/>
                <w:sz w:val="18"/>
                <w:szCs w:val="18"/>
                <w:color w:val="auto"/>
                <w:w w:val="99"/>
              </w:rPr>
              <w:t>2013</w:t>
            </w:r>
          </w:p>
        </w:tc>
        <w:tc>
          <w:tcPr>
            <w:tcW w:w="480" w:type="dxa"/>
            <w:vAlign w:val="bottom"/>
          </w:tcPr>
          <w:p>
            <w:pPr>
              <w:spacing w:after="0"/>
              <w:rPr>
                <w:sz w:val="5"/>
                <w:szCs w:val="5"/>
                <w:color w:val="auto"/>
              </w:rPr>
            </w:pPr>
          </w:p>
        </w:tc>
        <w:tc>
          <w:tcPr>
            <w:tcW w:w="1000" w:type="dxa"/>
            <w:vAlign w:val="bottom"/>
            <w:vMerge w:val="restart"/>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9"/>
              </w:rPr>
              <w:t>2015</w:t>
            </w:r>
          </w:p>
        </w:tc>
        <w:tc>
          <w:tcPr>
            <w:tcW w:w="120" w:type="dxa"/>
            <w:vAlign w:val="bottom"/>
          </w:tcPr>
          <w:p>
            <w:pPr>
              <w:spacing w:after="0"/>
              <w:rPr>
                <w:sz w:val="20"/>
                <w:szCs w:val="20"/>
                <w:color w:val="auto"/>
              </w:rPr>
            </w:pPr>
          </w:p>
        </w:tc>
        <w:tc>
          <w:tcPr>
            <w:tcW w:w="980" w:type="dxa"/>
            <w:vAlign w:val="bottom"/>
            <w:vMerge w:val="continue"/>
          </w:tcPr>
          <w:p>
            <w:pPr>
              <w:spacing w:after="0"/>
              <w:rPr>
                <w:sz w:val="20"/>
                <w:szCs w:val="20"/>
                <w:color w:val="auto"/>
              </w:rPr>
            </w:pPr>
          </w:p>
        </w:tc>
        <w:tc>
          <w:tcPr>
            <w:tcW w:w="860" w:type="dxa"/>
            <w:vAlign w:val="bottom"/>
          </w:tcPr>
          <w:p>
            <w:pPr>
              <w:spacing w:after="0"/>
              <w:rPr>
                <w:sz w:val="20"/>
                <w:szCs w:val="20"/>
                <w:color w:val="auto"/>
              </w:rPr>
            </w:pPr>
          </w:p>
        </w:tc>
        <w:tc>
          <w:tcPr>
            <w:tcW w:w="10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vMerge w:val="continue"/>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128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center"/>
              <w:ind w:left="14"/>
              <w:spacing w:after="0"/>
              <w:rPr>
                <w:sz w:val="20"/>
                <w:szCs w:val="20"/>
                <w:color w:val="auto"/>
              </w:rPr>
            </w:pPr>
            <w:r>
              <w:rPr>
                <w:rFonts w:ascii="Arial" w:cs="Arial" w:eastAsia="Arial" w:hAnsi="Arial"/>
                <w:sz w:val="18"/>
                <w:szCs w:val="18"/>
                <w:color w:val="auto"/>
                <w:w w:val="95"/>
              </w:rPr>
              <w:t>Cumulative</w:t>
            </w:r>
            <w:r>
              <w:rPr>
                <w:rFonts w:ascii="Arial" w:cs="Arial" w:eastAsia="Arial" w:hAnsi="Arial"/>
                <w:sz w:val="21"/>
                <w:szCs w:val="21"/>
                <w:color w:val="auto"/>
                <w:w w:val="95"/>
                <w:vertAlign w:val="superscript"/>
              </w:rPr>
              <w:t>(6)</w:t>
            </w:r>
          </w:p>
        </w:tc>
        <w:tc>
          <w:tcPr>
            <w:tcW w:w="4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(62.5)</w:t>
            </w:r>
          </w:p>
        </w:tc>
        <w:tc>
          <w:tcPr>
            <w:tcW w:w="0" w:type="dxa"/>
            <w:vAlign w:val="bottom"/>
          </w:tcPr>
          <w:p>
            <w:pPr>
              <w:spacing w:after="0"/>
              <w:rPr>
                <w:sz w:val="1"/>
                <w:szCs w:val="1"/>
                <w:color w:val="auto"/>
              </w:rPr>
            </w:pPr>
          </w:p>
        </w:tc>
      </w:tr>
    </w:tbl>
    <w:p>
      <w:pPr>
        <w:spacing w:after="0" w:line="95" w:lineRule="exact"/>
        <w:rPr>
          <w:sz w:val="20"/>
          <w:szCs w:val="20"/>
          <w:color w:val="auto"/>
        </w:rPr>
      </w:pPr>
    </w:p>
    <w:p>
      <w:pPr>
        <w:ind w:left="180" w:right="80" w:hanging="172"/>
        <w:spacing w:after="0" w:line="232" w:lineRule="auto"/>
        <w:tabs>
          <w:tab w:leader="none" w:pos="167" w:val="left"/>
        </w:tabs>
        <w:numPr>
          <w:ilvl w:val="0"/>
          <w:numId w:val="57"/>
        </w:numPr>
        <w:rPr>
          <w:rFonts w:ascii="Arial" w:cs="Arial" w:eastAsia="Arial" w:hAnsi="Arial"/>
          <w:sz w:val="18"/>
          <w:szCs w:val="18"/>
          <w:color w:val="auto"/>
          <w:vertAlign w:val="superscript"/>
        </w:rPr>
      </w:pPr>
      <w:r>
        <w:rPr>
          <w:rFonts w:ascii="Arial" w:cs="Arial" w:eastAsia="Arial" w:hAnsi="Arial"/>
          <w:sz w:val="14"/>
          <w:szCs w:val="14"/>
          <w:color w:val="auto"/>
        </w:rPr>
        <w:t>Milestones earned for Basaglar as a result of regulatory submissions were recorded as income in other-net, (income) expense. Milestones expensed for Jardiance as a result of regulatory submissions were recorded as research and development expenses.</w:t>
      </w:r>
    </w:p>
    <w:p>
      <w:pPr>
        <w:spacing w:after="0" w:line="76" w:lineRule="exact"/>
        <w:rPr>
          <w:rFonts w:ascii="Arial" w:cs="Arial" w:eastAsia="Arial" w:hAnsi="Arial"/>
          <w:sz w:val="18"/>
          <w:szCs w:val="18"/>
          <w:color w:val="auto"/>
          <w:vertAlign w:val="superscript"/>
        </w:rPr>
      </w:pPr>
    </w:p>
    <w:p>
      <w:pPr>
        <w:ind w:left="180" w:right="40" w:hanging="172"/>
        <w:spacing w:after="0" w:line="235" w:lineRule="auto"/>
        <w:tabs>
          <w:tab w:leader="none" w:pos="167" w:val="left"/>
        </w:tabs>
        <w:numPr>
          <w:ilvl w:val="0"/>
          <w:numId w:val="57"/>
        </w:numPr>
        <w:rPr>
          <w:rFonts w:ascii="Arial" w:cs="Arial" w:eastAsia="Arial" w:hAnsi="Arial"/>
          <w:sz w:val="18"/>
          <w:szCs w:val="18"/>
          <w:color w:val="auto"/>
          <w:vertAlign w:val="superscript"/>
        </w:rPr>
      </w:pPr>
      <w:r>
        <w:rPr>
          <w:rFonts w:ascii="Arial" w:cs="Arial" w:eastAsia="Arial" w:hAnsi="Arial"/>
          <w:sz w:val="14"/>
          <w:szCs w:val="14"/>
          <w:color w:val="auto"/>
        </w:rPr>
        <w:t>In connection with the regulatory approvals of Basaglar in Europe and Japan, milestone payments received were recorded as deferred revenue and are being amortized through the term of the collaboration (2029) to collaboration and other revenue. In connection with the regulatory approvals of Trajenta and Jardiance, milestone payments made were capitalized as intangible assets and are being amortized through the term of the collaboration to cost of sales.</w:t>
      </w:r>
    </w:p>
    <w:p>
      <w:pPr>
        <w:spacing w:after="0" w:line="63" w:lineRule="exact"/>
        <w:rPr>
          <w:rFonts w:ascii="Arial" w:cs="Arial" w:eastAsia="Arial" w:hAnsi="Arial"/>
          <w:sz w:val="18"/>
          <w:szCs w:val="18"/>
          <w:color w:val="auto"/>
          <w:vertAlign w:val="superscript"/>
        </w:rPr>
      </w:pPr>
    </w:p>
    <w:p>
      <w:pPr>
        <w:ind w:left="160" w:hanging="152"/>
        <w:spacing w:after="0"/>
        <w:tabs>
          <w:tab w:leader="none" w:pos="160" w:val="left"/>
        </w:tabs>
        <w:numPr>
          <w:ilvl w:val="0"/>
          <w:numId w:val="57"/>
        </w:numPr>
        <w:rPr>
          <w:rFonts w:ascii="Arial" w:cs="Arial" w:eastAsia="Arial" w:hAnsi="Arial"/>
          <w:sz w:val="18"/>
          <w:szCs w:val="18"/>
          <w:color w:val="auto"/>
          <w:vertAlign w:val="superscript"/>
        </w:rPr>
      </w:pPr>
      <w:r>
        <w:rPr>
          <w:rFonts w:ascii="Arial" w:cs="Arial" w:eastAsia="Arial" w:hAnsi="Arial"/>
          <w:sz w:val="14"/>
          <w:szCs w:val="14"/>
          <w:color w:val="auto"/>
        </w:rPr>
        <w:t>Jentadueto is included in the Trajenta family of product results.</w:t>
      </w:r>
    </w:p>
    <w:p>
      <w:pPr>
        <w:spacing w:after="0" w:line="63" w:lineRule="exact"/>
        <w:rPr>
          <w:rFonts w:ascii="Arial" w:cs="Arial" w:eastAsia="Arial" w:hAnsi="Arial"/>
          <w:sz w:val="18"/>
          <w:szCs w:val="18"/>
          <w:color w:val="auto"/>
          <w:vertAlign w:val="superscript"/>
        </w:rPr>
      </w:pPr>
    </w:p>
    <w:p>
      <w:pPr>
        <w:ind w:left="160" w:hanging="152"/>
        <w:spacing w:after="0"/>
        <w:tabs>
          <w:tab w:leader="none" w:pos="160" w:val="left"/>
        </w:tabs>
        <w:numPr>
          <w:ilvl w:val="0"/>
          <w:numId w:val="57"/>
        </w:numPr>
        <w:rPr>
          <w:rFonts w:ascii="Arial" w:cs="Arial" w:eastAsia="Arial" w:hAnsi="Arial"/>
          <w:sz w:val="18"/>
          <w:szCs w:val="18"/>
          <w:color w:val="auto"/>
          <w:vertAlign w:val="superscript"/>
        </w:rPr>
      </w:pPr>
      <w:r>
        <w:rPr>
          <w:rFonts w:ascii="Arial" w:cs="Arial" w:eastAsia="Arial" w:hAnsi="Arial"/>
          <w:sz w:val="14"/>
          <w:szCs w:val="14"/>
          <w:color w:val="auto"/>
        </w:rPr>
        <w:t>Glyxambi and Synjardy are included in the Jardiance family of product results.</w:t>
      </w:r>
    </w:p>
    <w:p>
      <w:pPr>
        <w:spacing w:after="0" w:line="75" w:lineRule="exact"/>
        <w:rPr>
          <w:rFonts w:ascii="Arial" w:cs="Arial" w:eastAsia="Arial" w:hAnsi="Arial"/>
          <w:sz w:val="18"/>
          <w:szCs w:val="18"/>
          <w:color w:val="auto"/>
          <w:vertAlign w:val="superscript"/>
        </w:rPr>
      </w:pPr>
    </w:p>
    <w:p>
      <w:pPr>
        <w:ind w:left="180" w:right="20" w:hanging="172"/>
        <w:spacing w:after="0" w:line="236" w:lineRule="auto"/>
        <w:tabs>
          <w:tab w:leader="none" w:pos="167" w:val="left"/>
        </w:tabs>
        <w:numPr>
          <w:ilvl w:val="0"/>
          <w:numId w:val="57"/>
        </w:numPr>
        <w:rPr>
          <w:rFonts w:ascii="Arial" w:cs="Arial" w:eastAsia="Arial" w:hAnsi="Arial"/>
          <w:sz w:val="18"/>
          <w:szCs w:val="18"/>
          <w:color w:val="auto"/>
          <w:vertAlign w:val="superscript"/>
        </w:rPr>
      </w:pPr>
      <w:r>
        <w:rPr>
          <w:rFonts w:ascii="Arial" w:cs="Arial" w:eastAsia="Arial" w:hAnsi="Arial"/>
          <w:sz w:val="14"/>
          <w:szCs w:val="14"/>
          <w:color w:val="auto"/>
        </w:rPr>
        <w:t>In September 2015, we entered into a settlement agreement to resolve patent infringement litigation filed by Sanofi-Aventis U.S. LLC (Sanofi), which markets Lantus</w:t>
      </w:r>
      <w:r>
        <w:rPr>
          <w:rFonts w:ascii="Arial" w:cs="Arial" w:eastAsia="Arial" w:hAnsi="Arial"/>
          <w:sz w:val="17"/>
          <w:szCs w:val="17"/>
          <w:color w:val="auto"/>
          <w:vertAlign w:val="superscript"/>
        </w:rPr>
        <w:t>®</w:t>
      </w:r>
      <w:r>
        <w:rPr>
          <w:rFonts w:ascii="Arial" w:cs="Arial" w:eastAsia="Arial" w:hAnsi="Arial"/>
          <w:sz w:val="14"/>
          <w:szCs w:val="14"/>
          <w:color w:val="auto"/>
        </w:rPr>
        <w:t xml:space="preserve"> (insulin glargine). As part of the settlement agreement, the parties agreed that Basaglar can be launched in the U.S. beginning on December 15, 2016. Basaglar received U.S. Food and Drug Administration (FDA) approval in December 2015. As a result of receiving FDA approval, we received $187.5 million in 2016, which was recorded as deferred revenue and will be amortized through the term of the collaboration to collaboration and other revenue upon product launch.</w:t>
      </w:r>
    </w:p>
    <w:p>
      <w:pPr>
        <w:spacing w:after="0" w:line="65" w:lineRule="exact"/>
        <w:rPr>
          <w:rFonts w:ascii="Arial" w:cs="Arial" w:eastAsia="Arial" w:hAnsi="Arial"/>
          <w:sz w:val="18"/>
          <w:szCs w:val="18"/>
          <w:color w:val="auto"/>
          <w:vertAlign w:val="superscript"/>
        </w:rPr>
      </w:pPr>
    </w:p>
    <w:p>
      <w:pPr>
        <w:ind w:left="160" w:hanging="152"/>
        <w:spacing w:after="0"/>
        <w:tabs>
          <w:tab w:leader="none" w:pos="160" w:val="left"/>
        </w:tabs>
        <w:numPr>
          <w:ilvl w:val="0"/>
          <w:numId w:val="57"/>
        </w:numPr>
        <w:rPr>
          <w:rFonts w:ascii="Arial" w:cs="Arial" w:eastAsia="Arial" w:hAnsi="Arial"/>
          <w:sz w:val="18"/>
          <w:szCs w:val="18"/>
          <w:color w:val="auto"/>
          <w:vertAlign w:val="superscript"/>
        </w:rPr>
      </w:pPr>
      <w:r>
        <w:rPr>
          <w:rFonts w:ascii="Arial" w:cs="Arial" w:eastAsia="Arial" w:hAnsi="Arial"/>
          <w:sz w:val="14"/>
          <w:szCs w:val="14"/>
          <w:color w:val="auto"/>
        </w:rPr>
        <w:t>The cumulative amount represents the total amounts as of the end of the reporting period that have been (deferred) or capitalized since the start of this collaboration.</w:t>
      </w:r>
    </w:p>
    <w:p>
      <w:pPr>
        <w:spacing w:after="0" w:line="120"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In October 2014, we and Boehringer Ingelheim agreed upon certain changes to the operational and financial structure of our diabetes collaboration. Under the revised agreement the companies have continued their co-promotion work in 17 countries, representing over 90 percent of the collaboration’s anticipated market opportunity. In the other countries, the companies exclusively commercialize the respective molecules they brought to the collaboration. The modifications became effective at the end of 2014 and changed the financial terms related to the modified countries; however, the financial impact resulting from the revised terms of the agreement in these countries has not been and is not anticipated to be material. As a result of these changes, we recorded a gain of $92.0 million in 2014 related to the transfer to Boehringer Ingelheim of our license rights to co-promote linagliptin and empagliflozin in these countries, which was recorded as income in other–net, (income) expense. We also incurred a charge of $55.2 million related to the transfer to us of Boehringer Ingelheim's rights to co-promote Basaglar in countries where it was not yet approved, which was recorded as acquired IPR&amp;D expense.</w:t>
      </w:r>
    </w:p>
    <w:p>
      <w:pPr>
        <w:spacing w:after="0" w:line="20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67</w:t>
      </w:r>
    </w:p>
    <w:p>
      <w:pPr>
        <w:sectPr>
          <w:pgSz w:w="11900" w:h="16838" w:orient="portrait"/>
          <w:cols w:equalWidth="0" w:num="1">
            <w:col w:w="11420"/>
          </w:cols>
          <w:pgMar w:left="240" w:top="736" w:right="239" w:bottom="1440" w:gutter="0" w:footer="0" w:header="0"/>
        </w:sectPr>
      </w:pPr>
    </w:p>
    <w:bookmarkStart w:id="67" w:name="page68"/>
    <w:bookmarkEnd w:id="67"/>
    <w:p>
      <w:pPr>
        <w:ind w:right="80"/>
        <w:spacing w:after="0" w:line="257" w:lineRule="auto"/>
        <w:rPr>
          <w:sz w:val="20"/>
          <w:szCs w:val="20"/>
          <w:color w:val="auto"/>
        </w:rPr>
      </w:pPr>
      <w:r>
        <w:rPr>
          <w:rFonts w:ascii="Arial" w:cs="Arial" w:eastAsia="Arial" w:hAnsi="Arial"/>
          <w:sz w:val="18"/>
          <w:szCs w:val="18"/>
          <w:color w:val="auto"/>
        </w:rPr>
        <w:t>With the exception of the countries affected by the amendment to the collaboration agreement, the companies share equally the ongoing development costs, commercialization costs and gross margin for any product resulting from the collaboration. We record our portion of the gross margin associated with Boehringer Ingelheim's compounds as collaboration and other revenue. We record our sales of Basaglar to third parties as net product revenues with the payments made to Boehringer Ingelheim for their portion of the gross margin recorded as cost of sales. For all compounds under this collaboration, we record our portion of the commercialization costs as marketing, selling, and administrative expense. Each company will also be entitled to potential performance payments on sales of the molecules they contribute to the collaboration.</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revenue recognized with respect to the Trajenta family of products: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60" w:type="dxa"/>
            <w:vAlign w:val="bottom"/>
            <w:tcBorders>
              <w:bottom w:val="single" w:sz="8" w:color="auto"/>
            </w:tcBorders>
          </w:tcPr>
          <w:p>
            <w:pPr>
              <w:spacing w:after="0"/>
              <w:rPr>
                <w:sz w:val="17"/>
                <w:szCs w:val="17"/>
                <w:color w:val="auto"/>
              </w:rPr>
            </w:pPr>
          </w:p>
        </w:tc>
        <w:tc>
          <w:tcPr>
            <w:tcW w:w="25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2015</w:t>
            </w:r>
          </w:p>
        </w:tc>
        <w:tc>
          <w:tcPr>
            <w:tcW w:w="4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2014</w:t>
            </w:r>
          </w:p>
        </w:tc>
        <w:tc>
          <w:tcPr>
            <w:tcW w:w="4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2013</w:t>
            </w:r>
          </w:p>
        </w:tc>
      </w:tr>
      <w:tr>
        <w:trPr>
          <w:trHeight w:val="265"/>
        </w:trPr>
        <w:tc>
          <w:tcPr>
            <w:tcW w:w="4860" w:type="dxa"/>
            <w:vAlign w:val="bottom"/>
            <w:shd w:val="clear" w:color="auto" w:fill="D8D8D8"/>
          </w:tcPr>
          <w:p>
            <w:pPr>
              <w:ind w:left="40"/>
              <w:spacing w:after="0"/>
              <w:rPr>
                <w:sz w:val="20"/>
                <w:szCs w:val="20"/>
                <w:color w:val="auto"/>
              </w:rPr>
            </w:pPr>
            <w:r>
              <w:rPr>
                <w:rFonts w:ascii="Arial" w:cs="Arial" w:eastAsia="Arial" w:hAnsi="Arial"/>
                <w:sz w:val="18"/>
                <w:szCs w:val="18"/>
                <w:color w:val="auto"/>
              </w:rPr>
              <w:t>Collaboration and other revenue</w:t>
            </w:r>
          </w:p>
        </w:tc>
        <w:tc>
          <w:tcPr>
            <w:tcW w:w="2540" w:type="dxa"/>
            <w:vAlign w:val="bottom"/>
            <w:shd w:val="clear" w:color="auto" w:fill="D8D8D8"/>
          </w:tcPr>
          <w:p>
            <w:pPr>
              <w:jc w:val="right"/>
              <w:ind w:right="110"/>
              <w:spacing w:after="0"/>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D8D8D8"/>
          </w:tcPr>
          <w:p>
            <w:pPr>
              <w:jc w:val="right"/>
              <w:ind w:right="39"/>
              <w:spacing w:after="0"/>
              <w:rPr>
                <w:sz w:val="20"/>
                <w:szCs w:val="20"/>
                <w:color w:val="auto"/>
              </w:rPr>
            </w:pPr>
            <w:r>
              <w:rPr>
                <w:rFonts w:ascii="Arial" w:cs="Arial" w:eastAsia="Arial" w:hAnsi="Arial"/>
                <w:sz w:val="18"/>
                <w:szCs w:val="18"/>
                <w:b w:val="1"/>
                <w:bCs w:val="1"/>
                <w:color w:val="auto"/>
              </w:rPr>
              <w:t>356.8</w:t>
            </w:r>
          </w:p>
        </w:tc>
        <w:tc>
          <w:tcPr>
            <w:tcW w:w="420" w:type="dxa"/>
            <w:vAlign w:val="bottom"/>
            <w:shd w:val="clear" w:color="auto" w:fill="D8D8D8"/>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D8D8D8"/>
          </w:tcPr>
          <w:p>
            <w:pPr>
              <w:jc w:val="right"/>
              <w:ind w:right="39"/>
              <w:spacing w:after="0"/>
              <w:rPr>
                <w:sz w:val="20"/>
                <w:szCs w:val="20"/>
                <w:color w:val="auto"/>
              </w:rPr>
            </w:pPr>
            <w:r>
              <w:rPr>
                <w:rFonts w:ascii="Arial" w:cs="Arial" w:eastAsia="Arial" w:hAnsi="Arial"/>
                <w:sz w:val="18"/>
                <w:szCs w:val="18"/>
                <w:color w:val="auto"/>
              </w:rPr>
              <w:t>328.8</w:t>
            </w:r>
          </w:p>
        </w:tc>
        <w:tc>
          <w:tcPr>
            <w:tcW w:w="440" w:type="dxa"/>
            <w:vAlign w:val="bottom"/>
            <w:shd w:val="clear" w:color="auto" w:fill="D8D8D8"/>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D8D8D8"/>
          </w:tcPr>
          <w:p>
            <w:pPr>
              <w:jc w:val="right"/>
              <w:ind w:right="19"/>
              <w:spacing w:after="0"/>
              <w:rPr>
                <w:sz w:val="20"/>
                <w:szCs w:val="20"/>
                <w:color w:val="auto"/>
              </w:rPr>
            </w:pPr>
            <w:r>
              <w:rPr>
                <w:rFonts w:ascii="Arial" w:cs="Arial" w:eastAsia="Arial" w:hAnsi="Arial"/>
                <w:sz w:val="18"/>
                <w:szCs w:val="18"/>
                <w:color w:val="auto"/>
              </w:rPr>
              <w:t>249.2</w:t>
            </w:r>
          </w:p>
        </w:tc>
      </w:tr>
    </w:tbl>
    <w:p>
      <w:pPr>
        <w:spacing w:after="0" w:line="85" w:lineRule="exact"/>
        <w:rPr>
          <w:sz w:val="20"/>
          <w:szCs w:val="20"/>
          <w:color w:val="auto"/>
        </w:rPr>
      </w:pPr>
    </w:p>
    <w:p>
      <w:pPr>
        <w:jc w:val="both"/>
        <w:ind w:right="120"/>
        <w:spacing w:after="0" w:line="292" w:lineRule="auto"/>
        <w:rPr>
          <w:sz w:val="20"/>
          <w:szCs w:val="20"/>
          <w:color w:val="auto"/>
        </w:rPr>
      </w:pPr>
      <w:r>
        <w:rPr>
          <w:rFonts w:ascii="Arial" w:cs="Arial" w:eastAsia="Arial" w:hAnsi="Arial"/>
          <w:sz w:val="18"/>
          <w:szCs w:val="18"/>
          <w:color w:val="auto"/>
        </w:rPr>
        <w:t>Our revenues related to the Jardiance family of products were not significant for the years ended December 31, 2015 and 2014. Our revenues related to Basaglar were not significant for the year ended December 31, 2015.</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Erbitux</w:t>
      </w:r>
    </w:p>
    <w:p>
      <w:pPr>
        <w:spacing w:after="0" w:line="119" w:lineRule="exact"/>
        <w:rPr>
          <w:sz w:val="20"/>
          <w:szCs w:val="20"/>
          <w:color w:val="auto"/>
        </w:rPr>
      </w:pPr>
    </w:p>
    <w:p>
      <w:pPr>
        <w:ind w:right="460"/>
        <w:spacing w:after="0" w:line="264" w:lineRule="auto"/>
        <w:rPr>
          <w:sz w:val="20"/>
          <w:szCs w:val="20"/>
          <w:color w:val="auto"/>
        </w:rPr>
      </w:pPr>
      <w:r>
        <w:rPr>
          <w:rFonts w:ascii="Arial" w:cs="Arial" w:eastAsia="Arial" w:hAnsi="Arial"/>
          <w:sz w:val="18"/>
          <w:szCs w:val="18"/>
          <w:color w:val="auto"/>
        </w:rPr>
        <w:t>We have several collaborations with respect to Erbitux. The most significant collaborations are in Japan, and prior to the transfer of commercialization rights in the fourth quarter of 2015, the U.S. and Canada (Bristol-Myers Squibb Company); and worldwide except North America (Merck KGaA). Certain rights to Erbitux outside North America will remain with Merck KGaA (Merck) upon expiration of that agreement.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revenue recognized with respect to Erbitux:</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0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2015</w:t>
            </w:r>
          </w:p>
        </w:tc>
        <w:tc>
          <w:tcPr>
            <w:tcW w:w="4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2014</w:t>
            </w:r>
          </w:p>
        </w:tc>
        <w:tc>
          <w:tcPr>
            <w:tcW w:w="4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2013</w:t>
            </w:r>
          </w:p>
        </w:tc>
      </w:tr>
      <w:tr>
        <w:trPr>
          <w:trHeight w:val="265"/>
        </w:trPr>
        <w:tc>
          <w:tcPr>
            <w:tcW w:w="7080" w:type="dxa"/>
            <w:vAlign w:val="bottom"/>
            <w:shd w:val="clear" w:color="auto" w:fill="D8D8D8"/>
          </w:tcPr>
          <w:p>
            <w:pPr>
              <w:ind w:left="40"/>
              <w:spacing w:after="0"/>
              <w:rPr>
                <w:sz w:val="20"/>
                <w:szCs w:val="20"/>
                <w:color w:val="auto"/>
              </w:rPr>
            </w:pPr>
            <w:r>
              <w:rPr>
                <w:rFonts w:ascii="Arial" w:cs="Arial" w:eastAsia="Arial" w:hAnsi="Arial"/>
                <w:sz w:val="18"/>
                <w:szCs w:val="18"/>
                <w:color w:val="auto"/>
              </w:rPr>
              <w:t>Net product revenues - BMS</w:t>
            </w:r>
          </w:p>
        </w:tc>
        <w:tc>
          <w:tcPr>
            <w:tcW w:w="320" w:type="dxa"/>
            <w:vAlign w:val="bottom"/>
            <w:shd w:val="clear" w:color="auto" w:fill="D8D8D8"/>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60" w:type="dxa"/>
            <w:vAlign w:val="bottom"/>
            <w:shd w:val="clear" w:color="auto" w:fill="D8D8D8"/>
          </w:tcPr>
          <w:p>
            <w:pPr>
              <w:jc w:val="right"/>
              <w:ind w:right="34"/>
              <w:spacing w:after="0"/>
              <w:rPr>
                <w:sz w:val="20"/>
                <w:szCs w:val="20"/>
                <w:color w:val="auto"/>
              </w:rPr>
            </w:pPr>
            <w:r>
              <w:rPr>
                <w:rFonts w:ascii="Arial" w:cs="Arial" w:eastAsia="Arial" w:hAnsi="Arial"/>
                <w:sz w:val="18"/>
                <w:szCs w:val="18"/>
                <w:b w:val="1"/>
                <w:bCs w:val="1"/>
                <w:color w:val="auto"/>
              </w:rPr>
              <w:t>23.3</w:t>
            </w:r>
          </w:p>
        </w:tc>
        <w:tc>
          <w:tcPr>
            <w:tcW w:w="420" w:type="dxa"/>
            <w:vAlign w:val="bottom"/>
            <w:shd w:val="clear" w:color="auto" w:fill="D8D8D8"/>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D8D8D8"/>
          </w:tcPr>
          <w:p>
            <w:pPr>
              <w:jc w:val="right"/>
              <w:ind w:right="34"/>
              <w:spacing w:after="0"/>
              <w:rPr>
                <w:sz w:val="20"/>
                <w:szCs w:val="20"/>
                <w:color w:val="auto"/>
              </w:rPr>
            </w:pPr>
            <w:r>
              <w:rPr>
                <w:rFonts w:ascii="Arial" w:cs="Arial" w:eastAsia="Arial" w:hAnsi="Arial"/>
                <w:sz w:val="18"/>
                <w:szCs w:val="18"/>
                <w:color w:val="auto"/>
              </w:rPr>
              <w:t>46.1</w:t>
            </w:r>
          </w:p>
        </w:tc>
        <w:tc>
          <w:tcPr>
            <w:tcW w:w="440" w:type="dxa"/>
            <w:vAlign w:val="bottom"/>
            <w:shd w:val="clear" w:color="auto" w:fill="D8D8D8"/>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D8D8D8"/>
          </w:tcPr>
          <w:p>
            <w:pPr>
              <w:jc w:val="right"/>
              <w:ind w:right="14"/>
              <w:spacing w:after="0"/>
              <w:rPr>
                <w:sz w:val="20"/>
                <w:szCs w:val="20"/>
                <w:color w:val="auto"/>
              </w:rPr>
            </w:pPr>
            <w:r>
              <w:rPr>
                <w:rFonts w:ascii="Arial" w:cs="Arial" w:eastAsia="Arial" w:hAnsi="Arial"/>
                <w:sz w:val="18"/>
                <w:szCs w:val="18"/>
                <w:color w:val="auto"/>
              </w:rPr>
              <w:t>58.5</w:t>
            </w:r>
          </w:p>
        </w:tc>
      </w:tr>
      <w:tr>
        <w:trPr>
          <w:trHeight w:val="269"/>
        </w:trPr>
        <w:tc>
          <w:tcPr>
            <w:tcW w:w="7080" w:type="dxa"/>
            <w:vAlign w:val="bottom"/>
          </w:tcPr>
          <w:p>
            <w:pPr>
              <w:ind w:left="40"/>
              <w:spacing w:after="0"/>
              <w:rPr>
                <w:sz w:val="20"/>
                <w:szCs w:val="20"/>
                <w:color w:val="auto"/>
              </w:rPr>
            </w:pPr>
            <w:r>
              <w:rPr>
                <w:rFonts w:ascii="Arial" w:cs="Arial" w:eastAsia="Arial" w:hAnsi="Arial"/>
                <w:sz w:val="18"/>
                <w:szCs w:val="18"/>
                <w:color w:val="auto"/>
              </w:rPr>
              <w:t>Net product revenues - third party</w:t>
            </w:r>
          </w:p>
        </w:tc>
        <w:tc>
          <w:tcPr>
            <w:tcW w:w="320" w:type="dxa"/>
            <w:vAlign w:val="bottom"/>
          </w:tcPr>
          <w:p>
            <w:pPr>
              <w:spacing w:after="0"/>
              <w:rPr>
                <w:sz w:val="23"/>
                <w:szCs w:val="23"/>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b w:val="1"/>
                <w:bCs w:val="1"/>
                <w:color w:val="auto"/>
              </w:rPr>
              <w:t>152.3</w:t>
            </w:r>
          </w:p>
        </w:tc>
        <w:tc>
          <w:tcPr>
            <w:tcW w:w="420" w:type="dxa"/>
            <w:vAlign w:val="bottom"/>
          </w:tcPr>
          <w:p>
            <w:pPr>
              <w:spacing w:after="0"/>
              <w:rPr>
                <w:sz w:val="23"/>
                <w:szCs w:val="23"/>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3"/>
                <w:szCs w:val="23"/>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1"/>
        </w:trPr>
        <w:tc>
          <w:tcPr>
            <w:tcW w:w="7080" w:type="dxa"/>
            <w:vAlign w:val="bottom"/>
            <w:shd w:val="clear" w:color="auto" w:fill="D8D8D8"/>
          </w:tcPr>
          <w:p>
            <w:pPr>
              <w:ind w:left="40"/>
              <w:spacing w:after="0"/>
              <w:rPr>
                <w:sz w:val="20"/>
                <w:szCs w:val="20"/>
                <w:color w:val="auto"/>
              </w:rPr>
            </w:pPr>
            <w:r>
              <w:rPr>
                <w:rFonts w:ascii="Arial" w:cs="Arial" w:eastAsia="Arial" w:hAnsi="Arial"/>
                <w:sz w:val="18"/>
                <w:szCs w:val="18"/>
                <w:color w:val="auto"/>
              </w:rPr>
              <w:t>Collaboration and other revenue</w:t>
            </w:r>
          </w:p>
        </w:tc>
        <w:tc>
          <w:tcPr>
            <w:tcW w:w="320" w:type="dxa"/>
            <w:vAlign w:val="bottom"/>
            <w:tcBorders>
              <w:bottom w:val="single" w:sz="8" w:color="auto"/>
            </w:tcBorders>
            <w:shd w:val="clear" w:color="auto" w:fill="D8D8D8"/>
          </w:tcPr>
          <w:p>
            <w:pPr>
              <w:spacing w:after="0"/>
              <w:rPr>
                <w:sz w:val="23"/>
                <w:szCs w:val="23"/>
                <w:color w:val="auto"/>
              </w:rPr>
            </w:pPr>
          </w:p>
        </w:tc>
        <w:tc>
          <w:tcPr>
            <w:tcW w:w="1060" w:type="dxa"/>
            <w:vAlign w:val="bottom"/>
            <w:tcBorders>
              <w:bottom w:val="single" w:sz="8" w:color="auto"/>
            </w:tcBorders>
            <w:shd w:val="clear" w:color="auto" w:fill="D8D8D8"/>
          </w:tcPr>
          <w:p>
            <w:pPr>
              <w:jc w:val="right"/>
              <w:ind w:right="34"/>
              <w:spacing w:after="0"/>
              <w:rPr>
                <w:sz w:val="20"/>
                <w:szCs w:val="20"/>
                <w:color w:val="auto"/>
              </w:rPr>
            </w:pPr>
            <w:r>
              <w:rPr>
                <w:rFonts w:ascii="Arial" w:cs="Arial" w:eastAsia="Arial" w:hAnsi="Arial"/>
                <w:sz w:val="18"/>
                <w:szCs w:val="18"/>
                <w:b w:val="1"/>
                <w:bCs w:val="1"/>
                <w:color w:val="auto"/>
              </w:rPr>
              <w:t>309.4</w:t>
            </w:r>
          </w:p>
        </w:tc>
        <w:tc>
          <w:tcPr>
            <w:tcW w:w="420" w:type="dxa"/>
            <w:vAlign w:val="bottom"/>
            <w:tcBorders>
              <w:bottom w:val="single" w:sz="8" w:color="auto"/>
            </w:tcBorders>
            <w:shd w:val="clear" w:color="auto" w:fill="D8D8D8"/>
          </w:tcPr>
          <w:p>
            <w:pPr>
              <w:spacing w:after="0"/>
              <w:rPr>
                <w:sz w:val="23"/>
                <w:szCs w:val="23"/>
                <w:color w:val="auto"/>
              </w:rPr>
            </w:pPr>
          </w:p>
        </w:tc>
        <w:tc>
          <w:tcPr>
            <w:tcW w:w="1060" w:type="dxa"/>
            <w:vAlign w:val="bottom"/>
            <w:tcBorders>
              <w:bottom w:val="single" w:sz="8" w:color="auto"/>
            </w:tcBorders>
            <w:shd w:val="clear" w:color="auto" w:fill="D8D8D8"/>
          </w:tcPr>
          <w:p>
            <w:pPr>
              <w:jc w:val="right"/>
              <w:ind w:right="34"/>
              <w:spacing w:after="0"/>
              <w:rPr>
                <w:sz w:val="20"/>
                <w:szCs w:val="20"/>
                <w:color w:val="auto"/>
              </w:rPr>
            </w:pPr>
            <w:r>
              <w:rPr>
                <w:rFonts w:ascii="Arial" w:cs="Arial" w:eastAsia="Arial" w:hAnsi="Arial"/>
                <w:sz w:val="18"/>
                <w:szCs w:val="18"/>
                <w:color w:val="auto"/>
              </w:rPr>
              <w:t>327.2</w:t>
            </w:r>
          </w:p>
        </w:tc>
        <w:tc>
          <w:tcPr>
            <w:tcW w:w="440" w:type="dxa"/>
            <w:vAlign w:val="bottom"/>
            <w:tcBorders>
              <w:bottom w:val="single" w:sz="8" w:color="auto"/>
            </w:tcBorders>
            <w:shd w:val="clear" w:color="auto" w:fill="D8D8D8"/>
          </w:tcPr>
          <w:p>
            <w:pPr>
              <w:spacing w:after="0"/>
              <w:rPr>
                <w:sz w:val="23"/>
                <w:szCs w:val="23"/>
                <w:color w:val="auto"/>
              </w:rPr>
            </w:pPr>
          </w:p>
        </w:tc>
        <w:tc>
          <w:tcPr>
            <w:tcW w:w="1040" w:type="dxa"/>
            <w:vAlign w:val="bottom"/>
            <w:tcBorders>
              <w:bottom w:val="single" w:sz="8" w:color="auto"/>
            </w:tcBorders>
            <w:shd w:val="clear" w:color="auto" w:fill="D8D8D8"/>
          </w:tcPr>
          <w:p>
            <w:pPr>
              <w:jc w:val="right"/>
              <w:ind w:right="14"/>
              <w:spacing w:after="0"/>
              <w:rPr>
                <w:sz w:val="20"/>
                <w:szCs w:val="20"/>
                <w:color w:val="auto"/>
              </w:rPr>
            </w:pPr>
            <w:r>
              <w:rPr>
                <w:rFonts w:ascii="Arial" w:cs="Arial" w:eastAsia="Arial" w:hAnsi="Arial"/>
                <w:sz w:val="18"/>
                <w:szCs w:val="18"/>
                <w:color w:val="auto"/>
              </w:rPr>
              <w:t>315.2</w:t>
            </w:r>
          </w:p>
        </w:tc>
      </w:tr>
      <w:tr>
        <w:trPr>
          <w:trHeight w:val="271"/>
        </w:trPr>
        <w:tc>
          <w:tcPr>
            <w:tcW w:w="7080" w:type="dxa"/>
            <w:vAlign w:val="bottom"/>
          </w:tcPr>
          <w:p>
            <w:pPr>
              <w:ind w:left="40"/>
              <w:spacing w:after="0"/>
              <w:rPr>
                <w:sz w:val="20"/>
                <w:szCs w:val="20"/>
                <w:color w:val="auto"/>
              </w:rPr>
            </w:pPr>
            <w:r>
              <w:rPr>
                <w:rFonts w:ascii="Arial" w:cs="Arial" w:eastAsia="Arial" w:hAnsi="Arial"/>
                <w:sz w:val="18"/>
                <w:szCs w:val="18"/>
                <w:color w:val="auto"/>
              </w:rPr>
              <w:t>Revenue</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485.0</w:t>
            </w:r>
          </w:p>
        </w:tc>
        <w:tc>
          <w:tcPr>
            <w:tcW w:w="4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373.3</w:t>
            </w:r>
          </w:p>
        </w:tc>
        <w:tc>
          <w:tcPr>
            <w:tcW w:w="4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373.7</w:t>
            </w:r>
          </w:p>
        </w:tc>
      </w:tr>
    </w:tbl>
    <w:p>
      <w:pPr>
        <w:spacing w:after="0" w:line="1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Bristol-Myers Squibb Company</w:t>
      </w:r>
    </w:p>
    <w:p>
      <w:pPr>
        <w:spacing w:after="0" w:line="98"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Pursuant to commercial agreements with BMS, we had been co-developing Erbitux in North America with BMS exclusively. A separate agreement grants co-exclusive rights among Merck, BMS, and us in Japan and expires in 2032. On October 1, 2015, BMS transferred their commercialization rights to us with respect to Erbitux in North America pursuant to a modification of our existing arrangement, and we began selling Erbitux at that time. This modification did not affect our rights with respect to Erbitux in other jurisdictions. In connection with the modification of terms, we will provide consideration to BMS based upon a tiered percentage of net sales of Erbitux in North America estimated to average 38 percent through September 2018. The transfer of the commercialization rights was accounted for as an acquisition of a business.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68</w:t>
      </w:r>
    </w:p>
    <w:p>
      <w:pPr>
        <w:sectPr>
          <w:pgSz w:w="11900" w:h="16838" w:orient="portrait"/>
          <w:cols w:equalWidth="0" w:num="1">
            <w:col w:w="11420"/>
          </w:cols>
          <w:pgMar w:left="240" w:top="684" w:right="239" w:bottom="1440" w:gutter="0" w:footer="0" w:header="0"/>
        </w:sectPr>
      </w:pPr>
    </w:p>
    <w:bookmarkStart w:id="68" w:name="page69"/>
    <w:bookmarkEnd w:id="68"/>
    <w:p>
      <w:pPr>
        <w:spacing w:after="0"/>
        <w:rPr>
          <w:sz w:val="20"/>
          <w:szCs w:val="20"/>
          <w:color w:val="auto"/>
        </w:rPr>
      </w:pPr>
      <w:r>
        <w:rPr>
          <w:rFonts w:ascii="Arial" w:cs="Arial" w:eastAsia="Arial" w:hAnsi="Arial"/>
          <w:sz w:val="18"/>
          <w:szCs w:val="18"/>
          <w:color w:val="auto"/>
        </w:rPr>
        <w:t>The following table summarizes the preliminary amounts recognized for assets acquired and liabilities assumed as of the acquisition date:</w:t>
      </w:r>
    </w:p>
    <w:p>
      <w:pPr>
        <w:spacing w:after="0" w:line="179"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Estimated Fair Value at October 1, 2015</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9940" w:type="dxa"/>
            <w:vAlign w:val="bottom"/>
            <w:tcBorders>
              <w:top w:val="single" w:sz="8" w:color="auto"/>
            </w:tcBorders>
            <w:shd w:val="clear" w:color="auto" w:fill="D8D8D8"/>
          </w:tcPr>
          <w:p>
            <w:pPr>
              <w:ind w:left="40"/>
              <w:spacing w:after="0"/>
              <w:rPr>
                <w:sz w:val="20"/>
                <w:szCs w:val="20"/>
                <w:color w:val="auto"/>
              </w:rPr>
            </w:pPr>
            <w:r>
              <w:rPr>
                <w:rFonts w:ascii="Arial" w:cs="Arial" w:eastAsia="Arial" w:hAnsi="Arial"/>
                <w:sz w:val="18"/>
                <w:szCs w:val="18"/>
                <w:color w:val="auto"/>
              </w:rPr>
              <w:t>Marketed products</w:t>
            </w:r>
            <w:r>
              <w:rPr>
                <w:rFonts w:ascii="Arial" w:cs="Arial" w:eastAsia="Arial" w:hAnsi="Arial"/>
                <w:sz w:val="21"/>
                <w:szCs w:val="21"/>
                <w:color w:val="auto"/>
                <w:vertAlign w:val="superscript"/>
              </w:rPr>
              <w:t>(1)</w:t>
            </w:r>
          </w:p>
        </w:tc>
        <w:tc>
          <w:tcPr>
            <w:tcW w:w="500" w:type="dxa"/>
            <w:vAlign w:val="bottom"/>
            <w:tcBorders>
              <w:top w:val="single" w:sz="8" w:color="auto"/>
            </w:tcBorders>
            <w:shd w:val="clear" w:color="auto" w:fill="D8D8D8"/>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D8D8D8"/>
          </w:tcPr>
          <w:p>
            <w:pPr>
              <w:jc w:val="right"/>
              <w:ind w:right="10"/>
              <w:spacing w:after="0"/>
              <w:rPr>
                <w:sz w:val="20"/>
                <w:szCs w:val="20"/>
                <w:color w:val="auto"/>
              </w:rPr>
            </w:pPr>
            <w:r>
              <w:rPr>
                <w:rFonts w:ascii="Arial" w:cs="Arial" w:eastAsia="Arial" w:hAnsi="Arial"/>
                <w:sz w:val="18"/>
                <w:szCs w:val="18"/>
                <w:color w:val="auto"/>
              </w:rPr>
              <w:t>602.1</w:t>
            </w:r>
          </w:p>
        </w:tc>
      </w:tr>
      <w:tr>
        <w:trPr>
          <w:trHeight w:val="252"/>
        </w:trPr>
        <w:tc>
          <w:tcPr>
            <w:tcW w:w="9940" w:type="dxa"/>
            <w:vAlign w:val="bottom"/>
          </w:tcPr>
          <w:p>
            <w:pPr>
              <w:ind w:left="40"/>
              <w:spacing w:after="0"/>
              <w:rPr>
                <w:sz w:val="20"/>
                <w:szCs w:val="20"/>
                <w:color w:val="auto"/>
              </w:rPr>
            </w:pPr>
            <w:r>
              <w:rPr>
                <w:rFonts w:ascii="Arial" w:cs="Arial" w:eastAsia="Arial" w:hAnsi="Arial"/>
                <w:sz w:val="18"/>
                <w:szCs w:val="18"/>
                <w:color w:val="auto"/>
              </w:rPr>
              <w:t>Deferred tax asset</w:t>
            </w: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232.2</w:t>
            </w:r>
          </w:p>
        </w:tc>
      </w:tr>
      <w:tr>
        <w:trPr>
          <w:trHeight w:val="261"/>
        </w:trPr>
        <w:tc>
          <w:tcPr>
            <w:tcW w:w="9940" w:type="dxa"/>
            <w:vAlign w:val="bottom"/>
            <w:shd w:val="clear" w:color="auto" w:fill="D8D8D8"/>
          </w:tcPr>
          <w:p>
            <w:pPr>
              <w:ind w:left="40"/>
              <w:spacing w:after="0"/>
              <w:rPr>
                <w:sz w:val="20"/>
                <w:szCs w:val="20"/>
                <w:color w:val="auto"/>
              </w:rPr>
            </w:pPr>
            <w:r>
              <w:rPr>
                <w:rFonts w:ascii="Arial" w:cs="Arial" w:eastAsia="Arial" w:hAnsi="Arial"/>
                <w:sz w:val="18"/>
                <w:szCs w:val="18"/>
                <w:color w:val="auto"/>
              </w:rPr>
              <w:t>Deferred tax liability</w:t>
            </w:r>
          </w:p>
        </w:tc>
        <w:tc>
          <w:tcPr>
            <w:tcW w:w="500" w:type="dxa"/>
            <w:vAlign w:val="bottom"/>
            <w:shd w:val="clear" w:color="auto" w:fill="D8D8D8"/>
          </w:tcPr>
          <w:p>
            <w:pPr>
              <w:spacing w:after="0"/>
              <w:rPr>
                <w:sz w:val="22"/>
                <w:szCs w:val="22"/>
                <w:color w:val="auto"/>
              </w:rPr>
            </w:pPr>
          </w:p>
        </w:tc>
        <w:tc>
          <w:tcPr>
            <w:tcW w:w="9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(228.2)</w:t>
            </w:r>
          </w:p>
        </w:tc>
      </w:tr>
      <w:tr>
        <w:trPr>
          <w:trHeight w:val="252"/>
        </w:trPr>
        <w:tc>
          <w:tcPr>
            <w:tcW w:w="9940" w:type="dxa"/>
            <w:vAlign w:val="bottom"/>
            <w:tcBorders>
              <w:bottom w:val="single" w:sz="8" w:color="D8D8D8"/>
            </w:tcBorders>
          </w:tcPr>
          <w:p>
            <w:pPr>
              <w:ind w:left="40"/>
              <w:spacing w:after="0"/>
              <w:rPr>
                <w:sz w:val="20"/>
                <w:szCs w:val="20"/>
                <w:color w:val="auto"/>
              </w:rPr>
            </w:pPr>
            <w:r>
              <w:rPr>
                <w:rFonts w:ascii="Arial" w:cs="Arial" w:eastAsia="Arial" w:hAnsi="Arial"/>
                <w:sz w:val="18"/>
                <w:szCs w:val="18"/>
                <w:color w:val="auto"/>
              </w:rPr>
              <w:t>Other assets and liabilities - net</w:t>
            </w:r>
          </w:p>
        </w:tc>
        <w:tc>
          <w:tcPr>
            <w:tcW w:w="5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57.2</w:t>
            </w:r>
          </w:p>
        </w:tc>
      </w:tr>
      <w:tr>
        <w:trPr>
          <w:trHeight w:val="262"/>
        </w:trPr>
        <w:tc>
          <w:tcPr>
            <w:tcW w:w="9940" w:type="dxa"/>
            <w:vAlign w:val="bottom"/>
            <w:tcBorders>
              <w:bottom w:val="single" w:sz="8" w:color="D8D8D8"/>
            </w:tcBorders>
            <w:shd w:val="clear" w:color="auto" w:fill="D8D8D8"/>
          </w:tcPr>
          <w:p>
            <w:pPr>
              <w:ind w:left="40"/>
              <w:spacing w:after="0"/>
              <w:rPr>
                <w:sz w:val="20"/>
                <w:szCs w:val="20"/>
                <w:color w:val="auto"/>
              </w:rPr>
            </w:pPr>
            <w:r>
              <w:rPr>
                <w:rFonts w:ascii="Arial" w:cs="Arial" w:eastAsia="Arial" w:hAnsi="Arial"/>
                <w:sz w:val="18"/>
                <w:szCs w:val="18"/>
                <w:color w:val="auto"/>
              </w:rPr>
              <w:t>Total identifiable net assets</w:t>
            </w:r>
          </w:p>
        </w:tc>
        <w:tc>
          <w:tcPr>
            <w:tcW w:w="500" w:type="dxa"/>
            <w:vAlign w:val="bottom"/>
            <w:tcBorders>
              <w:bottom w:val="single" w:sz="8" w:color="auto"/>
            </w:tcBorders>
            <w:shd w:val="clear" w:color="auto" w:fill="D8D8D8"/>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D8D8D8"/>
          </w:tcPr>
          <w:p>
            <w:pPr>
              <w:jc w:val="right"/>
              <w:ind w:right="10"/>
              <w:spacing w:after="0"/>
              <w:rPr>
                <w:sz w:val="20"/>
                <w:szCs w:val="20"/>
                <w:color w:val="auto"/>
              </w:rPr>
            </w:pPr>
            <w:r>
              <w:rPr>
                <w:rFonts w:ascii="Arial" w:cs="Arial" w:eastAsia="Arial" w:hAnsi="Arial"/>
                <w:sz w:val="18"/>
                <w:szCs w:val="18"/>
                <w:color w:val="auto"/>
              </w:rPr>
              <w:t>663.3</w:t>
            </w:r>
          </w:p>
        </w:tc>
      </w:tr>
      <w:tr>
        <w:trPr>
          <w:trHeight w:val="264"/>
        </w:trPr>
        <w:tc>
          <w:tcPr>
            <w:tcW w:w="9940" w:type="dxa"/>
            <w:vAlign w:val="bottom"/>
          </w:tcPr>
          <w:p>
            <w:pPr>
              <w:ind w:left="40"/>
              <w:spacing w:after="0"/>
              <w:rPr>
                <w:sz w:val="20"/>
                <w:szCs w:val="20"/>
                <w:color w:val="auto"/>
              </w:rPr>
            </w:pPr>
            <w:r>
              <w:rPr>
                <w:rFonts w:ascii="Arial" w:cs="Arial" w:eastAsia="Arial" w:hAnsi="Arial"/>
                <w:sz w:val="18"/>
                <w:szCs w:val="18"/>
                <w:color w:val="auto"/>
              </w:rPr>
              <w:t>Total consideration - contingent consideration liability</w:t>
            </w:r>
            <w:r>
              <w:rPr>
                <w:rFonts w:ascii="Arial" w:cs="Arial" w:eastAsia="Arial" w:hAnsi="Arial"/>
                <w:sz w:val="21"/>
                <w:szCs w:val="21"/>
                <w:color w:val="auto"/>
                <w:vertAlign w:val="superscript"/>
              </w:rPr>
              <w:t>(2)</w:t>
            </w: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(663.3)</w:t>
            </w:r>
          </w:p>
        </w:tc>
      </w:tr>
    </w:tbl>
    <w:p>
      <w:pPr>
        <w:spacing w:after="0" w:line="95" w:lineRule="exact"/>
        <w:rPr>
          <w:sz w:val="20"/>
          <w:szCs w:val="20"/>
          <w:color w:val="auto"/>
        </w:rPr>
      </w:pPr>
    </w:p>
    <w:p>
      <w:pPr>
        <w:ind w:left="180" w:right="700" w:hanging="172"/>
        <w:spacing w:after="0" w:line="239" w:lineRule="auto"/>
        <w:tabs>
          <w:tab w:leader="none" w:pos="153" w:val="left"/>
        </w:tabs>
        <w:numPr>
          <w:ilvl w:val="0"/>
          <w:numId w:val="58"/>
        </w:numPr>
        <w:rPr>
          <w:rFonts w:ascii="Arial" w:cs="Arial" w:eastAsia="Arial" w:hAnsi="Arial"/>
          <w:sz w:val="17"/>
          <w:szCs w:val="17"/>
          <w:color w:val="auto"/>
          <w:vertAlign w:val="superscript"/>
        </w:rPr>
      </w:pPr>
      <w:r>
        <w:rPr>
          <w:rFonts w:ascii="Arial" w:cs="Arial" w:eastAsia="Arial" w:hAnsi="Arial"/>
          <w:sz w:val="14"/>
          <w:szCs w:val="14"/>
          <w:color w:val="auto"/>
        </w:rPr>
        <w:t>These intangible assets will be amortized to cost of sales using the straight-line method through the co-development period in North America as set forth in the original agreement, which was scheduled to expire in September 2018.</w:t>
      </w:r>
    </w:p>
    <w:p>
      <w:pPr>
        <w:spacing w:after="0" w:line="77" w:lineRule="exact"/>
        <w:rPr>
          <w:rFonts w:ascii="Arial" w:cs="Arial" w:eastAsia="Arial" w:hAnsi="Arial"/>
          <w:sz w:val="17"/>
          <w:szCs w:val="17"/>
          <w:color w:val="auto"/>
          <w:vertAlign w:val="superscript"/>
        </w:rPr>
      </w:pPr>
    </w:p>
    <w:p>
      <w:pPr>
        <w:ind w:left="140" w:hanging="132"/>
        <w:spacing w:after="0"/>
        <w:tabs>
          <w:tab w:leader="none" w:pos="140" w:val="left"/>
        </w:tabs>
        <w:numPr>
          <w:ilvl w:val="0"/>
          <w:numId w:val="58"/>
        </w:numPr>
        <w:rPr>
          <w:rFonts w:ascii="Arial" w:cs="Arial" w:eastAsia="Arial" w:hAnsi="Arial"/>
          <w:sz w:val="16"/>
          <w:szCs w:val="16"/>
          <w:color w:val="auto"/>
          <w:vertAlign w:val="superscript"/>
        </w:rPr>
      </w:pPr>
      <w:r>
        <w:rPr>
          <w:rFonts w:ascii="Arial" w:cs="Arial" w:eastAsia="Arial" w:hAnsi="Arial"/>
          <w:sz w:val="13"/>
          <w:szCs w:val="13"/>
          <w:color w:val="auto"/>
        </w:rPr>
        <w:t>See Note 7 for discussion on the estimation of the contingent consideration liability.</w:t>
      </w:r>
    </w:p>
    <w:p>
      <w:pPr>
        <w:spacing w:after="0" w:line="76" w:lineRule="exact"/>
        <w:rPr>
          <w:sz w:val="20"/>
          <w:szCs w:val="20"/>
          <w:color w:val="auto"/>
        </w:rPr>
      </w:pPr>
    </w:p>
    <w:p>
      <w:pPr>
        <w:jc w:val="both"/>
        <w:ind w:right="240"/>
        <w:spacing w:after="0" w:line="271" w:lineRule="auto"/>
        <w:rPr>
          <w:sz w:val="20"/>
          <w:szCs w:val="20"/>
          <w:color w:val="auto"/>
        </w:rPr>
      </w:pPr>
      <w:r>
        <w:rPr>
          <w:rFonts w:ascii="Arial" w:cs="Arial" w:eastAsia="Arial" w:hAnsi="Arial"/>
          <w:sz w:val="18"/>
          <w:szCs w:val="18"/>
          <w:color w:val="auto"/>
        </w:rPr>
        <w:t>The final determination of these amounts will be completed as soon as possible but no later than one year from the acquisition date and may result in asset and liability fair values that differ from preliminary estimates, but it is not expected that these differences will be material to our consolidated financial statements.</w:t>
      </w:r>
    </w:p>
    <w:p>
      <w:pPr>
        <w:spacing w:after="0" w:line="55" w:lineRule="exact"/>
        <w:rPr>
          <w:sz w:val="20"/>
          <w:szCs w:val="20"/>
          <w:color w:val="auto"/>
        </w:rPr>
      </w:pPr>
    </w:p>
    <w:p>
      <w:pPr>
        <w:ind w:right="260"/>
        <w:spacing w:after="0" w:line="258" w:lineRule="auto"/>
        <w:rPr>
          <w:sz w:val="20"/>
          <w:szCs w:val="20"/>
          <w:color w:val="auto"/>
        </w:rPr>
      </w:pPr>
      <w:r>
        <w:rPr>
          <w:rFonts w:ascii="Arial" w:cs="Arial" w:eastAsia="Arial" w:hAnsi="Arial"/>
          <w:sz w:val="18"/>
          <w:szCs w:val="18"/>
          <w:color w:val="auto"/>
        </w:rPr>
        <w:t>Including the Erbitux business as if we had acquired it on January 1, 2015, our combined consolidated unaudited pro forma revenue would have been approximately $20.2 billion for the year ended December 31, 2015. This unaudited pro forma financial information adjusts the historical consolidated revenue to give effect to pro forma events that are directly attributable to the acquisition. There would have been no material change to our historical consolidated net income. The unaudited pro forma financial information is not necessarily indicative of what our consolidated revenues would have been had we completed the acquisition at the beginning of 2015. In addition, the unaudited pro forma financial information does not attempt to project the future results of operations of our combined company.</w:t>
      </w:r>
    </w:p>
    <w:p>
      <w:pPr>
        <w:spacing w:after="0" w:line="6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Until the effective date of the transfer of the business, the arrangements between us and BMS were as set forth in this paragraph. Erbitux research and development and other costs were shared by both companies according to a predetermined ratio. Responsibilities associated with clinical and other ongoing studies were apportioned between the parties under the agreements. Collaborative reimbursements due to us for supply of clinical trial materials, for research and development, and for a portion of marketing, selling, and administrative expenses were recorded as a reduction to the respective expense line items on the consolidated statement of operations. We received a distribution fee in the form of a royalty from BMS, based on a percentage of net sales in North America, which was recorded in collaboration and other revenue. Royalties due to third parties were recorded as a reduction of collaboration and other revenue, net of any royalty reimbursements due from third parties. We were responsible for the manufacture and supply of all requirements of Erbitux in bulk-form active pharmaceutical ingredient (API) for clinical and commercial use in North America, and BMS purchased all of its requirements of API from us, subject to certain stipulations per the agreement. Sales of Erbitux API to BMS were reported in net product revenues.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Merck KGaA</w:t>
      </w:r>
    </w:p>
    <w:p>
      <w:pPr>
        <w:spacing w:after="0" w:line="98" w:lineRule="exact"/>
        <w:rPr>
          <w:sz w:val="20"/>
          <w:szCs w:val="20"/>
          <w:color w:val="auto"/>
        </w:rPr>
      </w:pPr>
    </w:p>
    <w:p>
      <w:pPr>
        <w:ind w:right="380"/>
        <w:spacing w:after="0" w:line="271" w:lineRule="auto"/>
        <w:rPr>
          <w:sz w:val="20"/>
          <w:szCs w:val="20"/>
          <w:color w:val="auto"/>
        </w:rPr>
      </w:pPr>
      <w:r>
        <w:rPr>
          <w:rFonts w:ascii="Arial" w:cs="Arial" w:eastAsia="Arial" w:hAnsi="Arial"/>
          <w:sz w:val="18"/>
          <w:szCs w:val="18"/>
          <w:color w:val="auto"/>
        </w:rPr>
        <w:t>A development and license agreement grants Merck exclusive rights to market Erbitux outside of North America until December 2018. A separate agreement grants co-exclusive rights among Merck, BMS, and us in Japan and expires in 2032. This agreement was amended in 2015 to grant Merck exclusive commercialization rights in Japan but did not result in any changes to our rights.</w:t>
      </w:r>
    </w:p>
    <w:p>
      <w:pPr>
        <w:spacing w:after="0" w:line="55" w:lineRule="exact"/>
        <w:rPr>
          <w:sz w:val="20"/>
          <w:szCs w:val="20"/>
          <w:color w:val="auto"/>
        </w:rPr>
      </w:pPr>
    </w:p>
    <w:p>
      <w:pPr>
        <w:jc w:val="both"/>
        <w:ind w:right="740"/>
        <w:spacing w:after="0" w:line="271" w:lineRule="auto"/>
        <w:rPr>
          <w:sz w:val="20"/>
          <w:szCs w:val="20"/>
          <w:color w:val="auto"/>
        </w:rPr>
      </w:pPr>
      <w:r>
        <w:rPr>
          <w:rFonts w:ascii="Arial" w:cs="Arial" w:eastAsia="Arial" w:hAnsi="Arial"/>
          <w:sz w:val="18"/>
          <w:szCs w:val="18"/>
          <w:color w:val="auto"/>
        </w:rPr>
        <w:t>Merck manufactures Erbitux for supply in its territory as well as for Japan. We receive a royalty on the sales of Erbitux outside of North America, which is included in collaboration and other revenue as earned. Royalties due to third parties are recorded as a reduction of collaboration and other revenue, net of any royalty reimbursements due from third parties.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Effient</w:t>
      </w:r>
      <w:r>
        <w:rPr>
          <w:rFonts w:ascii="Arial" w:cs="Arial" w:eastAsia="Arial" w:hAnsi="Arial"/>
          <w:sz w:val="21"/>
          <w:szCs w:val="21"/>
          <w:b w:val="1"/>
          <w:bCs w:val="1"/>
          <w:color w:val="auto"/>
          <w:vertAlign w:val="superscript"/>
        </w:rPr>
        <w:t>®</w:t>
      </w:r>
    </w:p>
    <w:p>
      <w:pPr>
        <w:spacing w:after="0" w:line="85" w:lineRule="exact"/>
        <w:rPr>
          <w:sz w:val="20"/>
          <w:szCs w:val="20"/>
          <w:color w:val="auto"/>
        </w:rPr>
      </w:pPr>
    </w:p>
    <w:p>
      <w:pPr>
        <w:ind w:right="80"/>
        <w:spacing w:after="0" w:line="292" w:lineRule="auto"/>
        <w:rPr>
          <w:sz w:val="20"/>
          <w:szCs w:val="20"/>
          <w:color w:val="auto"/>
        </w:rPr>
      </w:pPr>
      <w:r>
        <w:rPr>
          <w:rFonts w:ascii="Arial" w:cs="Arial" w:eastAsia="Arial" w:hAnsi="Arial"/>
          <w:sz w:val="18"/>
          <w:szCs w:val="18"/>
          <w:color w:val="auto"/>
        </w:rPr>
        <w:t>We are in a collaborative arrangement with Daiichi Sankyo Co., Ltd. (Daiichi Sankyo) to develop, market, and promote Effient. Marketing rights for major territories are shown below. We and Daiichi Sankyo each have exclusive marketing rights in certain other territories.</w:t>
      </w:r>
    </w:p>
    <w:p>
      <w:pPr>
        <w:spacing w:after="0" w:line="17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69</w:t>
      </w:r>
    </w:p>
    <w:p>
      <w:pPr>
        <w:sectPr>
          <w:pgSz w:w="11900" w:h="16838" w:orient="portrait"/>
          <w:cols w:equalWidth="0" w:num="1">
            <w:col w:w="11420"/>
          </w:cols>
          <w:pgMar w:left="240" w:top="684" w:right="23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203"/>
        </w:trPr>
        <w:tc>
          <w:tcPr>
            <w:tcW w:w="3260" w:type="dxa"/>
            <w:vAlign w:val="bottom"/>
            <w:tcBorders>
              <w:bottom w:val="single" w:sz="8" w:color="auto"/>
            </w:tcBorders>
          </w:tcPr>
          <w:p>
            <w:pPr>
              <w:jc w:val="center"/>
              <w:ind w:right="194"/>
              <w:spacing w:after="0"/>
              <w:rPr>
                <w:sz w:val="20"/>
                <w:szCs w:val="20"/>
                <w:color w:val="auto"/>
              </w:rPr>
            </w:pPr>
            <w:r>
              <w:rPr>
                <w:rFonts w:ascii="Arial" w:cs="Arial" w:eastAsia="Arial" w:hAnsi="Arial"/>
                <w:sz w:val="14"/>
                <w:szCs w:val="14"/>
                <w:b w:val="1"/>
                <w:bCs w:val="1"/>
                <w:color w:val="auto"/>
              </w:rPr>
              <w:t>Territory</w:t>
            </w:r>
          </w:p>
        </w:tc>
        <w:tc>
          <w:tcPr>
            <w:tcW w:w="3020" w:type="dxa"/>
            <w:vAlign w:val="bottom"/>
            <w:tcBorders>
              <w:bottom w:val="single" w:sz="8" w:color="auto"/>
            </w:tcBorders>
          </w:tcPr>
          <w:p>
            <w:pPr>
              <w:jc w:val="center"/>
              <w:ind w:right="174"/>
              <w:spacing w:after="0"/>
              <w:rPr>
                <w:sz w:val="20"/>
                <w:szCs w:val="20"/>
                <w:color w:val="auto"/>
              </w:rPr>
            </w:pPr>
            <w:r>
              <w:rPr>
                <w:rFonts w:ascii="Arial" w:cs="Arial" w:eastAsia="Arial" w:hAnsi="Arial"/>
                <w:sz w:val="14"/>
                <w:szCs w:val="14"/>
                <w:b w:val="1"/>
                <w:bCs w:val="1"/>
                <w:color w:val="auto"/>
              </w:rPr>
              <w:t>Marketing Rights</w:t>
            </w:r>
          </w:p>
        </w:tc>
        <w:tc>
          <w:tcPr>
            <w:tcW w:w="5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Selling Party</w:t>
            </w:r>
          </w:p>
        </w:tc>
        <w:tc>
          <w:tcPr>
            <w:tcW w:w="0" w:type="dxa"/>
            <w:vAlign w:val="bottom"/>
          </w:tcPr>
          <w:p>
            <w:pPr>
              <w:spacing w:after="0"/>
              <w:rPr>
                <w:sz w:val="1"/>
                <w:szCs w:val="1"/>
                <w:color w:val="auto"/>
              </w:rPr>
            </w:pPr>
          </w:p>
        </w:tc>
      </w:tr>
      <w:tr>
        <w:trPr>
          <w:trHeight w:val="265"/>
        </w:trPr>
        <w:tc>
          <w:tcPr>
            <w:tcW w:w="3260" w:type="dxa"/>
            <w:vAlign w:val="bottom"/>
            <w:shd w:val="clear" w:color="auto" w:fill="D8D8D8"/>
          </w:tcPr>
          <w:p>
            <w:pPr>
              <w:jc w:val="center"/>
              <w:ind w:right="194"/>
              <w:spacing w:after="0"/>
              <w:rPr>
                <w:sz w:val="20"/>
                <w:szCs w:val="20"/>
                <w:color w:val="auto"/>
              </w:rPr>
            </w:pPr>
            <w:r>
              <w:rPr>
                <w:rFonts w:ascii="Arial" w:cs="Arial" w:eastAsia="Arial" w:hAnsi="Arial"/>
                <w:sz w:val="18"/>
                <w:szCs w:val="18"/>
                <w:color w:val="auto"/>
                <w:w w:val="96"/>
              </w:rPr>
              <w:t>U.S.</w:t>
            </w:r>
          </w:p>
        </w:tc>
        <w:tc>
          <w:tcPr>
            <w:tcW w:w="3020" w:type="dxa"/>
            <w:vAlign w:val="bottom"/>
            <w:shd w:val="clear" w:color="auto" w:fill="D8D8D8"/>
          </w:tcPr>
          <w:p>
            <w:pPr>
              <w:jc w:val="center"/>
              <w:ind w:right="174"/>
              <w:spacing w:after="0"/>
              <w:rPr>
                <w:sz w:val="20"/>
                <w:szCs w:val="20"/>
                <w:color w:val="auto"/>
              </w:rPr>
            </w:pPr>
            <w:r>
              <w:rPr>
                <w:rFonts w:ascii="Arial" w:cs="Arial" w:eastAsia="Arial" w:hAnsi="Arial"/>
                <w:sz w:val="18"/>
                <w:szCs w:val="18"/>
                <w:color w:val="auto"/>
                <w:w w:val="99"/>
              </w:rPr>
              <w:t>Co-promotion</w:t>
            </w:r>
          </w:p>
        </w:tc>
        <w:tc>
          <w:tcPr>
            <w:tcW w:w="5140" w:type="dxa"/>
            <w:vAlign w:val="bottom"/>
            <w:shd w:val="clear" w:color="auto" w:fill="D8D8D8"/>
          </w:tcPr>
          <w:p>
            <w:pPr>
              <w:jc w:val="center"/>
              <w:spacing w:after="0"/>
              <w:rPr>
                <w:sz w:val="20"/>
                <w:szCs w:val="20"/>
                <w:color w:val="auto"/>
              </w:rPr>
            </w:pPr>
            <w:r>
              <w:rPr>
                <w:rFonts w:ascii="Arial" w:cs="Arial" w:eastAsia="Arial" w:hAnsi="Arial"/>
                <w:sz w:val="18"/>
                <w:szCs w:val="18"/>
                <w:color w:val="auto"/>
                <w:w w:val="96"/>
              </w:rPr>
              <w:t>Lilly</w:t>
            </w:r>
          </w:p>
        </w:tc>
        <w:tc>
          <w:tcPr>
            <w:tcW w:w="0" w:type="dxa"/>
            <w:vAlign w:val="bottom"/>
          </w:tcPr>
          <w:p>
            <w:pPr>
              <w:spacing w:after="0"/>
              <w:rPr>
                <w:sz w:val="1"/>
                <w:szCs w:val="1"/>
                <w:color w:val="auto"/>
              </w:rPr>
            </w:pPr>
          </w:p>
        </w:tc>
      </w:tr>
      <w:tr>
        <w:trPr>
          <w:trHeight w:val="207"/>
        </w:trPr>
        <w:tc>
          <w:tcPr>
            <w:tcW w:w="3260" w:type="dxa"/>
            <w:vAlign w:val="bottom"/>
            <w:vMerge w:val="restart"/>
          </w:tcPr>
          <w:p>
            <w:pPr>
              <w:jc w:val="center"/>
              <w:ind w:right="194"/>
              <w:spacing w:after="0"/>
              <w:rPr>
                <w:sz w:val="20"/>
                <w:szCs w:val="20"/>
                <w:color w:val="auto"/>
              </w:rPr>
            </w:pPr>
            <w:r>
              <w:rPr>
                <w:rFonts w:ascii="Arial" w:cs="Arial" w:eastAsia="Arial" w:hAnsi="Arial"/>
                <w:sz w:val="18"/>
                <w:szCs w:val="18"/>
                <w:color w:val="auto"/>
              </w:rPr>
              <w:t>Major European markets</w:t>
            </w:r>
          </w:p>
        </w:tc>
        <w:tc>
          <w:tcPr>
            <w:tcW w:w="3020" w:type="dxa"/>
            <w:vAlign w:val="bottom"/>
            <w:vMerge w:val="restart"/>
          </w:tcPr>
          <w:p>
            <w:pPr>
              <w:jc w:val="center"/>
              <w:ind w:right="174"/>
              <w:spacing w:after="0"/>
              <w:rPr>
                <w:sz w:val="20"/>
                <w:szCs w:val="20"/>
                <w:color w:val="auto"/>
              </w:rPr>
            </w:pPr>
            <w:r>
              <w:rPr>
                <w:rFonts w:ascii="Arial" w:cs="Arial" w:eastAsia="Arial" w:hAnsi="Arial"/>
                <w:sz w:val="18"/>
                <w:szCs w:val="18"/>
                <w:color w:val="auto"/>
                <w:w w:val="99"/>
              </w:rPr>
              <w:t>Co-promotion</w:t>
            </w:r>
          </w:p>
        </w:tc>
        <w:tc>
          <w:tcPr>
            <w:tcW w:w="5140" w:type="dxa"/>
            <w:vAlign w:val="bottom"/>
          </w:tcPr>
          <w:p>
            <w:pPr>
              <w:jc w:val="center"/>
              <w:spacing w:after="0"/>
              <w:rPr>
                <w:sz w:val="20"/>
                <w:szCs w:val="20"/>
                <w:color w:val="auto"/>
              </w:rPr>
            </w:pPr>
            <w:r>
              <w:rPr>
                <w:rFonts w:ascii="Arial" w:cs="Arial" w:eastAsia="Arial" w:hAnsi="Arial"/>
                <w:sz w:val="18"/>
                <w:szCs w:val="18"/>
                <w:color w:val="auto"/>
                <w:w w:val="99"/>
              </w:rPr>
              <w:t>Pre-January 1, 2016, Lilly</w:t>
            </w:r>
          </w:p>
        </w:tc>
        <w:tc>
          <w:tcPr>
            <w:tcW w:w="0" w:type="dxa"/>
            <w:vAlign w:val="bottom"/>
          </w:tcPr>
          <w:p>
            <w:pPr>
              <w:spacing w:after="0"/>
              <w:rPr>
                <w:sz w:val="1"/>
                <w:szCs w:val="1"/>
                <w:color w:val="auto"/>
              </w:rPr>
            </w:pPr>
          </w:p>
        </w:tc>
      </w:tr>
      <w:tr>
        <w:trPr>
          <w:trHeight w:val="135"/>
        </w:trPr>
        <w:tc>
          <w:tcPr>
            <w:tcW w:w="3260" w:type="dxa"/>
            <w:vAlign w:val="bottom"/>
            <w:vMerge w:val="continue"/>
          </w:tcPr>
          <w:p>
            <w:pPr>
              <w:spacing w:after="0"/>
              <w:rPr>
                <w:sz w:val="11"/>
                <w:szCs w:val="11"/>
                <w:color w:val="auto"/>
              </w:rPr>
            </w:pPr>
          </w:p>
        </w:tc>
        <w:tc>
          <w:tcPr>
            <w:tcW w:w="3020" w:type="dxa"/>
            <w:vAlign w:val="bottom"/>
            <w:vMerge w:val="continue"/>
          </w:tcPr>
          <w:p>
            <w:pPr>
              <w:spacing w:after="0"/>
              <w:rPr>
                <w:sz w:val="11"/>
                <w:szCs w:val="11"/>
                <w:color w:val="auto"/>
              </w:rPr>
            </w:pPr>
          </w:p>
        </w:tc>
        <w:tc>
          <w:tcPr>
            <w:tcW w:w="5140" w:type="dxa"/>
            <w:vAlign w:val="bottom"/>
            <w:vMerge w:val="restart"/>
          </w:tcPr>
          <w:p>
            <w:pPr>
              <w:jc w:val="center"/>
              <w:spacing w:after="0"/>
              <w:rPr>
                <w:sz w:val="20"/>
                <w:szCs w:val="20"/>
                <w:color w:val="auto"/>
              </w:rPr>
            </w:pPr>
            <w:r>
              <w:rPr>
                <w:rFonts w:ascii="Arial" w:cs="Arial" w:eastAsia="Arial" w:hAnsi="Arial"/>
                <w:sz w:val="18"/>
                <w:szCs w:val="18"/>
                <w:color w:val="auto"/>
                <w:w w:val="99"/>
              </w:rPr>
              <w:t>Post-January 1, 2016, Daiichi Sankyo</w:t>
            </w:r>
          </w:p>
        </w:tc>
        <w:tc>
          <w:tcPr>
            <w:tcW w:w="0" w:type="dxa"/>
            <w:vAlign w:val="bottom"/>
          </w:tcPr>
          <w:p>
            <w:pPr>
              <w:spacing w:after="0"/>
              <w:rPr>
                <w:sz w:val="1"/>
                <w:szCs w:val="1"/>
                <w:color w:val="auto"/>
              </w:rPr>
            </w:pPr>
          </w:p>
        </w:tc>
      </w:tr>
      <w:tr>
        <w:trPr>
          <w:trHeight w:val="113"/>
        </w:trPr>
        <w:tc>
          <w:tcPr>
            <w:tcW w:w="3260" w:type="dxa"/>
            <w:vAlign w:val="bottom"/>
          </w:tcPr>
          <w:p>
            <w:pPr>
              <w:spacing w:after="0"/>
              <w:rPr>
                <w:sz w:val="9"/>
                <w:szCs w:val="9"/>
                <w:color w:val="auto"/>
              </w:rPr>
            </w:pPr>
          </w:p>
        </w:tc>
        <w:tc>
          <w:tcPr>
            <w:tcW w:w="3020" w:type="dxa"/>
            <w:vAlign w:val="bottom"/>
          </w:tcPr>
          <w:p>
            <w:pPr>
              <w:spacing w:after="0"/>
              <w:rPr>
                <w:sz w:val="9"/>
                <w:szCs w:val="9"/>
                <w:color w:val="auto"/>
              </w:rPr>
            </w:pPr>
          </w:p>
        </w:tc>
        <w:tc>
          <w:tcPr>
            <w:tcW w:w="51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3260" w:type="dxa"/>
            <w:vAlign w:val="bottom"/>
            <w:shd w:val="clear" w:color="auto" w:fill="D8D8D8"/>
          </w:tcPr>
          <w:p>
            <w:pPr>
              <w:jc w:val="center"/>
              <w:ind w:right="194"/>
              <w:spacing w:after="0"/>
              <w:rPr>
                <w:sz w:val="20"/>
                <w:szCs w:val="20"/>
                <w:color w:val="auto"/>
              </w:rPr>
            </w:pPr>
            <w:r>
              <w:rPr>
                <w:rFonts w:ascii="Arial" w:cs="Arial" w:eastAsia="Arial" w:hAnsi="Arial"/>
                <w:sz w:val="18"/>
                <w:szCs w:val="18"/>
                <w:color w:val="auto"/>
              </w:rPr>
              <w:t>Japan</w:t>
            </w:r>
          </w:p>
        </w:tc>
        <w:tc>
          <w:tcPr>
            <w:tcW w:w="3020" w:type="dxa"/>
            <w:vAlign w:val="bottom"/>
            <w:shd w:val="clear" w:color="auto" w:fill="D8D8D8"/>
          </w:tcPr>
          <w:p>
            <w:pPr>
              <w:jc w:val="center"/>
              <w:ind w:right="174"/>
              <w:spacing w:after="0"/>
              <w:rPr>
                <w:sz w:val="20"/>
                <w:szCs w:val="20"/>
                <w:color w:val="auto"/>
              </w:rPr>
            </w:pPr>
            <w:r>
              <w:rPr>
                <w:rFonts w:ascii="Arial" w:cs="Arial" w:eastAsia="Arial" w:hAnsi="Arial"/>
                <w:sz w:val="18"/>
                <w:szCs w:val="18"/>
                <w:color w:val="auto"/>
                <w:w w:val="99"/>
              </w:rPr>
              <w:t>Exclusive</w:t>
            </w:r>
          </w:p>
        </w:tc>
        <w:tc>
          <w:tcPr>
            <w:tcW w:w="5140" w:type="dxa"/>
            <w:vAlign w:val="bottom"/>
            <w:shd w:val="clear" w:color="auto" w:fill="D8D8D8"/>
          </w:tcPr>
          <w:p>
            <w:pPr>
              <w:jc w:val="center"/>
              <w:spacing w:after="0"/>
              <w:rPr>
                <w:sz w:val="20"/>
                <w:szCs w:val="20"/>
                <w:color w:val="auto"/>
              </w:rPr>
            </w:pPr>
            <w:r>
              <w:rPr>
                <w:rFonts w:ascii="Arial" w:cs="Arial" w:eastAsia="Arial" w:hAnsi="Arial"/>
                <w:sz w:val="18"/>
                <w:szCs w:val="18"/>
                <w:color w:val="auto"/>
                <w:w w:val="99"/>
              </w:rPr>
              <w:t>Daiichi Sankyo</w:t>
            </w:r>
          </w:p>
        </w:tc>
        <w:tc>
          <w:tcPr>
            <w:tcW w:w="0" w:type="dxa"/>
            <w:vAlign w:val="bottom"/>
          </w:tcPr>
          <w:p>
            <w:pPr>
              <w:spacing w:after="0"/>
              <w:rPr>
                <w:sz w:val="1"/>
                <w:szCs w:val="1"/>
                <w:color w:val="auto"/>
              </w:rPr>
            </w:pPr>
          </w:p>
        </w:tc>
      </w:tr>
    </w:tbl>
    <w:p>
      <w:pPr>
        <w:spacing w:after="0" w:line="85"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Beginning January 1, 2016, while major European markets continue to be a co-promotion territory under the terms of our arrangement, Daiichi Sankyo exclusively promotes Effient in these markets. The economic results for the major European markets continue to be shared in the same proportion as they were previously.</w:t>
      </w:r>
    </w:p>
    <w:p>
      <w:pPr>
        <w:spacing w:after="0" w:line="55"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The parties share approximately 50/50 in the profits, as well as in the costs of development and marketing in the co-promotion territories. A third party manufactures bulk product, and we continue to produce the finished product for our exclusive and co-promotion territories, as well as the major European markets.</w:t>
      </w:r>
    </w:p>
    <w:p>
      <w:pPr>
        <w:spacing w:after="0" w:line="55" w:lineRule="exact"/>
        <w:rPr>
          <w:sz w:val="20"/>
          <w:szCs w:val="20"/>
          <w:color w:val="auto"/>
        </w:rPr>
      </w:pPr>
    </w:p>
    <w:p>
      <w:pPr>
        <w:ind w:right="380"/>
        <w:spacing w:after="0" w:line="258" w:lineRule="auto"/>
        <w:rPr>
          <w:sz w:val="20"/>
          <w:szCs w:val="20"/>
          <w:color w:val="auto"/>
        </w:rPr>
      </w:pPr>
      <w:r>
        <w:rPr>
          <w:rFonts w:ascii="Arial" w:cs="Arial" w:eastAsia="Arial" w:hAnsi="Arial"/>
          <w:sz w:val="18"/>
          <w:szCs w:val="18"/>
          <w:color w:val="auto"/>
        </w:rPr>
        <w:t>We record net product revenue in our exclusive and co-promotion territories where we are the selling party. Profit-share payments due to Daiichi Sankyo for co-promotion countries where we are the selling party are recorded as marketing, selling, and administrative expenses. Beginning January 1, 2016, any profit-share payments due to us from Daiichi Sankyo for the major European markets will be recorded as collaboration and other revenue. We also record our share of the expenses in these co-promotion territories as marketing, selling, and administrative expenses. In our exclusive territories, we pay Daiichi Sankyo a royalty specific to these territories. All royalties due to Daiichi Sankyo and the third-party manufacturer are recorded in cost of sales.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revenue recognized with respect to Effient:</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920" w:type="dxa"/>
            <w:vAlign w:val="bottom"/>
            <w:tcBorders>
              <w:bottom w:val="single" w:sz="8" w:color="auto"/>
            </w:tcBorders>
          </w:tcPr>
          <w:p>
            <w:pPr>
              <w:spacing w:after="0"/>
              <w:rPr>
                <w:sz w:val="17"/>
                <w:szCs w:val="17"/>
                <w:color w:val="auto"/>
              </w:rPr>
            </w:pPr>
          </w:p>
        </w:tc>
        <w:tc>
          <w:tcPr>
            <w:tcW w:w="34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2015</w:t>
            </w:r>
          </w:p>
        </w:tc>
        <w:tc>
          <w:tcPr>
            <w:tcW w:w="4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2014</w:t>
            </w:r>
          </w:p>
        </w:tc>
        <w:tc>
          <w:tcPr>
            <w:tcW w:w="4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2013</w:t>
            </w:r>
          </w:p>
        </w:tc>
      </w:tr>
      <w:tr>
        <w:trPr>
          <w:trHeight w:val="265"/>
        </w:trPr>
        <w:tc>
          <w:tcPr>
            <w:tcW w:w="3920" w:type="dxa"/>
            <w:vAlign w:val="bottom"/>
            <w:shd w:val="clear" w:color="auto" w:fill="D8D8D8"/>
          </w:tcPr>
          <w:p>
            <w:pPr>
              <w:ind w:left="40"/>
              <w:spacing w:after="0"/>
              <w:rPr>
                <w:sz w:val="20"/>
                <w:szCs w:val="20"/>
                <w:color w:val="auto"/>
              </w:rPr>
            </w:pPr>
            <w:r>
              <w:rPr>
                <w:rFonts w:ascii="Arial" w:cs="Arial" w:eastAsia="Arial" w:hAnsi="Arial"/>
                <w:sz w:val="18"/>
                <w:szCs w:val="18"/>
                <w:color w:val="auto"/>
              </w:rPr>
              <w:t>Revenue</w:t>
            </w:r>
          </w:p>
        </w:tc>
        <w:tc>
          <w:tcPr>
            <w:tcW w:w="3480" w:type="dxa"/>
            <w:vAlign w:val="bottom"/>
            <w:shd w:val="clear" w:color="auto" w:fill="D8D8D8"/>
          </w:tcPr>
          <w:p>
            <w:pPr>
              <w:jc w:val="right"/>
              <w:ind w:right="110"/>
              <w:spacing w:after="0"/>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D8D8D8"/>
          </w:tcPr>
          <w:p>
            <w:pPr>
              <w:jc w:val="right"/>
              <w:ind w:right="39"/>
              <w:spacing w:after="0"/>
              <w:rPr>
                <w:sz w:val="20"/>
                <w:szCs w:val="20"/>
                <w:color w:val="auto"/>
              </w:rPr>
            </w:pPr>
            <w:r>
              <w:rPr>
                <w:rFonts w:ascii="Arial" w:cs="Arial" w:eastAsia="Arial" w:hAnsi="Arial"/>
                <w:sz w:val="18"/>
                <w:szCs w:val="18"/>
                <w:b w:val="1"/>
                <w:bCs w:val="1"/>
                <w:color w:val="auto"/>
              </w:rPr>
              <w:t>523.0</w:t>
            </w:r>
          </w:p>
        </w:tc>
        <w:tc>
          <w:tcPr>
            <w:tcW w:w="420" w:type="dxa"/>
            <w:vAlign w:val="bottom"/>
            <w:shd w:val="clear" w:color="auto" w:fill="D8D8D8"/>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D8D8D8"/>
          </w:tcPr>
          <w:p>
            <w:pPr>
              <w:jc w:val="right"/>
              <w:ind w:right="39"/>
              <w:spacing w:after="0"/>
              <w:rPr>
                <w:sz w:val="20"/>
                <w:szCs w:val="20"/>
                <w:color w:val="auto"/>
              </w:rPr>
            </w:pPr>
            <w:r>
              <w:rPr>
                <w:rFonts w:ascii="Arial" w:cs="Arial" w:eastAsia="Arial" w:hAnsi="Arial"/>
                <w:sz w:val="18"/>
                <w:szCs w:val="18"/>
                <w:color w:val="auto"/>
              </w:rPr>
              <w:t>522.2</w:t>
            </w:r>
          </w:p>
        </w:tc>
        <w:tc>
          <w:tcPr>
            <w:tcW w:w="440" w:type="dxa"/>
            <w:vAlign w:val="bottom"/>
            <w:shd w:val="clear" w:color="auto" w:fill="D8D8D8"/>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D8D8D8"/>
          </w:tcPr>
          <w:p>
            <w:pPr>
              <w:jc w:val="right"/>
              <w:ind w:right="19"/>
              <w:spacing w:after="0"/>
              <w:rPr>
                <w:sz w:val="20"/>
                <w:szCs w:val="20"/>
                <w:color w:val="auto"/>
              </w:rPr>
            </w:pPr>
            <w:r>
              <w:rPr>
                <w:rFonts w:ascii="Arial" w:cs="Arial" w:eastAsia="Arial" w:hAnsi="Arial"/>
                <w:sz w:val="18"/>
                <w:szCs w:val="18"/>
                <w:color w:val="auto"/>
              </w:rPr>
              <w:t>508.7</w:t>
            </w:r>
          </w:p>
        </w:tc>
      </w:tr>
    </w:tbl>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Baricitinib</w:t>
      </w:r>
    </w:p>
    <w:p>
      <w:pPr>
        <w:spacing w:after="0" w:line="119"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We have a worldwide license and collaboration agreement with Incyte Corporation (Incyte) which provides us the development and commercialization rights to its Janus tyrosine kinase inhibitor compound, now known as baricitinib, and certain follow-on compounds, for the treatment of inflammatory and autoimmune diseases. Incyte has the right to receive tiered, double-digit royalty payments on future global sales with rates ranging up to 20 percent if the product is successfully commercialized. The agreement provides Incyte with options to co-develop these compounds on an indication-by-indication basis by funding 30 percent of the associated development costs from the initiation of a Phase IIb trial through regulatory approval in exchange for increased tiered royalties ranging up to percentages in the high twenties. In 2010, Incyte exercised its option to co-develop baricitinib in rheumatoid arthritis. The agreement also provides Incyte with an option to co-promote in the U.S. and calls for us to make payments to Incyte associated with certain development, success-based regulatory, and sales-based milestones. In 2016, we incurred milestone-related expenses of $ 55.0 million in connection with regulatory submissions in the U.S. and Europe. These regulatory submission milestones will be recorded as research and development expenses in 2016. In the future, Incyte will be eligible to receive up to $360.0 million of additional payments from us contingent upon certain development and success-based regulatory milestones as well as an additional $150.0 million of potential sales-based milestones.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Solanezumab</w:t>
      </w:r>
    </w:p>
    <w:p>
      <w:pPr>
        <w:spacing w:after="0" w:line="11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We have an agreement with an affiliate of TPG-Axon Capital (TPG) whereby TPG funded a portion of the Phase III development of solanezumab. Under the agreement, TPG’s obligation to fund solanezumab costs ended in 2011. In exchange for its funding, TPG may receive success-based sales milestones totaling approximately $70 million and mid-single digit royalties contingent upon the successful development of solanezumab. The royalties would be paid for approximately 10 years after launch of a product.</w:t>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70</w:t>
      </w:r>
    </w:p>
    <w:p>
      <w:pPr>
        <w:sectPr>
          <w:pgSz w:w="11900" w:h="16838" w:orient="portrait"/>
          <w:cols w:equalWidth="0" w:num="1">
            <w:col w:w="11420"/>
          </w:cols>
          <w:pgMar w:left="240" w:top="908" w:right="23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color w:val="auto"/>
        </w:rPr>
        <w:t>Tanezumab</w:t>
      </w:r>
    </w:p>
    <w:p>
      <w:pPr>
        <w:spacing w:after="0" w:line="119"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 October 2013, we entered into a collaboration agreement with Pfizer Inc. (Pfizer) to jointly develop and globally commercialize tanezumab for the treatment of osteoarthritis pain, chronic low back pain and cancer pain. Under the agreement, the companies share equally the ongoing development costs and, if successful, in gross margins and certain commercialization expenses. Following the FDA's decision in March 2015 to lift the partial clinical hold on tanezumab, certain Phase III trials resumed in July 2015. Upon the FDA's lifting of the partial clinical hold and the decision to continue the collaboration with Pfizer, we paid an upfront fee of $200.0 million which was expensed as acquired IPR&amp;D. In addition to this fee, we may pay up to $350.0 million in success-based regulatory milestones and up to $ 1.23 billion in a series of sales-based milestones, contingent upon the commercial success of tanezumab. Both parties have the right to terminate the agreement under certain circumstances.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Exenatide</w:t>
      </w:r>
    </w:p>
    <w:p>
      <w:pPr>
        <w:spacing w:after="0" w:line="119" w:lineRule="exact"/>
        <w:rPr>
          <w:sz w:val="20"/>
          <w:szCs w:val="20"/>
          <w:color w:val="auto"/>
        </w:rPr>
      </w:pPr>
    </w:p>
    <w:p>
      <w:pPr>
        <w:ind w:right="40"/>
        <w:spacing w:after="0" w:line="250" w:lineRule="auto"/>
        <w:rPr>
          <w:sz w:val="20"/>
          <w:szCs w:val="20"/>
          <w:color w:val="auto"/>
        </w:rPr>
      </w:pPr>
      <w:r>
        <w:rPr>
          <w:rFonts w:ascii="Arial" w:cs="Arial" w:eastAsia="Arial" w:hAnsi="Arial"/>
          <w:sz w:val="18"/>
          <w:szCs w:val="18"/>
          <w:color w:val="auto"/>
        </w:rPr>
        <w:t>In November 2011, we agreed with Amylin Pharmaceuticals, Inc. (Amylin) to terminate our collaborative arrangement for the joint development, marketing, and selling of Byetta</w:t>
      </w:r>
      <w:r>
        <w:rPr>
          <w:rFonts w:ascii="Arial" w:cs="Arial" w:eastAsia="Arial" w:hAnsi="Arial"/>
          <w:sz w:val="21"/>
          <w:szCs w:val="21"/>
          <w:color w:val="auto"/>
          <w:vertAlign w:val="superscript"/>
        </w:rPr>
        <w:t>®</w:t>
      </w:r>
      <w:r>
        <w:rPr>
          <w:rFonts w:ascii="Arial" w:cs="Arial" w:eastAsia="Arial" w:hAnsi="Arial"/>
          <w:sz w:val="18"/>
          <w:szCs w:val="18"/>
          <w:color w:val="auto"/>
        </w:rPr>
        <w:t xml:space="preserve"> (exenatide injection) and other forms of exenatide such as Bydureon</w:t>
      </w:r>
      <w:r>
        <w:rPr>
          <w:rFonts w:ascii="Arial" w:cs="Arial" w:eastAsia="Arial" w:hAnsi="Arial"/>
          <w:sz w:val="21"/>
          <w:szCs w:val="21"/>
          <w:color w:val="auto"/>
          <w:vertAlign w:val="superscript"/>
        </w:rPr>
        <w:t>®</w:t>
      </w:r>
      <w:r>
        <w:rPr>
          <w:rFonts w:ascii="Arial" w:cs="Arial" w:eastAsia="Arial" w:hAnsi="Arial"/>
          <w:sz w:val="18"/>
          <w:szCs w:val="18"/>
          <w:color w:val="auto"/>
        </w:rPr>
        <w:t xml:space="preserve"> (exenatide extended-release for injectable suspension). Under the terms of the termination agreement, Amylin made a one-time, upfront payment to us of $250.0 million and agreed to make other payments. Upon completion of the acquisition of Amylin by Bristol-Myers Squibb Company in August 2012, Amylin's obligation of $1.26 billion was paid in full. We would also receive a $150.0 million milestone payment contingent upon FDA approval of a once-monthly suspension version of exenatide.</w:t>
      </w:r>
    </w:p>
    <w:p>
      <w:pPr>
        <w:spacing w:after="0" w:line="75"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Commercial operations were transferred to Amylin in the U.S. in late 2011. Outside the U.S., we transferred to Amylin exenatide commercial rights and control in all markets during the first quarter of 2013. All income allocated to the business outside the U.S. that was transferred during the first quarter of 2013 was recognized as a gain on the disposition of a business in other–net, (income) expense, net of the goodwill allocated to the business transferred.</w:t>
      </w:r>
    </w:p>
    <w:p>
      <w:pPr>
        <w:spacing w:after="0" w:line="62"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Under the terms of our prior arrangement, we reported as net product revenues 100 percent of sales outside the U.S. We paid Amylin a percentage of the gross margin of exenatide sales outside of the U.S., and these costs were recorded in cost of sales. This arrangement for the commercial operations outside the U.S. continued until those rights were transferred to Amylin during the first quarter of 2013.</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revenue and other income recognized with respect to exenatide for the year ended December 31, 2013:</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960" w:type="dxa"/>
            <w:vAlign w:val="bottom"/>
            <w:tcBorders>
              <w:bottom w:val="single" w:sz="8" w:color="auto"/>
            </w:tcBorders>
          </w:tcPr>
          <w:p>
            <w:pPr>
              <w:spacing w:after="0"/>
              <w:rPr>
                <w:sz w:val="17"/>
                <w:szCs w:val="17"/>
                <w:color w:val="auto"/>
              </w:rPr>
            </w:pPr>
          </w:p>
        </w:tc>
        <w:tc>
          <w:tcPr>
            <w:tcW w:w="24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2013</w:t>
            </w:r>
          </w:p>
        </w:tc>
      </w:tr>
      <w:tr>
        <w:trPr>
          <w:trHeight w:val="251"/>
        </w:trPr>
        <w:tc>
          <w:tcPr>
            <w:tcW w:w="7960" w:type="dxa"/>
            <w:vAlign w:val="bottom"/>
            <w:shd w:val="clear" w:color="auto" w:fill="D8D8D8"/>
          </w:tcPr>
          <w:p>
            <w:pPr>
              <w:ind w:left="40"/>
              <w:spacing w:after="0"/>
              <w:rPr>
                <w:sz w:val="20"/>
                <w:szCs w:val="20"/>
                <w:color w:val="auto"/>
              </w:rPr>
            </w:pPr>
            <w:r>
              <w:rPr>
                <w:rFonts w:ascii="Arial" w:cs="Arial" w:eastAsia="Arial" w:hAnsi="Arial"/>
                <w:sz w:val="18"/>
                <w:szCs w:val="18"/>
                <w:color w:val="auto"/>
              </w:rPr>
              <w:t>Revenue</w:t>
            </w:r>
          </w:p>
        </w:tc>
        <w:tc>
          <w:tcPr>
            <w:tcW w:w="2420" w:type="dxa"/>
            <w:vAlign w:val="bottom"/>
            <w:shd w:val="clear" w:color="auto" w:fill="D8D8D8"/>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D8D8D8"/>
          </w:tcPr>
          <w:p>
            <w:pPr>
              <w:jc w:val="right"/>
              <w:ind w:right="16"/>
              <w:spacing w:after="0"/>
              <w:rPr>
                <w:sz w:val="20"/>
                <w:szCs w:val="20"/>
                <w:color w:val="auto"/>
              </w:rPr>
            </w:pPr>
            <w:r>
              <w:rPr>
                <w:rFonts w:ascii="Arial" w:cs="Arial" w:eastAsia="Arial" w:hAnsi="Arial"/>
                <w:sz w:val="18"/>
                <w:szCs w:val="18"/>
                <w:color w:val="auto"/>
              </w:rPr>
              <w:t>133.1</w:t>
            </w:r>
          </w:p>
        </w:tc>
      </w:tr>
      <w:tr>
        <w:trPr>
          <w:trHeight w:val="302"/>
        </w:trPr>
        <w:tc>
          <w:tcPr>
            <w:tcW w:w="7960" w:type="dxa"/>
            <w:vAlign w:val="bottom"/>
          </w:tcPr>
          <w:p>
            <w:pPr>
              <w:ind w:left="40"/>
              <w:spacing w:after="0"/>
              <w:rPr>
                <w:sz w:val="20"/>
                <w:szCs w:val="20"/>
                <w:color w:val="auto"/>
              </w:rPr>
            </w:pPr>
            <w:r>
              <w:rPr>
                <w:rFonts w:ascii="Arial" w:cs="Arial" w:eastAsia="Arial" w:hAnsi="Arial"/>
                <w:sz w:val="18"/>
                <w:szCs w:val="18"/>
                <w:color w:val="auto"/>
              </w:rPr>
              <w:t>Income related to termination of the exenatide collaboration with Amylin</w:t>
            </w:r>
            <w:r>
              <w:rPr>
                <w:rFonts w:ascii="Arial" w:cs="Arial" w:eastAsia="Arial" w:hAnsi="Arial"/>
                <w:sz w:val="21"/>
                <w:szCs w:val="21"/>
                <w:color w:val="auto"/>
                <w:vertAlign w:val="superscript"/>
              </w:rPr>
              <w:t>(1)</w:t>
            </w:r>
          </w:p>
        </w:tc>
        <w:tc>
          <w:tcPr>
            <w:tcW w:w="2420" w:type="dxa"/>
            <w:vAlign w:val="bottom"/>
          </w:tcPr>
          <w:p>
            <w:pPr>
              <w:spacing w:after="0"/>
              <w:rPr>
                <w:sz w:val="24"/>
                <w:szCs w:val="24"/>
                <w:color w:val="auto"/>
              </w:rPr>
            </w:pP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495.4</w:t>
            </w:r>
          </w:p>
        </w:tc>
      </w:tr>
    </w:tbl>
    <w:p>
      <w:pPr>
        <w:spacing w:after="0" w:line="36" w:lineRule="exact"/>
        <w:rPr>
          <w:sz w:val="20"/>
          <w:szCs w:val="20"/>
          <w:color w:val="auto"/>
        </w:rPr>
      </w:pPr>
    </w:p>
    <w:p>
      <w:pPr>
        <w:ind w:left="160" w:hanging="152"/>
        <w:spacing w:after="0"/>
        <w:tabs>
          <w:tab w:leader="none" w:pos="160" w:val="left"/>
        </w:tabs>
        <w:numPr>
          <w:ilvl w:val="0"/>
          <w:numId w:val="59"/>
        </w:numPr>
        <w:rPr>
          <w:rFonts w:ascii="Arial" w:cs="Arial" w:eastAsia="Arial" w:hAnsi="Arial"/>
          <w:sz w:val="18"/>
          <w:szCs w:val="18"/>
          <w:color w:val="auto"/>
          <w:vertAlign w:val="superscript"/>
        </w:rPr>
      </w:pPr>
      <w:r>
        <w:rPr>
          <w:rFonts w:ascii="Arial" w:cs="Arial" w:eastAsia="Arial" w:hAnsi="Arial"/>
          <w:sz w:val="14"/>
          <w:szCs w:val="14"/>
          <w:color w:val="auto"/>
        </w:rPr>
        <w:t>Presented in other-net, (income) expense.</w:t>
      </w:r>
    </w:p>
    <w:p>
      <w:pPr>
        <w:spacing w:after="0" w:line="66" w:lineRule="exact"/>
        <w:rPr>
          <w:sz w:val="20"/>
          <w:szCs w:val="20"/>
          <w:color w:val="auto"/>
        </w:rPr>
      </w:pPr>
    </w:p>
    <w:p>
      <w:pPr>
        <w:ind w:right="200"/>
        <w:spacing w:after="0" w:line="292" w:lineRule="auto"/>
        <w:rPr>
          <w:sz w:val="20"/>
          <w:szCs w:val="20"/>
          <w:color w:val="auto"/>
        </w:rPr>
      </w:pPr>
      <w:r>
        <w:rPr>
          <w:rFonts w:ascii="Arial" w:cs="Arial" w:eastAsia="Arial" w:hAnsi="Arial"/>
          <w:sz w:val="18"/>
          <w:szCs w:val="18"/>
          <w:color w:val="auto"/>
        </w:rPr>
        <w:t>Our revenue from exenatide was not significant in 2014. We have not recorded any additional revenue from exenatide in 2015 and will not do so in future periods.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Commission and Profit-Share Payments</w:t>
      </w:r>
    </w:p>
    <w:p>
      <w:pPr>
        <w:spacing w:after="0" w:line="119" w:lineRule="exact"/>
        <w:rPr>
          <w:sz w:val="20"/>
          <w:szCs w:val="20"/>
          <w:color w:val="auto"/>
        </w:rPr>
      </w:pPr>
    </w:p>
    <w:p>
      <w:pPr>
        <w:ind w:right="180"/>
        <w:spacing w:after="0" w:line="292" w:lineRule="auto"/>
        <w:rPr>
          <w:sz w:val="20"/>
          <w:szCs w:val="20"/>
          <w:color w:val="auto"/>
        </w:rPr>
      </w:pPr>
      <w:r>
        <w:rPr>
          <w:rFonts w:ascii="Arial" w:cs="Arial" w:eastAsia="Arial" w:hAnsi="Arial"/>
          <w:sz w:val="18"/>
          <w:szCs w:val="18"/>
          <w:color w:val="auto"/>
        </w:rPr>
        <w:t>The following table summarizes our aggregate amount of marketing, selling, and administrative expense associated with our commission and profit-sharing obligations for the collaborations and other arrangements described above:</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040" w:type="dxa"/>
            <w:vAlign w:val="bottom"/>
            <w:tcBorders>
              <w:bottom w:val="single" w:sz="8" w:color="auto"/>
            </w:tcBorders>
          </w:tcPr>
          <w:p>
            <w:pPr>
              <w:spacing w:after="0"/>
              <w:rPr>
                <w:sz w:val="17"/>
                <w:szCs w:val="17"/>
                <w:color w:val="auto"/>
              </w:rPr>
            </w:pPr>
          </w:p>
        </w:tc>
        <w:tc>
          <w:tcPr>
            <w:tcW w:w="23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2015</w:t>
            </w:r>
          </w:p>
        </w:tc>
        <w:tc>
          <w:tcPr>
            <w:tcW w:w="4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2014</w:t>
            </w:r>
          </w:p>
        </w:tc>
        <w:tc>
          <w:tcPr>
            <w:tcW w:w="4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2013</w:t>
            </w:r>
          </w:p>
        </w:tc>
      </w:tr>
      <w:tr>
        <w:trPr>
          <w:trHeight w:val="265"/>
        </w:trPr>
        <w:tc>
          <w:tcPr>
            <w:tcW w:w="5040" w:type="dxa"/>
            <w:vAlign w:val="bottom"/>
            <w:shd w:val="clear" w:color="auto" w:fill="D8D8D8"/>
          </w:tcPr>
          <w:p>
            <w:pPr>
              <w:ind w:left="40"/>
              <w:spacing w:after="0"/>
              <w:rPr>
                <w:sz w:val="20"/>
                <w:szCs w:val="20"/>
                <w:color w:val="auto"/>
              </w:rPr>
            </w:pPr>
            <w:r>
              <w:rPr>
                <w:rFonts w:ascii="Arial" w:cs="Arial" w:eastAsia="Arial" w:hAnsi="Arial"/>
                <w:sz w:val="18"/>
                <w:szCs w:val="18"/>
                <w:color w:val="auto"/>
              </w:rPr>
              <w:t>Marketing, selling, and administrative</w:t>
            </w:r>
          </w:p>
        </w:tc>
        <w:tc>
          <w:tcPr>
            <w:tcW w:w="2360" w:type="dxa"/>
            <w:vAlign w:val="bottom"/>
            <w:shd w:val="clear" w:color="auto" w:fill="D8D8D8"/>
          </w:tcPr>
          <w:p>
            <w:pPr>
              <w:jc w:val="right"/>
              <w:ind w:right="110"/>
              <w:spacing w:after="0"/>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D8D8D8"/>
          </w:tcPr>
          <w:p>
            <w:pPr>
              <w:jc w:val="right"/>
              <w:ind w:right="39"/>
              <w:spacing w:after="0"/>
              <w:rPr>
                <w:sz w:val="20"/>
                <w:szCs w:val="20"/>
                <w:color w:val="auto"/>
              </w:rPr>
            </w:pPr>
            <w:r>
              <w:rPr>
                <w:rFonts w:ascii="Arial" w:cs="Arial" w:eastAsia="Arial" w:hAnsi="Arial"/>
                <w:sz w:val="18"/>
                <w:szCs w:val="18"/>
                <w:b w:val="1"/>
                <w:bCs w:val="1"/>
                <w:color w:val="auto"/>
              </w:rPr>
              <w:t>213.2</w:t>
            </w:r>
          </w:p>
        </w:tc>
        <w:tc>
          <w:tcPr>
            <w:tcW w:w="420" w:type="dxa"/>
            <w:vAlign w:val="bottom"/>
            <w:shd w:val="clear" w:color="auto" w:fill="D8D8D8"/>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D8D8D8"/>
          </w:tcPr>
          <w:p>
            <w:pPr>
              <w:jc w:val="right"/>
              <w:ind w:right="39"/>
              <w:spacing w:after="0"/>
              <w:rPr>
                <w:sz w:val="20"/>
                <w:szCs w:val="20"/>
                <w:color w:val="auto"/>
              </w:rPr>
            </w:pPr>
            <w:r>
              <w:rPr>
                <w:rFonts w:ascii="Arial" w:cs="Arial" w:eastAsia="Arial" w:hAnsi="Arial"/>
                <w:sz w:val="18"/>
                <w:szCs w:val="18"/>
                <w:color w:val="auto"/>
              </w:rPr>
              <w:t>211.2</w:t>
            </w:r>
          </w:p>
        </w:tc>
        <w:tc>
          <w:tcPr>
            <w:tcW w:w="440" w:type="dxa"/>
            <w:vAlign w:val="bottom"/>
            <w:shd w:val="clear" w:color="auto" w:fill="D8D8D8"/>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D8D8D8"/>
          </w:tcPr>
          <w:p>
            <w:pPr>
              <w:jc w:val="right"/>
              <w:ind w:right="19"/>
              <w:spacing w:after="0"/>
              <w:rPr>
                <w:sz w:val="20"/>
                <w:szCs w:val="20"/>
                <w:color w:val="auto"/>
              </w:rPr>
            </w:pPr>
            <w:r>
              <w:rPr>
                <w:rFonts w:ascii="Arial" w:cs="Arial" w:eastAsia="Arial" w:hAnsi="Arial"/>
                <w:sz w:val="18"/>
                <w:szCs w:val="18"/>
                <w:color w:val="auto"/>
              </w:rPr>
              <w:t>203.7</w:t>
            </w:r>
          </w:p>
        </w:tc>
      </w:tr>
    </w:tbl>
    <w:p>
      <w:pPr>
        <w:spacing w:after="0" w:line="200" w:lineRule="exact"/>
        <w:rPr>
          <w:sz w:val="20"/>
          <w:szCs w:val="20"/>
          <w:color w:val="auto"/>
        </w:rPr>
      </w:pPr>
    </w:p>
    <w:p>
      <w:pPr>
        <w:spacing w:after="0" w:line="23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71</w:t>
      </w:r>
    </w:p>
    <w:p>
      <w:pPr>
        <w:sectPr>
          <w:pgSz w:w="11900" w:h="16838" w:orient="portrait"/>
          <w:cols w:equalWidth="0" w:num="1">
            <w:col w:w="11420"/>
          </w:cols>
          <w:pgMar w:left="240" w:top="736" w:right="23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color w:val="CC0000"/>
        </w:rPr>
        <w:t>Note 5: Asset Impairment, Restructuring, and Other Special Charges</w:t>
      </w:r>
    </w:p>
    <w:p>
      <w:pPr>
        <w:spacing w:after="0" w:line="173" w:lineRule="exact"/>
        <w:rPr>
          <w:sz w:val="20"/>
          <w:szCs w:val="20"/>
          <w:color w:val="auto"/>
        </w:rPr>
      </w:pPr>
    </w:p>
    <w:p>
      <w:pPr>
        <w:ind w:right="600"/>
        <w:spacing w:after="0" w:line="292" w:lineRule="auto"/>
        <w:rPr>
          <w:sz w:val="20"/>
          <w:szCs w:val="20"/>
          <w:color w:val="auto"/>
        </w:rPr>
      </w:pPr>
      <w:r>
        <w:rPr>
          <w:rFonts w:ascii="Arial" w:cs="Arial" w:eastAsia="Arial" w:hAnsi="Arial"/>
          <w:sz w:val="18"/>
          <w:szCs w:val="18"/>
          <w:color w:val="auto"/>
        </w:rPr>
        <w:t>The components of the charges included in asset impairment, restructuring, and other special charges in our consolidated statements of operations are described below.</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0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2015</w:t>
            </w:r>
          </w:p>
        </w:tc>
        <w:tc>
          <w:tcPr>
            <w:tcW w:w="4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2014</w:t>
            </w:r>
          </w:p>
        </w:tc>
        <w:tc>
          <w:tcPr>
            <w:tcW w:w="4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2013</w:t>
            </w:r>
          </w:p>
        </w:tc>
      </w:tr>
      <w:tr>
        <w:trPr>
          <w:trHeight w:val="245"/>
        </w:trPr>
        <w:tc>
          <w:tcPr>
            <w:tcW w:w="7080" w:type="dxa"/>
            <w:vAlign w:val="bottom"/>
            <w:tcBorders>
              <w:bottom w:val="single" w:sz="8" w:color="D8D8D8"/>
            </w:tcBorders>
            <w:shd w:val="clear" w:color="auto" w:fill="D8D8D8"/>
          </w:tcPr>
          <w:p>
            <w:pPr>
              <w:ind w:left="40"/>
              <w:spacing w:after="0"/>
              <w:rPr>
                <w:sz w:val="20"/>
                <w:szCs w:val="20"/>
                <w:color w:val="auto"/>
              </w:rPr>
            </w:pPr>
            <w:r>
              <w:rPr>
                <w:rFonts w:ascii="Arial" w:cs="Arial" w:eastAsia="Arial" w:hAnsi="Arial"/>
                <w:sz w:val="18"/>
                <w:szCs w:val="18"/>
                <w:color w:val="auto"/>
              </w:rPr>
              <w:t>Severance:</w:t>
            </w:r>
          </w:p>
        </w:tc>
        <w:tc>
          <w:tcPr>
            <w:tcW w:w="320" w:type="dxa"/>
            <w:vAlign w:val="bottom"/>
            <w:tcBorders>
              <w:bottom w:val="single" w:sz="8" w:color="D8D8D8"/>
            </w:tcBorders>
            <w:shd w:val="clear" w:color="auto" w:fill="D8D8D8"/>
          </w:tcPr>
          <w:p>
            <w:pPr>
              <w:spacing w:after="0"/>
              <w:rPr>
                <w:sz w:val="21"/>
                <w:szCs w:val="21"/>
                <w:color w:val="auto"/>
              </w:rPr>
            </w:pPr>
          </w:p>
        </w:tc>
        <w:tc>
          <w:tcPr>
            <w:tcW w:w="1060" w:type="dxa"/>
            <w:vAlign w:val="bottom"/>
            <w:tcBorders>
              <w:bottom w:val="single" w:sz="8" w:color="D8D8D8"/>
            </w:tcBorders>
            <w:shd w:val="clear" w:color="auto" w:fill="D8D8D8"/>
          </w:tcPr>
          <w:p>
            <w:pPr>
              <w:spacing w:after="0"/>
              <w:rPr>
                <w:sz w:val="21"/>
                <w:szCs w:val="21"/>
                <w:color w:val="auto"/>
              </w:rPr>
            </w:pPr>
          </w:p>
        </w:tc>
        <w:tc>
          <w:tcPr>
            <w:tcW w:w="420" w:type="dxa"/>
            <w:vAlign w:val="bottom"/>
            <w:tcBorders>
              <w:bottom w:val="single" w:sz="8" w:color="D8D8D8"/>
            </w:tcBorders>
            <w:shd w:val="clear" w:color="auto" w:fill="D8D8D8"/>
          </w:tcPr>
          <w:p>
            <w:pPr>
              <w:spacing w:after="0"/>
              <w:rPr>
                <w:sz w:val="21"/>
                <w:szCs w:val="21"/>
                <w:color w:val="auto"/>
              </w:rPr>
            </w:pPr>
          </w:p>
        </w:tc>
        <w:tc>
          <w:tcPr>
            <w:tcW w:w="1060" w:type="dxa"/>
            <w:vAlign w:val="bottom"/>
            <w:tcBorders>
              <w:bottom w:val="single" w:sz="8" w:color="D8D8D8"/>
            </w:tcBorders>
            <w:shd w:val="clear" w:color="auto" w:fill="D8D8D8"/>
          </w:tcPr>
          <w:p>
            <w:pPr>
              <w:spacing w:after="0"/>
              <w:rPr>
                <w:sz w:val="21"/>
                <w:szCs w:val="21"/>
                <w:color w:val="auto"/>
              </w:rPr>
            </w:pPr>
          </w:p>
        </w:tc>
        <w:tc>
          <w:tcPr>
            <w:tcW w:w="440" w:type="dxa"/>
            <w:vAlign w:val="bottom"/>
            <w:tcBorders>
              <w:bottom w:val="single" w:sz="8" w:color="D8D8D8"/>
            </w:tcBorders>
            <w:shd w:val="clear" w:color="auto" w:fill="D8D8D8"/>
          </w:tcPr>
          <w:p>
            <w:pPr>
              <w:spacing w:after="0"/>
              <w:rPr>
                <w:sz w:val="21"/>
                <w:szCs w:val="21"/>
                <w:color w:val="auto"/>
              </w:rPr>
            </w:pPr>
          </w:p>
        </w:tc>
        <w:tc>
          <w:tcPr>
            <w:tcW w:w="1040" w:type="dxa"/>
            <w:vAlign w:val="bottom"/>
            <w:tcBorders>
              <w:bottom w:val="single" w:sz="8" w:color="D8D8D8"/>
            </w:tcBorders>
            <w:shd w:val="clear" w:color="auto" w:fill="D8D8D8"/>
          </w:tcPr>
          <w:p>
            <w:pPr>
              <w:spacing w:after="0"/>
              <w:rPr>
                <w:sz w:val="21"/>
                <w:szCs w:val="21"/>
                <w:color w:val="auto"/>
              </w:rPr>
            </w:pPr>
          </w:p>
        </w:tc>
      </w:tr>
      <w:tr>
        <w:trPr>
          <w:trHeight w:val="269"/>
        </w:trPr>
        <w:tc>
          <w:tcPr>
            <w:tcW w:w="7080" w:type="dxa"/>
            <w:vAlign w:val="bottom"/>
          </w:tcPr>
          <w:p>
            <w:pPr>
              <w:ind w:left="180"/>
              <w:spacing w:after="0"/>
              <w:rPr>
                <w:sz w:val="20"/>
                <w:szCs w:val="20"/>
                <w:color w:val="auto"/>
              </w:rPr>
            </w:pPr>
            <w:r>
              <w:rPr>
                <w:rFonts w:ascii="Arial" w:cs="Arial" w:eastAsia="Arial" w:hAnsi="Arial"/>
                <w:sz w:val="18"/>
                <w:szCs w:val="18"/>
                <w:color w:val="auto"/>
              </w:rPr>
              <w:t>Human pharmaceutical products</w:t>
            </w: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Pr>
          <w:p>
            <w:pPr>
              <w:jc w:val="right"/>
              <w:ind w:right="32"/>
              <w:spacing w:after="0"/>
              <w:rPr>
                <w:sz w:val="20"/>
                <w:szCs w:val="20"/>
                <w:color w:val="auto"/>
              </w:rPr>
            </w:pPr>
            <w:r>
              <w:rPr>
                <w:rFonts w:ascii="Arial" w:cs="Arial" w:eastAsia="Arial" w:hAnsi="Arial"/>
                <w:sz w:val="18"/>
                <w:szCs w:val="18"/>
                <w:b w:val="1"/>
                <w:bCs w:val="1"/>
                <w:color w:val="auto"/>
              </w:rPr>
              <w:t>81.5</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225.5</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90.6</w:t>
            </w:r>
          </w:p>
        </w:tc>
      </w:tr>
      <w:tr>
        <w:trPr>
          <w:trHeight w:val="271"/>
        </w:trPr>
        <w:tc>
          <w:tcPr>
            <w:tcW w:w="7080" w:type="dxa"/>
            <w:vAlign w:val="bottom"/>
            <w:shd w:val="clear" w:color="auto" w:fill="D8D8D8"/>
          </w:tcPr>
          <w:p>
            <w:pPr>
              <w:ind w:left="180"/>
              <w:spacing w:after="0"/>
              <w:rPr>
                <w:sz w:val="20"/>
                <w:szCs w:val="20"/>
                <w:color w:val="auto"/>
              </w:rPr>
            </w:pPr>
            <w:r>
              <w:rPr>
                <w:rFonts w:ascii="Arial" w:cs="Arial" w:eastAsia="Arial" w:hAnsi="Arial"/>
                <w:sz w:val="18"/>
                <w:szCs w:val="18"/>
                <w:color w:val="auto"/>
              </w:rPr>
              <w:t>Animal health</w:t>
            </w:r>
          </w:p>
        </w:tc>
        <w:tc>
          <w:tcPr>
            <w:tcW w:w="320" w:type="dxa"/>
            <w:vAlign w:val="bottom"/>
            <w:tcBorders>
              <w:bottom w:val="single" w:sz="8" w:color="auto"/>
            </w:tcBorders>
            <w:shd w:val="clear" w:color="auto" w:fill="D8D8D8"/>
          </w:tcPr>
          <w:p>
            <w:pPr>
              <w:spacing w:after="0"/>
              <w:rPr>
                <w:sz w:val="23"/>
                <w:szCs w:val="23"/>
                <w:color w:val="auto"/>
              </w:rPr>
            </w:pPr>
          </w:p>
        </w:tc>
        <w:tc>
          <w:tcPr>
            <w:tcW w:w="1060" w:type="dxa"/>
            <w:vAlign w:val="bottom"/>
            <w:tcBorders>
              <w:bottom w:val="single" w:sz="8" w:color="auto"/>
            </w:tcBorders>
            <w:shd w:val="clear" w:color="auto" w:fill="D8D8D8"/>
          </w:tcPr>
          <w:p>
            <w:pPr>
              <w:jc w:val="right"/>
              <w:ind w:right="32"/>
              <w:spacing w:after="0"/>
              <w:rPr>
                <w:sz w:val="20"/>
                <w:szCs w:val="20"/>
                <w:color w:val="auto"/>
              </w:rPr>
            </w:pPr>
            <w:r>
              <w:rPr>
                <w:rFonts w:ascii="Arial" w:cs="Arial" w:eastAsia="Arial" w:hAnsi="Arial"/>
                <w:sz w:val="18"/>
                <w:szCs w:val="18"/>
                <w:b w:val="1"/>
                <w:bCs w:val="1"/>
                <w:color w:val="auto"/>
              </w:rPr>
              <w:t>59.5</w:t>
            </w:r>
          </w:p>
        </w:tc>
        <w:tc>
          <w:tcPr>
            <w:tcW w:w="420" w:type="dxa"/>
            <w:vAlign w:val="bottom"/>
            <w:tcBorders>
              <w:bottom w:val="single" w:sz="8" w:color="auto"/>
            </w:tcBorders>
            <w:shd w:val="clear" w:color="auto" w:fill="D8D8D8"/>
          </w:tcPr>
          <w:p>
            <w:pPr>
              <w:spacing w:after="0"/>
              <w:rPr>
                <w:sz w:val="23"/>
                <w:szCs w:val="23"/>
                <w:color w:val="auto"/>
              </w:rPr>
            </w:pPr>
          </w:p>
        </w:tc>
        <w:tc>
          <w:tcPr>
            <w:tcW w:w="1060" w:type="dxa"/>
            <w:vAlign w:val="bottom"/>
            <w:tcBorders>
              <w:bottom w:val="single" w:sz="8" w:color="auto"/>
            </w:tcBorders>
            <w:shd w:val="clear" w:color="auto" w:fill="D8D8D8"/>
          </w:tcPr>
          <w:p>
            <w:pPr>
              <w:jc w:val="right"/>
              <w:ind w:right="32"/>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shd w:val="clear" w:color="auto" w:fill="D8D8D8"/>
          </w:tcPr>
          <w:p>
            <w:pPr>
              <w:spacing w:after="0"/>
              <w:rPr>
                <w:sz w:val="23"/>
                <w:szCs w:val="23"/>
                <w:color w:val="auto"/>
              </w:rPr>
            </w:pPr>
          </w:p>
        </w:tc>
        <w:tc>
          <w:tcPr>
            <w:tcW w:w="1040" w:type="dxa"/>
            <w:vAlign w:val="bottom"/>
            <w:tcBorders>
              <w:bottom w:val="single" w:sz="8" w:color="auto"/>
            </w:tcBorders>
            <w:shd w:val="clear" w:color="auto" w:fill="D8D8D8"/>
          </w:tcPr>
          <w:p>
            <w:pPr>
              <w:jc w:val="right"/>
              <w:ind w:right="12"/>
              <w:spacing w:after="0"/>
              <w:rPr>
                <w:sz w:val="20"/>
                <w:szCs w:val="20"/>
                <w:color w:val="auto"/>
              </w:rPr>
            </w:pPr>
            <w:r>
              <w:rPr>
                <w:rFonts w:ascii="Arial" w:cs="Arial" w:eastAsia="Arial" w:hAnsi="Arial"/>
                <w:sz w:val="18"/>
                <w:szCs w:val="18"/>
                <w:color w:val="auto"/>
              </w:rPr>
              <w:t>—</w:t>
            </w:r>
          </w:p>
        </w:tc>
      </w:tr>
      <w:tr>
        <w:trPr>
          <w:trHeight w:val="263"/>
        </w:trPr>
        <w:tc>
          <w:tcPr>
            <w:tcW w:w="7080" w:type="dxa"/>
            <w:vAlign w:val="bottom"/>
          </w:tcPr>
          <w:p>
            <w:pPr>
              <w:ind w:left="40"/>
              <w:spacing w:after="0"/>
              <w:rPr>
                <w:sz w:val="20"/>
                <w:szCs w:val="20"/>
                <w:color w:val="auto"/>
              </w:rPr>
            </w:pPr>
            <w:r>
              <w:rPr>
                <w:rFonts w:ascii="Arial" w:cs="Arial" w:eastAsia="Arial" w:hAnsi="Arial"/>
                <w:sz w:val="18"/>
                <w:szCs w:val="18"/>
                <w:color w:val="auto"/>
              </w:rPr>
              <w:t>Total severance</w:t>
            </w:r>
          </w:p>
        </w:tc>
        <w:tc>
          <w:tcPr>
            <w:tcW w:w="320" w:type="dxa"/>
            <w:vAlign w:val="bottom"/>
          </w:tcPr>
          <w:p>
            <w:pPr>
              <w:spacing w:after="0"/>
              <w:rPr>
                <w:sz w:val="22"/>
                <w:szCs w:val="22"/>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b w:val="1"/>
                <w:bCs w:val="1"/>
                <w:color w:val="auto"/>
              </w:rPr>
              <w:t>141.0</w:t>
            </w:r>
          </w:p>
        </w:tc>
        <w:tc>
          <w:tcPr>
            <w:tcW w:w="420" w:type="dxa"/>
            <w:vAlign w:val="bottom"/>
          </w:tcPr>
          <w:p>
            <w:pPr>
              <w:spacing w:after="0"/>
              <w:rPr>
                <w:sz w:val="22"/>
                <w:szCs w:val="22"/>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225.5</w:t>
            </w:r>
          </w:p>
        </w:tc>
        <w:tc>
          <w:tcPr>
            <w:tcW w:w="440" w:type="dxa"/>
            <w:vAlign w:val="bottom"/>
          </w:tcPr>
          <w:p>
            <w:pPr>
              <w:spacing w:after="0"/>
              <w:rPr>
                <w:sz w:val="22"/>
                <w:szCs w:val="22"/>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90.6</w:t>
            </w:r>
          </w:p>
        </w:tc>
      </w:tr>
      <w:tr>
        <w:trPr>
          <w:trHeight w:val="251"/>
        </w:trPr>
        <w:tc>
          <w:tcPr>
            <w:tcW w:w="7080" w:type="dxa"/>
            <w:vAlign w:val="bottom"/>
            <w:tcBorders>
              <w:bottom w:val="single" w:sz="8" w:color="D8D8D8"/>
            </w:tcBorders>
            <w:shd w:val="clear" w:color="auto" w:fill="D8D8D8"/>
          </w:tcPr>
          <w:p>
            <w:pPr>
              <w:ind w:left="40"/>
              <w:spacing w:after="0"/>
              <w:rPr>
                <w:sz w:val="20"/>
                <w:szCs w:val="20"/>
                <w:color w:val="auto"/>
              </w:rPr>
            </w:pPr>
            <w:r>
              <w:rPr>
                <w:rFonts w:ascii="Arial" w:cs="Arial" w:eastAsia="Arial" w:hAnsi="Arial"/>
                <w:sz w:val="18"/>
                <w:szCs w:val="18"/>
                <w:color w:val="auto"/>
              </w:rPr>
              <w:t>Asset impairment and other special charges:</w:t>
            </w:r>
          </w:p>
        </w:tc>
        <w:tc>
          <w:tcPr>
            <w:tcW w:w="320" w:type="dxa"/>
            <w:vAlign w:val="bottom"/>
            <w:tcBorders>
              <w:bottom w:val="single" w:sz="8" w:color="D8D8D8"/>
            </w:tcBorders>
            <w:shd w:val="clear" w:color="auto" w:fill="D8D8D8"/>
          </w:tcPr>
          <w:p>
            <w:pPr>
              <w:spacing w:after="0"/>
              <w:rPr>
                <w:sz w:val="21"/>
                <w:szCs w:val="21"/>
                <w:color w:val="auto"/>
              </w:rPr>
            </w:pPr>
          </w:p>
        </w:tc>
        <w:tc>
          <w:tcPr>
            <w:tcW w:w="1060" w:type="dxa"/>
            <w:vAlign w:val="bottom"/>
            <w:tcBorders>
              <w:bottom w:val="single" w:sz="8" w:color="D8D8D8"/>
            </w:tcBorders>
            <w:shd w:val="clear" w:color="auto" w:fill="D8D8D8"/>
          </w:tcPr>
          <w:p>
            <w:pPr>
              <w:spacing w:after="0"/>
              <w:rPr>
                <w:sz w:val="21"/>
                <w:szCs w:val="21"/>
                <w:color w:val="auto"/>
              </w:rPr>
            </w:pPr>
          </w:p>
        </w:tc>
        <w:tc>
          <w:tcPr>
            <w:tcW w:w="420" w:type="dxa"/>
            <w:vAlign w:val="bottom"/>
            <w:tcBorders>
              <w:bottom w:val="single" w:sz="8" w:color="D8D8D8"/>
            </w:tcBorders>
            <w:shd w:val="clear" w:color="auto" w:fill="D8D8D8"/>
          </w:tcPr>
          <w:p>
            <w:pPr>
              <w:spacing w:after="0"/>
              <w:rPr>
                <w:sz w:val="21"/>
                <w:szCs w:val="21"/>
                <w:color w:val="auto"/>
              </w:rPr>
            </w:pPr>
          </w:p>
        </w:tc>
        <w:tc>
          <w:tcPr>
            <w:tcW w:w="1060" w:type="dxa"/>
            <w:vAlign w:val="bottom"/>
            <w:tcBorders>
              <w:bottom w:val="single" w:sz="8" w:color="D8D8D8"/>
            </w:tcBorders>
            <w:shd w:val="clear" w:color="auto" w:fill="D8D8D8"/>
          </w:tcPr>
          <w:p>
            <w:pPr>
              <w:spacing w:after="0"/>
              <w:rPr>
                <w:sz w:val="21"/>
                <w:szCs w:val="21"/>
                <w:color w:val="auto"/>
              </w:rPr>
            </w:pPr>
          </w:p>
        </w:tc>
        <w:tc>
          <w:tcPr>
            <w:tcW w:w="440" w:type="dxa"/>
            <w:vAlign w:val="bottom"/>
            <w:tcBorders>
              <w:bottom w:val="single" w:sz="8" w:color="D8D8D8"/>
            </w:tcBorders>
            <w:shd w:val="clear" w:color="auto" w:fill="D8D8D8"/>
          </w:tcPr>
          <w:p>
            <w:pPr>
              <w:spacing w:after="0"/>
              <w:rPr>
                <w:sz w:val="21"/>
                <w:szCs w:val="21"/>
                <w:color w:val="auto"/>
              </w:rPr>
            </w:pPr>
          </w:p>
        </w:tc>
        <w:tc>
          <w:tcPr>
            <w:tcW w:w="1040" w:type="dxa"/>
            <w:vAlign w:val="bottom"/>
            <w:tcBorders>
              <w:bottom w:val="single" w:sz="8" w:color="D8D8D8"/>
            </w:tcBorders>
            <w:shd w:val="clear" w:color="auto" w:fill="D8D8D8"/>
          </w:tcPr>
          <w:p>
            <w:pPr>
              <w:spacing w:after="0"/>
              <w:rPr>
                <w:sz w:val="21"/>
                <w:szCs w:val="21"/>
                <w:color w:val="auto"/>
              </w:rPr>
            </w:pPr>
          </w:p>
        </w:tc>
      </w:tr>
      <w:tr>
        <w:trPr>
          <w:trHeight w:val="269"/>
        </w:trPr>
        <w:tc>
          <w:tcPr>
            <w:tcW w:w="7080" w:type="dxa"/>
            <w:vAlign w:val="bottom"/>
          </w:tcPr>
          <w:p>
            <w:pPr>
              <w:ind w:left="180"/>
              <w:spacing w:after="0"/>
              <w:rPr>
                <w:sz w:val="20"/>
                <w:szCs w:val="20"/>
                <w:color w:val="auto"/>
              </w:rPr>
            </w:pPr>
            <w:r>
              <w:rPr>
                <w:rFonts w:ascii="Arial" w:cs="Arial" w:eastAsia="Arial" w:hAnsi="Arial"/>
                <w:sz w:val="18"/>
                <w:szCs w:val="18"/>
                <w:color w:val="auto"/>
              </w:rPr>
              <w:t>Human pharmaceutical products</w:t>
            </w:r>
          </w:p>
        </w:tc>
        <w:tc>
          <w:tcPr>
            <w:tcW w:w="320" w:type="dxa"/>
            <w:vAlign w:val="bottom"/>
          </w:tcPr>
          <w:p>
            <w:pPr>
              <w:spacing w:after="0"/>
              <w:rPr>
                <w:sz w:val="23"/>
                <w:szCs w:val="23"/>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b w:val="1"/>
                <w:bCs w:val="1"/>
                <w:color w:val="auto"/>
              </w:rPr>
              <w:t>24.6</w:t>
            </w:r>
          </w:p>
        </w:tc>
        <w:tc>
          <w:tcPr>
            <w:tcW w:w="420" w:type="dxa"/>
            <w:vAlign w:val="bottom"/>
          </w:tcPr>
          <w:p>
            <w:pPr>
              <w:spacing w:after="0"/>
              <w:rPr>
                <w:sz w:val="23"/>
                <w:szCs w:val="23"/>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204.4</w:t>
            </w:r>
          </w:p>
        </w:tc>
        <w:tc>
          <w:tcPr>
            <w:tcW w:w="44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30.0</w:t>
            </w:r>
          </w:p>
        </w:tc>
      </w:tr>
      <w:tr>
        <w:trPr>
          <w:trHeight w:val="271"/>
        </w:trPr>
        <w:tc>
          <w:tcPr>
            <w:tcW w:w="7080" w:type="dxa"/>
            <w:vAlign w:val="bottom"/>
            <w:shd w:val="clear" w:color="auto" w:fill="D8D8D8"/>
          </w:tcPr>
          <w:p>
            <w:pPr>
              <w:ind w:left="180"/>
              <w:spacing w:after="0"/>
              <w:rPr>
                <w:sz w:val="20"/>
                <w:szCs w:val="20"/>
                <w:color w:val="auto"/>
              </w:rPr>
            </w:pPr>
            <w:r>
              <w:rPr>
                <w:rFonts w:ascii="Arial" w:cs="Arial" w:eastAsia="Arial" w:hAnsi="Arial"/>
                <w:sz w:val="18"/>
                <w:szCs w:val="18"/>
                <w:color w:val="auto"/>
              </w:rPr>
              <w:t>Animal health</w:t>
            </w:r>
          </w:p>
        </w:tc>
        <w:tc>
          <w:tcPr>
            <w:tcW w:w="320" w:type="dxa"/>
            <w:vAlign w:val="bottom"/>
            <w:tcBorders>
              <w:bottom w:val="single" w:sz="8" w:color="auto"/>
            </w:tcBorders>
            <w:shd w:val="clear" w:color="auto" w:fill="D8D8D8"/>
          </w:tcPr>
          <w:p>
            <w:pPr>
              <w:spacing w:after="0"/>
              <w:rPr>
                <w:sz w:val="23"/>
                <w:szCs w:val="23"/>
                <w:color w:val="auto"/>
              </w:rPr>
            </w:pPr>
          </w:p>
        </w:tc>
        <w:tc>
          <w:tcPr>
            <w:tcW w:w="1060" w:type="dxa"/>
            <w:vAlign w:val="bottom"/>
            <w:tcBorders>
              <w:bottom w:val="single" w:sz="8" w:color="auto"/>
            </w:tcBorders>
            <w:shd w:val="clear" w:color="auto" w:fill="D8D8D8"/>
          </w:tcPr>
          <w:p>
            <w:pPr>
              <w:jc w:val="right"/>
              <w:ind w:right="32"/>
              <w:spacing w:after="0"/>
              <w:rPr>
                <w:sz w:val="20"/>
                <w:szCs w:val="20"/>
                <w:color w:val="auto"/>
              </w:rPr>
            </w:pPr>
            <w:r>
              <w:rPr>
                <w:rFonts w:ascii="Arial" w:cs="Arial" w:eastAsia="Arial" w:hAnsi="Arial"/>
                <w:sz w:val="18"/>
                <w:szCs w:val="18"/>
                <w:b w:val="1"/>
                <w:bCs w:val="1"/>
                <w:color w:val="auto"/>
              </w:rPr>
              <w:t>202.1</w:t>
            </w:r>
          </w:p>
        </w:tc>
        <w:tc>
          <w:tcPr>
            <w:tcW w:w="420" w:type="dxa"/>
            <w:vAlign w:val="bottom"/>
            <w:tcBorders>
              <w:bottom w:val="single" w:sz="8" w:color="auto"/>
            </w:tcBorders>
            <w:shd w:val="clear" w:color="auto" w:fill="D8D8D8"/>
          </w:tcPr>
          <w:p>
            <w:pPr>
              <w:spacing w:after="0"/>
              <w:rPr>
                <w:sz w:val="23"/>
                <w:szCs w:val="23"/>
                <w:color w:val="auto"/>
              </w:rPr>
            </w:pPr>
          </w:p>
        </w:tc>
        <w:tc>
          <w:tcPr>
            <w:tcW w:w="1060" w:type="dxa"/>
            <w:vAlign w:val="bottom"/>
            <w:tcBorders>
              <w:bottom w:val="single" w:sz="8" w:color="auto"/>
            </w:tcBorders>
            <w:shd w:val="clear" w:color="auto" w:fill="D8D8D8"/>
          </w:tcPr>
          <w:p>
            <w:pPr>
              <w:jc w:val="right"/>
              <w:ind w:right="32"/>
              <w:spacing w:after="0"/>
              <w:rPr>
                <w:sz w:val="20"/>
                <w:szCs w:val="20"/>
                <w:color w:val="auto"/>
              </w:rPr>
            </w:pPr>
            <w:r>
              <w:rPr>
                <w:rFonts w:ascii="Arial" w:cs="Arial" w:eastAsia="Arial" w:hAnsi="Arial"/>
                <w:sz w:val="18"/>
                <w:szCs w:val="18"/>
                <w:color w:val="auto"/>
              </w:rPr>
              <w:t>38.8</w:t>
            </w:r>
          </w:p>
        </w:tc>
        <w:tc>
          <w:tcPr>
            <w:tcW w:w="440" w:type="dxa"/>
            <w:vAlign w:val="bottom"/>
            <w:tcBorders>
              <w:bottom w:val="single" w:sz="8" w:color="auto"/>
            </w:tcBorders>
            <w:shd w:val="clear" w:color="auto" w:fill="D8D8D8"/>
          </w:tcPr>
          <w:p>
            <w:pPr>
              <w:spacing w:after="0"/>
              <w:rPr>
                <w:sz w:val="23"/>
                <w:szCs w:val="23"/>
                <w:color w:val="auto"/>
              </w:rPr>
            </w:pPr>
          </w:p>
        </w:tc>
        <w:tc>
          <w:tcPr>
            <w:tcW w:w="1040" w:type="dxa"/>
            <w:vAlign w:val="bottom"/>
            <w:tcBorders>
              <w:bottom w:val="single" w:sz="8" w:color="auto"/>
            </w:tcBorders>
            <w:shd w:val="clear" w:color="auto" w:fill="D8D8D8"/>
          </w:tcPr>
          <w:p>
            <w:pPr>
              <w:jc w:val="right"/>
              <w:ind w:right="12"/>
              <w:spacing w:after="0"/>
              <w:rPr>
                <w:sz w:val="20"/>
                <w:szCs w:val="20"/>
                <w:color w:val="auto"/>
              </w:rPr>
            </w:pPr>
            <w:r>
              <w:rPr>
                <w:rFonts w:ascii="Arial" w:cs="Arial" w:eastAsia="Arial" w:hAnsi="Arial"/>
                <w:sz w:val="18"/>
                <w:szCs w:val="18"/>
                <w:color w:val="auto"/>
              </w:rPr>
              <w:t>—</w:t>
            </w:r>
          </w:p>
        </w:tc>
      </w:tr>
      <w:tr>
        <w:trPr>
          <w:trHeight w:val="263"/>
        </w:trPr>
        <w:tc>
          <w:tcPr>
            <w:tcW w:w="7080" w:type="dxa"/>
            <w:vAlign w:val="bottom"/>
            <w:tcBorders>
              <w:bottom w:val="single" w:sz="8" w:color="D8D8D8"/>
            </w:tcBorders>
          </w:tcPr>
          <w:p>
            <w:pPr>
              <w:ind w:left="40"/>
              <w:spacing w:after="0"/>
              <w:rPr>
                <w:sz w:val="20"/>
                <w:szCs w:val="20"/>
                <w:color w:val="auto"/>
              </w:rPr>
            </w:pPr>
            <w:r>
              <w:rPr>
                <w:rFonts w:ascii="Arial" w:cs="Arial" w:eastAsia="Arial" w:hAnsi="Arial"/>
                <w:sz w:val="18"/>
                <w:szCs w:val="18"/>
                <w:color w:val="auto"/>
              </w:rPr>
              <w:t>Total asset impairment and other special charges</w:t>
            </w: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226.7</w:t>
            </w:r>
          </w:p>
        </w:tc>
        <w:tc>
          <w:tcPr>
            <w:tcW w:w="4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243.2</w:t>
            </w:r>
          </w:p>
        </w:tc>
        <w:tc>
          <w:tcPr>
            <w:tcW w:w="4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30.0</w:t>
            </w:r>
          </w:p>
        </w:tc>
      </w:tr>
      <w:tr>
        <w:trPr>
          <w:trHeight w:val="271"/>
        </w:trPr>
        <w:tc>
          <w:tcPr>
            <w:tcW w:w="7080" w:type="dxa"/>
            <w:vAlign w:val="bottom"/>
            <w:tcBorders>
              <w:bottom w:val="single" w:sz="8" w:color="D8D8D8"/>
            </w:tcBorders>
            <w:shd w:val="clear" w:color="auto" w:fill="D8D8D8"/>
          </w:tcPr>
          <w:p>
            <w:pPr>
              <w:ind w:left="40"/>
              <w:spacing w:after="0"/>
              <w:rPr>
                <w:sz w:val="20"/>
                <w:szCs w:val="20"/>
                <w:color w:val="auto"/>
              </w:rPr>
            </w:pPr>
            <w:r>
              <w:rPr>
                <w:rFonts w:ascii="Arial" w:cs="Arial" w:eastAsia="Arial" w:hAnsi="Arial"/>
                <w:sz w:val="18"/>
                <w:szCs w:val="18"/>
                <w:color w:val="auto"/>
              </w:rPr>
              <w:t>Asset impairment, restructuring, and other special charges</w:t>
            </w:r>
          </w:p>
        </w:tc>
        <w:tc>
          <w:tcPr>
            <w:tcW w:w="320" w:type="dxa"/>
            <w:vAlign w:val="bottom"/>
            <w:tcBorders>
              <w:bottom w:val="single" w:sz="8" w:color="auto"/>
            </w:tcBorders>
            <w:shd w:val="clear" w:color="auto" w:fill="D8D8D8"/>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shd w:val="clear" w:color="auto" w:fill="D8D8D8"/>
          </w:tcPr>
          <w:p>
            <w:pPr>
              <w:jc w:val="right"/>
              <w:ind w:right="32"/>
              <w:spacing w:after="0"/>
              <w:rPr>
                <w:sz w:val="20"/>
                <w:szCs w:val="20"/>
                <w:color w:val="auto"/>
              </w:rPr>
            </w:pPr>
            <w:r>
              <w:rPr>
                <w:rFonts w:ascii="Arial" w:cs="Arial" w:eastAsia="Arial" w:hAnsi="Arial"/>
                <w:sz w:val="18"/>
                <w:szCs w:val="18"/>
                <w:b w:val="1"/>
                <w:bCs w:val="1"/>
                <w:color w:val="auto"/>
              </w:rPr>
              <w:t>367.7</w:t>
            </w:r>
          </w:p>
        </w:tc>
        <w:tc>
          <w:tcPr>
            <w:tcW w:w="420" w:type="dxa"/>
            <w:vAlign w:val="bottom"/>
            <w:tcBorders>
              <w:bottom w:val="single" w:sz="8" w:color="auto"/>
            </w:tcBorders>
            <w:shd w:val="clear" w:color="auto" w:fill="D8D8D8"/>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D8D8D8"/>
          </w:tcPr>
          <w:p>
            <w:pPr>
              <w:jc w:val="right"/>
              <w:ind w:right="32"/>
              <w:spacing w:after="0"/>
              <w:rPr>
                <w:sz w:val="20"/>
                <w:szCs w:val="20"/>
                <w:color w:val="auto"/>
              </w:rPr>
            </w:pPr>
            <w:r>
              <w:rPr>
                <w:rFonts w:ascii="Arial" w:cs="Arial" w:eastAsia="Arial" w:hAnsi="Arial"/>
                <w:sz w:val="18"/>
                <w:szCs w:val="18"/>
                <w:color w:val="auto"/>
              </w:rPr>
              <w:t>468.7</w:t>
            </w:r>
          </w:p>
        </w:tc>
        <w:tc>
          <w:tcPr>
            <w:tcW w:w="440" w:type="dxa"/>
            <w:vAlign w:val="bottom"/>
            <w:tcBorders>
              <w:bottom w:val="single" w:sz="8" w:color="auto"/>
            </w:tcBorders>
            <w:shd w:val="clear" w:color="auto" w:fill="D8D8D8"/>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D8D8D8"/>
          </w:tcPr>
          <w:p>
            <w:pPr>
              <w:jc w:val="right"/>
              <w:ind w:right="12"/>
              <w:spacing w:after="0"/>
              <w:rPr>
                <w:sz w:val="20"/>
                <w:szCs w:val="20"/>
                <w:color w:val="auto"/>
              </w:rPr>
            </w:pPr>
            <w:r>
              <w:rPr>
                <w:rFonts w:ascii="Arial" w:cs="Arial" w:eastAsia="Arial" w:hAnsi="Arial"/>
                <w:sz w:val="18"/>
                <w:szCs w:val="18"/>
                <w:color w:val="auto"/>
              </w:rPr>
              <w:t>120.6</w:t>
            </w:r>
          </w:p>
        </w:tc>
      </w:tr>
    </w:tbl>
    <w:p>
      <w:pPr>
        <w:spacing w:after="0" w:line="85" w:lineRule="exact"/>
        <w:rPr>
          <w:sz w:val="20"/>
          <w:szCs w:val="20"/>
          <w:color w:val="auto"/>
        </w:rPr>
      </w:pPr>
    </w:p>
    <w:p>
      <w:pPr>
        <w:ind w:right="180"/>
        <w:spacing w:after="0" w:line="260" w:lineRule="auto"/>
        <w:rPr>
          <w:sz w:val="20"/>
          <w:szCs w:val="20"/>
          <w:color w:val="auto"/>
        </w:rPr>
      </w:pPr>
      <w:r>
        <w:rPr>
          <w:rFonts w:ascii="Arial" w:cs="Arial" w:eastAsia="Arial" w:hAnsi="Arial"/>
          <w:sz w:val="18"/>
          <w:szCs w:val="18"/>
          <w:color w:val="auto"/>
        </w:rPr>
        <w:t>Severance costs recognized during the year ended December 31, 2015 resulted primarily from actions taken to reduce our cost structure and the integration of Novartis AH. Severance costs recognized during the years ended December 31, 2014 and 2013 related to ongoing cost containment efforts as we continued our initiatives to reduce our cost structure and global workforce. Substantially all of the severance costs incurred during the year ended December 31, 2015 are expected to be paid by the end of 2016, and substantially all of the severance costs incurred during the years ended December 31, 2014 and 2013 have been paid.</w:t>
      </w:r>
    </w:p>
    <w:p>
      <w:pPr>
        <w:spacing w:after="0" w:line="67" w:lineRule="exact"/>
        <w:rPr>
          <w:sz w:val="20"/>
          <w:szCs w:val="20"/>
          <w:color w:val="auto"/>
        </w:rPr>
      </w:pPr>
    </w:p>
    <w:p>
      <w:pPr>
        <w:ind w:right="300"/>
        <w:spacing w:after="0" w:line="292" w:lineRule="auto"/>
        <w:rPr>
          <w:sz w:val="20"/>
          <w:szCs w:val="20"/>
          <w:color w:val="auto"/>
        </w:rPr>
      </w:pPr>
      <w:r>
        <w:rPr>
          <w:rFonts w:ascii="Arial" w:cs="Arial" w:eastAsia="Arial" w:hAnsi="Arial"/>
          <w:sz w:val="18"/>
          <w:szCs w:val="18"/>
          <w:color w:val="auto"/>
        </w:rPr>
        <w:t>Asset impairment and other special charges recognized during year ended December 31, 2015 resulted primarily from integration costs and asset impairments due to product rationalization and site closures resulting from our acquisition and integration of Novartis AH.</w:t>
      </w:r>
    </w:p>
    <w:p>
      <w:pPr>
        <w:spacing w:after="0" w:line="37" w:lineRule="exact"/>
        <w:rPr>
          <w:sz w:val="20"/>
          <w:szCs w:val="20"/>
          <w:color w:val="auto"/>
        </w:rPr>
      </w:pPr>
    </w:p>
    <w:p>
      <w:pPr>
        <w:ind w:right="280"/>
        <w:spacing w:after="0" w:line="271" w:lineRule="auto"/>
        <w:rPr>
          <w:sz w:val="20"/>
          <w:szCs w:val="20"/>
          <w:color w:val="auto"/>
        </w:rPr>
      </w:pPr>
      <w:r>
        <w:rPr>
          <w:rFonts w:ascii="Arial" w:cs="Arial" w:eastAsia="Arial" w:hAnsi="Arial"/>
          <w:sz w:val="18"/>
          <w:szCs w:val="18"/>
          <w:color w:val="auto"/>
        </w:rPr>
        <w:t>Asset impairment and other special charges recognized during the year ended December 31, 2014 resulted primarily from a $180.8 million asset impairment charge related to our decision to close and sell a manufacturing plant located in Puerto Rico. The manufacturing plant was written down to its estimated fair value, which was based primarily on recent sales of similar assets.</w:t>
      </w:r>
    </w:p>
    <w:p>
      <w:pPr>
        <w:spacing w:after="0" w:line="55" w:lineRule="exact"/>
        <w:rPr>
          <w:sz w:val="20"/>
          <w:szCs w:val="20"/>
          <w:color w:val="auto"/>
        </w:rPr>
      </w:pPr>
    </w:p>
    <w:p>
      <w:pPr>
        <w:ind w:right="400"/>
        <w:spacing w:after="0" w:line="292" w:lineRule="auto"/>
        <w:rPr>
          <w:sz w:val="20"/>
          <w:szCs w:val="20"/>
          <w:color w:val="auto"/>
        </w:rPr>
      </w:pPr>
      <w:r>
        <w:rPr>
          <w:rFonts w:ascii="Arial" w:cs="Arial" w:eastAsia="Arial" w:hAnsi="Arial"/>
          <w:sz w:val="18"/>
          <w:szCs w:val="18"/>
          <w:color w:val="auto"/>
        </w:rPr>
        <w:t>Asset impairment and other special charges recognized during the year ended December 31, 2013 resulted from costs associated with the closure of a packaging and distribution facility in Germany.</w:t>
      </w:r>
    </w:p>
    <w:p>
      <w:pPr>
        <w:spacing w:after="0" w:line="37" w:lineRule="exact"/>
        <w:rPr>
          <w:sz w:val="20"/>
          <w:szCs w:val="20"/>
          <w:color w:val="auto"/>
        </w:rPr>
      </w:pPr>
    </w:p>
    <w:p>
      <w:pPr>
        <w:ind w:right="240"/>
        <w:spacing w:after="0" w:line="292" w:lineRule="auto"/>
        <w:rPr>
          <w:sz w:val="20"/>
          <w:szCs w:val="20"/>
          <w:color w:val="auto"/>
        </w:rPr>
      </w:pPr>
      <w:r>
        <w:rPr>
          <w:rFonts w:ascii="Arial" w:cs="Arial" w:eastAsia="Arial" w:hAnsi="Arial"/>
          <w:sz w:val="18"/>
          <w:szCs w:val="18"/>
          <w:color w:val="auto"/>
        </w:rPr>
        <w:t>In January 2016, we approved a plan to close an animal health manufacturing plant located in Ireland. As a result of this action, we expect to record charges of approximately $100 million in our animal health business segment during the first quarter of 2016.</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Note 6: Inventories</w:t>
      </w:r>
    </w:p>
    <w:p>
      <w:pPr>
        <w:spacing w:after="0" w:line="173" w:lineRule="exact"/>
        <w:rPr>
          <w:sz w:val="20"/>
          <w:szCs w:val="20"/>
          <w:color w:val="auto"/>
        </w:rPr>
      </w:pPr>
    </w:p>
    <w:p>
      <w:pPr>
        <w:ind w:right="240"/>
        <w:spacing w:after="0" w:line="323" w:lineRule="auto"/>
        <w:rPr>
          <w:sz w:val="20"/>
          <w:szCs w:val="20"/>
          <w:color w:val="auto"/>
        </w:rPr>
      </w:pPr>
      <w:r>
        <w:rPr>
          <w:rFonts w:ascii="Arial" w:cs="Arial" w:eastAsia="Arial" w:hAnsi="Arial"/>
          <w:sz w:val="17"/>
          <w:szCs w:val="17"/>
          <w:color w:val="auto"/>
        </w:rPr>
        <w:t>We state all inventories at the lower of cost or market. We use the last-in, first-out (LIFO) method for the majority of our inventories located in the continental U.S. Other inventories are valued by the first-in, first-out (FIFO) method. FIFO cost approximates current replacement cost.</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Inventories at December 31 consisted of the following:</w:t>
      </w:r>
    </w:p>
    <w:p>
      <w:pPr>
        <w:spacing w:after="0" w:line="233" w:lineRule="exact"/>
        <w:rPr>
          <w:sz w:val="20"/>
          <w:szCs w:val="20"/>
          <w:color w:val="auto"/>
        </w:rPr>
      </w:pPr>
    </w:p>
    <w:p>
      <w:pPr>
        <w:ind w:left="8900"/>
        <w:spacing w:after="0"/>
        <w:tabs>
          <w:tab w:leader="none" w:pos="10480" w:val="left"/>
        </w:tabs>
        <w:rPr>
          <w:sz w:val="20"/>
          <w:szCs w:val="20"/>
          <w:color w:val="auto"/>
        </w:rPr>
      </w:pPr>
      <w:r>
        <w:rPr>
          <w:rFonts w:ascii="Arial" w:cs="Arial" w:eastAsia="Arial" w:hAnsi="Arial"/>
          <w:sz w:val="14"/>
          <w:szCs w:val="14"/>
          <w:b w:val="1"/>
          <w:bCs w:val="1"/>
          <w:color w:val="auto"/>
        </w:rPr>
        <w:t>2015</w:t>
      </w:r>
      <w:r>
        <w:rPr>
          <w:sz w:val="20"/>
          <w:szCs w:val="20"/>
          <w:color w:val="auto"/>
        </w:rPr>
        <w:tab/>
      </w:r>
      <w:r>
        <w:rPr>
          <w:rFonts w:ascii="Arial" w:cs="Arial" w:eastAsia="Arial" w:hAnsi="Arial"/>
          <w:sz w:val="14"/>
          <w:szCs w:val="14"/>
          <w:b w:val="1"/>
          <w:bCs w:val="1"/>
          <w:color w:val="auto"/>
        </w:rPr>
        <w:t>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7229475" cy="1803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29475" cy="180340"/>
                    </a:xfrm>
                    <a:prstGeom prst="rect">
                      <a:avLst/>
                    </a:prstGeom>
                    <a:noFill/>
                  </pic:spPr>
                </pic:pic>
              </a:graphicData>
            </a:graphic>
          </wp:anchor>
        </w:drawing>
      </w:r>
    </w:p>
    <w:p>
      <w:pPr>
        <w:sectPr>
          <w:pgSz w:w="11900" w:h="16838" w:orient="portrait"/>
          <w:cols w:equalWidth="0" w:num="1">
            <w:col w:w="11420"/>
          </w:cols>
          <w:pgMar w:left="240" w:top="574" w:right="239" w:bottom="1440" w:gutter="0" w:footer="0" w:header="0"/>
        </w:sectPr>
      </w:pPr>
    </w:p>
    <w:p>
      <w:pPr>
        <w:spacing w:after="0" w:line="61" w:lineRule="exact"/>
        <w:rPr>
          <w:sz w:val="20"/>
          <w:szCs w:val="20"/>
          <w:color w:val="auto"/>
        </w:rPr>
      </w:pPr>
    </w:p>
    <w:p>
      <w:pPr>
        <w:ind w:left="40"/>
        <w:spacing w:after="0"/>
        <w:rPr>
          <w:sz w:val="20"/>
          <w:szCs w:val="20"/>
          <w:color w:val="auto"/>
        </w:rPr>
      </w:pPr>
      <w:r>
        <w:rPr>
          <w:rFonts w:ascii="Arial" w:cs="Arial" w:eastAsia="Arial" w:hAnsi="Arial"/>
          <w:sz w:val="18"/>
          <w:szCs w:val="18"/>
          <w:color w:val="auto"/>
        </w:rPr>
        <w:t>Finished products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Work in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29475" cy="1714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Raw materials and supplies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7"/>
          <w:szCs w:val="17"/>
          <w:color w:val="auto"/>
        </w:rPr>
        <w:t>Total (approximates replacement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7229475" cy="1714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68" w:lineRule="exact"/>
        <w:rPr>
          <w:sz w:val="20"/>
          <w:szCs w:val="20"/>
          <w:color w:val="auto"/>
        </w:rPr>
      </w:pPr>
    </w:p>
    <w:p>
      <w:pPr>
        <w:ind w:left="40"/>
        <w:spacing w:after="0"/>
        <w:rPr>
          <w:sz w:val="20"/>
          <w:szCs w:val="20"/>
          <w:color w:val="auto"/>
        </w:rPr>
      </w:pPr>
      <w:r>
        <w:rPr>
          <w:rFonts w:ascii="Arial" w:cs="Arial" w:eastAsia="Arial" w:hAnsi="Arial"/>
          <w:sz w:val="18"/>
          <w:szCs w:val="18"/>
          <w:color w:val="auto"/>
        </w:rPr>
        <w:t>Reduction to LIFO cost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Inventories</w:t>
      </w:r>
    </w:p>
    <w:p>
      <w:pPr>
        <w:spacing w:after="0" w:line="20" w:lineRule="exact"/>
        <w:rPr>
          <w:sz w:val="20"/>
          <w:szCs w:val="20"/>
          <w:color w:val="auto"/>
        </w:rPr>
      </w:pPr>
      <w:r>
        <w:rPr>
          <w:sz w:val="20"/>
          <w:szCs w:val="20"/>
          <w:color w:val="auto"/>
        </w:rPr>
        <w:br w:type="column"/>
      </w:r>
    </w:p>
    <w:p>
      <w:pPr>
        <w:spacing w:after="0" w:line="52" w:lineRule="exact"/>
        <w:rPr>
          <w:sz w:val="20"/>
          <w:szCs w:val="20"/>
          <w:color w:val="auto"/>
        </w:rPr>
      </w:pPr>
    </w:p>
    <w:p>
      <w:pPr>
        <w:spacing w:after="0"/>
        <w:tabs>
          <w:tab w:leader="none" w:pos="600" w:val="left"/>
          <w:tab w:leader="none" w:pos="1580" w:val="left"/>
          <w:tab w:leader="none" w:pos="2360" w:val="left"/>
        </w:tabs>
        <w:rPr>
          <w:sz w:val="20"/>
          <w:szCs w:val="20"/>
          <w:color w:val="auto"/>
        </w:rPr>
      </w:pP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1,053.4</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838.0</w:t>
      </w:r>
    </w:p>
    <w:p>
      <w:pPr>
        <w:spacing w:after="0" w:line="63" w:lineRule="exact"/>
        <w:rPr>
          <w:sz w:val="20"/>
          <w:szCs w:val="20"/>
          <w:color w:val="auto"/>
        </w:rPr>
      </w:pPr>
    </w:p>
    <w:p>
      <w:pPr>
        <w:ind w:left="620"/>
        <w:spacing w:after="0"/>
        <w:tabs>
          <w:tab w:leader="none" w:pos="2200" w:val="left"/>
        </w:tabs>
        <w:rPr>
          <w:sz w:val="20"/>
          <w:szCs w:val="20"/>
          <w:color w:val="auto"/>
        </w:rPr>
      </w:pPr>
      <w:r>
        <w:rPr>
          <w:rFonts w:ascii="Arial" w:cs="Arial" w:eastAsia="Arial" w:hAnsi="Arial"/>
          <w:sz w:val="18"/>
          <w:szCs w:val="18"/>
          <w:b w:val="1"/>
          <w:bCs w:val="1"/>
          <w:color w:val="auto"/>
        </w:rPr>
        <w:t>2,058.1</w:t>
      </w:r>
      <w:r>
        <w:rPr>
          <w:sz w:val="20"/>
          <w:szCs w:val="20"/>
          <w:color w:val="auto"/>
        </w:rPr>
        <w:tab/>
      </w:r>
      <w:r>
        <w:rPr>
          <w:rFonts w:ascii="Arial" w:cs="Arial" w:eastAsia="Arial" w:hAnsi="Arial"/>
          <w:sz w:val="17"/>
          <w:szCs w:val="17"/>
          <w:color w:val="auto"/>
        </w:rPr>
        <w:t>1,715.4</w:t>
      </w:r>
    </w:p>
    <w:p>
      <w:pPr>
        <w:spacing w:after="0" w:line="63" w:lineRule="exact"/>
        <w:rPr>
          <w:sz w:val="20"/>
          <w:szCs w:val="20"/>
          <w:color w:val="auto"/>
        </w:rPr>
      </w:pPr>
    </w:p>
    <w:p>
      <w:pPr>
        <w:ind w:left="780"/>
        <w:spacing w:after="0"/>
        <w:tabs>
          <w:tab w:leader="none" w:pos="2360" w:val="left"/>
        </w:tabs>
        <w:rPr>
          <w:sz w:val="20"/>
          <w:szCs w:val="20"/>
          <w:color w:val="auto"/>
        </w:rPr>
      </w:pPr>
      <w:r>
        <w:rPr>
          <w:rFonts w:ascii="Arial" w:cs="Arial" w:eastAsia="Arial" w:hAnsi="Arial"/>
          <w:sz w:val="18"/>
          <w:szCs w:val="18"/>
          <w:b w:val="1"/>
          <w:bCs w:val="1"/>
          <w:color w:val="auto"/>
        </w:rPr>
        <w:t>403.0</w:t>
      </w:r>
      <w:r>
        <w:rPr>
          <w:sz w:val="20"/>
          <w:szCs w:val="20"/>
          <w:color w:val="auto"/>
        </w:rPr>
        <w:tab/>
      </w:r>
      <w:r>
        <w:rPr>
          <w:rFonts w:ascii="Arial" w:cs="Arial" w:eastAsia="Arial" w:hAnsi="Arial"/>
          <w:sz w:val="17"/>
          <w:szCs w:val="17"/>
          <w:color w:val="auto"/>
        </w:rPr>
        <w:t>315.0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29845</wp:posOffset>
            </wp:positionV>
            <wp:extent cx="195516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57" w:lineRule="exact"/>
        <w:rPr>
          <w:sz w:val="20"/>
          <w:szCs w:val="20"/>
          <w:color w:val="auto"/>
        </w:rPr>
      </w:pPr>
    </w:p>
    <w:p>
      <w:pPr>
        <w:ind w:left="620"/>
        <w:spacing w:after="0"/>
        <w:tabs>
          <w:tab w:leader="none" w:pos="2200" w:val="left"/>
        </w:tabs>
        <w:rPr>
          <w:sz w:val="20"/>
          <w:szCs w:val="20"/>
          <w:color w:val="auto"/>
        </w:rPr>
      </w:pPr>
      <w:r>
        <w:rPr>
          <w:rFonts w:ascii="Arial" w:cs="Arial" w:eastAsia="Arial" w:hAnsi="Arial"/>
          <w:sz w:val="18"/>
          <w:szCs w:val="18"/>
          <w:b w:val="1"/>
          <w:bCs w:val="1"/>
          <w:color w:val="auto"/>
        </w:rPr>
        <w:t>3,514.5</w:t>
      </w:r>
      <w:r>
        <w:rPr>
          <w:sz w:val="20"/>
          <w:szCs w:val="20"/>
          <w:color w:val="auto"/>
        </w:rPr>
        <w:tab/>
      </w:r>
      <w:r>
        <w:rPr>
          <w:rFonts w:ascii="Arial" w:cs="Arial" w:eastAsia="Arial" w:hAnsi="Arial"/>
          <w:sz w:val="17"/>
          <w:szCs w:val="17"/>
          <w:color w:val="auto"/>
        </w:rPr>
        <w:t>2,868.4</w:t>
      </w:r>
    </w:p>
    <w:p>
      <w:pPr>
        <w:spacing w:after="0" w:line="63" w:lineRule="exact"/>
        <w:rPr>
          <w:sz w:val="20"/>
          <w:szCs w:val="20"/>
          <w:color w:val="auto"/>
        </w:rPr>
      </w:pPr>
    </w:p>
    <w:p>
      <w:pPr>
        <w:jc w:val="right"/>
        <w:ind w:right="200"/>
        <w:spacing w:after="0"/>
        <w:tabs>
          <w:tab w:leader="none" w:pos="540" w:val="left"/>
        </w:tabs>
        <w:rPr>
          <w:sz w:val="20"/>
          <w:szCs w:val="20"/>
          <w:color w:val="auto"/>
        </w:rPr>
      </w:pPr>
      <w:r>
        <w:rPr>
          <w:rFonts w:ascii="Arial" w:cs="Arial" w:eastAsia="Arial" w:hAnsi="Arial"/>
          <w:sz w:val="18"/>
          <w:szCs w:val="18"/>
          <w:b w:val="1"/>
          <w:bCs w:val="1"/>
          <w:color w:val="auto"/>
        </w:rPr>
        <w:t>(68.7)</w:t>
      </w:r>
      <w:r>
        <w:rPr>
          <w:sz w:val="20"/>
          <w:szCs w:val="20"/>
          <w:color w:val="auto"/>
        </w:rPr>
        <w:tab/>
      </w:r>
      <w:r>
        <w:rPr>
          <w:rFonts w:ascii="Arial" w:cs="Arial" w:eastAsia="Arial" w:hAnsi="Arial"/>
          <w:sz w:val="17"/>
          <w:szCs w:val="17"/>
          <w:color w:val="auto"/>
        </w:rPr>
        <w:t>(128.4)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29845</wp:posOffset>
            </wp:positionV>
            <wp:extent cx="195516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57" w:lineRule="exact"/>
        <w:rPr>
          <w:sz w:val="20"/>
          <w:szCs w:val="20"/>
          <w:color w:val="auto"/>
        </w:rPr>
      </w:pPr>
    </w:p>
    <w:p>
      <w:pPr>
        <w:spacing w:after="0"/>
        <w:tabs>
          <w:tab w:leader="none" w:pos="600" w:val="left"/>
          <w:tab w:leader="none" w:pos="1580" w:val="left"/>
          <w:tab w:leader="none" w:pos="2200" w:val="left"/>
        </w:tabs>
        <w:rPr>
          <w:sz w:val="20"/>
          <w:szCs w:val="20"/>
          <w:color w:val="auto"/>
        </w:rPr>
      </w:pP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3,445.8</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2,740.0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29845</wp:posOffset>
            </wp:positionV>
            <wp:extent cx="195516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955165" cy="17145"/>
                    </a:xfrm>
                    <a:prstGeom prst="rect">
                      <a:avLst/>
                    </a:prstGeom>
                    <a:noFill/>
                  </pic:spPr>
                </pic:pic>
              </a:graphicData>
            </a:graphic>
          </wp:anchor>
        </w:drawing>
      </w:r>
    </w:p>
    <w:p>
      <w:pPr>
        <w:spacing w:after="0" w:line="160" w:lineRule="exact"/>
        <w:rPr>
          <w:sz w:val="20"/>
          <w:szCs w:val="20"/>
          <w:color w:val="auto"/>
        </w:rPr>
      </w:pPr>
    </w:p>
    <w:p>
      <w:pPr>
        <w:sectPr>
          <w:pgSz w:w="11900" w:h="16838" w:orient="portrait"/>
          <w:cols w:equalWidth="0" w:num="2">
            <w:col w:w="7620" w:space="720"/>
            <w:col w:w="3080"/>
          </w:cols>
          <w:pgMar w:left="240" w:top="574" w:right="239" w:bottom="1440" w:gutter="0" w:footer="0" w:header="0"/>
          <w:type w:val="continuous"/>
        </w:sectPr>
      </w:pPr>
    </w:p>
    <w:p>
      <w:pPr>
        <w:ind w:right="600"/>
        <w:spacing w:after="0" w:line="292" w:lineRule="auto"/>
        <w:rPr>
          <w:sz w:val="20"/>
          <w:szCs w:val="20"/>
          <w:color w:val="auto"/>
        </w:rPr>
      </w:pPr>
      <w:r>
        <w:rPr>
          <w:rFonts w:ascii="Arial" w:cs="Arial" w:eastAsia="Arial" w:hAnsi="Arial"/>
          <w:sz w:val="18"/>
          <w:szCs w:val="18"/>
          <w:color w:val="auto"/>
        </w:rPr>
        <w:t>Inventories valued under the LIFO method comprised $1.30 billion and $1.09 billion of total inventories at December 31, 2015 and 2014, respectively.</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72</w:t>
      </w:r>
    </w:p>
    <w:p>
      <w:pPr>
        <w:sectPr>
          <w:pgSz w:w="11900" w:h="16838" w:orient="portrait"/>
          <w:cols w:equalWidth="0" w:num="1">
            <w:col w:w="11420"/>
          </w:cols>
          <w:pgMar w:left="240" w:top="574" w:right="239" w:bottom="1440" w:gutter="0" w:footer="0" w:header="0"/>
          <w:type w:val="continuous"/>
        </w:sectPr>
      </w:pPr>
    </w:p>
    <w:bookmarkStart w:id="72" w:name="page73"/>
    <w:bookmarkEnd w:id="72"/>
    <w:p>
      <w:pPr>
        <w:spacing w:after="0"/>
        <w:rPr>
          <w:sz w:val="20"/>
          <w:szCs w:val="20"/>
          <w:color w:val="auto"/>
        </w:rPr>
      </w:pPr>
      <w:r>
        <w:rPr>
          <w:rFonts w:ascii="Arial" w:cs="Arial" w:eastAsia="Arial" w:hAnsi="Arial"/>
          <w:sz w:val="18"/>
          <w:szCs w:val="18"/>
          <w:b w:val="1"/>
          <w:bCs w:val="1"/>
          <w:color w:val="CC0000"/>
        </w:rPr>
        <w:t>Note 7: Financial Instruments</w:t>
      </w:r>
    </w:p>
    <w:p>
      <w:pPr>
        <w:spacing w:after="0" w:line="173"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Financial instruments that potentially subject us to credit risk consist principally of trade receivables and interest-bearing investments. Wholesale distributors of life-science products account for a substantial portion of trade receivables; collateral is generally not required. The risk associated with this concentration is mitigated by our ongoing credit-review procedures and insurance. A large portion of our cash is held by a few major financial institutions. We monitor our exposures with these institutions and do not expect any of these institutions to fail to meet their obligations. Major financial institutions represent the largest component of our investments in corporate debt securities. In accordance with documented corporate policies, we monitor the amount of credit exposure to any one financial institution or corporate issuer. We are exposed to credit-related losses in the event of nonperformance by counterparties to risk-management instruments but do not expect any counterparties to fail to meet their obligations given their high credit ratings.</w:t>
      </w:r>
    </w:p>
    <w:p>
      <w:pPr>
        <w:spacing w:after="0" w:line="70" w:lineRule="exact"/>
        <w:rPr>
          <w:sz w:val="20"/>
          <w:szCs w:val="20"/>
          <w:color w:val="auto"/>
        </w:rPr>
      </w:pPr>
    </w:p>
    <w:p>
      <w:pPr>
        <w:ind w:right="160"/>
        <w:spacing w:after="0" w:line="292" w:lineRule="auto"/>
        <w:rPr>
          <w:sz w:val="20"/>
          <w:szCs w:val="20"/>
          <w:color w:val="auto"/>
        </w:rPr>
      </w:pPr>
      <w:r>
        <w:rPr>
          <w:rFonts w:ascii="Arial" w:cs="Arial" w:eastAsia="Arial" w:hAnsi="Arial"/>
          <w:sz w:val="18"/>
          <w:szCs w:val="18"/>
          <w:color w:val="auto"/>
        </w:rPr>
        <w:t>We consider all highly liquid investments with a maturity of three months or less from the date of purchase to be cash equivalents. The cost of these investments approximates fair value.</w:t>
      </w:r>
    </w:p>
    <w:p>
      <w:pPr>
        <w:spacing w:after="0" w:line="37"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Substantially all of our investments in debt and marketable equity securities are classified as available-for-sale. Investment securities with maturity dates of less than one year from the date of the balance sheet are classified as short-term. Available-for-sale securities are carried at fair value with the unrealized gains and losses, net of tax, reported in other comprehensive income (loss). The credit portion of unrealized losses on our debt securities considered to be other-than-temporary is recognized in earnings. The remaining portion of the other-than-temporary impairment on our debt securities is then recorded, net of tax, in other comprehensive income (loss). The entire amount of other-than-temporary impairment on our equity securities is recognized in earnings. We do not evaluate cost-method investments for impairment unless there is an indicator of impairment. We review these investments for indicators of impairment on a regular basis. Investments in companies over which we have significant influence but not a controlling interest are accounted for using the equity method with our share of earnings or losses reported in other–net, (income) expense. We own no investments that are considered to be trading securities.</w:t>
      </w:r>
    </w:p>
    <w:p>
      <w:pPr>
        <w:spacing w:after="0" w:line="74" w:lineRule="exact"/>
        <w:rPr>
          <w:sz w:val="20"/>
          <w:szCs w:val="20"/>
          <w:color w:val="auto"/>
        </w:rPr>
      </w:pPr>
    </w:p>
    <w:p>
      <w:pPr>
        <w:jc w:val="both"/>
        <w:ind w:right="220"/>
        <w:spacing w:after="0" w:line="271" w:lineRule="auto"/>
        <w:rPr>
          <w:sz w:val="20"/>
          <w:szCs w:val="20"/>
          <w:color w:val="auto"/>
        </w:rPr>
      </w:pPr>
      <w:r>
        <w:rPr>
          <w:rFonts w:ascii="Arial" w:cs="Arial" w:eastAsia="Arial" w:hAnsi="Arial"/>
          <w:sz w:val="18"/>
          <w:szCs w:val="18"/>
          <w:color w:val="auto"/>
        </w:rPr>
        <w:t>Our derivative activities are initiated within the guidelines of documented corporate risk-management policies and offset losses and gains on the assets, liabilities, and transactions being hedged. Management reviews the correlation and effectiveness of our derivatives on a quarterly basis.</w:t>
      </w:r>
    </w:p>
    <w:p>
      <w:pPr>
        <w:spacing w:after="0" w:line="55"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color w:val="auto"/>
        </w:rPr>
        <w:t>For derivative contracts that are designated and qualify as fair value hedges, the derivative instrument is marked to market with gains and losses recognized currently in income to offset the respective losses and gains recognized on the underlying exposure. For derivative contracts that are designated and qualify as cash flow hedges, the effective portion of gains and losses on these contracts is reported as a component of accumulated other comprehensive loss and reclassified into earnings in the same period the hedged transaction affects earnings. Hedge ineffectiveness is immediately recognized in earnings. Derivative contracts that are not designated as hedging instruments are recorded at fair value with the gain or loss recognized in current earnings during the period of change.</w:t>
      </w:r>
    </w:p>
    <w:p>
      <w:pPr>
        <w:spacing w:after="0" w:line="6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may enter into foreign currency forward or option contracts to reduce the effect of fluctuating currency exchange rates (principally the euro, the British pound, and the Japanese yen). Foreign currency derivatives used for hedging are put in place using the same or like currencies and duration as the underlying exposures. Forward and option contracts are principally used to manage exposures arising from subsidiary trade and loan payables and receivables denominated in foreign currencies. These contracts are recorded at fair value with the gain or loss recognized in other–net, (income) expense. We may enter into foreign currency forward and option contracts and currency swaps as fair value hedges of firm commitments. Forward contracts generally have maturities not exceeding 12 months. At December 31, 2015, we had outstanding foreign currency forward commitments to purchase 1.17 billion U.S. dollars and sell 1.06 billion euro; commitments to purchase 1.85 billion euro and sell 2.04 billion U.S. dollars; commitments to purchase 187.7 million British pounds and sell 258.4 million euro; commitments to purchase 288.3 million U.S. dollars and sell 190.6 million British pounds, and commitments to purchase 561.7 million U.S. dollars and sell 67.78 billion Japanese yen, which will all settle within 30 days.</w:t>
      </w:r>
    </w:p>
    <w:p>
      <w:pPr>
        <w:spacing w:after="0" w:line="20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73</w:t>
      </w:r>
    </w:p>
    <w:p>
      <w:pPr>
        <w:sectPr>
          <w:pgSz w:w="11900" w:h="16838" w:orient="portrait"/>
          <w:cols w:equalWidth="0" w:num="1">
            <w:col w:w="11420"/>
          </w:cols>
          <w:pgMar w:left="240" w:top="574" w:right="239" w:bottom="1440" w:gutter="0" w:footer="0" w:header="0"/>
        </w:sectPr>
      </w:pPr>
    </w:p>
    <w:bookmarkStart w:id="73" w:name="page74"/>
    <w:bookmarkEnd w:id="73"/>
    <w:p>
      <w:pPr>
        <w:jc w:val="both"/>
        <w:ind w:right="140"/>
        <w:spacing w:after="0" w:line="272" w:lineRule="auto"/>
        <w:rPr>
          <w:sz w:val="20"/>
          <w:szCs w:val="20"/>
          <w:color w:val="auto"/>
        </w:rPr>
      </w:pPr>
      <w:r>
        <w:rPr>
          <w:rFonts w:ascii="Arial" w:cs="Arial" w:eastAsia="Arial" w:hAnsi="Arial"/>
          <w:sz w:val="17"/>
          <w:szCs w:val="17"/>
          <w:color w:val="auto"/>
        </w:rPr>
        <w:t>Foreign currency exchange risk is also managed through the use of foreign currency debt. Our euro-denominated notes issued in June 2015 and discussed in Note 10, which had a carrying amount of $2.27 billion as of December 31, 2015, have been designated as, and are effective as, economic hedges of net investments in certain of our euro-denominated foreign operations. Accordingly, foreign currency translation gains or losses due to spot rate fluctuations on the euro-denominated notes are included as a component of other comprehensive income (loss).</w:t>
      </w:r>
    </w:p>
    <w:p>
      <w:pPr>
        <w:ind w:right="220"/>
        <w:spacing w:after="0" w:line="266" w:lineRule="auto"/>
        <w:rPr>
          <w:sz w:val="20"/>
          <w:szCs w:val="20"/>
          <w:color w:val="auto"/>
        </w:rPr>
      </w:pPr>
      <w:r>
        <w:rPr>
          <w:rFonts w:ascii="Arial" w:cs="Arial" w:eastAsia="Arial" w:hAnsi="Arial"/>
          <w:sz w:val="18"/>
          <w:szCs w:val="18"/>
          <w:color w:val="auto"/>
        </w:rPr>
        <w:t>During the year ended December 31, 2015, we recorded a pretax foreign currency translation gain of $5.6 million from the euro-denominated notes.</w:t>
      </w:r>
    </w:p>
    <w:p>
      <w:pPr>
        <w:spacing w:after="0" w:line="59"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In the normal course of business, our operations are exposed to fluctuations in interest rates which can vary the costs of financing, investing, and operating. We address a portion of these risks through a controlled program of risk management that includes the use of derivative financial instruments. The objective of controlling these risks is to limit the impact of fluctuations in interest rates on earnings. Our primary interest-rate risk exposure results from changes in short-term U.S. dollar interest rates. In an effort to manage interest-rate exposures, we strive to achieve an acceptable balance between fixed- and floating-rate debt and investment positions and may enter into interest rate swaps or collars to help maintain that balance.</w:t>
      </w:r>
    </w:p>
    <w:p>
      <w:pPr>
        <w:spacing w:after="0" w:line="69" w:lineRule="exact"/>
        <w:rPr>
          <w:sz w:val="20"/>
          <w:szCs w:val="20"/>
          <w:color w:val="auto"/>
        </w:rPr>
      </w:pPr>
    </w:p>
    <w:p>
      <w:pPr>
        <w:ind w:right="120"/>
        <w:spacing w:after="0" w:line="258" w:lineRule="auto"/>
        <w:rPr>
          <w:sz w:val="20"/>
          <w:szCs w:val="20"/>
          <w:color w:val="auto"/>
        </w:rPr>
      </w:pPr>
      <w:r>
        <w:rPr>
          <w:rFonts w:ascii="Arial" w:cs="Arial" w:eastAsia="Arial" w:hAnsi="Arial"/>
          <w:sz w:val="18"/>
          <w:szCs w:val="18"/>
          <w:color w:val="auto"/>
        </w:rPr>
        <w:t>Interest rate swaps or collars that convert our fixed-rate debt to a floating rate are designated as fair value hedges of the underlying instruments. Interest rate swaps or collars that convert floating-rate debt to a fixed rate are designated as cash flow hedges. Interest expense on the debt is adjusted to include the payments made or received under the swap agreements. Cash proceeds from or payments to counterparties resulting from the termination of interest rate swaps are classified as operating activities in our consolidated statement of cash flows. At December 31, 2015, substantially all of our total long-term debt is at a fixed rate. We have converted approximately 40 percent of our long-term fixed-rate notes to floating rates through the use of interest rate swaps.</w:t>
      </w:r>
    </w:p>
    <w:p>
      <w:pPr>
        <w:spacing w:after="0" w:line="69" w:lineRule="exact"/>
        <w:rPr>
          <w:sz w:val="20"/>
          <w:szCs w:val="20"/>
          <w:color w:val="auto"/>
        </w:rPr>
      </w:pPr>
    </w:p>
    <w:p>
      <w:pPr>
        <w:ind w:right="820"/>
        <w:spacing w:after="0" w:line="292" w:lineRule="auto"/>
        <w:rPr>
          <w:sz w:val="20"/>
          <w:szCs w:val="20"/>
          <w:color w:val="auto"/>
        </w:rPr>
      </w:pPr>
      <w:r>
        <w:rPr>
          <w:rFonts w:ascii="Arial" w:cs="Arial" w:eastAsia="Arial" w:hAnsi="Arial"/>
          <w:sz w:val="18"/>
          <w:szCs w:val="18"/>
          <w:color w:val="auto"/>
        </w:rPr>
        <w:t>We may enter into forward contracts and designate them as cash flow hedges to limit the potential volatility of earnings and cash flow associated with forecasted sales of available-for-sale securities.</w:t>
      </w:r>
    </w:p>
    <w:p>
      <w:pPr>
        <w:spacing w:after="0" w:line="37"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We also may enter into forward-starting interest rate swaps, which we designate as cash flow hedges, as part of any anticipated future debt issuances in order to reduce the risk of cash flow volatility from future changes in interest rates. Upon completion of a debt issuance and termination of the swap, the change in fair value of these instruments is recorded as part of other comprehensive income (loss) and is amortized to interest expense over the life of the underlying debt.</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Effect of Risk Management Instruments on the Consolidated Statement of Operations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effects of risk-management instruments were recognized in other–net, (income) expense:</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4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2015</w:t>
            </w:r>
          </w:p>
        </w:tc>
        <w:tc>
          <w:tcPr>
            <w:tcW w:w="5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2014</w:t>
            </w:r>
          </w:p>
        </w:tc>
        <w:tc>
          <w:tcPr>
            <w:tcW w:w="5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45"/>
        </w:trPr>
        <w:tc>
          <w:tcPr>
            <w:tcW w:w="6400" w:type="dxa"/>
            <w:vAlign w:val="bottom"/>
            <w:tcBorders>
              <w:bottom w:val="single" w:sz="8" w:color="D8D8D8"/>
            </w:tcBorders>
            <w:shd w:val="clear" w:color="auto" w:fill="D8D8D8"/>
          </w:tcPr>
          <w:p>
            <w:pPr>
              <w:ind w:left="40"/>
              <w:spacing w:after="0"/>
              <w:rPr>
                <w:sz w:val="20"/>
                <w:szCs w:val="20"/>
                <w:color w:val="auto"/>
              </w:rPr>
            </w:pPr>
            <w:r>
              <w:rPr>
                <w:rFonts w:ascii="Arial" w:cs="Arial" w:eastAsia="Arial" w:hAnsi="Arial"/>
                <w:sz w:val="18"/>
                <w:szCs w:val="18"/>
                <w:color w:val="auto"/>
              </w:rPr>
              <w:t>Fair value hedges:</w:t>
            </w:r>
          </w:p>
        </w:tc>
        <w:tc>
          <w:tcPr>
            <w:tcW w:w="520" w:type="dxa"/>
            <w:vAlign w:val="bottom"/>
            <w:tcBorders>
              <w:bottom w:val="single" w:sz="8" w:color="D8D8D8"/>
            </w:tcBorders>
            <w:shd w:val="clear" w:color="auto" w:fill="D8D8D8"/>
          </w:tcPr>
          <w:p>
            <w:pPr>
              <w:spacing w:after="0"/>
              <w:rPr>
                <w:sz w:val="21"/>
                <w:szCs w:val="21"/>
                <w:color w:val="auto"/>
              </w:rPr>
            </w:pPr>
          </w:p>
        </w:tc>
        <w:tc>
          <w:tcPr>
            <w:tcW w:w="1100" w:type="dxa"/>
            <w:vAlign w:val="bottom"/>
            <w:tcBorders>
              <w:bottom w:val="single" w:sz="8" w:color="D8D8D8"/>
            </w:tcBorders>
            <w:shd w:val="clear" w:color="auto" w:fill="D8D8D8"/>
          </w:tcPr>
          <w:p>
            <w:pPr>
              <w:spacing w:after="0"/>
              <w:rPr>
                <w:sz w:val="21"/>
                <w:szCs w:val="21"/>
                <w:color w:val="auto"/>
              </w:rPr>
            </w:pPr>
          </w:p>
        </w:tc>
        <w:tc>
          <w:tcPr>
            <w:tcW w:w="560" w:type="dxa"/>
            <w:vAlign w:val="bottom"/>
            <w:tcBorders>
              <w:bottom w:val="single" w:sz="8" w:color="D8D8D8"/>
            </w:tcBorders>
            <w:shd w:val="clear" w:color="auto" w:fill="D8D8D8"/>
          </w:tcPr>
          <w:p>
            <w:pPr>
              <w:spacing w:after="0"/>
              <w:rPr>
                <w:sz w:val="21"/>
                <w:szCs w:val="21"/>
                <w:color w:val="auto"/>
              </w:rPr>
            </w:pPr>
          </w:p>
        </w:tc>
        <w:tc>
          <w:tcPr>
            <w:tcW w:w="1100" w:type="dxa"/>
            <w:vAlign w:val="bottom"/>
            <w:tcBorders>
              <w:bottom w:val="single" w:sz="8" w:color="D8D8D8"/>
            </w:tcBorders>
            <w:shd w:val="clear" w:color="auto" w:fill="D8D8D8"/>
          </w:tcPr>
          <w:p>
            <w:pPr>
              <w:spacing w:after="0"/>
              <w:rPr>
                <w:sz w:val="21"/>
                <w:szCs w:val="21"/>
                <w:color w:val="auto"/>
              </w:rPr>
            </w:pPr>
          </w:p>
        </w:tc>
        <w:tc>
          <w:tcPr>
            <w:tcW w:w="560" w:type="dxa"/>
            <w:vAlign w:val="bottom"/>
            <w:tcBorders>
              <w:bottom w:val="single" w:sz="8" w:color="D8D8D8"/>
            </w:tcBorders>
            <w:shd w:val="clear" w:color="auto" w:fill="D8D8D8"/>
          </w:tcPr>
          <w:p>
            <w:pPr>
              <w:spacing w:after="0"/>
              <w:rPr>
                <w:sz w:val="21"/>
                <w:szCs w:val="21"/>
                <w:color w:val="auto"/>
              </w:rPr>
            </w:pPr>
          </w:p>
        </w:tc>
        <w:tc>
          <w:tcPr>
            <w:tcW w:w="1180" w:type="dxa"/>
            <w:vAlign w:val="bottom"/>
            <w:tcBorders>
              <w:bottom w:val="single" w:sz="8" w:color="D8D8D8"/>
            </w:tcBorders>
            <w:shd w:val="clear" w:color="auto" w:fill="D8D8D8"/>
          </w:tcPr>
          <w:p>
            <w:pPr>
              <w:spacing w:after="0"/>
              <w:rPr>
                <w:sz w:val="21"/>
                <w:szCs w:val="21"/>
                <w:color w:val="auto"/>
              </w:rPr>
            </w:pPr>
          </w:p>
        </w:tc>
        <w:tc>
          <w:tcPr>
            <w:tcW w:w="0" w:type="dxa"/>
            <w:vAlign w:val="bottom"/>
          </w:tcPr>
          <w:p>
            <w:pPr>
              <w:spacing w:after="0"/>
              <w:rPr>
                <w:sz w:val="1"/>
                <w:szCs w:val="1"/>
                <w:color w:val="auto"/>
              </w:rPr>
            </w:pPr>
          </w:p>
        </w:tc>
      </w:tr>
      <w:tr>
        <w:trPr>
          <w:trHeight w:val="269"/>
        </w:trPr>
        <w:tc>
          <w:tcPr>
            <w:tcW w:w="6400" w:type="dxa"/>
            <w:vAlign w:val="bottom"/>
          </w:tcPr>
          <w:p>
            <w:pPr>
              <w:ind w:left="180"/>
              <w:spacing w:after="0"/>
              <w:rPr>
                <w:sz w:val="20"/>
                <w:szCs w:val="20"/>
                <w:color w:val="auto"/>
              </w:rPr>
            </w:pPr>
            <w:r>
              <w:rPr>
                <w:rFonts w:ascii="Arial" w:cs="Arial" w:eastAsia="Arial" w:hAnsi="Arial"/>
                <w:sz w:val="18"/>
                <w:szCs w:val="18"/>
                <w:color w:val="auto"/>
              </w:rPr>
              <w:t>Effect from hedged fixed-rate debt</w:t>
            </w:r>
          </w:p>
        </w:tc>
        <w:tc>
          <w:tcPr>
            <w:tcW w:w="520" w:type="dxa"/>
            <w:vAlign w:val="bottom"/>
          </w:tcPr>
          <w:p>
            <w:pPr>
              <w:jc w:val="right"/>
              <w:ind w:right="150"/>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ind w:right="113"/>
              <w:spacing w:after="0"/>
              <w:rPr>
                <w:sz w:val="20"/>
                <w:szCs w:val="20"/>
                <w:color w:val="auto"/>
              </w:rPr>
            </w:pPr>
            <w:r>
              <w:rPr>
                <w:rFonts w:ascii="Arial" w:cs="Arial" w:eastAsia="Arial" w:hAnsi="Arial"/>
                <w:sz w:val="18"/>
                <w:szCs w:val="18"/>
                <w:b w:val="1"/>
                <w:bCs w:val="1"/>
                <w:color w:val="auto"/>
              </w:rPr>
              <w:t>(11.9)</w:t>
            </w:r>
          </w:p>
        </w:tc>
        <w:tc>
          <w:tcPr>
            <w:tcW w:w="5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73"/>
              <w:spacing w:after="0"/>
              <w:rPr>
                <w:sz w:val="20"/>
                <w:szCs w:val="20"/>
                <w:color w:val="auto"/>
              </w:rPr>
            </w:pPr>
            <w:r>
              <w:rPr>
                <w:rFonts w:ascii="Arial" w:cs="Arial" w:eastAsia="Arial" w:hAnsi="Arial"/>
                <w:sz w:val="18"/>
                <w:szCs w:val="18"/>
                <w:color w:val="auto"/>
              </w:rPr>
              <w:t>156.9</w:t>
            </w:r>
          </w:p>
        </w:tc>
        <w:tc>
          <w:tcPr>
            <w:tcW w:w="5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93"/>
              <w:spacing w:after="0"/>
              <w:rPr>
                <w:sz w:val="20"/>
                <w:szCs w:val="20"/>
                <w:color w:val="auto"/>
              </w:rPr>
            </w:pPr>
            <w:r>
              <w:rPr>
                <w:rFonts w:ascii="Arial" w:cs="Arial" w:eastAsia="Arial" w:hAnsi="Arial"/>
                <w:sz w:val="18"/>
                <w:szCs w:val="18"/>
                <w:color w:val="auto"/>
              </w:rPr>
              <w:t>(308.2)</w:t>
            </w:r>
          </w:p>
        </w:tc>
        <w:tc>
          <w:tcPr>
            <w:tcW w:w="0" w:type="dxa"/>
            <w:vAlign w:val="bottom"/>
          </w:tcPr>
          <w:p>
            <w:pPr>
              <w:spacing w:after="0"/>
              <w:rPr>
                <w:sz w:val="1"/>
                <w:szCs w:val="1"/>
                <w:color w:val="auto"/>
              </w:rPr>
            </w:pPr>
          </w:p>
        </w:tc>
      </w:tr>
      <w:tr>
        <w:trPr>
          <w:trHeight w:val="271"/>
        </w:trPr>
        <w:tc>
          <w:tcPr>
            <w:tcW w:w="6400" w:type="dxa"/>
            <w:vAlign w:val="bottom"/>
            <w:shd w:val="clear" w:color="auto" w:fill="D8D8D8"/>
          </w:tcPr>
          <w:p>
            <w:pPr>
              <w:ind w:left="180"/>
              <w:spacing w:after="0"/>
              <w:rPr>
                <w:sz w:val="20"/>
                <w:szCs w:val="20"/>
                <w:color w:val="auto"/>
              </w:rPr>
            </w:pPr>
            <w:r>
              <w:rPr>
                <w:rFonts w:ascii="Arial" w:cs="Arial" w:eastAsia="Arial" w:hAnsi="Arial"/>
                <w:sz w:val="18"/>
                <w:szCs w:val="18"/>
                <w:color w:val="auto"/>
              </w:rPr>
              <w:t>Effect from interest rate contracts</w:t>
            </w:r>
          </w:p>
        </w:tc>
        <w:tc>
          <w:tcPr>
            <w:tcW w:w="520" w:type="dxa"/>
            <w:vAlign w:val="bottom"/>
            <w:shd w:val="clear" w:color="auto" w:fill="D8D8D8"/>
          </w:tcPr>
          <w:p>
            <w:pPr>
              <w:spacing w:after="0"/>
              <w:rPr>
                <w:sz w:val="23"/>
                <w:szCs w:val="23"/>
                <w:color w:val="auto"/>
              </w:rPr>
            </w:pPr>
          </w:p>
        </w:tc>
        <w:tc>
          <w:tcPr>
            <w:tcW w:w="1100" w:type="dxa"/>
            <w:vAlign w:val="bottom"/>
            <w:shd w:val="clear" w:color="auto" w:fill="D8D8D8"/>
          </w:tcPr>
          <w:p>
            <w:pPr>
              <w:jc w:val="right"/>
              <w:ind w:right="173"/>
              <w:spacing w:after="0"/>
              <w:rPr>
                <w:sz w:val="20"/>
                <w:szCs w:val="20"/>
                <w:color w:val="auto"/>
              </w:rPr>
            </w:pPr>
            <w:r>
              <w:rPr>
                <w:rFonts w:ascii="Arial" w:cs="Arial" w:eastAsia="Arial" w:hAnsi="Arial"/>
                <w:sz w:val="18"/>
                <w:szCs w:val="18"/>
                <w:b w:val="1"/>
                <w:bCs w:val="1"/>
                <w:color w:val="auto"/>
              </w:rPr>
              <w:t>11.9</w:t>
            </w:r>
          </w:p>
        </w:tc>
        <w:tc>
          <w:tcPr>
            <w:tcW w:w="560" w:type="dxa"/>
            <w:vAlign w:val="bottom"/>
            <w:shd w:val="clear" w:color="auto" w:fill="D8D8D8"/>
          </w:tcPr>
          <w:p>
            <w:pPr>
              <w:spacing w:after="0"/>
              <w:rPr>
                <w:sz w:val="23"/>
                <w:szCs w:val="23"/>
                <w:color w:val="auto"/>
              </w:rPr>
            </w:pPr>
          </w:p>
        </w:tc>
        <w:tc>
          <w:tcPr>
            <w:tcW w:w="1100" w:type="dxa"/>
            <w:vAlign w:val="bottom"/>
            <w:shd w:val="clear" w:color="auto" w:fill="D8D8D8"/>
          </w:tcPr>
          <w:p>
            <w:pPr>
              <w:jc w:val="right"/>
              <w:ind w:right="113"/>
              <w:spacing w:after="0"/>
              <w:rPr>
                <w:sz w:val="20"/>
                <w:szCs w:val="20"/>
                <w:color w:val="auto"/>
              </w:rPr>
            </w:pPr>
            <w:r>
              <w:rPr>
                <w:rFonts w:ascii="Arial" w:cs="Arial" w:eastAsia="Arial" w:hAnsi="Arial"/>
                <w:sz w:val="18"/>
                <w:szCs w:val="18"/>
                <w:color w:val="auto"/>
              </w:rPr>
              <w:t>(156.9)</w:t>
            </w:r>
          </w:p>
        </w:tc>
        <w:tc>
          <w:tcPr>
            <w:tcW w:w="560" w:type="dxa"/>
            <w:vAlign w:val="bottom"/>
            <w:shd w:val="clear" w:color="auto" w:fill="D8D8D8"/>
          </w:tcPr>
          <w:p>
            <w:pPr>
              <w:spacing w:after="0"/>
              <w:rPr>
                <w:sz w:val="23"/>
                <w:szCs w:val="23"/>
                <w:color w:val="auto"/>
              </w:rPr>
            </w:pPr>
          </w:p>
        </w:tc>
        <w:tc>
          <w:tcPr>
            <w:tcW w:w="1180" w:type="dxa"/>
            <w:vAlign w:val="bottom"/>
            <w:shd w:val="clear" w:color="auto" w:fill="D8D8D8"/>
          </w:tcPr>
          <w:p>
            <w:pPr>
              <w:jc w:val="right"/>
              <w:ind w:right="253"/>
              <w:spacing w:after="0"/>
              <w:rPr>
                <w:sz w:val="20"/>
                <w:szCs w:val="20"/>
                <w:color w:val="auto"/>
              </w:rPr>
            </w:pPr>
            <w:r>
              <w:rPr>
                <w:rFonts w:ascii="Arial" w:cs="Arial" w:eastAsia="Arial" w:hAnsi="Arial"/>
                <w:sz w:val="18"/>
                <w:szCs w:val="18"/>
                <w:color w:val="auto"/>
              </w:rPr>
              <w:t>308.2</w:t>
            </w:r>
          </w:p>
        </w:tc>
        <w:tc>
          <w:tcPr>
            <w:tcW w:w="0" w:type="dxa"/>
            <w:vAlign w:val="bottom"/>
          </w:tcPr>
          <w:p>
            <w:pPr>
              <w:spacing w:after="0"/>
              <w:rPr>
                <w:sz w:val="1"/>
                <w:szCs w:val="1"/>
                <w:color w:val="auto"/>
              </w:rPr>
            </w:pPr>
          </w:p>
        </w:tc>
      </w:tr>
      <w:tr>
        <w:trPr>
          <w:trHeight w:val="247"/>
        </w:trPr>
        <w:tc>
          <w:tcPr>
            <w:tcW w:w="6400" w:type="dxa"/>
            <w:vAlign w:val="bottom"/>
          </w:tcPr>
          <w:p>
            <w:pPr>
              <w:ind w:left="40"/>
              <w:spacing w:after="0"/>
              <w:rPr>
                <w:sz w:val="20"/>
                <w:szCs w:val="20"/>
                <w:color w:val="auto"/>
              </w:rPr>
            </w:pPr>
            <w:r>
              <w:rPr>
                <w:rFonts w:ascii="Arial" w:cs="Arial" w:eastAsia="Arial" w:hAnsi="Arial"/>
                <w:sz w:val="18"/>
                <w:szCs w:val="18"/>
                <w:color w:val="auto"/>
              </w:rPr>
              <w:t>Cash flow hedges:</w:t>
            </w:r>
          </w:p>
        </w:tc>
        <w:tc>
          <w:tcPr>
            <w:tcW w:w="5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64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7"/>
        </w:trPr>
        <w:tc>
          <w:tcPr>
            <w:tcW w:w="6400" w:type="dxa"/>
            <w:vAlign w:val="bottom"/>
            <w:shd w:val="clear" w:color="auto" w:fill="D8D8D8"/>
          </w:tcPr>
          <w:p>
            <w:pPr>
              <w:ind w:left="180"/>
              <w:spacing w:after="0"/>
              <w:rPr>
                <w:sz w:val="20"/>
                <w:szCs w:val="20"/>
                <w:color w:val="auto"/>
              </w:rPr>
            </w:pPr>
            <w:r>
              <w:rPr>
                <w:rFonts w:ascii="Arial" w:cs="Arial" w:eastAsia="Arial" w:hAnsi="Arial"/>
                <w:sz w:val="18"/>
                <w:szCs w:val="18"/>
                <w:color w:val="auto"/>
              </w:rPr>
              <w:t>Effective portion of losses on equity contracts reclassified from accumulated</w:t>
            </w:r>
          </w:p>
        </w:tc>
        <w:tc>
          <w:tcPr>
            <w:tcW w:w="520" w:type="dxa"/>
            <w:vAlign w:val="bottom"/>
            <w:shd w:val="clear" w:color="auto" w:fill="D8D8D8"/>
          </w:tcPr>
          <w:p>
            <w:pPr>
              <w:spacing w:after="0"/>
              <w:rPr>
                <w:sz w:val="17"/>
                <w:szCs w:val="17"/>
                <w:color w:val="auto"/>
              </w:rPr>
            </w:pPr>
          </w:p>
        </w:tc>
        <w:tc>
          <w:tcPr>
            <w:tcW w:w="1100" w:type="dxa"/>
            <w:vAlign w:val="bottom"/>
            <w:vMerge w:val="restart"/>
            <w:shd w:val="clear" w:color="auto" w:fill="D8D8D8"/>
          </w:tcPr>
          <w:p>
            <w:pPr>
              <w:jc w:val="right"/>
              <w:ind w:right="173"/>
              <w:spacing w:after="0"/>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D8D8D8"/>
          </w:tcPr>
          <w:p>
            <w:pPr>
              <w:spacing w:after="0"/>
              <w:rPr>
                <w:sz w:val="17"/>
                <w:szCs w:val="17"/>
                <w:color w:val="auto"/>
              </w:rPr>
            </w:pPr>
          </w:p>
        </w:tc>
        <w:tc>
          <w:tcPr>
            <w:tcW w:w="1100" w:type="dxa"/>
            <w:vAlign w:val="bottom"/>
            <w:shd w:val="clear" w:color="auto" w:fill="D8D8D8"/>
          </w:tcPr>
          <w:p>
            <w:pPr>
              <w:spacing w:after="0"/>
              <w:rPr>
                <w:sz w:val="17"/>
                <w:szCs w:val="17"/>
                <w:color w:val="auto"/>
              </w:rPr>
            </w:pPr>
          </w:p>
        </w:tc>
        <w:tc>
          <w:tcPr>
            <w:tcW w:w="560" w:type="dxa"/>
            <w:vAlign w:val="bottom"/>
            <w:shd w:val="clear" w:color="auto" w:fill="D8D8D8"/>
          </w:tcPr>
          <w:p>
            <w:pPr>
              <w:spacing w:after="0"/>
              <w:rPr>
                <w:sz w:val="17"/>
                <w:szCs w:val="17"/>
                <w:color w:val="auto"/>
              </w:rPr>
            </w:pPr>
          </w:p>
        </w:tc>
        <w:tc>
          <w:tcPr>
            <w:tcW w:w="1180" w:type="dxa"/>
            <w:vAlign w:val="bottom"/>
            <w:shd w:val="clear" w:color="auto" w:fill="D8D8D8"/>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6400" w:type="dxa"/>
            <w:vAlign w:val="bottom"/>
            <w:shd w:val="clear" w:color="auto" w:fill="D8D8D8"/>
          </w:tcPr>
          <w:p>
            <w:pPr>
              <w:ind w:left="340"/>
              <w:spacing w:after="0"/>
              <w:rPr>
                <w:sz w:val="20"/>
                <w:szCs w:val="20"/>
                <w:color w:val="auto"/>
              </w:rPr>
            </w:pPr>
            <w:r>
              <w:rPr>
                <w:rFonts w:ascii="Arial" w:cs="Arial" w:eastAsia="Arial" w:hAnsi="Arial"/>
                <w:sz w:val="18"/>
                <w:szCs w:val="18"/>
                <w:color w:val="auto"/>
              </w:rPr>
              <w:t>other comprehensive loss</w:t>
            </w:r>
            <w:r>
              <w:rPr>
                <w:rFonts w:ascii="Arial" w:cs="Arial" w:eastAsia="Arial" w:hAnsi="Arial"/>
                <w:sz w:val="21"/>
                <w:szCs w:val="21"/>
                <w:color w:val="auto"/>
                <w:vertAlign w:val="superscript"/>
              </w:rPr>
              <w:t>(1)</w:t>
            </w:r>
          </w:p>
        </w:tc>
        <w:tc>
          <w:tcPr>
            <w:tcW w:w="520" w:type="dxa"/>
            <w:vAlign w:val="bottom"/>
            <w:shd w:val="clear" w:color="auto" w:fill="D8D8D8"/>
          </w:tcPr>
          <w:p>
            <w:pPr>
              <w:spacing w:after="0"/>
              <w:rPr>
                <w:sz w:val="21"/>
                <w:szCs w:val="21"/>
                <w:color w:val="auto"/>
              </w:rPr>
            </w:pPr>
          </w:p>
        </w:tc>
        <w:tc>
          <w:tcPr>
            <w:tcW w:w="1100" w:type="dxa"/>
            <w:vAlign w:val="bottom"/>
            <w:vMerge w:val="continue"/>
            <w:shd w:val="clear" w:color="auto" w:fill="D8D8D8"/>
          </w:tcPr>
          <w:p>
            <w:pPr>
              <w:spacing w:after="0"/>
              <w:rPr>
                <w:sz w:val="21"/>
                <w:szCs w:val="21"/>
                <w:color w:val="auto"/>
              </w:rPr>
            </w:pPr>
          </w:p>
        </w:tc>
        <w:tc>
          <w:tcPr>
            <w:tcW w:w="560" w:type="dxa"/>
            <w:vAlign w:val="bottom"/>
            <w:shd w:val="clear" w:color="auto" w:fill="D8D8D8"/>
          </w:tcPr>
          <w:p>
            <w:pPr>
              <w:spacing w:after="0"/>
              <w:rPr>
                <w:sz w:val="21"/>
                <w:szCs w:val="21"/>
                <w:color w:val="auto"/>
              </w:rPr>
            </w:pPr>
          </w:p>
        </w:tc>
        <w:tc>
          <w:tcPr>
            <w:tcW w:w="1100" w:type="dxa"/>
            <w:vAlign w:val="bottom"/>
            <w:shd w:val="clear" w:color="auto" w:fill="D8D8D8"/>
          </w:tcPr>
          <w:p>
            <w:pPr>
              <w:jc w:val="right"/>
              <w:ind w:right="173"/>
              <w:spacing w:after="0"/>
              <w:rPr>
                <w:sz w:val="20"/>
                <w:szCs w:val="20"/>
                <w:color w:val="auto"/>
              </w:rPr>
            </w:pPr>
            <w:r>
              <w:rPr>
                <w:rFonts w:ascii="Arial" w:cs="Arial" w:eastAsia="Arial" w:hAnsi="Arial"/>
                <w:sz w:val="18"/>
                <w:szCs w:val="18"/>
                <w:color w:val="auto"/>
              </w:rPr>
              <w:t>129.0</w:t>
            </w:r>
          </w:p>
        </w:tc>
        <w:tc>
          <w:tcPr>
            <w:tcW w:w="560" w:type="dxa"/>
            <w:vAlign w:val="bottom"/>
            <w:shd w:val="clear" w:color="auto" w:fill="D8D8D8"/>
          </w:tcPr>
          <w:p>
            <w:pPr>
              <w:spacing w:after="0"/>
              <w:rPr>
                <w:sz w:val="21"/>
                <w:szCs w:val="21"/>
                <w:color w:val="auto"/>
              </w:rPr>
            </w:pPr>
          </w:p>
        </w:tc>
        <w:tc>
          <w:tcPr>
            <w:tcW w:w="1180" w:type="dxa"/>
            <w:vAlign w:val="bottom"/>
            <w:shd w:val="clear" w:color="auto" w:fill="D8D8D8"/>
          </w:tcPr>
          <w:p>
            <w:pPr>
              <w:jc w:val="right"/>
              <w:ind w:right="25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7"/>
        </w:trPr>
        <w:tc>
          <w:tcPr>
            <w:tcW w:w="6400" w:type="dxa"/>
            <w:vAlign w:val="bottom"/>
          </w:tcPr>
          <w:p>
            <w:pPr>
              <w:ind w:left="180"/>
              <w:spacing w:after="0"/>
              <w:rPr>
                <w:sz w:val="20"/>
                <w:szCs w:val="20"/>
                <w:color w:val="auto"/>
              </w:rPr>
            </w:pPr>
            <w:r>
              <w:rPr>
                <w:rFonts w:ascii="Arial" w:cs="Arial" w:eastAsia="Arial" w:hAnsi="Arial"/>
                <w:sz w:val="18"/>
                <w:szCs w:val="18"/>
                <w:color w:val="auto"/>
              </w:rPr>
              <w:t>Effective portion of losses on interest rate contracts reclassified from</w:t>
            </w:r>
          </w:p>
        </w:tc>
        <w:tc>
          <w:tcPr>
            <w:tcW w:w="520" w:type="dxa"/>
            <w:vAlign w:val="bottom"/>
          </w:tcPr>
          <w:p>
            <w:pPr>
              <w:spacing w:after="0"/>
              <w:rPr>
                <w:sz w:val="17"/>
                <w:szCs w:val="17"/>
                <w:color w:val="auto"/>
              </w:rPr>
            </w:pPr>
          </w:p>
        </w:tc>
        <w:tc>
          <w:tcPr>
            <w:tcW w:w="1100" w:type="dxa"/>
            <w:vAlign w:val="bottom"/>
            <w:vMerge w:val="restart"/>
          </w:tcPr>
          <w:p>
            <w:pPr>
              <w:jc w:val="right"/>
              <w:ind w:right="173"/>
              <w:spacing w:after="0"/>
              <w:rPr>
                <w:sz w:val="20"/>
                <w:szCs w:val="20"/>
                <w:color w:val="auto"/>
              </w:rPr>
            </w:pPr>
            <w:r>
              <w:rPr>
                <w:rFonts w:ascii="Arial" w:cs="Arial" w:eastAsia="Arial" w:hAnsi="Arial"/>
                <w:sz w:val="18"/>
                <w:szCs w:val="18"/>
                <w:b w:val="1"/>
                <w:bCs w:val="1"/>
                <w:color w:val="auto"/>
              </w:rPr>
              <w:t>13.7</w:t>
            </w:r>
          </w:p>
        </w:tc>
        <w:tc>
          <w:tcPr>
            <w:tcW w:w="5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6400" w:type="dxa"/>
            <w:vAlign w:val="bottom"/>
          </w:tcPr>
          <w:p>
            <w:pPr>
              <w:ind w:left="340"/>
              <w:spacing w:after="0"/>
              <w:rPr>
                <w:sz w:val="20"/>
                <w:szCs w:val="20"/>
                <w:color w:val="auto"/>
              </w:rPr>
            </w:pPr>
            <w:r>
              <w:rPr>
                <w:rFonts w:ascii="Arial" w:cs="Arial" w:eastAsia="Arial" w:hAnsi="Arial"/>
                <w:sz w:val="18"/>
                <w:szCs w:val="18"/>
                <w:color w:val="auto"/>
              </w:rPr>
              <w:t>accumulated other comprehensive loss</w:t>
            </w:r>
          </w:p>
        </w:tc>
        <w:tc>
          <w:tcPr>
            <w:tcW w:w="520" w:type="dxa"/>
            <w:vAlign w:val="bottom"/>
          </w:tcPr>
          <w:p>
            <w:pPr>
              <w:spacing w:after="0"/>
              <w:rPr>
                <w:sz w:val="21"/>
                <w:szCs w:val="21"/>
                <w:color w:val="auto"/>
              </w:rPr>
            </w:pPr>
          </w:p>
        </w:tc>
        <w:tc>
          <w:tcPr>
            <w:tcW w:w="1100" w:type="dxa"/>
            <w:vAlign w:val="bottom"/>
            <w:vMerge w:val="continue"/>
          </w:tcPr>
          <w:p>
            <w:pPr>
              <w:spacing w:after="0"/>
              <w:rPr>
                <w:sz w:val="21"/>
                <w:szCs w:val="21"/>
                <w:color w:val="auto"/>
              </w:rPr>
            </w:pPr>
          </w:p>
        </w:tc>
        <w:tc>
          <w:tcPr>
            <w:tcW w:w="560" w:type="dxa"/>
            <w:vAlign w:val="bottom"/>
          </w:tcPr>
          <w:p>
            <w:pPr>
              <w:spacing w:after="0"/>
              <w:rPr>
                <w:sz w:val="21"/>
                <w:szCs w:val="21"/>
                <w:color w:val="auto"/>
              </w:rPr>
            </w:pPr>
          </w:p>
        </w:tc>
        <w:tc>
          <w:tcPr>
            <w:tcW w:w="1100" w:type="dxa"/>
            <w:vAlign w:val="bottom"/>
          </w:tcPr>
          <w:p>
            <w:pPr>
              <w:jc w:val="right"/>
              <w:ind w:right="173"/>
              <w:spacing w:after="0"/>
              <w:rPr>
                <w:sz w:val="20"/>
                <w:szCs w:val="20"/>
                <w:color w:val="auto"/>
              </w:rPr>
            </w:pPr>
            <w:r>
              <w:rPr>
                <w:rFonts w:ascii="Arial" w:cs="Arial" w:eastAsia="Arial" w:hAnsi="Arial"/>
                <w:sz w:val="18"/>
                <w:szCs w:val="18"/>
                <w:color w:val="auto"/>
              </w:rPr>
              <w:t>9.0</w:t>
            </w:r>
          </w:p>
        </w:tc>
        <w:tc>
          <w:tcPr>
            <w:tcW w:w="560" w:type="dxa"/>
            <w:vAlign w:val="bottom"/>
          </w:tcPr>
          <w:p>
            <w:pPr>
              <w:spacing w:after="0"/>
              <w:rPr>
                <w:sz w:val="21"/>
                <w:szCs w:val="21"/>
                <w:color w:val="auto"/>
              </w:rPr>
            </w:pPr>
          </w:p>
        </w:tc>
        <w:tc>
          <w:tcPr>
            <w:tcW w:w="1180" w:type="dxa"/>
            <w:vAlign w:val="bottom"/>
          </w:tcPr>
          <w:p>
            <w:pPr>
              <w:jc w:val="right"/>
              <w:ind w:right="253"/>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07"/>
        </w:trPr>
        <w:tc>
          <w:tcPr>
            <w:tcW w:w="6400" w:type="dxa"/>
            <w:vAlign w:val="bottom"/>
            <w:shd w:val="clear" w:color="auto" w:fill="D8D8D8"/>
          </w:tcPr>
          <w:p>
            <w:pPr>
              <w:ind w:left="40"/>
              <w:spacing w:after="0"/>
              <w:rPr>
                <w:sz w:val="20"/>
                <w:szCs w:val="20"/>
                <w:color w:val="auto"/>
              </w:rPr>
            </w:pPr>
            <w:r>
              <w:rPr>
                <w:rFonts w:ascii="Arial" w:cs="Arial" w:eastAsia="Arial" w:hAnsi="Arial"/>
                <w:sz w:val="18"/>
                <w:szCs w:val="18"/>
                <w:color w:val="auto"/>
              </w:rPr>
              <w:t>Net (gains) losses on foreign currency exchange contracts not designated as</w:t>
            </w:r>
          </w:p>
        </w:tc>
        <w:tc>
          <w:tcPr>
            <w:tcW w:w="520" w:type="dxa"/>
            <w:vAlign w:val="bottom"/>
            <w:shd w:val="clear" w:color="auto" w:fill="D8D8D8"/>
          </w:tcPr>
          <w:p>
            <w:pPr>
              <w:spacing w:after="0"/>
              <w:rPr>
                <w:sz w:val="18"/>
                <w:szCs w:val="18"/>
                <w:color w:val="auto"/>
              </w:rPr>
            </w:pPr>
          </w:p>
        </w:tc>
        <w:tc>
          <w:tcPr>
            <w:tcW w:w="1100" w:type="dxa"/>
            <w:vAlign w:val="bottom"/>
            <w:vMerge w:val="restart"/>
            <w:shd w:val="clear" w:color="auto" w:fill="D8D8D8"/>
          </w:tcPr>
          <w:p>
            <w:pPr>
              <w:jc w:val="right"/>
              <w:ind w:right="113"/>
              <w:spacing w:after="0"/>
              <w:rPr>
                <w:sz w:val="20"/>
                <w:szCs w:val="20"/>
                <w:color w:val="auto"/>
              </w:rPr>
            </w:pPr>
            <w:r>
              <w:rPr>
                <w:rFonts w:ascii="Arial" w:cs="Arial" w:eastAsia="Arial" w:hAnsi="Arial"/>
                <w:sz w:val="18"/>
                <w:szCs w:val="18"/>
                <w:b w:val="1"/>
                <w:bCs w:val="1"/>
                <w:color w:val="auto"/>
              </w:rPr>
              <w:t>(28.2)</w:t>
            </w:r>
          </w:p>
        </w:tc>
        <w:tc>
          <w:tcPr>
            <w:tcW w:w="560" w:type="dxa"/>
            <w:vAlign w:val="bottom"/>
            <w:shd w:val="clear" w:color="auto" w:fill="D8D8D8"/>
          </w:tcPr>
          <w:p>
            <w:pPr>
              <w:spacing w:after="0"/>
              <w:rPr>
                <w:sz w:val="18"/>
                <w:szCs w:val="18"/>
                <w:color w:val="auto"/>
              </w:rPr>
            </w:pPr>
          </w:p>
        </w:tc>
        <w:tc>
          <w:tcPr>
            <w:tcW w:w="1100" w:type="dxa"/>
            <w:vAlign w:val="bottom"/>
            <w:shd w:val="clear" w:color="auto" w:fill="D8D8D8"/>
          </w:tcPr>
          <w:p>
            <w:pPr>
              <w:spacing w:after="0"/>
              <w:rPr>
                <w:sz w:val="18"/>
                <w:szCs w:val="18"/>
                <w:color w:val="auto"/>
              </w:rPr>
            </w:pPr>
          </w:p>
        </w:tc>
        <w:tc>
          <w:tcPr>
            <w:tcW w:w="560" w:type="dxa"/>
            <w:vAlign w:val="bottom"/>
            <w:shd w:val="clear" w:color="auto" w:fill="D8D8D8"/>
          </w:tcPr>
          <w:p>
            <w:pPr>
              <w:spacing w:after="0"/>
              <w:rPr>
                <w:sz w:val="18"/>
                <w:szCs w:val="18"/>
                <w:color w:val="auto"/>
              </w:rPr>
            </w:pPr>
          </w:p>
        </w:tc>
        <w:tc>
          <w:tcPr>
            <w:tcW w:w="1180" w:type="dxa"/>
            <w:vAlign w:val="bottom"/>
            <w:shd w:val="clear" w:color="auto" w:fill="D8D8D8"/>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6400" w:type="dxa"/>
            <w:vAlign w:val="bottom"/>
            <w:shd w:val="clear" w:color="auto" w:fill="D8D8D8"/>
          </w:tcPr>
          <w:p>
            <w:pPr>
              <w:ind w:left="200"/>
              <w:spacing w:after="0"/>
              <w:rPr>
                <w:sz w:val="20"/>
                <w:szCs w:val="20"/>
                <w:color w:val="auto"/>
              </w:rPr>
            </w:pPr>
            <w:r>
              <w:rPr>
                <w:rFonts w:ascii="Arial" w:cs="Arial" w:eastAsia="Arial" w:hAnsi="Arial"/>
                <w:sz w:val="18"/>
                <w:szCs w:val="18"/>
                <w:color w:val="auto"/>
              </w:rPr>
              <w:t>hedging instruments</w:t>
            </w:r>
          </w:p>
        </w:tc>
        <w:tc>
          <w:tcPr>
            <w:tcW w:w="520" w:type="dxa"/>
            <w:vAlign w:val="bottom"/>
            <w:shd w:val="clear" w:color="auto" w:fill="D8D8D8"/>
          </w:tcPr>
          <w:p>
            <w:pPr>
              <w:spacing w:after="0"/>
              <w:rPr>
                <w:sz w:val="21"/>
                <w:szCs w:val="21"/>
                <w:color w:val="auto"/>
              </w:rPr>
            </w:pPr>
          </w:p>
        </w:tc>
        <w:tc>
          <w:tcPr>
            <w:tcW w:w="1100" w:type="dxa"/>
            <w:vAlign w:val="bottom"/>
            <w:vMerge w:val="continue"/>
            <w:shd w:val="clear" w:color="auto" w:fill="D8D8D8"/>
          </w:tcPr>
          <w:p>
            <w:pPr>
              <w:spacing w:after="0"/>
              <w:rPr>
                <w:sz w:val="21"/>
                <w:szCs w:val="21"/>
                <w:color w:val="auto"/>
              </w:rPr>
            </w:pPr>
          </w:p>
        </w:tc>
        <w:tc>
          <w:tcPr>
            <w:tcW w:w="560" w:type="dxa"/>
            <w:vAlign w:val="bottom"/>
            <w:shd w:val="clear" w:color="auto" w:fill="D8D8D8"/>
          </w:tcPr>
          <w:p>
            <w:pPr>
              <w:spacing w:after="0"/>
              <w:rPr>
                <w:sz w:val="21"/>
                <w:szCs w:val="21"/>
                <w:color w:val="auto"/>
              </w:rPr>
            </w:pPr>
          </w:p>
        </w:tc>
        <w:tc>
          <w:tcPr>
            <w:tcW w:w="1100" w:type="dxa"/>
            <w:vAlign w:val="bottom"/>
            <w:shd w:val="clear" w:color="auto" w:fill="D8D8D8"/>
          </w:tcPr>
          <w:p>
            <w:pPr>
              <w:jc w:val="right"/>
              <w:ind w:right="113"/>
              <w:spacing w:after="0"/>
              <w:rPr>
                <w:sz w:val="20"/>
                <w:szCs w:val="20"/>
                <w:color w:val="auto"/>
              </w:rPr>
            </w:pPr>
            <w:r>
              <w:rPr>
                <w:rFonts w:ascii="Arial" w:cs="Arial" w:eastAsia="Arial" w:hAnsi="Arial"/>
                <w:sz w:val="18"/>
                <w:szCs w:val="18"/>
                <w:color w:val="auto"/>
              </w:rPr>
              <w:t>(20.4)</w:t>
            </w:r>
          </w:p>
        </w:tc>
        <w:tc>
          <w:tcPr>
            <w:tcW w:w="560" w:type="dxa"/>
            <w:vAlign w:val="bottom"/>
            <w:shd w:val="clear" w:color="auto" w:fill="D8D8D8"/>
          </w:tcPr>
          <w:p>
            <w:pPr>
              <w:spacing w:after="0"/>
              <w:rPr>
                <w:sz w:val="21"/>
                <w:szCs w:val="21"/>
                <w:color w:val="auto"/>
              </w:rPr>
            </w:pPr>
          </w:p>
        </w:tc>
        <w:tc>
          <w:tcPr>
            <w:tcW w:w="1180" w:type="dxa"/>
            <w:vAlign w:val="bottom"/>
            <w:shd w:val="clear" w:color="auto" w:fill="D8D8D8"/>
          </w:tcPr>
          <w:p>
            <w:pPr>
              <w:jc w:val="right"/>
              <w:ind w:right="253"/>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bl>
    <w:p>
      <w:pPr>
        <w:spacing w:after="0" w:line="95" w:lineRule="exact"/>
        <w:rPr>
          <w:sz w:val="20"/>
          <w:szCs w:val="20"/>
          <w:color w:val="auto"/>
        </w:rPr>
      </w:pPr>
    </w:p>
    <w:p>
      <w:pPr>
        <w:ind w:left="180" w:right="80" w:hanging="172"/>
        <w:spacing w:after="0" w:line="239" w:lineRule="auto"/>
        <w:tabs>
          <w:tab w:leader="none" w:pos="153" w:val="left"/>
        </w:tabs>
        <w:numPr>
          <w:ilvl w:val="0"/>
          <w:numId w:val="60"/>
        </w:numPr>
        <w:rPr>
          <w:rFonts w:ascii="Arial" w:cs="Arial" w:eastAsia="Arial" w:hAnsi="Arial"/>
          <w:sz w:val="17"/>
          <w:szCs w:val="17"/>
          <w:color w:val="auto"/>
          <w:vertAlign w:val="superscript"/>
        </w:rPr>
      </w:pPr>
      <w:r>
        <w:rPr>
          <w:rFonts w:ascii="Arial" w:cs="Arial" w:eastAsia="Arial" w:hAnsi="Arial"/>
          <w:sz w:val="14"/>
          <w:szCs w:val="14"/>
          <w:color w:val="auto"/>
        </w:rPr>
        <w:t>Realized gains on the sale of underlying equity securities recognized in other-net, (income) expense were $260.8 million during the year ended December 31, 2014. There were no realized gains on the sale of underlying equity securities during the years ended December 31, 2015 and 2013.</w:t>
      </w:r>
    </w:p>
    <w:p>
      <w:pPr>
        <w:spacing w:after="0" w:line="68"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color w:val="auto"/>
        </w:rPr>
        <w:t>During the years ended December 31, 2015, 2014, and 2013, net losses related to ineffectiveness, as well as net losses related to the portion of our risk-management hedging instruments, fair value hedges, and cash flow hedges that were excluded from the assessment of effectiveness, were not material.</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Hedges</w:t>
      </w:r>
    </w:p>
    <w:p>
      <w:pPr>
        <w:spacing w:after="0" w:line="115"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During the years ended December 31, 2015 and 2014, we terminated certain interest rate swaps designated as fair value hedges with an aggregate notional amount of $876.0 million and $1.30 billion, respectively. The termination of certain interest rate swaps in 2015 was in connection with the note purchase and redemption discussed at Note 10. As a result of the termination, we received cash of $20.2 million and $340.7 million in</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74</w:t>
      </w:r>
    </w:p>
    <w:p>
      <w:pPr>
        <w:sectPr>
          <w:pgSz w:w="11900" w:h="16838" w:orient="portrait"/>
          <w:cols w:equalWidth="0" w:num="1">
            <w:col w:w="11420"/>
          </w:cols>
          <w:pgMar w:left="240" w:top="684" w:right="239" w:bottom="1440" w:gutter="0" w:footer="0" w:header="0"/>
        </w:sectPr>
      </w:pPr>
    </w:p>
    <w:bookmarkStart w:id="74" w:name="page75"/>
    <w:bookmarkEnd w:id="74"/>
    <w:p>
      <w:pPr>
        <w:jc w:val="both"/>
        <w:ind w:right="480"/>
        <w:spacing w:after="0" w:line="264" w:lineRule="auto"/>
        <w:rPr>
          <w:sz w:val="20"/>
          <w:szCs w:val="20"/>
          <w:color w:val="auto"/>
        </w:rPr>
      </w:pPr>
      <w:r>
        <w:rPr>
          <w:rFonts w:ascii="Arial" w:cs="Arial" w:eastAsia="Arial" w:hAnsi="Arial"/>
          <w:sz w:val="18"/>
          <w:szCs w:val="18"/>
          <w:color w:val="auto"/>
        </w:rPr>
        <w:t>2015 and 2014, respectively, which represented the fair value of the interest rate swaps at the time of termination. In 2015, the related fair value adjustment was recorded as an increase to the carrying value of the underlying notes and was included as a component of the debt extinguishment loss. In 2014, the related fair value was recorded as an increase to the carrying value of the underlying notes and is being amortized into earnings as a reduction of interest expense over the remaining life of the underlying debt.</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 Hedges</w:t>
      </w:r>
    </w:p>
    <w:p>
      <w:pPr>
        <w:spacing w:after="0" w:line="115" w:lineRule="exact"/>
        <w:rPr>
          <w:sz w:val="20"/>
          <w:szCs w:val="20"/>
          <w:color w:val="auto"/>
        </w:rPr>
      </w:pPr>
    </w:p>
    <w:p>
      <w:pPr>
        <w:ind w:right="440"/>
        <w:spacing w:after="0" w:line="292" w:lineRule="auto"/>
        <w:rPr>
          <w:sz w:val="20"/>
          <w:szCs w:val="20"/>
          <w:color w:val="auto"/>
        </w:rPr>
      </w:pPr>
      <w:r>
        <w:rPr>
          <w:rFonts w:ascii="Arial" w:cs="Arial" w:eastAsia="Arial" w:hAnsi="Arial"/>
          <w:sz w:val="18"/>
          <w:szCs w:val="18"/>
          <w:color w:val="auto"/>
        </w:rPr>
        <w:t>The effective portion of equity contracts and forward-starting interest rate swaps in designated cash flow hedging relationships recorded in other comprehensive income (loss) was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000" w:type="dxa"/>
            <w:vAlign w:val="bottom"/>
            <w:tcBorders>
              <w:bottom w:val="single" w:sz="8" w:color="auto"/>
            </w:tcBorders>
          </w:tcPr>
          <w:p>
            <w:pPr>
              <w:spacing w:after="0"/>
              <w:rPr>
                <w:sz w:val="17"/>
                <w:szCs w:val="17"/>
                <w:color w:val="auto"/>
              </w:rPr>
            </w:pPr>
          </w:p>
        </w:tc>
        <w:tc>
          <w:tcPr>
            <w:tcW w:w="2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9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2014</w:t>
            </w:r>
          </w:p>
        </w:tc>
        <w:tc>
          <w:tcPr>
            <w:tcW w:w="4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2013</w:t>
            </w:r>
          </w:p>
        </w:tc>
      </w:tr>
      <w:tr>
        <w:trPr>
          <w:trHeight w:val="265"/>
        </w:trPr>
        <w:tc>
          <w:tcPr>
            <w:tcW w:w="5000" w:type="dxa"/>
            <w:vAlign w:val="bottom"/>
            <w:shd w:val="clear" w:color="auto" w:fill="D8D8D8"/>
          </w:tcPr>
          <w:p>
            <w:pPr>
              <w:ind w:left="40"/>
              <w:spacing w:after="0"/>
              <w:rPr>
                <w:sz w:val="20"/>
                <w:szCs w:val="20"/>
                <w:color w:val="auto"/>
              </w:rPr>
            </w:pPr>
            <w:r>
              <w:rPr>
                <w:rFonts w:ascii="Arial" w:cs="Arial" w:eastAsia="Arial" w:hAnsi="Arial"/>
                <w:sz w:val="18"/>
                <w:szCs w:val="18"/>
                <w:color w:val="auto"/>
              </w:rPr>
              <w:t>Equity contracts</w:t>
            </w:r>
          </w:p>
        </w:tc>
        <w:tc>
          <w:tcPr>
            <w:tcW w:w="2920" w:type="dxa"/>
            <w:vAlign w:val="bottom"/>
            <w:shd w:val="clear" w:color="auto" w:fill="D8D8D8"/>
          </w:tcPr>
          <w:p>
            <w:pPr>
              <w:jc w:val="right"/>
              <w:ind w:right="639"/>
              <w:spacing w:after="0"/>
              <w:rPr>
                <w:sz w:val="20"/>
                <w:szCs w:val="20"/>
                <w:color w:val="auto"/>
              </w:rPr>
            </w:pPr>
            <w:r>
              <w:rPr>
                <w:rFonts w:ascii="Arial" w:cs="Arial" w:eastAsia="Arial" w:hAnsi="Arial"/>
                <w:sz w:val="18"/>
                <w:szCs w:val="18"/>
                <w:b w:val="1"/>
                <w:bCs w:val="1"/>
                <w:color w:val="auto"/>
              </w:rPr>
              <w:t>$</w:t>
            </w:r>
          </w:p>
        </w:tc>
        <w:tc>
          <w:tcPr>
            <w:tcW w:w="960" w:type="dxa"/>
            <w:vAlign w:val="bottom"/>
            <w:shd w:val="clear" w:color="auto" w:fill="D8D8D8"/>
          </w:tcPr>
          <w:p>
            <w:pPr>
              <w:jc w:val="right"/>
              <w:ind w:right="11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1100" w:type="dxa"/>
            <w:vAlign w:val="bottom"/>
            <w:shd w:val="clear" w:color="auto" w:fill="D8D8D8"/>
          </w:tcPr>
          <w:p>
            <w:pPr>
              <w:jc w:val="right"/>
              <w:ind w:right="76"/>
              <w:spacing w:after="0"/>
              <w:rPr>
                <w:sz w:val="20"/>
                <w:szCs w:val="20"/>
                <w:color w:val="auto"/>
              </w:rPr>
            </w:pPr>
            <w:r>
              <w:rPr>
                <w:rFonts w:ascii="Arial" w:cs="Arial" w:eastAsia="Arial" w:hAnsi="Arial"/>
                <w:sz w:val="18"/>
                <w:szCs w:val="18"/>
                <w:color w:val="auto"/>
              </w:rPr>
              <w:t>149.6</w:t>
            </w:r>
          </w:p>
        </w:tc>
        <w:tc>
          <w:tcPr>
            <w:tcW w:w="400" w:type="dxa"/>
            <w:vAlign w:val="bottom"/>
            <w:shd w:val="clear" w:color="auto" w:fill="D8D8D8"/>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D8D8D8"/>
          </w:tcPr>
          <w:p>
            <w:pPr>
              <w:jc w:val="right"/>
              <w:spacing w:after="0"/>
              <w:rPr>
                <w:sz w:val="20"/>
                <w:szCs w:val="20"/>
                <w:color w:val="auto"/>
              </w:rPr>
            </w:pPr>
            <w:r>
              <w:rPr>
                <w:rFonts w:ascii="Arial" w:cs="Arial" w:eastAsia="Arial" w:hAnsi="Arial"/>
                <w:sz w:val="18"/>
                <w:szCs w:val="18"/>
                <w:color w:val="auto"/>
              </w:rPr>
              <w:t>(149.6)</w:t>
            </w:r>
          </w:p>
        </w:tc>
      </w:tr>
      <w:tr>
        <w:trPr>
          <w:trHeight w:val="269"/>
        </w:trPr>
        <w:tc>
          <w:tcPr>
            <w:tcW w:w="5000" w:type="dxa"/>
            <w:vAlign w:val="bottom"/>
          </w:tcPr>
          <w:p>
            <w:pPr>
              <w:ind w:left="40"/>
              <w:spacing w:after="0"/>
              <w:rPr>
                <w:sz w:val="20"/>
                <w:szCs w:val="20"/>
                <w:color w:val="auto"/>
              </w:rPr>
            </w:pPr>
            <w:r>
              <w:rPr>
                <w:rFonts w:ascii="Arial" w:cs="Arial" w:eastAsia="Arial" w:hAnsi="Arial"/>
                <w:sz w:val="18"/>
                <w:szCs w:val="18"/>
                <w:color w:val="auto"/>
              </w:rPr>
              <w:t>Forward-starting interest rate swaps</w:t>
            </w:r>
          </w:p>
        </w:tc>
        <w:tc>
          <w:tcPr>
            <w:tcW w:w="2920" w:type="dxa"/>
            <w:vAlign w:val="bottom"/>
          </w:tcPr>
          <w:p>
            <w:pPr>
              <w:spacing w:after="0"/>
              <w:rPr>
                <w:sz w:val="23"/>
                <w:szCs w:val="23"/>
                <w:color w:val="auto"/>
              </w:rPr>
            </w:pPr>
          </w:p>
        </w:tc>
        <w:tc>
          <w:tcPr>
            <w:tcW w:w="960" w:type="dxa"/>
            <w:vAlign w:val="bottom"/>
          </w:tcPr>
          <w:p>
            <w:pPr>
              <w:jc w:val="right"/>
              <w:ind w:right="390"/>
              <w:spacing w:after="0"/>
              <w:rPr>
                <w:sz w:val="20"/>
                <w:szCs w:val="20"/>
                <w:color w:val="auto"/>
              </w:rPr>
            </w:pPr>
            <w:r>
              <w:rPr>
                <w:rFonts w:ascii="Arial" w:cs="Arial" w:eastAsia="Arial" w:hAnsi="Arial"/>
                <w:sz w:val="18"/>
                <w:szCs w:val="18"/>
                <w:b w:val="1"/>
                <w:bCs w:val="1"/>
                <w:color w:val="auto"/>
                <w:w w:val="97"/>
              </w:rPr>
              <w:t>(56.7)</w:t>
            </w: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(164.7)</w:t>
            </w:r>
          </w:p>
        </w:tc>
        <w:tc>
          <w:tcPr>
            <w:tcW w:w="400" w:type="dxa"/>
            <w:vAlign w:val="bottom"/>
          </w:tcPr>
          <w:p>
            <w:pPr>
              <w:spacing w:after="0"/>
              <w:rPr>
                <w:sz w:val="23"/>
                <w:szCs w:val="23"/>
                <w:color w:val="auto"/>
              </w:rPr>
            </w:pP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16.7</w:t>
            </w:r>
          </w:p>
        </w:tc>
      </w:tr>
    </w:tbl>
    <w:p>
      <w:pPr>
        <w:spacing w:after="0" w:line="8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Upon issuance of the underlying fixed-rate notes in March 2015, which are discussed in Note 10, we terminated forward-starting interest rate contracts in designated cash flow hedging instruments with an aggregate notional amount of $1.35 billion and paid $206.3 million in cash to the counterparties for settlement. The settlement amount represented the fair value of the forward-starting interest rate contracts at the time of termination and was recorded in other comprehensive income (loss).</w:t>
      </w:r>
    </w:p>
    <w:p>
      <w:pPr>
        <w:spacing w:after="0" w:line="62" w:lineRule="exact"/>
        <w:rPr>
          <w:sz w:val="20"/>
          <w:szCs w:val="20"/>
          <w:color w:val="auto"/>
        </w:rPr>
      </w:pPr>
    </w:p>
    <w:p>
      <w:pPr>
        <w:ind w:right="240"/>
        <w:spacing w:after="0" w:line="271" w:lineRule="auto"/>
        <w:rPr>
          <w:sz w:val="20"/>
          <w:szCs w:val="20"/>
          <w:color w:val="auto"/>
        </w:rPr>
      </w:pPr>
      <w:r>
        <w:rPr>
          <w:rFonts w:ascii="Arial" w:cs="Arial" w:eastAsia="Arial" w:hAnsi="Arial"/>
          <w:sz w:val="18"/>
          <w:szCs w:val="18"/>
          <w:color w:val="auto"/>
        </w:rPr>
        <w:t>During the year ended December 31, 2014, we sold all of the underlying equity securities that had been in designated cash flow hedging relationships. At the time of the sales, we reclassified to earnings the accumulated other comprehensive loss related to the cash flow hedges and the previously unrealized gains on the underlying equity securities.</w:t>
      </w:r>
    </w:p>
    <w:p>
      <w:pPr>
        <w:spacing w:after="0" w:line="55" w:lineRule="exact"/>
        <w:rPr>
          <w:sz w:val="20"/>
          <w:szCs w:val="20"/>
          <w:color w:val="auto"/>
        </w:rPr>
      </w:pPr>
    </w:p>
    <w:p>
      <w:pPr>
        <w:ind w:right="200"/>
        <w:spacing w:after="0" w:line="292" w:lineRule="auto"/>
        <w:rPr>
          <w:sz w:val="20"/>
          <w:szCs w:val="20"/>
          <w:color w:val="auto"/>
        </w:rPr>
      </w:pPr>
      <w:r>
        <w:rPr>
          <w:rFonts w:ascii="Arial" w:cs="Arial" w:eastAsia="Arial" w:hAnsi="Arial"/>
          <w:sz w:val="18"/>
          <w:szCs w:val="18"/>
          <w:color w:val="auto"/>
        </w:rPr>
        <w:t>During the next 12 months, we expect to reclassify from accumulated other comprehensive loss to earnings $14.8 million of pretax net losses on cash flow hedges of the variability in expected future interest payments on our floating rate debt.</w:t>
      </w:r>
    </w:p>
    <w:p>
      <w:pPr>
        <w:spacing w:after="0" w:line="17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75</w:t>
      </w:r>
    </w:p>
    <w:p>
      <w:pPr>
        <w:sectPr>
          <w:pgSz w:w="11900" w:h="16838" w:orient="portrait"/>
          <w:cols w:equalWidth="0" w:num="1">
            <w:col w:w="11420"/>
          </w:cols>
          <w:pgMar w:left="240" w:top="684" w:right="23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119" w:lineRule="exact"/>
        <w:rPr>
          <w:sz w:val="20"/>
          <w:szCs w:val="20"/>
          <w:color w:val="auto"/>
        </w:rPr>
      </w:pPr>
    </w:p>
    <w:p>
      <w:pPr>
        <w:ind w:right="340"/>
        <w:spacing w:after="0" w:line="292" w:lineRule="auto"/>
        <w:rPr>
          <w:sz w:val="20"/>
          <w:szCs w:val="20"/>
          <w:color w:val="auto"/>
        </w:rPr>
      </w:pPr>
      <w:r>
        <w:rPr>
          <w:rFonts w:ascii="Arial" w:cs="Arial" w:eastAsia="Arial" w:hAnsi="Arial"/>
          <w:sz w:val="18"/>
          <w:szCs w:val="18"/>
          <w:color w:val="auto"/>
        </w:rPr>
        <w:t>The following tables summarize certain fair value information at December 31 for assets and liabilities measured at fair value on a recurring basis, as well as the carrying amount and amortized cost of certain other investments: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040" w:type="dxa"/>
            <w:vAlign w:val="bottom"/>
            <w:tcBorders>
              <w:bottom w:val="single" w:sz="8" w:color="auto"/>
            </w:tcBorders>
            <w:gridSpan w:val="4"/>
          </w:tcPr>
          <w:p>
            <w:pPr>
              <w:jc w:val="center"/>
              <w:ind w:left="975"/>
              <w:spacing w:after="0"/>
              <w:rPr>
                <w:sz w:val="20"/>
                <w:szCs w:val="20"/>
                <w:color w:val="auto"/>
              </w:rPr>
            </w:pPr>
            <w:r>
              <w:rPr>
                <w:rFonts w:ascii="Arial" w:cs="Arial" w:eastAsia="Arial" w:hAnsi="Arial"/>
                <w:sz w:val="13"/>
                <w:szCs w:val="13"/>
                <w:b w:val="1"/>
                <w:bCs w:val="1"/>
                <w:color w:val="auto"/>
                <w:w w:val="96"/>
              </w:rPr>
              <w:t>Fair Value Measurements Using</w:t>
            </w:r>
          </w:p>
        </w:tc>
        <w:tc>
          <w:tcPr>
            <w:tcW w:w="1160" w:type="dxa"/>
            <w:vAlign w:val="bottom"/>
            <w:tcBorders>
              <w:bottom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3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vMerge w:val="restart"/>
          </w:tcPr>
          <w:p>
            <w:pPr>
              <w:jc w:val="center"/>
              <w:ind w:right="75"/>
              <w:spacing w:after="0"/>
              <w:rPr>
                <w:sz w:val="20"/>
                <w:szCs w:val="20"/>
                <w:color w:val="auto"/>
              </w:rPr>
            </w:pPr>
            <w:r>
              <w:rPr>
                <w:rFonts w:ascii="Arial" w:cs="Arial" w:eastAsia="Arial" w:hAnsi="Arial"/>
                <w:sz w:val="13"/>
                <w:szCs w:val="13"/>
                <w:b w:val="1"/>
                <w:bCs w:val="1"/>
                <w:color w:val="auto"/>
                <w:w w:val="96"/>
              </w:rPr>
              <w:t>Quoted Prices in</w:t>
            </w:r>
          </w:p>
        </w:tc>
        <w:tc>
          <w:tcPr>
            <w:tcW w:w="340" w:type="dxa"/>
            <w:vAlign w:val="bottom"/>
          </w:tcPr>
          <w:p>
            <w:pPr>
              <w:spacing w:after="0"/>
              <w:rPr>
                <w:sz w:val="11"/>
                <w:szCs w:val="11"/>
                <w:color w:val="auto"/>
              </w:rPr>
            </w:pPr>
          </w:p>
        </w:tc>
        <w:tc>
          <w:tcPr>
            <w:tcW w:w="1160" w:type="dxa"/>
            <w:vAlign w:val="bottom"/>
          </w:tcPr>
          <w:p>
            <w:pPr>
              <w:jc w:val="center"/>
              <w:ind w:right="175"/>
              <w:spacing w:after="0" w:line="136" w:lineRule="exact"/>
              <w:rPr>
                <w:sz w:val="20"/>
                <w:szCs w:val="20"/>
                <w:color w:val="auto"/>
              </w:rPr>
            </w:pPr>
            <w:r>
              <w:rPr>
                <w:rFonts w:ascii="Arial" w:cs="Arial" w:eastAsia="Arial" w:hAnsi="Arial"/>
                <w:sz w:val="13"/>
                <w:szCs w:val="13"/>
                <w:b w:val="1"/>
                <w:bCs w:val="1"/>
                <w:color w:val="auto"/>
                <w:w w:val="99"/>
              </w:rPr>
              <w:t>Significant</w:t>
            </w:r>
          </w:p>
        </w:tc>
        <w:tc>
          <w:tcPr>
            <w:tcW w:w="300" w:type="dxa"/>
            <w:vAlign w:val="bottom"/>
          </w:tcPr>
          <w:p>
            <w:pPr>
              <w:spacing w:after="0"/>
              <w:rPr>
                <w:sz w:val="11"/>
                <w:szCs w:val="11"/>
                <w:color w:val="auto"/>
              </w:rPr>
            </w:pPr>
          </w:p>
        </w:tc>
        <w:tc>
          <w:tcPr>
            <w:tcW w:w="1160" w:type="dxa"/>
            <w:vAlign w:val="bottom"/>
            <w:vMerge w:val="restart"/>
          </w:tcPr>
          <w:p>
            <w:pPr>
              <w:jc w:val="center"/>
              <w:ind w:right="114"/>
              <w:spacing w:after="0"/>
              <w:rPr>
                <w:sz w:val="20"/>
                <w:szCs w:val="20"/>
                <w:color w:val="auto"/>
              </w:rPr>
            </w:pPr>
            <w:r>
              <w:rPr>
                <w:rFonts w:ascii="Arial" w:cs="Arial" w:eastAsia="Arial" w:hAnsi="Arial"/>
                <w:sz w:val="13"/>
                <w:szCs w:val="13"/>
                <w:b w:val="1"/>
                <w:bCs w:val="1"/>
                <w:color w:val="auto"/>
                <w:w w:val="96"/>
              </w:rPr>
              <w:t>Significant</w:t>
            </w: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1160" w:type="dxa"/>
            <w:vAlign w:val="bottom"/>
          </w:tcPr>
          <w:p>
            <w:pPr>
              <w:jc w:val="center"/>
              <w:ind w:right="175"/>
              <w:spacing w:after="0" w:line="135" w:lineRule="exact"/>
              <w:rPr>
                <w:sz w:val="20"/>
                <w:szCs w:val="20"/>
                <w:color w:val="auto"/>
              </w:rPr>
            </w:pPr>
            <w:r>
              <w:rPr>
                <w:rFonts w:ascii="Arial" w:cs="Arial" w:eastAsia="Arial" w:hAnsi="Arial"/>
                <w:sz w:val="13"/>
                <w:szCs w:val="13"/>
                <w:b w:val="1"/>
                <w:bCs w:val="1"/>
                <w:color w:val="auto"/>
                <w:w w:val="97"/>
              </w:rPr>
              <w:t>Other</w:t>
            </w:r>
          </w:p>
        </w:tc>
        <w:tc>
          <w:tcPr>
            <w:tcW w:w="300" w:type="dxa"/>
            <w:vAlign w:val="bottom"/>
          </w:tcPr>
          <w:p>
            <w:pPr>
              <w:spacing w:after="0"/>
              <w:rPr>
                <w:sz w:val="11"/>
                <w:szCs w:val="11"/>
                <w:color w:val="auto"/>
              </w:rPr>
            </w:pPr>
          </w:p>
        </w:tc>
        <w:tc>
          <w:tcPr>
            <w:tcW w:w="1160" w:type="dxa"/>
            <w:vAlign w:val="bottom"/>
            <w:vMerge w:val="continue"/>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vMerge w:val="restart"/>
          </w:tcPr>
          <w:p>
            <w:pPr>
              <w:jc w:val="right"/>
              <w:ind w:right="232"/>
              <w:spacing w:after="0"/>
              <w:rPr>
                <w:sz w:val="20"/>
                <w:szCs w:val="20"/>
                <w:color w:val="auto"/>
              </w:rPr>
            </w:pPr>
            <w:r>
              <w:rPr>
                <w:rFonts w:ascii="Arial" w:cs="Arial" w:eastAsia="Arial" w:hAnsi="Arial"/>
                <w:sz w:val="13"/>
                <w:szCs w:val="13"/>
                <w:b w:val="1"/>
                <w:bCs w:val="1"/>
                <w:color w:val="auto"/>
              </w:rPr>
              <w:t>Carrying</w:t>
            </w: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tcPr>
          <w:p>
            <w:pPr>
              <w:jc w:val="center"/>
              <w:ind w:right="55"/>
              <w:spacing w:after="0" w:line="135" w:lineRule="exact"/>
              <w:rPr>
                <w:sz w:val="20"/>
                <w:szCs w:val="20"/>
                <w:color w:val="auto"/>
              </w:rPr>
            </w:pPr>
            <w:r>
              <w:rPr>
                <w:rFonts w:ascii="Arial" w:cs="Arial" w:eastAsia="Arial" w:hAnsi="Arial"/>
                <w:sz w:val="13"/>
                <w:szCs w:val="13"/>
                <w:b w:val="1"/>
                <w:bCs w:val="1"/>
                <w:color w:val="auto"/>
                <w:w w:val="97"/>
              </w:rPr>
              <w:t>Active Markets for</w:t>
            </w:r>
          </w:p>
        </w:tc>
        <w:tc>
          <w:tcPr>
            <w:tcW w:w="340" w:type="dxa"/>
            <w:vAlign w:val="bottom"/>
          </w:tcPr>
          <w:p>
            <w:pPr>
              <w:spacing w:after="0"/>
              <w:rPr>
                <w:sz w:val="11"/>
                <w:szCs w:val="11"/>
                <w:color w:val="auto"/>
              </w:rPr>
            </w:pPr>
          </w:p>
        </w:tc>
        <w:tc>
          <w:tcPr>
            <w:tcW w:w="1160" w:type="dxa"/>
            <w:vAlign w:val="bottom"/>
          </w:tcPr>
          <w:p>
            <w:pPr>
              <w:jc w:val="center"/>
              <w:ind w:right="175"/>
              <w:spacing w:after="0" w:line="135" w:lineRule="exact"/>
              <w:rPr>
                <w:sz w:val="20"/>
                <w:szCs w:val="20"/>
                <w:color w:val="auto"/>
              </w:rPr>
            </w:pPr>
            <w:r>
              <w:rPr>
                <w:rFonts w:ascii="Arial" w:cs="Arial" w:eastAsia="Arial" w:hAnsi="Arial"/>
                <w:sz w:val="13"/>
                <w:szCs w:val="13"/>
                <w:b w:val="1"/>
                <w:bCs w:val="1"/>
                <w:color w:val="auto"/>
                <w:w w:val="98"/>
              </w:rPr>
              <w:t>Observable</w:t>
            </w:r>
          </w:p>
        </w:tc>
        <w:tc>
          <w:tcPr>
            <w:tcW w:w="300" w:type="dxa"/>
            <w:vAlign w:val="bottom"/>
          </w:tcPr>
          <w:p>
            <w:pPr>
              <w:spacing w:after="0"/>
              <w:rPr>
                <w:sz w:val="11"/>
                <w:szCs w:val="11"/>
                <w:color w:val="auto"/>
              </w:rPr>
            </w:pPr>
          </w:p>
        </w:tc>
        <w:tc>
          <w:tcPr>
            <w:tcW w:w="1160" w:type="dxa"/>
            <w:vAlign w:val="bottom"/>
          </w:tcPr>
          <w:p>
            <w:pPr>
              <w:jc w:val="center"/>
              <w:ind w:right="114"/>
              <w:spacing w:after="0" w:line="135" w:lineRule="exact"/>
              <w:rPr>
                <w:sz w:val="20"/>
                <w:szCs w:val="20"/>
                <w:color w:val="auto"/>
              </w:rPr>
            </w:pPr>
            <w:r>
              <w:rPr>
                <w:rFonts w:ascii="Arial" w:cs="Arial" w:eastAsia="Arial" w:hAnsi="Arial"/>
                <w:sz w:val="13"/>
                <w:szCs w:val="13"/>
                <w:b w:val="1"/>
                <w:bCs w:val="1"/>
                <w:color w:val="auto"/>
                <w:w w:val="97"/>
              </w:rPr>
              <w:t>Unobservable</w:t>
            </w:r>
          </w:p>
        </w:tc>
        <w:tc>
          <w:tcPr>
            <w:tcW w:w="380" w:type="dxa"/>
            <w:vAlign w:val="bottom"/>
          </w:tcPr>
          <w:p>
            <w:pPr>
              <w:spacing w:after="0"/>
              <w:rPr>
                <w:sz w:val="11"/>
                <w:szCs w:val="11"/>
                <w:color w:val="auto"/>
              </w:rPr>
            </w:pPr>
          </w:p>
        </w:tc>
        <w:tc>
          <w:tcPr>
            <w:tcW w:w="880" w:type="dxa"/>
            <w:vAlign w:val="bottom"/>
            <w:vMerge w:val="restart"/>
          </w:tcPr>
          <w:p>
            <w:pPr>
              <w:jc w:val="right"/>
              <w:ind w:right="372"/>
              <w:spacing w:after="0"/>
              <w:rPr>
                <w:sz w:val="20"/>
                <w:szCs w:val="20"/>
                <w:color w:val="auto"/>
              </w:rPr>
            </w:pPr>
            <w:r>
              <w:rPr>
                <w:rFonts w:ascii="Arial" w:cs="Arial" w:eastAsia="Arial" w:hAnsi="Arial"/>
                <w:sz w:val="13"/>
                <w:szCs w:val="13"/>
                <w:b w:val="1"/>
                <w:bCs w:val="1"/>
                <w:color w:val="auto"/>
              </w:rPr>
              <w:t>Fair</w:t>
            </w:r>
          </w:p>
        </w:tc>
        <w:tc>
          <w:tcPr>
            <w:tcW w:w="0" w:type="dxa"/>
            <w:vAlign w:val="bottom"/>
          </w:tcPr>
          <w:p>
            <w:pPr>
              <w:spacing w:after="0"/>
              <w:rPr>
                <w:sz w:val="1"/>
                <w:szCs w:val="1"/>
                <w:color w:val="auto"/>
              </w:rPr>
            </w:pPr>
          </w:p>
        </w:tc>
      </w:tr>
      <w:tr>
        <w:trPr>
          <w:trHeight w:val="135"/>
        </w:trPr>
        <w:tc>
          <w:tcPr>
            <w:tcW w:w="3300" w:type="dxa"/>
            <w:vAlign w:val="bottom"/>
            <w:vMerge w:val="restart"/>
          </w:tcPr>
          <w:p>
            <w:pPr>
              <w:ind w:left="40"/>
              <w:spacing w:after="0"/>
              <w:rPr>
                <w:sz w:val="20"/>
                <w:szCs w:val="20"/>
                <w:color w:val="auto"/>
              </w:rPr>
            </w:pPr>
            <w:r>
              <w:rPr>
                <w:rFonts w:ascii="Arial" w:cs="Arial" w:eastAsia="Arial" w:hAnsi="Arial"/>
                <w:sz w:val="13"/>
                <w:szCs w:val="13"/>
                <w:b w:val="1"/>
                <w:bCs w:val="1"/>
                <w:color w:val="auto"/>
              </w:rPr>
              <w:t>Description</w:t>
            </w:r>
          </w:p>
        </w:tc>
        <w:tc>
          <w:tcPr>
            <w:tcW w:w="22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vMerge w:val="restart"/>
          </w:tcPr>
          <w:p>
            <w:pPr>
              <w:jc w:val="right"/>
              <w:ind w:right="271"/>
              <w:spacing w:after="0"/>
              <w:rPr>
                <w:sz w:val="20"/>
                <w:szCs w:val="20"/>
                <w:color w:val="auto"/>
              </w:rPr>
            </w:pPr>
            <w:r>
              <w:rPr>
                <w:rFonts w:ascii="Arial" w:cs="Arial" w:eastAsia="Arial" w:hAnsi="Arial"/>
                <w:sz w:val="13"/>
                <w:szCs w:val="13"/>
                <w:b w:val="1"/>
                <w:bCs w:val="1"/>
                <w:color w:val="auto"/>
              </w:rPr>
              <w:t xml:space="preserve">Cost </w:t>
            </w:r>
            <w:r>
              <w:rPr>
                <w:rFonts w:ascii="Arial" w:cs="Arial" w:eastAsia="Arial" w:hAnsi="Arial"/>
                <w:sz w:val="8"/>
                <w:szCs w:val="8"/>
                <w:b w:val="1"/>
                <w:bCs w:val="1"/>
                <w:color w:val="auto"/>
              </w:rPr>
              <w:t>(1)</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tcPr>
          <w:p>
            <w:pPr>
              <w:jc w:val="center"/>
              <w:ind w:right="75"/>
              <w:spacing w:after="0" w:line="135" w:lineRule="exact"/>
              <w:rPr>
                <w:sz w:val="20"/>
                <w:szCs w:val="20"/>
                <w:color w:val="auto"/>
              </w:rPr>
            </w:pPr>
            <w:r>
              <w:rPr>
                <w:rFonts w:ascii="Arial" w:cs="Arial" w:eastAsia="Arial" w:hAnsi="Arial"/>
                <w:sz w:val="13"/>
                <w:szCs w:val="13"/>
                <w:b w:val="1"/>
                <w:bCs w:val="1"/>
                <w:color w:val="auto"/>
                <w:w w:val="96"/>
              </w:rPr>
              <w:t>Identical Assets</w:t>
            </w:r>
          </w:p>
        </w:tc>
        <w:tc>
          <w:tcPr>
            <w:tcW w:w="340" w:type="dxa"/>
            <w:vAlign w:val="bottom"/>
          </w:tcPr>
          <w:p>
            <w:pPr>
              <w:spacing w:after="0"/>
              <w:rPr>
                <w:sz w:val="11"/>
                <w:szCs w:val="11"/>
                <w:color w:val="auto"/>
              </w:rPr>
            </w:pPr>
          </w:p>
        </w:tc>
        <w:tc>
          <w:tcPr>
            <w:tcW w:w="1160" w:type="dxa"/>
            <w:vAlign w:val="bottom"/>
          </w:tcPr>
          <w:p>
            <w:pPr>
              <w:jc w:val="center"/>
              <w:ind w:right="175"/>
              <w:spacing w:after="0" w:line="135" w:lineRule="exact"/>
              <w:rPr>
                <w:sz w:val="20"/>
                <w:szCs w:val="20"/>
                <w:color w:val="auto"/>
              </w:rPr>
            </w:pPr>
            <w:r>
              <w:rPr>
                <w:rFonts w:ascii="Arial" w:cs="Arial" w:eastAsia="Arial" w:hAnsi="Arial"/>
                <w:sz w:val="13"/>
                <w:szCs w:val="13"/>
                <w:b w:val="1"/>
                <w:bCs w:val="1"/>
                <w:color w:val="auto"/>
                <w:w w:val="97"/>
              </w:rPr>
              <w:t>Inputs</w:t>
            </w:r>
          </w:p>
        </w:tc>
        <w:tc>
          <w:tcPr>
            <w:tcW w:w="300" w:type="dxa"/>
            <w:vAlign w:val="bottom"/>
          </w:tcPr>
          <w:p>
            <w:pPr>
              <w:spacing w:after="0"/>
              <w:rPr>
                <w:sz w:val="11"/>
                <w:szCs w:val="11"/>
                <w:color w:val="auto"/>
              </w:rPr>
            </w:pPr>
          </w:p>
        </w:tc>
        <w:tc>
          <w:tcPr>
            <w:tcW w:w="1160" w:type="dxa"/>
            <w:vAlign w:val="bottom"/>
          </w:tcPr>
          <w:p>
            <w:pPr>
              <w:jc w:val="center"/>
              <w:ind w:right="134"/>
              <w:spacing w:after="0" w:line="135" w:lineRule="exact"/>
              <w:rPr>
                <w:sz w:val="20"/>
                <w:szCs w:val="20"/>
                <w:color w:val="auto"/>
              </w:rPr>
            </w:pPr>
            <w:r>
              <w:rPr>
                <w:rFonts w:ascii="Arial" w:cs="Arial" w:eastAsia="Arial" w:hAnsi="Arial"/>
                <w:sz w:val="13"/>
                <w:szCs w:val="13"/>
                <w:b w:val="1"/>
                <w:bCs w:val="1"/>
                <w:color w:val="auto"/>
                <w:w w:val="97"/>
              </w:rPr>
              <w:t>Inputs</w:t>
            </w:r>
          </w:p>
        </w:tc>
        <w:tc>
          <w:tcPr>
            <w:tcW w:w="38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3300" w:type="dxa"/>
            <w:vAlign w:val="bottom"/>
            <w:tcBorders>
              <w:bottom w:val="single" w:sz="8" w:color="auto"/>
            </w:tcBorders>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52"/>
              <w:spacing w:after="0"/>
              <w:rPr>
                <w:sz w:val="20"/>
                <w:szCs w:val="20"/>
                <w:color w:val="auto"/>
              </w:rPr>
            </w:pPr>
            <w:r>
              <w:rPr>
                <w:rFonts w:ascii="Arial" w:cs="Arial" w:eastAsia="Arial" w:hAnsi="Arial"/>
                <w:sz w:val="13"/>
                <w:szCs w:val="13"/>
                <w:b w:val="1"/>
                <w:bCs w:val="1"/>
                <w:color w:val="auto"/>
              </w:rPr>
              <w:t>Amount</w:t>
            </w:r>
          </w:p>
        </w:tc>
        <w:tc>
          <w:tcPr>
            <w:tcW w:w="3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center"/>
              <w:ind w:right="75"/>
              <w:spacing w:after="0"/>
              <w:rPr>
                <w:sz w:val="20"/>
                <w:szCs w:val="20"/>
                <w:color w:val="auto"/>
              </w:rPr>
            </w:pPr>
            <w:r>
              <w:rPr>
                <w:rFonts w:ascii="Arial" w:cs="Arial" w:eastAsia="Arial" w:hAnsi="Arial"/>
                <w:sz w:val="13"/>
                <w:szCs w:val="13"/>
                <w:b w:val="1"/>
                <w:bCs w:val="1"/>
                <w:color w:val="auto"/>
                <w:w w:val="98"/>
              </w:rPr>
              <w:t>(Level 1)</w:t>
            </w: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175"/>
              <w:spacing w:after="0"/>
              <w:rPr>
                <w:sz w:val="20"/>
                <w:szCs w:val="20"/>
                <w:color w:val="auto"/>
              </w:rPr>
            </w:pPr>
            <w:r>
              <w:rPr>
                <w:rFonts w:ascii="Arial" w:cs="Arial" w:eastAsia="Arial" w:hAnsi="Arial"/>
                <w:sz w:val="13"/>
                <w:szCs w:val="13"/>
                <w:b w:val="1"/>
                <w:bCs w:val="1"/>
                <w:color w:val="auto"/>
                <w:w w:val="94"/>
              </w:rPr>
              <w:t>(Level 2)</w:t>
            </w:r>
          </w:p>
        </w:tc>
        <w:tc>
          <w:tcPr>
            <w:tcW w:w="3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114"/>
              <w:spacing w:after="0"/>
              <w:rPr>
                <w:sz w:val="20"/>
                <w:szCs w:val="20"/>
                <w:color w:val="auto"/>
              </w:rPr>
            </w:pPr>
            <w:r>
              <w:rPr>
                <w:rFonts w:ascii="Arial" w:cs="Arial" w:eastAsia="Arial" w:hAnsi="Arial"/>
                <w:sz w:val="13"/>
                <w:szCs w:val="13"/>
                <w:b w:val="1"/>
                <w:bCs w:val="1"/>
                <w:color w:val="auto"/>
                <w:w w:val="98"/>
              </w:rPr>
              <w:t>(Level 3)</w:t>
            </w:r>
          </w:p>
        </w:tc>
        <w:tc>
          <w:tcPr>
            <w:tcW w:w="3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12"/>
              <w:spacing w:after="0"/>
              <w:rPr>
                <w:sz w:val="20"/>
                <w:szCs w:val="20"/>
                <w:color w:val="auto"/>
              </w:rPr>
            </w:pPr>
            <w:r>
              <w:rPr>
                <w:rFonts w:ascii="Arial" w:cs="Arial" w:eastAsia="Arial" w:hAnsi="Arial"/>
                <w:sz w:val="13"/>
                <w:szCs w:val="13"/>
                <w:b w:val="1"/>
                <w:bCs w:val="1"/>
                <w:color w:val="auto"/>
              </w:rPr>
              <w:t>Value</w:t>
            </w:r>
          </w:p>
        </w:tc>
        <w:tc>
          <w:tcPr>
            <w:tcW w:w="0" w:type="dxa"/>
            <w:vAlign w:val="bottom"/>
          </w:tcPr>
          <w:p>
            <w:pPr>
              <w:spacing w:after="0"/>
              <w:rPr>
                <w:sz w:val="1"/>
                <w:szCs w:val="1"/>
                <w:color w:val="auto"/>
              </w:rPr>
            </w:pPr>
          </w:p>
        </w:tc>
      </w:tr>
      <w:tr>
        <w:trPr>
          <w:trHeight w:val="268"/>
        </w:trPr>
        <w:tc>
          <w:tcPr>
            <w:tcW w:w="3300" w:type="dxa"/>
            <w:vAlign w:val="bottom"/>
            <w:shd w:val="clear" w:color="auto" w:fill="D8D8D8"/>
          </w:tcPr>
          <w:p>
            <w:pPr>
              <w:ind w:left="40"/>
              <w:spacing w:after="0"/>
              <w:rPr>
                <w:sz w:val="20"/>
                <w:szCs w:val="20"/>
                <w:color w:val="auto"/>
              </w:rPr>
            </w:pPr>
            <w:r>
              <w:rPr>
                <w:rFonts w:ascii="Arial" w:cs="Arial" w:eastAsia="Arial" w:hAnsi="Arial"/>
                <w:sz w:val="18"/>
                <w:szCs w:val="18"/>
                <w:b w:val="1"/>
                <w:bCs w:val="1"/>
                <w:color w:val="auto"/>
              </w:rPr>
              <w:t>December 31, 2015</w:t>
            </w:r>
          </w:p>
        </w:tc>
        <w:tc>
          <w:tcPr>
            <w:tcW w:w="220" w:type="dxa"/>
            <w:vAlign w:val="bottom"/>
            <w:shd w:val="clear" w:color="auto" w:fill="D8D8D8"/>
          </w:tcPr>
          <w:p>
            <w:pPr>
              <w:spacing w:after="0"/>
              <w:rPr>
                <w:sz w:val="23"/>
                <w:szCs w:val="23"/>
                <w:color w:val="auto"/>
              </w:rPr>
            </w:pPr>
          </w:p>
        </w:tc>
        <w:tc>
          <w:tcPr>
            <w:tcW w:w="940" w:type="dxa"/>
            <w:vAlign w:val="bottom"/>
            <w:shd w:val="clear" w:color="auto" w:fill="D8D8D8"/>
          </w:tcPr>
          <w:p>
            <w:pPr>
              <w:spacing w:after="0"/>
              <w:rPr>
                <w:sz w:val="23"/>
                <w:szCs w:val="23"/>
                <w:color w:val="auto"/>
              </w:rPr>
            </w:pPr>
          </w:p>
        </w:tc>
        <w:tc>
          <w:tcPr>
            <w:tcW w:w="340" w:type="dxa"/>
            <w:vAlign w:val="bottom"/>
            <w:shd w:val="clear" w:color="auto" w:fill="D8D8D8"/>
          </w:tcPr>
          <w:p>
            <w:pPr>
              <w:spacing w:after="0"/>
              <w:rPr>
                <w:sz w:val="23"/>
                <w:szCs w:val="23"/>
                <w:color w:val="auto"/>
              </w:rPr>
            </w:pPr>
          </w:p>
        </w:tc>
        <w:tc>
          <w:tcPr>
            <w:tcW w:w="900" w:type="dxa"/>
            <w:vAlign w:val="bottom"/>
            <w:shd w:val="clear" w:color="auto" w:fill="D8D8D8"/>
          </w:tcPr>
          <w:p>
            <w:pPr>
              <w:spacing w:after="0"/>
              <w:rPr>
                <w:sz w:val="23"/>
                <w:szCs w:val="23"/>
                <w:color w:val="auto"/>
              </w:rPr>
            </w:pPr>
          </w:p>
        </w:tc>
        <w:tc>
          <w:tcPr>
            <w:tcW w:w="120" w:type="dxa"/>
            <w:vAlign w:val="bottom"/>
            <w:shd w:val="clear" w:color="auto" w:fill="D8D8D8"/>
          </w:tcPr>
          <w:p>
            <w:pPr>
              <w:spacing w:after="0"/>
              <w:rPr>
                <w:sz w:val="23"/>
                <w:szCs w:val="23"/>
                <w:color w:val="auto"/>
              </w:rPr>
            </w:pPr>
          </w:p>
        </w:tc>
        <w:tc>
          <w:tcPr>
            <w:tcW w:w="140" w:type="dxa"/>
            <w:vAlign w:val="bottom"/>
            <w:shd w:val="clear" w:color="auto" w:fill="D8D8D8"/>
          </w:tcPr>
          <w:p>
            <w:pPr>
              <w:spacing w:after="0"/>
              <w:rPr>
                <w:sz w:val="23"/>
                <w:szCs w:val="23"/>
                <w:color w:val="auto"/>
              </w:rPr>
            </w:pPr>
          </w:p>
        </w:tc>
        <w:tc>
          <w:tcPr>
            <w:tcW w:w="1240" w:type="dxa"/>
            <w:vAlign w:val="bottom"/>
            <w:shd w:val="clear" w:color="auto" w:fill="D8D8D8"/>
          </w:tcPr>
          <w:p>
            <w:pPr>
              <w:spacing w:after="0"/>
              <w:rPr>
                <w:sz w:val="23"/>
                <w:szCs w:val="23"/>
                <w:color w:val="auto"/>
              </w:rPr>
            </w:pPr>
          </w:p>
        </w:tc>
        <w:tc>
          <w:tcPr>
            <w:tcW w:w="340" w:type="dxa"/>
            <w:vAlign w:val="bottom"/>
            <w:shd w:val="clear" w:color="auto" w:fill="D8D8D8"/>
          </w:tcPr>
          <w:p>
            <w:pPr>
              <w:spacing w:after="0"/>
              <w:rPr>
                <w:sz w:val="23"/>
                <w:szCs w:val="23"/>
                <w:color w:val="auto"/>
              </w:rPr>
            </w:pPr>
          </w:p>
        </w:tc>
        <w:tc>
          <w:tcPr>
            <w:tcW w:w="1160" w:type="dxa"/>
            <w:vAlign w:val="bottom"/>
            <w:shd w:val="clear" w:color="auto" w:fill="D8D8D8"/>
          </w:tcPr>
          <w:p>
            <w:pPr>
              <w:spacing w:after="0"/>
              <w:rPr>
                <w:sz w:val="23"/>
                <w:szCs w:val="23"/>
                <w:color w:val="auto"/>
              </w:rPr>
            </w:pPr>
          </w:p>
        </w:tc>
        <w:tc>
          <w:tcPr>
            <w:tcW w:w="300" w:type="dxa"/>
            <w:vAlign w:val="bottom"/>
            <w:shd w:val="clear" w:color="auto" w:fill="D8D8D8"/>
          </w:tcPr>
          <w:p>
            <w:pPr>
              <w:spacing w:after="0"/>
              <w:rPr>
                <w:sz w:val="23"/>
                <w:szCs w:val="23"/>
                <w:color w:val="auto"/>
              </w:rPr>
            </w:pPr>
          </w:p>
        </w:tc>
        <w:tc>
          <w:tcPr>
            <w:tcW w:w="1160" w:type="dxa"/>
            <w:vAlign w:val="bottom"/>
            <w:shd w:val="clear" w:color="auto" w:fill="D8D8D8"/>
          </w:tcPr>
          <w:p>
            <w:pPr>
              <w:spacing w:after="0"/>
              <w:rPr>
                <w:sz w:val="23"/>
                <w:szCs w:val="23"/>
                <w:color w:val="auto"/>
              </w:rPr>
            </w:pPr>
          </w:p>
        </w:tc>
        <w:tc>
          <w:tcPr>
            <w:tcW w:w="380" w:type="dxa"/>
            <w:vAlign w:val="bottom"/>
            <w:shd w:val="clear" w:color="auto" w:fill="D8D8D8"/>
          </w:tcPr>
          <w:p>
            <w:pPr>
              <w:spacing w:after="0"/>
              <w:rPr>
                <w:sz w:val="23"/>
                <w:szCs w:val="23"/>
                <w:color w:val="auto"/>
              </w:rPr>
            </w:pPr>
          </w:p>
        </w:tc>
        <w:tc>
          <w:tcPr>
            <w:tcW w:w="880" w:type="dxa"/>
            <w:vAlign w:val="bottom"/>
            <w:shd w:val="clear" w:color="auto" w:fill="D8D8D8"/>
          </w:tcPr>
          <w:p>
            <w:pPr>
              <w:spacing w:after="0"/>
              <w:rPr>
                <w:sz w:val="23"/>
                <w:szCs w:val="23"/>
                <w:color w:val="auto"/>
              </w:rPr>
            </w:pPr>
          </w:p>
        </w:tc>
        <w:tc>
          <w:tcPr>
            <w:tcW w:w="0" w:type="dxa"/>
            <w:vAlign w:val="bottom"/>
          </w:tcPr>
          <w:p>
            <w:pPr>
              <w:spacing w:after="0"/>
              <w:rPr>
                <w:sz w:val="1"/>
                <w:szCs w:val="1"/>
                <w:color w:val="auto"/>
              </w:rPr>
            </w:pPr>
          </w:p>
        </w:tc>
      </w:tr>
      <w:tr>
        <w:trPr>
          <w:trHeight w:val="277"/>
        </w:trPr>
        <w:tc>
          <w:tcPr>
            <w:tcW w:w="3300" w:type="dxa"/>
            <w:vAlign w:val="bottom"/>
            <w:tcBorders>
              <w:bottom w:val="single" w:sz="8" w:color="D8D8D8"/>
            </w:tcBorders>
          </w:tcPr>
          <w:p>
            <w:pPr>
              <w:ind w:left="40"/>
              <w:spacing w:after="0"/>
              <w:rPr>
                <w:sz w:val="20"/>
                <w:szCs w:val="20"/>
                <w:color w:val="auto"/>
              </w:rPr>
            </w:pPr>
            <w:r>
              <w:rPr>
                <w:rFonts w:ascii="Arial" w:cs="Arial" w:eastAsia="Arial" w:hAnsi="Arial"/>
                <w:sz w:val="18"/>
                <w:szCs w:val="18"/>
                <w:color w:val="auto"/>
              </w:rPr>
              <w:t>Cash equivalents</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1,644.4</w:t>
            </w:r>
          </w:p>
        </w:tc>
        <w:tc>
          <w:tcPr>
            <w:tcW w:w="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1,644.4</w:t>
            </w:r>
          </w:p>
        </w:tc>
        <w:tc>
          <w:tcPr>
            <w:tcW w:w="260" w:type="dxa"/>
            <w:vAlign w:val="bottom"/>
            <w:tcBorders>
              <w:bottom w:val="single" w:sz="8" w:color="D8D8D8"/>
            </w:tcBorders>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1240" w:type="dxa"/>
            <w:vAlign w:val="bottom"/>
            <w:tcBorders>
              <w:bottom w:val="single" w:sz="8" w:color="D8D8D8"/>
            </w:tcBorders>
          </w:tcPr>
          <w:p>
            <w:pPr>
              <w:jc w:val="right"/>
              <w:ind w:right="35"/>
              <w:spacing w:after="0"/>
              <w:rPr>
                <w:sz w:val="20"/>
                <w:szCs w:val="20"/>
                <w:color w:val="auto"/>
              </w:rPr>
            </w:pPr>
            <w:r>
              <w:rPr>
                <w:rFonts w:ascii="Arial" w:cs="Arial" w:eastAsia="Arial" w:hAnsi="Arial"/>
                <w:sz w:val="18"/>
                <w:szCs w:val="18"/>
                <w:b w:val="1"/>
                <w:bCs w:val="1"/>
                <w:color w:val="auto"/>
              </w:rPr>
              <w:t>1,637.0</w:t>
            </w:r>
          </w:p>
        </w:tc>
        <w:tc>
          <w:tcPr>
            <w:tcW w:w="340" w:type="dxa"/>
            <w:vAlign w:val="bottom"/>
            <w:tcBorders>
              <w:bottom w:val="single" w:sz="8" w:color="D8D8D8"/>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D8D8D8"/>
            </w:tcBorders>
          </w:tcPr>
          <w:p>
            <w:pPr>
              <w:jc w:val="right"/>
              <w:ind w:right="35"/>
              <w:spacing w:after="0"/>
              <w:rPr>
                <w:sz w:val="20"/>
                <w:szCs w:val="20"/>
                <w:color w:val="auto"/>
              </w:rPr>
            </w:pPr>
            <w:r>
              <w:rPr>
                <w:rFonts w:ascii="Arial" w:cs="Arial" w:eastAsia="Arial" w:hAnsi="Arial"/>
                <w:sz w:val="18"/>
                <w:szCs w:val="18"/>
                <w:b w:val="1"/>
                <w:bCs w:val="1"/>
                <w:color w:val="auto"/>
              </w:rPr>
              <w:t>7.4</w:t>
            </w:r>
          </w:p>
        </w:tc>
        <w:tc>
          <w:tcPr>
            <w:tcW w:w="300" w:type="dxa"/>
            <w:vAlign w:val="bottom"/>
            <w:tcBorders>
              <w:bottom w:val="single" w:sz="8" w:color="D8D8D8"/>
            </w:tcBorders>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D8D8D8"/>
            </w:tcBorders>
          </w:tcPr>
          <w:p>
            <w:pPr>
              <w:ind w:left="880"/>
              <w:spacing w:after="0"/>
              <w:rPr>
                <w:sz w:val="20"/>
                <w:szCs w:val="20"/>
                <w:color w:val="auto"/>
              </w:rPr>
            </w:pPr>
            <w:r>
              <w:rPr>
                <w:rFonts w:ascii="Arial" w:cs="Arial" w:eastAsia="Arial" w:hAnsi="Arial"/>
                <w:sz w:val="18"/>
                <w:szCs w:val="18"/>
                <w:b w:val="1"/>
                <w:bCs w:val="1"/>
                <w:color w:val="auto"/>
              </w:rPr>
              <w:t>—</w:t>
            </w:r>
          </w:p>
        </w:tc>
        <w:tc>
          <w:tcPr>
            <w:tcW w:w="380" w:type="dxa"/>
            <w:vAlign w:val="bottom"/>
            <w:tcBorders>
              <w:bottom w:val="single" w:sz="8" w:color="D8D8D8"/>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D8D8D8"/>
            </w:tcBorders>
          </w:tcPr>
          <w:p>
            <w:pPr>
              <w:jc w:val="right"/>
              <w:ind w:right="12"/>
              <w:spacing w:after="0"/>
              <w:rPr>
                <w:sz w:val="20"/>
                <w:szCs w:val="20"/>
                <w:color w:val="auto"/>
              </w:rPr>
            </w:pPr>
            <w:r>
              <w:rPr>
                <w:rFonts w:ascii="Arial" w:cs="Arial" w:eastAsia="Arial" w:hAnsi="Arial"/>
                <w:sz w:val="18"/>
                <w:szCs w:val="18"/>
                <w:b w:val="1"/>
                <w:bCs w:val="1"/>
                <w:color w:val="auto"/>
              </w:rPr>
              <w:t>1,644.4</w:t>
            </w:r>
          </w:p>
        </w:tc>
        <w:tc>
          <w:tcPr>
            <w:tcW w:w="0" w:type="dxa"/>
            <w:vAlign w:val="bottom"/>
          </w:tcPr>
          <w:p>
            <w:pPr>
              <w:spacing w:after="0"/>
              <w:rPr>
                <w:sz w:val="1"/>
                <w:szCs w:val="1"/>
                <w:color w:val="auto"/>
              </w:rPr>
            </w:pPr>
          </w:p>
        </w:tc>
      </w:tr>
      <w:tr>
        <w:trPr>
          <w:trHeight w:val="270"/>
        </w:trPr>
        <w:tc>
          <w:tcPr>
            <w:tcW w:w="3300" w:type="dxa"/>
            <w:vAlign w:val="bottom"/>
            <w:shd w:val="clear" w:color="auto" w:fill="D8D8D8"/>
          </w:tcPr>
          <w:p>
            <w:pPr>
              <w:ind w:left="40"/>
              <w:spacing w:after="0"/>
              <w:rPr>
                <w:sz w:val="20"/>
                <w:szCs w:val="20"/>
                <w:color w:val="auto"/>
              </w:rPr>
            </w:pPr>
            <w:r>
              <w:rPr>
                <w:rFonts w:ascii="Arial" w:cs="Arial" w:eastAsia="Arial" w:hAnsi="Arial"/>
                <w:sz w:val="18"/>
                <w:szCs w:val="18"/>
                <w:color w:val="auto"/>
              </w:rPr>
              <w:t>Short-term investments:</w:t>
            </w:r>
          </w:p>
        </w:tc>
        <w:tc>
          <w:tcPr>
            <w:tcW w:w="220" w:type="dxa"/>
            <w:vAlign w:val="bottom"/>
            <w:shd w:val="clear" w:color="auto" w:fill="D8D8D8"/>
          </w:tcPr>
          <w:p>
            <w:pPr>
              <w:spacing w:after="0"/>
              <w:rPr>
                <w:sz w:val="23"/>
                <w:szCs w:val="23"/>
                <w:color w:val="auto"/>
              </w:rPr>
            </w:pPr>
          </w:p>
        </w:tc>
        <w:tc>
          <w:tcPr>
            <w:tcW w:w="940" w:type="dxa"/>
            <w:vAlign w:val="bottom"/>
            <w:shd w:val="clear" w:color="auto" w:fill="D8D8D8"/>
          </w:tcPr>
          <w:p>
            <w:pPr>
              <w:spacing w:after="0"/>
              <w:rPr>
                <w:sz w:val="23"/>
                <w:szCs w:val="23"/>
                <w:color w:val="auto"/>
              </w:rPr>
            </w:pPr>
          </w:p>
        </w:tc>
        <w:tc>
          <w:tcPr>
            <w:tcW w:w="340" w:type="dxa"/>
            <w:vAlign w:val="bottom"/>
            <w:shd w:val="clear" w:color="auto" w:fill="D8D8D8"/>
          </w:tcPr>
          <w:p>
            <w:pPr>
              <w:spacing w:after="0"/>
              <w:rPr>
                <w:sz w:val="23"/>
                <w:szCs w:val="23"/>
                <w:color w:val="auto"/>
              </w:rPr>
            </w:pPr>
          </w:p>
        </w:tc>
        <w:tc>
          <w:tcPr>
            <w:tcW w:w="900" w:type="dxa"/>
            <w:vAlign w:val="bottom"/>
            <w:shd w:val="clear" w:color="auto" w:fill="D8D8D8"/>
          </w:tcPr>
          <w:p>
            <w:pPr>
              <w:spacing w:after="0"/>
              <w:rPr>
                <w:sz w:val="23"/>
                <w:szCs w:val="23"/>
                <w:color w:val="auto"/>
              </w:rPr>
            </w:pPr>
          </w:p>
        </w:tc>
        <w:tc>
          <w:tcPr>
            <w:tcW w:w="120" w:type="dxa"/>
            <w:vAlign w:val="bottom"/>
            <w:shd w:val="clear" w:color="auto" w:fill="D8D8D8"/>
          </w:tcPr>
          <w:p>
            <w:pPr>
              <w:spacing w:after="0"/>
              <w:rPr>
                <w:sz w:val="23"/>
                <w:szCs w:val="23"/>
                <w:color w:val="auto"/>
              </w:rPr>
            </w:pPr>
          </w:p>
        </w:tc>
        <w:tc>
          <w:tcPr>
            <w:tcW w:w="140" w:type="dxa"/>
            <w:vAlign w:val="bottom"/>
            <w:shd w:val="clear" w:color="auto" w:fill="D8D8D8"/>
          </w:tcPr>
          <w:p>
            <w:pPr>
              <w:spacing w:after="0"/>
              <w:rPr>
                <w:sz w:val="23"/>
                <w:szCs w:val="23"/>
                <w:color w:val="auto"/>
              </w:rPr>
            </w:pPr>
          </w:p>
        </w:tc>
        <w:tc>
          <w:tcPr>
            <w:tcW w:w="1240" w:type="dxa"/>
            <w:vAlign w:val="bottom"/>
            <w:shd w:val="clear" w:color="auto" w:fill="D8D8D8"/>
          </w:tcPr>
          <w:p>
            <w:pPr>
              <w:spacing w:after="0"/>
              <w:rPr>
                <w:sz w:val="23"/>
                <w:szCs w:val="23"/>
                <w:color w:val="auto"/>
              </w:rPr>
            </w:pPr>
          </w:p>
        </w:tc>
        <w:tc>
          <w:tcPr>
            <w:tcW w:w="340" w:type="dxa"/>
            <w:vAlign w:val="bottom"/>
            <w:shd w:val="clear" w:color="auto" w:fill="D8D8D8"/>
          </w:tcPr>
          <w:p>
            <w:pPr>
              <w:spacing w:after="0"/>
              <w:rPr>
                <w:sz w:val="23"/>
                <w:szCs w:val="23"/>
                <w:color w:val="auto"/>
              </w:rPr>
            </w:pPr>
          </w:p>
        </w:tc>
        <w:tc>
          <w:tcPr>
            <w:tcW w:w="1160" w:type="dxa"/>
            <w:vAlign w:val="bottom"/>
            <w:shd w:val="clear" w:color="auto" w:fill="D8D8D8"/>
          </w:tcPr>
          <w:p>
            <w:pPr>
              <w:spacing w:after="0"/>
              <w:rPr>
                <w:sz w:val="23"/>
                <w:szCs w:val="23"/>
                <w:color w:val="auto"/>
              </w:rPr>
            </w:pPr>
          </w:p>
        </w:tc>
        <w:tc>
          <w:tcPr>
            <w:tcW w:w="300" w:type="dxa"/>
            <w:vAlign w:val="bottom"/>
            <w:shd w:val="clear" w:color="auto" w:fill="D8D8D8"/>
          </w:tcPr>
          <w:p>
            <w:pPr>
              <w:spacing w:after="0"/>
              <w:rPr>
                <w:sz w:val="23"/>
                <w:szCs w:val="23"/>
                <w:color w:val="auto"/>
              </w:rPr>
            </w:pPr>
          </w:p>
        </w:tc>
        <w:tc>
          <w:tcPr>
            <w:tcW w:w="1160" w:type="dxa"/>
            <w:vAlign w:val="bottom"/>
            <w:shd w:val="clear" w:color="auto" w:fill="D8D8D8"/>
          </w:tcPr>
          <w:p>
            <w:pPr>
              <w:spacing w:after="0"/>
              <w:rPr>
                <w:sz w:val="23"/>
                <w:szCs w:val="23"/>
                <w:color w:val="auto"/>
              </w:rPr>
            </w:pPr>
          </w:p>
        </w:tc>
        <w:tc>
          <w:tcPr>
            <w:tcW w:w="380" w:type="dxa"/>
            <w:vAlign w:val="bottom"/>
            <w:shd w:val="clear" w:color="auto" w:fill="D8D8D8"/>
          </w:tcPr>
          <w:p>
            <w:pPr>
              <w:spacing w:after="0"/>
              <w:rPr>
                <w:sz w:val="23"/>
                <w:szCs w:val="23"/>
                <w:color w:val="auto"/>
              </w:rPr>
            </w:pPr>
          </w:p>
        </w:tc>
        <w:tc>
          <w:tcPr>
            <w:tcW w:w="880" w:type="dxa"/>
            <w:vAlign w:val="bottom"/>
            <w:shd w:val="clear" w:color="auto" w:fill="D8D8D8"/>
          </w:tcPr>
          <w:p>
            <w:pPr>
              <w:spacing w:after="0"/>
              <w:rPr>
                <w:sz w:val="23"/>
                <w:szCs w:val="23"/>
                <w:color w:val="auto"/>
              </w:rPr>
            </w:pPr>
          </w:p>
        </w:tc>
        <w:tc>
          <w:tcPr>
            <w:tcW w:w="0" w:type="dxa"/>
            <w:vAlign w:val="bottom"/>
          </w:tcPr>
          <w:p>
            <w:pPr>
              <w:spacing w:after="0"/>
              <w:rPr>
                <w:sz w:val="1"/>
                <w:szCs w:val="1"/>
                <w:color w:val="auto"/>
              </w:rPr>
            </w:pPr>
          </w:p>
        </w:tc>
      </w:tr>
      <w:tr>
        <w:trPr>
          <w:trHeight w:val="207"/>
        </w:trPr>
        <w:tc>
          <w:tcPr>
            <w:tcW w:w="3300" w:type="dxa"/>
            <w:vAlign w:val="bottom"/>
          </w:tcPr>
          <w:p>
            <w:pPr>
              <w:ind w:left="180"/>
              <w:spacing w:after="0"/>
              <w:rPr>
                <w:sz w:val="20"/>
                <w:szCs w:val="20"/>
                <w:color w:val="auto"/>
              </w:rPr>
            </w:pPr>
            <w:r>
              <w:rPr>
                <w:rFonts w:ascii="Arial" w:cs="Arial" w:eastAsia="Arial" w:hAnsi="Arial"/>
                <w:sz w:val="18"/>
                <w:szCs w:val="18"/>
                <w:color w:val="auto"/>
              </w:rPr>
              <w:t>U.S. government and agency</w:t>
            </w:r>
          </w:p>
        </w:tc>
        <w:tc>
          <w:tcPr>
            <w:tcW w:w="2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vMerge w:val="restart"/>
          </w:tcPr>
          <w:p>
            <w:pPr>
              <w:jc w:val="right"/>
              <w:ind w:right="32"/>
              <w:spacing w:after="0"/>
              <w:rPr>
                <w:sz w:val="20"/>
                <w:szCs w:val="20"/>
                <w:color w:val="auto"/>
              </w:rPr>
            </w:pPr>
            <w:r>
              <w:rPr>
                <w:rFonts w:ascii="Arial" w:cs="Arial" w:eastAsia="Arial" w:hAnsi="Arial"/>
                <w:sz w:val="18"/>
                <w:szCs w:val="18"/>
                <w:b w:val="1"/>
                <w:bCs w:val="1"/>
                <w:color w:val="auto"/>
              </w:rPr>
              <w:t>153.2</w:t>
            </w:r>
          </w:p>
        </w:tc>
        <w:tc>
          <w:tcPr>
            <w:tcW w:w="34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w:t>
            </w:r>
          </w:p>
        </w:tc>
        <w:tc>
          <w:tcPr>
            <w:tcW w:w="900" w:type="dxa"/>
            <w:vAlign w:val="bottom"/>
            <w:vMerge w:val="restart"/>
          </w:tcPr>
          <w:p>
            <w:pPr>
              <w:jc w:val="right"/>
              <w:ind w:right="11"/>
              <w:spacing w:after="0"/>
              <w:rPr>
                <w:sz w:val="20"/>
                <w:szCs w:val="20"/>
                <w:color w:val="auto"/>
              </w:rPr>
            </w:pPr>
            <w:r>
              <w:rPr>
                <w:rFonts w:ascii="Arial" w:cs="Arial" w:eastAsia="Arial" w:hAnsi="Arial"/>
                <w:sz w:val="18"/>
                <w:szCs w:val="18"/>
                <w:b w:val="1"/>
                <w:bCs w:val="1"/>
                <w:color w:val="auto"/>
              </w:rPr>
              <w:t>153.4</w:t>
            </w:r>
          </w:p>
        </w:tc>
        <w:tc>
          <w:tcPr>
            <w:tcW w:w="260" w:type="dxa"/>
            <w:vAlign w:val="bottom"/>
            <w:gridSpan w:val="2"/>
            <w:vMerge w:val="restart"/>
          </w:tcPr>
          <w:p>
            <w:pPr>
              <w:jc w:val="right"/>
              <w:ind w:right="20"/>
              <w:spacing w:after="0"/>
              <w:rPr>
                <w:sz w:val="20"/>
                <w:szCs w:val="20"/>
                <w:color w:val="auto"/>
              </w:rPr>
            </w:pPr>
            <w:r>
              <w:rPr>
                <w:rFonts w:ascii="Arial" w:cs="Arial" w:eastAsia="Arial" w:hAnsi="Arial"/>
                <w:sz w:val="18"/>
                <w:szCs w:val="18"/>
                <w:b w:val="1"/>
                <w:bCs w:val="1"/>
                <w:color w:val="auto"/>
              </w:rPr>
              <w:t>$</w:t>
            </w:r>
          </w:p>
        </w:tc>
        <w:tc>
          <w:tcPr>
            <w:tcW w:w="1240" w:type="dxa"/>
            <w:vAlign w:val="bottom"/>
            <w:vMerge w:val="restart"/>
          </w:tcPr>
          <w:p>
            <w:pPr>
              <w:jc w:val="right"/>
              <w:ind w:right="35"/>
              <w:spacing w:after="0"/>
              <w:rPr>
                <w:sz w:val="20"/>
                <w:szCs w:val="20"/>
                <w:color w:val="auto"/>
              </w:rPr>
            </w:pPr>
            <w:r>
              <w:rPr>
                <w:rFonts w:ascii="Arial" w:cs="Arial" w:eastAsia="Arial" w:hAnsi="Arial"/>
                <w:sz w:val="18"/>
                <w:szCs w:val="18"/>
                <w:b w:val="1"/>
                <w:bCs w:val="1"/>
                <w:color w:val="auto"/>
              </w:rPr>
              <w:t>153.2</w:t>
            </w:r>
          </w:p>
        </w:tc>
        <w:tc>
          <w:tcPr>
            <w:tcW w:w="34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w:t>
            </w:r>
          </w:p>
        </w:tc>
        <w:tc>
          <w:tcPr>
            <w:tcW w:w="1160" w:type="dxa"/>
            <w:vAlign w:val="bottom"/>
            <w:vMerge w:val="restart"/>
          </w:tcPr>
          <w:p>
            <w:pPr>
              <w:jc w:val="right"/>
              <w:ind w:right="35"/>
              <w:spacing w:after="0"/>
              <w:rPr>
                <w:sz w:val="20"/>
                <w:szCs w:val="20"/>
                <w:color w:val="auto"/>
              </w:rPr>
            </w:pPr>
            <w:r>
              <w:rPr>
                <w:rFonts w:ascii="Arial" w:cs="Arial" w:eastAsia="Arial" w:hAnsi="Arial"/>
                <w:sz w:val="18"/>
                <w:szCs w:val="18"/>
                <w:b w:val="1"/>
                <w:bCs w:val="1"/>
                <w:color w:val="auto"/>
              </w:rPr>
              <w:t>—</w:t>
            </w:r>
          </w:p>
        </w:tc>
        <w:tc>
          <w:tcPr>
            <w:tcW w:w="3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vMerge w:val="restart"/>
          </w:tcPr>
          <w:p>
            <w:pPr>
              <w:ind w:left="880"/>
              <w:spacing w:after="0"/>
              <w:rPr>
                <w:sz w:val="20"/>
                <w:szCs w:val="20"/>
                <w:color w:val="auto"/>
              </w:rPr>
            </w:pPr>
            <w:r>
              <w:rPr>
                <w:rFonts w:ascii="Arial" w:cs="Arial" w:eastAsia="Arial" w:hAnsi="Arial"/>
                <w:sz w:val="18"/>
                <w:szCs w:val="18"/>
                <w:b w:val="1"/>
                <w:bCs w:val="1"/>
                <w:color w:val="auto"/>
              </w:rPr>
              <w:t>—</w:t>
            </w:r>
          </w:p>
        </w:tc>
        <w:tc>
          <w:tcPr>
            <w:tcW w:w="38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rPr>
              <w:t>$</w:t>
            </w:r>
          </w:p>
        </w:tc>
        <w:tc>
          <w:tcPr>
            <w:tcW w:w="880" w:type="dxa"/>
            <w:vAlign w:val="bottom"/>
            <w:vMerge w:val="restart"/>
          </w:tcPr>
          <w:p>
            <w:pPr>
              <w:jc w:val="right"/>
              <w:ind w:right="12"/>
              <w:spacing w:after="0"/>
              <w:rPr>
                <w:sz w:val="20"/>
                <w:szCs w:val="20"/>
                <w:color w:val="auto"/>
              </w:rPr>
            </w:pPr>
            <w:r>
              <w:rPr>
                <w:rFonts w:ascii="Arial" w:cs="Arial" w:eastAsia="Arial" w:hAnsi="Arial"/>
                <w:sz w:val="18"/>
                <w:szCs w:val="18"/>
                <w:b w:val="1"/>
                <w:bCs w:val="1"/>
                <w:color w:val="auto"/>
              </w:rPr>
              <w:t>153.2</w:t>
            </w:r>
          </w:p>
        </w:tc>
        <w:tc>
          <w:tcPr>
            <w:tcW w:w="0" w:type="dxa"/>
            <w:vAlign w:val="bottom"/>
          </w:tcPr>
          <w:p>
            <w:pPr>
              <w:spacing w:after="0"/>
              <w:rPr>
                <w:sz w:val="1"/>
                <w:szCs w:val="1"/>
                <w:color w:val="auto"/>
              </w:rPr>
            </w:pPr>
          </w:p>
        </w:tc>
      </w:tr>
      <w:tr>
        <w:trPr>
          <w:trHeight w:val="252"/>
        </w:trPr>
        <w:tc>
          <w:tcPr>
            <w:tcW w:w="3300" w:type="dxa"/>
            <w:vAlign w:val="bottom"/>
          </w:tcPr>
          <w:p>
            <w:pPr>
              <w:ind w:left="340"/>
              <w:spacing w:after="0"/>
              <w:rPr>
                <w:sz w:val="20"/>
                <w:szCs w:val="20"/>
                <w:color w:val="auto"/>
              </w:rPr>
            </w:pPr>
            <w:r>
              <w:rPr>
                <w:rFonts w:ascii="Arial" w:cs="Arial" w:eastAsia="Arial" w:hAnsi="Arial"/>
                <w:sz w:val="18"/>
                <w:szCs w:val="18"/>
                <w:color w:val="auto"/>
              </w:rPr>
              <w:t>securities</w:t>
            </w:r>
          </w:p>
        </w:tc>
        <w:tc>
          <w:tcPr>
            <w:tcW w:w="220" w:type="dxa"/>
            <w:vAlign w:val="bottom"/>
            <w:vMerge w:val="continue"/>
          </w:tcPr>
          <w:p>
            <w:pPr>
              <w:spacing w:after="0"/>
              <w:rPr>
                <w:sz w:val="21"/>
                <w:szCs w:val="21"/>
                <w:color w:val="auto"/>
              </w:rPr>
            </w:pPr>
          </w:p>
        </w:tc>
        <w:tc>
          <w:tcPr>
            <w:tcW w:w="940" w:type="dxa"/>
            <w:vAlign w:val="bottom"/>
            <w:vMerge w:val="continue"/>
          </w:tcPr>
          <w:p>
            <w:pPr>
              <w:spacing w:after="0"/>
              <w:rPr>
                <w:sz w:val="21"/>
                <w:szCs w:val="21"/>
                <w:color w:val="auto"/>
              </w:rPr>
            </w:pPr>
          </w:p>
        </w:tc>
        <w:tc>
          <w:tcPr>
            <w:tcW w:w="340" w:type="dxa"/>
            <w:vAlign w:val="bottom"/>
            <w:vMerge w:val="continue"/>
          </w:tcPr>
          <w:p>
            <w:pPr>
              <w:spacing w:after="0"/>
              <w:rPr>
                <w:sz w:val="21"/>
                <w:szCs w:val="21"/>
                <w:color w:val="auto"/>
              </w:rPr>
            </w:pPr>
          </w:p>
        </w:tc>
        <w:tc>
          <w:tcPr>
            <w:tcW w:w="900" w:type="dxa"/>
            <w:vAlign w:val="bottom"/>
            <w:vMerge w:val="continue"/>
          </w:tcPr>
          <w:p>
            <w:pPr>
              <w:spacing w:after="0"/>
              <w:rPr>
                <w:sz w:val="21"/>
                <w:szCs w:val="21"/>
                <w:color w:val="auto"/>
              </w:rPr>
            </w:pPr>
          </w:p>
        </w:tc>
        <w:tc>
          <w:tcPr>
            <w:tcW w:w="260" w:type="dxa"/>
            <w:vAlign w:val="bottom"/>
            <w:gridSpan w:val="2"/>
            <w:vMerge w:val="continue"/>
          </w:tcPr>
          <w:p>
            <w:pPr>
              <w:spacing w:after="0"/>
              <w:rPr>
                <w:sz w:val="21"/>
                <w:szCs w:val="21"/>
                <w:color w:val="auto"/>
              </w:rPr>
            </w:pPr>
          </w:p>
        </w:tc>
        <w:tc>
          <w:tcPr>
            <w:tcW w:w="1240" w:type="dxa"/>
            <w:vAlign w:val="bottom"/>
            <w:vMerge w:val="continue"/>
          </w:tcPr>
          <w:p>
            <w:pPr>
              <w:spacing w:after="0"/>
              <w:rPr>
                <w:sz w:val="21"/>
                <w:szCs w:val="21"/>
                <w:color w:val="auto"/>
              </w:rPr>
            </w:pPr>
          </w:p>
        </w:tc>
        <w:tc>
          <w:tcPr>
            <w:tcW w:w="340" w:type="dxa"/>
            <w:vAlign w:val="bottom"/>
            <w:vMerge w:val="continue"/>
          </w:tcPr>
          <w:p>
            <w:pPr>
              <w:spacing w:after="0"/>
              <w:rPr>
                <w:sz w:val="21"/>
                <w:szCs w:val="21"/>
                <w:color w:val="auto"/>
              </w:rPr>
            </w:pPr>
          </w:p>
        </w:tc>
        <w:tc>
          <w:tcPr>
            <w:tcW w:w="1160" w:type="dxa"/>
            <w:vAlign w:val="bottom"/>
            <w:vMerge w:val="continue"/>
          </w:tcPr>
          <w:p>
            <w:pPr>
              <w:spacing w:after="0"/>
              <w:rPr>
                <w:sz w:val="21"/>
                <w:szCs w:val="21"/>
                <w:color w:val="auto"/>
              </w:rPr>
            </w:pPr>
          </w:p>
        </w:tc>
        <w:tc>
          <w:tcPr>
            <w:tcW w:w="300" w:type="dxa"/>
            <w:vAlign w:val="bottom"/>
            <w:vMerge w:val="continue"/>
          </w:tcPr>
          <w:p>
            <w:pPr>
              <w:spacing w:after="0"/>
              <w:rPr>
                <w:sz w:val="21"/>
                <w:szCs w:val="21"/>
                <w:color w:val="auto"/>
              </w:rPr>
            </w:pPr>
          </w:p>
        </w:tc>
        <w:tc>
          <w:tcPr>
            <w:tcW w:w="1160" w:type="dxa"/>
            <w:vAlign w:val="bottom"/>
            <w:vMerge w:val="continue"/>
          </w:tcPr>
          <w:p>
            <w:pPr>
              <w:spacing w:after="0"/>
              <w:rPr>
                <w:sz w:val="21"/>
                <w:szCs w:val="21"/>
                <w:color w:val="auto"/>
              </w:rPr>
            </w:pPr>
          </w:p>
        </w:tc>
        <w:tc>
          <w:tcPr>
            <w:tcW w:w="380" w:type="dxa"/>
            <w:vAlign w:val="bottom"/>
            <w:vMerge w:val="continue"/>
          </w:tcPr>
          <w:p>
            <w:pPr>
              <w:spacing w:after="0"/>
              <w:rPr>
                <w:sz w:val="21"/>
                <w:szCs w:val="21"/>
                <w:color w:val="auto"/>
              </w:rPr>
            </w:pPr>
          </w:p>
        </w:tc>
        <w:tc>
          <w:tcPr>
            <w:tcW w:w="8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3300" w:type="dxa"/>
            <w:vAlign w:val="bottom"/>
            <w:shd w:val="clear" w:color="auto" w:fill="D8D8D8"/>
          </w:tcPr>
          <w:p>
            <w:pPr>
              <w:ind w:left="180"/>
              <w:spacing w:after="0"/>
              <w:rPr>
                <w:sz w:val="20"/>
                <w:szCs w:val="20"/>
                <w:color w:val="auto"/>
              </w:rPr>
            </w:pPr>
            <w:r>
              <w:rPr>
                <w:rFonts w:ascii="Arial" w:cs="Arial" w:eastAsia="Arial" w:hAnsi="Arial"/>
                <w:sz w:val="18"/>
                <w:szCs w:val="18"/>
                <w:color w:val="auto"/>
              </w:rPr>
              <w:t>Corporate debt securities</w:t>
            </w:r>
          </w:p>
        </w:tc>
        <w:tc>
          <w:tcPr>
            <w:tcW w:w="220" w:type="dxa"/>
            <w:vAlign w:val="bottom"/>
            <w:shd w:val="clear" w:color="auto" w:fill="D8D8D8"/>
          </w:tcPr>
          <w:p>
            <w:pPr>
              <w:spacing w:after="0"/>
              <w:rPr>
                <w:sz w:val="23"/>
                <w:szCs w:val="23"/>
                <w:color w:val="auto"/>
              </w:rPr>
            </w:pPr>
          </w:p>
        </w:tc>
        <w:tc>
          <w:tcPr>
            <w:tcW w:w="940" w:type="dxa"/>
            <w:vAlign w:val="bottom"/>
            <w:shd w:val="clear" w:color="auto" w:fill="D8D8D8"/>
          </w:tcPr>
          <w:p>
            <w:pPr>
              <w:jc w:val="right"/>
              <w:ind w:right="32"/>
              <w:spacing w:after="0"/>
              <w:rPr>
                <w:sz w:val="20"/>
                <w:szCs w:val="20"/>
                <w:color w:val="auto"/>
              </w:rPr>
            </w:pPr>
            <w:r>
              <w:rPr>
                <w:rFonts w:ascii="Arial" w:cs="Arial" w:eastAsia="Arial" w:hAnsi="Arial"/>
                <w:sz w:val="18"/>
                <w:szCs w:val="18"/>
                <w:b w:val="1"/>
                <w:bCs w:val="1"/>
                <w:color w:val="auto"/>
              </w:rPr>
              <w:t>625.8</w:t>
            </w:r>
          </w:p>
        </w:tc>
        <w:tc>
          <w:tcPr>
            <w:tcW w:w="340" w:type="dxa"/>
            <w:vAlign w:val="bottom"/>
            <w:shd w:val="clear" w:color="auto" w:fill="D8D8D8"/>
          </w:tcPr>
          <w:p>
            <w:pPr>
              <w:spacing w:after="0"/>
              <w:rPr>
                <w:sz w:val="23"/>
                <w:szCs w:val="23"/>
                <w:color w:val="auto"/>
              </w:rPr>
            </w:pPr>
          </w:p>
        </w:tc>
        <w:tc>
          <w:tcPr>
            <w:tcW w:w="900" w:type="dxa"/>
            <w:vAlign w:val="bottom"/>
            <w:shd w:val="clear" w:color="auto" w:fill="D8D8D8"/>
          </w:tcPr>
          <w:p>
            <w:pPr>
              <w:jc w:val="right"/>
              <w:ind w:right="11"/>
              <w:spacing w:after="0"/>
              <w:rPr>
                <w:sz w:val="20"/>
                <w:szCs w:val="20"/>
                <w:color w:val="auto"/>
              </w:rPr>
            </w:pPr>
            <w:r>
              <w:rPr>
                <w:rFonts w:ascii="Arial" w:cs="Arial" w:eastAsia="Arial" w:hAnsi="Arial"/>
                <w:sz w:val="18"/>
                <w:szCs w:val="18"/>
                <w:b w:val="1"/>
                <w:bCs w:val="1"/>
                <w:color w:val="auto"/>
              </w:rPr>
              <w:t>626.9</w:t>
            </w:r>
          </w:p>
        </w:tc>
        <w:tc>
          <w:tcPr>
            <w:tcW w:w="120" w:type="dxa"/>
            <w:vAlign w:val="bottom"/>
            <w:shd w:val="clear" w:color="auto" w:fill="D8D8D8"/>
          </w:tcPr>
          <w:p>
            <w:pPr>
              <w:spacing w:after="0"/>
              <w:rPr>
                <w:sz w:val="23"/>
                <w:szCs w:val="23"/>
                <w:color w:val="auto"/>
              </w:rPr>
            </w:pPr>
          </w:p>
        </w:tc>
        <w:tc>
          <w:tcPr>
            <w:tcW w:w="140" w:type="dxa"/>
            <w:vAlign w:val="bottom"/>
            <w:shd w:val="clear" w:color="auto" w:fill="D8D8D8"/>
          </w:tcPr>
          <w:p>
            <w:pPr>
              <w:spacing w:after="0"/>
              <w:rPr>
                <w:sz w:val="23"/>
                <w:szCs w:val="23"/>
                <w:color w:val="auto"/>
              </w:rPr>
            </w:pPr>
          </w:p>
        </w:tc>
        <w:tc>
          <w:tcPr>
            <w:tcW w:w="1240" w:type="dxa"/>
            <w:vAlign w:val="bottom"/>
            <w:shd w:val="clear" w:color="auto" w:fill="D8D8D8"/>
          </w:tcPr>
          <w:p>
            <w:pPr>
              <w:jc w:val="right"/>
              <w:ind w:right="35"/>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D8D8D8"/>
          </w:tcPr>
          <w:p>
            <w:pPr>
              <w:spacing w:after="0"/>
              <w:rPr>
                <w:sz w:val="23"/>
                <w:szCs w:val="23"/>
                <w:color w:val="auto"/>
              </w:rPr>
            </w:pPr>
          </w:p>
        </w:tc>
        <w:tc>
          <w:tcPr>
            <w:tcW w:w="1160" w:type="dxa"/>
            <w:vAlign w:val="bottom"/>
            <w:shd w:val="clear" w:color="auto" w:fill="D8D8D8"/>
          </w:tcPr>
          <w:p>
            <w:pPr>
              <w:jc w:val="right"/>
              <w:ind w:right="35"/>
              <w:spacing w:after="0"/>
              <w:rPr>
                <w:sz w:val="20"/>
                <w:szCs w:val="20"/>
                <w:color w:val="auto"/>
              </w:rPr>
            </w:pPr>
            <w:r>
              <w:rPr>
                <w:rFonts w:ascii="Arial" w:cs="Arial" w:eastAsia="Arial" w:hAnsi="Arial"/>
                <w:sz w:val="18"/>
                <w:szCs w:val="18"/>
                <w:b w:val="1"/>
                <w:bCs w:val="1"/>
                <w:color w:val="auto"/>
              </w:rPr>
              <w:t>625.8</w:t>
            </w:r>
          </w:p>
        </w:tc>
        <w:tc>
          <w:tcPr>
            <w:tcW w:w="300" w:type="dxa"/>
            <w:vAlign w:val="bottom"/>
            <w:shd w:val="clear" w:color="auto" w:fill="D8D8D8"/>
          </w:tcPr>
          <w:p>
            <w:pPr>
              <w:spacing w:after="0"/>
              <w:rPr>
                <w:sz w:val="23"/>
                <w:szCs w:val="23"/>
                <w:color w:val="auto"/>
              </w:rPr>
            </w:pPr>
          </w:p>
        </w:tc>
        <w:tc>
          <w:tcPr>
            <w:tcW w:w="1160" w:type="dxa"/>
            <w:vAlign w:val="bottom"/>
            <w:shd w:val="clear" w:color="auto" w:fill="D8D8D8"/>
          </w:tcPr>
          <w:p>
            <w:pPr>
              <w:ind w:left="880"/>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D8D8D8"/>
          </w:tcPr>
          <w:p>
            <w:pPr>
              <w:spacing w:after="0"/>
              <w:rPr>
                <w:sz w:val="23"/>
                <w:szCs w:val="23"/>
                <w:color w:val="auto"/>
              </w:rPr>
            </w:pPr>
          </w:p>
        </w:tc>
        <w:tc>
          <w:tcPr>
            <w:tcW w:w="880" w:type="dxa"/>
            <w:vAlign w:val="bottom"/>
            <w:shd w:val="clear" w:color="auto" w:fill="D8D8D8"/>
          </w:tcPr>
          <w:p>
            <w:pPr>
              <w:jc w:val="right"/>
              <w:ind w:right="12"/>
              <w:spacing w:after="0"/>
              <w:rPr>
                <w:sz w:val="20"/>
                <w:szCs w:val="20"/>
                <w:color w:val="auto"/>
              </w:rPr>
            </w:pPr>
            <w:r>
              <w:rPr>
                <w:rFonts w:ascii="Arial" w:cs="Arial" w:eastAsia="Arial" w:hAnsi="Arial"/>
                <w:sz w:val="18"/>
                <w:szCs w:val="18"/>
                <w:b w:val="1"/>
                <w:bCs w:val="1"/>
                <w:color w:val="auto"/>
              </w:rPr>
              <w:t>625.8</w:t>
            </w:r>
          </w:p>
        </w:tc>
        <w:tc>
          <w:tcPr>
            <w:tcW w:w="0" w:type="dxa"/>
            <w:vAlign w:val="bottom"/>
          </w:tcPr>
          <w:p>
            <w:pPr>
              <w:spacing w:after="0"/>
              <w:rPr>
                <w:sz w:val="1"/>
                <w:szCs w:val="1"/>
                <w:color w:val="auto"/>
              </w:rPr>
            </w:pPr>
          </w:p>
        </w:tc>
      </w:tr>
      <w:tr>
        <w:trPr>
          <w:trHeight w:val="269"/>
        </w:trPr>
        <w:tc>
          <w:tcPr>
            <w:tcW w:w="3300" w:type="dxa"/>
            <w:vAlign w:val="bottom"/>
          </w:tcPr>
          <w:p>
            <w:pPr>
              <w:ind w:left="180"/>
              <w:spacing w:after="0"/>
              <w:rPr>
                <w:sz w:val="20"/>
                <w:szCs w:val="20"/>
                <w:color w:val="auto"/>
              </w:rPr>
            </w:pPr>
            <w:r>
              <w:rPr>
                <w:rFonts w:ascii="Arial" w:cs="Arial" w:eastAsia="Arial" w:hAnsi="Arial"/>
                <w:sz w:val="18"/>
                <w:szCs w:val="18"/>
                <w:color w:val="auto"/>
              </w:rPr>
              <w:t>Asset-backed securities</w:t>
            </w:r>
          </w:p>
        </w:tc>
        <w:tc>
          <w:tcPr>
            <w:tcW w:w="220" w:type="dxa"/>
            <w:vAlign w:val="bottom"/>
          </w:tcPr>
          <w:p>
            <w:pPr>
              <w:spacing w:after="0"/>
              <w:rPr>
                <w:sz w:val="23"/>
                <w:szCs w:val="23"/>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b w:val="1"/>
                <w:bCs w:val="1"/>
                <w:color w:val="auto"/>
              </w:rPr>
              <w:t>3.3</w:t>
            </w:r>
          </w:p>
        </w:tc>
        <w:tc>
          <w:tcPr>
            <w:tcW w:w="340" w:type="dxa"/>
            <w:vAlign w:val="bottom"/>
          </w:tcPr>
          <w:p>
            <w:pPr>
              <w:spacing w:after="0"/>
              <w:rPr>
                <w:sz w:val="23"/>
                <w:szCs w:val="23"/>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b w:val="1"/>
                <w:bCs w:val="1"/>
                <w:color w:val="auto"/>
              </w:rPr>
              <w:t>3.3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40" w:type="dxa"/>
            <w:vAlign w:val="bottom"/>
          </w:tcPr>
          <w:p>
            <w:pPr>
              <w:jc w:val="right"/>
              <w:ind w:right="35"/>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23"/>
                <w:szCs w:val="23"/>
                <w:color w:val="auto"/>
              </w:rPr>
            </w:pPr>
          </w:p>
        </w:tc>
        <w:tc>
          <w:tcPr>
            <w:tcW w:w="1160" w:type="dxa"/>
            <w:vAlign w:val="bottom"/>
          </w:tcPr>
          <w:p>
            <w:pPr>
              <w:jc w:val="right"/>
              <w:ind w:right="35"/>
              <w:spacing w:after="0"/>
              <w:rPr>
                <w:sz w:val="20"/>
                <w:szCs w:val="20"/>
                <w:color w:val="auto"/>
              </w:rPr>
            </w:pPr>
            <w:r>
              <w:rPr>
                <w:rFonts w:ascii="Arial" w:cs="Arial" w:eastAsia="Arial" w:hAnsi="Arial"/>
                <w:sz w:val="18"/>
                <w:szCs w:val="18"/>
                <w:b w:val="1"/>
                <w:bCs w:val="1"/>
                <w:color w:val="auto"/>
              </w:rPr>
              <w:t>3.3</w:t>
            </w:r>
          </w:p>
        </w:tc>
        <w:tc>
          <w:tcPr>
            <w:tcW w:w="300" w:type="dxa"/>
            <w:vAlign w:val="bottom"/>
          </w:tcPr>
          <w:p>
            <w:pPr>
              <w:spacing w:after="0"/>
              <w:rPr>
                <w:sz w:val="23"/>
                <w:szCs w:val="23"/>
                <w:color w:val="auto"/>
              </w:rPr>
            </w:pPr>
          </w:p>
        </w:tc>
        <w:tc>
          <w:tcPr>
            <w:tcW w:w="1160" w:type="dxa"/>
            <w:vAlign w:val="bottom"/>
          </w:tcPr>
          <w:p>
            <w:pPr>
              <w:ind w:left="880"/>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23"/>
                <w:szCs w:val="23"/>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b w:val="1"/>
                <w:bCs w:val="1"/>
                <w:color w:val="auto"/>
              </w:rPr>
              <w:t>3.3</w:t>
            </w:r>
          </w:p>
        </w:tc>
        <w:tc>
          <w:tcPr>
            <w:tcW w:w="0" w:type="dxa"/>
            <w:vAlign w:val="bottom"/>
          </w:tcPr>
          <w:p>
            <w:pPr>
              <w:spacing w:after="0"/>
              <w:rPr>
                <w:sz w:val="1"/>
                <w:szCs w:val="1"/>
                <w:color w:val="auto"/>
              </w:rPr>
            </w:pPr>
          </w:p>
        </w:tc>
      </w:tr>
      <w:tr>
        <w:trPr>
          <w:trHeight w:val="271"/>
        </w:trPr>
        <w:tc>
          <w:tcPr>
            <w:tcW w:w="3300" w:type="dxa"/>
            <w:vAlign w:val="bottom"/>
            <w:shd w:val="clear" w:color="auto" w:fill="D8D8D8"/>
          </w:tcPr>
          <w:p>
            <w:pPr>
              <w:ind w:left="180"/>
              <w:spacing w:after="0"/>
              <w:rPr>
                <w:sz w:val="20"/>
                <w:szCs w:val="20"/>
                <w:color w:val="auto"/>
              </w:rPr>
            </w:pPr>
            <w:r>
              <w:rPr>
                <w:rFonts w:ascii="Arial" w:cs="Arial" w:eastAsia="Arial" w:hAnsi="Arial"/>
                <w:sz w:val="18"/>
                <w:szCs w:val="18"/>
                <w:color w:val="auto"/>
              </w:rPr>
              <w:t>Other securities</w:t>
            </w:r>
          </w:p>
        </w:tc>
        <w:tc>
          <w:tcPr>
            <w:tcW w:w="220" w:type="dxa"/>
            <w:vAlign w:val="bottom"/>
            <w:tcBorders>
              <w:bottom w:val="single" w:sz="8" w:color="auto"/>
            </w:tcBorders>
            <w:shd w:val="clear" w:color="auto" w:fill="D8D8D8"/>
          </w:tcPr>
          <w:p>
            <w:pPr>
              <w:spacing w:after="0"/>
              <w:rPr>
                <w:sz w:val="23"/>
                <w:szCs w:val="23"/>
                <w:color w:val="auto"/>
              </w:rPr>
            </w:pPr>
          </w:p>
        </w:tc>
        <w:tc>
          <w:tcPr>
            <w:tcW w:w="940" w:type="dxa"/>
            <w:vAlign w:val="bottom"/>
            <w:tcBorders>
              <w:bottom w:val="single" w:sz="8" w:color="auto"/>
            </w:tcBorders>
            <w:shd w:val="clear" w:color="auto" w:fill="D8D8D8"/>
          </w:tcPr>
          <w:p>
            <w:pPr>
              <w:jc w:val="right"/>
              <w:ind w:right="32"/>
              <w:spacing w:after="0"/>
              <w:rPr>
                <w:sz w:val="20"/>
                <w:szCs w:val="20"/>
                <w:color w:val="auto"/>
              </w:rPr>
            </w:pPr>
            <w:r>
              <w:rPr>
                <w:rFonts w:ascii="Arial" w:cs="Arial" w:eastAsia="Arial" w:hAnsi="Arial"/>
                <w:sz w:val="18"/>
                <w:szCs w:val="18"/>
                <w:b w:val="1"/>
                <w:bCs w:val="1"/>
                <w:color w:val="auto"/>
              </w:rPr>
              <w:t>3.1</w:t>
            </w:r>
          </w:p>
        </w:tc>
        <w:tc>
          <w:tcPr>
            <w:tcW w:w="340" w:type="dxa"/>
            <w:vAlign w:val="bottom"/>
            <w:tcBorders>
              <w:bottom w:val="single" w:sz="8" w:color="auto"/>
            </w:tcBorders>
            <w:shd w:val="clear" w:color="auto" w:fill="D8D8D8"/>
          </w:tcPr>
          <w:p>
            <w:pPr>
              <w:spacing w:after="0"/>
              <w:rPr>
                <w:sz w:val="23"/>
                <w:szCs w:val="23"/>
                <w:color w:val="auto"/>
              </w:rPr>
            </w:pPr>
          </w:p>
        </w:tc>
        <w:tc>
          <w:tcPr>
            <w:tcW w:w="900" w:type="dxa"/>
            <w:vAlign w:val="bottom"/>
            <w:tcBorders>
              <w:bottom w:val="single" w:sz="8" w:color="auto"/>
            </w:tcBorders>
            <w:shd w:val="clear" w:color="auto" w:fill="D8D8D8"/>
          </w:tcPr>
          <w:p>
            <w:pPr>
              <w:jc w:val="right"/>
              <w:ind w:right="11"/>
              <w:spacing w:after="0"/>
              <w:rPr>
                <w:sz w:val="20"/>
                <w:szCs w:val="20"/>
                <w:color w:val="auto"/>
              </w:rPr>
            </w:pPr>
            <w:r>
              <w:rPr>
                <w:rFonts w:ascii="Arial" w:cs="Arial" w:eastAsia="Arial" w:hAnsi="Arial"/>
                <w:sz w:val="18"/>
                <w:szCs w:val="18"/>
                <w:b w:val="1"/>
                <w:bCs w:val="1"/>
                <w:color w:val="auto"/>
              </w:rPr>
              <w:t>3.1</w:t>
            </w:r>
          </w:p>
        </w:tc>
        <w:tc>
          <w:tcPr>
            <w:tcW w:w="120" w:type="dxa"/>
            <w:vAlign w:val="bottom"/>
            <w:shd w:val="clear" w:color="auto" w:fill="D8D8D8"/>
          </w:tcPr>
          <w:p>
            <w:pPr>
              <w:spacing w:after="0"/>
              <w:rPr>
                <w:sz w:val="23"/>
                <w:szCs w:val="23"/>
                <w:color w:val="auto"/>
              </w:rPr>
            </w:pPr>
          </w:p>
        </w:tc>
        <w:tc>
          <w:tcPr>
            <w:tcW w:w="140" w:type="dxa"/>
            <w:vAlign w:val="bottom"/>
            <w:shd w:val="clear" w:color="auto" w:fill="D8D8D8"/>
          </w:tcPr>
          <w:p>
            <w:pPr>
              <w:spacing w:after="0"/>
              <w:rPr>
                <w:sz w:val="23"/>
                <w:szCs w:val="23"/>
                <w:color w:val="auto"/>
              </w:rPr>
            </w:pPr>
          </w:p>
        </w:tc>
        <w:tc>
          <w:tcPr>
            <w:tcW w:w="1240" w:type="dxa"/>
            <w:vAlign w:val="bottom"/>
            <w:shd w:val="clear" w:color="auto" w:fill="D8D8D8"/>
          </w:tcPr>
          <w:p>
            <w:pPr>
              <w:jc w:val="right"/>
              <w:ind w:right="35"/>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D8D8D8"/>
          </w:tcPr>
          <w:p>
            <w:pPr>
              <w:spacing w:after="0"/>
              <w:rPr>
                <w:sz w:val="23"/>
                <w:szCs w:val="23"/>
                <w:color w:val="auto"/>
              </w:rPr>
            </w:pPr>
          </w:p>
        </w:tc>
        <w:tc>
          <w:tcPr>
            <w:tcW w:w="1160" w:type="dxa"/>
            <w:vAlign w:val="bottom"/>
            <w:shd w:val="clear" w:color="auto" w:fill="D8D8D8"/>
          </w:tcPr>
          <w:p>
            <w:pPr>
              <w:jc w:val="right"/>
              <w:ind w:right="35"/>
              <w:spacing w:after="0"/>
              <w:rPr>
                <w:sz w:val="20"/>
                <w:szCs w:val="20"/>
                <w:color w:val="auto"/>
              </w:rPr>
            </w:pPr>
            <w:r>
              <w:rPr>
                <w:rFonts w:ascii="Arial" w:cs="Arial" w:eastAsia="Arial" w:hAnsi="Arial"/>
                <w:sz w:val="18"/>
                <w:szCs w:val="18"/>
                <w:b w:val="1"/>
                <w:bCs w:val="1"/>
                <w:color w:val="auto"/>
              </w:rPr>
              <w:t>3.1</w:t>
            </w:r>
          </w:p>
        </w:tc>
        <w:tc>
          <w:tcPr>
            <w:tcW w:w="300" w:type="dxa"/>
            <w:vAlign w:val="bottom"/>
            <w:shd w:val="clear" w:color="auto" w:fill="D8D8D8"/>
          </w:tcPr>
          <w:p>
            <w:pPr>
              <w:spacing w:after="0"/>
              <w:rPr>
                <w:sz w:val="23"/>
                <w:szCs w:val="23"/>
                <w:color w:val="auto"/>
              </w:rPr>
            </w:pPr>
          </w:p>
        </w:tc>
        <w:tc>
          <w:tcPr>
            <w:tcW w:w="1160" w:type="dxa"/>
            <w:vAlign w:val="bottom"/>
            <w:shd w:val="clear" w:color="auto" w:fill="D8D8D8"/>
          </w:tcPr>
          <w:p>
            <w:pPr>
              <w:ind w:left="880"/>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D8D8D8"/>
          </w:tcPr>
          <w:p>
            <w:pPr>
              <w:spacing w:after="0"/>
              <w:rPr>
                <w:sz w:val="23"/>
                <w:szCs w:val="23"/>
                <w:color w:val="auto"/>
              </w:rPr>
            </w:pPr>
          </w:p>
        </w:tc>
        <w:tc>
          <w:tcPr>
            <w:tcW w:w="880" w:type="dxa"/>
            <w:vAlign w:val="bottom"/>
            <w:shd w:val="clear" w:color="auto" w:fill="D8D8D8"/>
          </w:tcPr>
          <w:p>
            <w:pPr>
              <w:jc w:val="right"/>
              <w:ind w:right="12"/>
              <w:spacing w:after="0"/>
              <w:rPr>
                <w:sz w:val="20"/>
                <w:szCs w:val="20"/>
                <w:color w:val="auto"/>
              </w:rPr>
            </w:pPr>
            <w:r>
              <w:rPr>
                <w:rFonts w:ascii="Arial" w:cs="Arial" w:eastAsia="Arial" w:hAnsi="Arial"/>
                <w:sz w:val="18"/>
                <w:szCs w:val="18"/>
                <w:b w:val="1"/>
                <w:bCs w:val="1"/>
                <w:color w:val="auto"/>
              </w:rPr>
              <w:t>3.1</w:t>
            </w:r>
          </w:p>
        </w:tc>
        <w:tc>
          <w:tcPr>
            <w:tcW w:w="0" w:type="dxa"/>
            <w:vAlign w:val="bottom"/>
          </w:tcPr>
          <w:p>
            <w:pPr>
              <w:spacing w:after="0"/>
              <w:rPr>
                <w:sz w:val="1"/>
                <w:szCs w:val="1"/>
                <w:color w:val="auto"/>
              </w:rPr>
            </w:pPr>
          </w:p>
        </w:tc>
      </w:tr>
      <w:tr>
        <w:trPr>
          <w:trHeight w:val="271"/>
        </w:trPr>
        <w:tc>
          <w:tcPr>
            <w:tcW w:w="3300" w:type="dxa"/>
            <w:vAlign w:val="bottom"/>
            <w:tcBorders>
              <w:bottom w:val="single" w:sz="8" w:color="D8D8D8"/>
            </w:tcBorders>
          </w:tcPr>
          <w:p>
            <w:pPr>
              <w:ind w:left="180"/>
              <w:spacing w:after="0"/>
              <w:rPr>
                <w:sz w:val="20"/>
                <w:szCs w:val="20"/>
                <w:color w:val="auto"/>
              </w:rPr>
            </w:pPr>
            <w:r>
              <w:rPr>
                <w:rFonts w:ascii="Arial" w:cs="Arial" w:eastAsia="Arial" w:hAnsi="Arial"/>
                <w:sz w:val="18"/>
                <w:szCs w:val="18"/>
                <w:color w:val="auto"/>
              </w:rPr>
              <w:t>Short-term investments</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785.4</w:t>
            </w:r>
          </w:p>
        </w:tc>
        <w:tc>
          <w:tcPr>
            <w:tcW w:w="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786.7</w:t>
            </w:r>
          </w:p>
        </w:tc>
        <w:tc>
          <w:tcPr>
            <w:tcW w:w="120" w:type="dxa"/>
            <w:vAlign w:val="bottom"/>
            <w:tcBorders>
              <w:bottom w:val="single" w:sz="8" w:color="D8D8D8"/>
            </w:tcBorders>
          </w:tcPr>
          <w:p>
            <w:pPr>
              <w:spacing w:after="0"/>
              <w:rPr>
                <w:sz w:val="23"/>
                <w:szCs w:val="23"/>
                <w:color w:val="auto"/>
              </w:rPr>
            </w:pPr>
          </w:p>
        </w:tc>
        <w:tc>
          <w:tcPr>
            <w:tcW w:w="140" w:type="dxa"/>
            <w:vAlign w:val="bottom"/>
            <w:tcBorders>
              <w:bottom w:val="single" w:sz="8" w:color="D8D8D8"/>
            </w:tcBorders>
          </w:tcPr>
          <w:p>
            <w:pPr>
              <w:spacing w:after="0"/>
              <w:rPr>
                <w:sz w:val="23"/>
                <w:szCs w:val="23"/>
                <w:color w:val="auto"/>
              </w:rPr>
            </w:pPr>
          </w:p>
        </w:tc>
        <w:tc>
          <w:tcPr>
            <w:tcW w:w="1240" w:type="dxa"/>
            <w:vAlign w:val="bottom"/>
            <w:tcBorders>
              <w:bottom w:val="single" w:sz="8" w:color="D8D8D8"/>
            </w:tcBorders>
          </w:tcPr>
          <w:p>
            <w:pPr>
              <w:spacing w:after="0"/>
              <w:rPr>
                <w:sz w:val="23"/>
                <w:szCs w:val="23"/>
                <w:color w:val="auto"/>
              </w:rPr>
            </w:pPr>
          </w:p>
        </w:tc>
        <w:tc>
          <w:tcPr>
            <w:tcW w:w="340" w:type="dxa"/>
            <w:vAlign w:val="bottom"/>
            <w:tcBorders>
              <w:bottom w:val="single" w:sz="8" w:color="D8D8D8"/>
            </w:tcBorders>
          </w:tcPr>
          <w:p>
            <w:pPr>
              <w:spacing w:after="0"/>
              <w:rPr>
                <w:sz w:val="23"/>
                <w:szCs w:val="23"/>
                <w:color w:val="auto"/>
              </w:rPr>
            </w:pPr>
          </w:p>
        </w:tc>
        <w:tc>
          <w:tcPr>
            <w:tcW w:w="1160" w:type="dxa"/>
            <w:vAlign w:val="bottom"/>
            <w:tcBorders>
              <w:bottom w:val="single" w:sz="8" w:color="D8D8D8"/>
            </w:tcBorders>
          </w:tcPr>
          <w:p>
            <w:pPr>
              <w:spacing w:after="0"/>
              <w:rPr>
                <w:sz w:val="23"/>
                <w:szCs w:val="23"/>
                <w:color w:val="auto"/>
              </w:rPr>
            </w:pPr>
          </w:p>
        </w:tc>
        <w:tc>
          <w:tcPr>
            <w:tcW w:w="300" w:type="dxa"/>
            <w:vAlign w:val="bottom"/>
            <w:tcBorders>
              <w:bottom w:val="single" w:sz="8" w:color="D8D8D8"/>
            </w:tcBorders>
          </w:tcPr>
          <w:p>
            <w:pPr>
              <w:spacing w:after="0"/>
              <w:rPr>
                <w:sz w:val="23"/>
                <w:szCs w:val="23"/>
                <w:color w:val="auto"/>
              </w:rPr>
            </w:pPr>
          </w:p>
        </w:tc>
        <w:tc>
          <w:tcPr>
            <w:tcW w:w="1160" w:type="dxa"/>
            <w:vAlign w:val="bottom"/>
            <w:tcBorders>
              <w:bottom w:val="single" w:sz="8" w:color="D8D8D8"/>
            </w:tcBorders>
          </w:tcPr>
          <w:p>
            <w:pPr>
              <w:spacing w:after="0"/>
              <w:rPr>
                <w:sz w:val="23"/>
                <w:szCs w:val="23"/>
                <w:color w:val="auto"/>
              </w:rPr>
            </w:pPr>
          </w:p>
        </w:tc>
        <w:tc>
          <w:tcPr>
            <w:tcW w:w="380" w:type="dxa"/>
            <w:vAlign w:val="bottom"/>
            <w:tcBorders>
              <w:bottom w:val="single" w:sz="8" w:color="D8D8D8"/>
            </w:tcBorders>
          </w:tcPr>
          <w:p>
            <w:pPr>
              <w:spacing w:after="0"/>
              <w:rPr>
                <w:sz w:val="23"/>
                <w:szCs w:val="23"/>
                <w:color w:val="auto"/>
              </w:rPr>
            </w:pPr>
          </w:p>
        </w:tc>
        <w:tc>
          <w:tcPr>
            <w:tcW w:w="880" w:type="dxa"/>
            <w:vAlign w:val="bottom"/>
            <w:tcBorders>
              <w:bottom w:val="single" w:sz="8" w:color="D8D8D8"/>
            </w:tcBorders>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00" w:type="dxa"/>
            <w:vAlign w:val="bottom"/>
            <w:shd w:val="clear" w:color="auto" w:fill="D8D8D8"/>
          </w:tcPr>
          <w:p>
            <w:pPr>
              <w:ind w:left="40"/>
              <w:spacing w:after="0"/>
              <w:rPr>
                <w:sz w:val="20"/>
                <w:szCs w:val="20"/>
                <w:color w:val="auto"/>
              </w:rPr>
            </w:pPr>
            <w:r>
              <w:rPr>
                <w:rFonts w:ascii="Arial" w:cs="Arial" w:eastAsia="Arial" w:hAnsi="Arial"/>
                <w:sz w:val="18"/>
                <w:szCs w:val="18"/>
                <w:color w:val="auto"/>
              </w:rPr>
              <w:t>Noncurrent investments:</w:t>
            </w:r>
          </w:p>
        </w:tc>
        <w:tc>
          <w:tcPr>
            <w:tcW w:w="220" w:type="dxa"/>
            <w:vAlign w:val="bottom"/>
            <w:shd w:val="clear" w:color="auto" w:fill="D8D8D8"/>
          </w:tcPr>
          <w:p>
            <w:pPr>
              <w:spacing w:after="0"/>
              <w:rPr>
                <w:sz w:val="21"/>
                <w:szCs w:val="21"/>
                <w:color w:val="auto"/>
              </w:rPr>
            </w:pPr>
          </w:p>
        </w:tc>
        <w:tc>
          <w:tcPr>
            <w:tcW w:w="940" w:type="dxa"/>
            <w:vAlign w:val="bottom"/>
            <w:shd w:val="clear" w:color="auto" w:fill="D8D8D8"/>
          </w:tcPr>
          <w:p>
            <w:pPr>
              <w:spacing w:after="0"/>
              <w:rPr>
                <w:sz w:val="21"/>
                <w:szCs w:val="21"/>
                <w:color w:val="auto"/>
              </w:rPr>
            </w:pPr>
          </w:p>
        </w:tc>
        <w:tc>
          <w:tcPr>
            <w:tcW w:w="340" w:type="dxa"/>
            <w:vAlign w:val="bottom"/>
            <w:shd w:val="clear" w:color="auto" w:fill="D8D8D8"/>
          </w:tcPr>
          <w:p>
            <w:pPr>
              <w:spacing w:after="0"/>
              <w:rPr>
                <w:sz w:val="21"/>
                <w:szCs w:val="21"/>
                <w:color w:val="auto"/>
              </w:rPr>
            </w:pPr>
          </w:p>
        </w:tc>
        <w:tc>
          <w:tcPr>
            <w:tcW w:w="900" w:type="dxa"/>
            <w:vAlign w:val="bottom"/>
            <w:shd w:val="clear" w:color="auto" w:fill="D8D8D8"/>
          </w:tcPr>
          <w:p>
            <w:pPr>
              <w:spacing w:after="0"/>
              <w:rPr>
                <w:sz w:val="21"/>
                <w:szCs w:val="21"/>
                <w:color w:val="auto"/>
              </w:rPr>
            </w:pPr>
          </w:p>
        </w:tc>
        <w:tc>
          <w:tcPr>
            <w:tcW w:w="120" w:type="dxa"/>
            <w:vAlign w:val="bottom"/>
            <w:shd w:val="clear" w:color="auto" w:fill="D8D8D8"/>
          </w:tcPr>
          <w:p>
            <w:pPr>
              <w:spacing w:after="0"/>
              <w:rPr>
                <w:sz w:val="21"/>
                <w:szCs w:val="21"/>
                <w:color w:val="auto"/>
              </w:rPr>
            </w:pPr>
          </w:p>
        </w:tc>
        <w:tc>
          <w:tcPr>
            <w:tcW w:w="140" w:type="dxa"/>
            <w:vAlign w:val="bottom"/>
            <w:shd w:val="clear" w:color="auto" w:fill="D8D8D8"/>
          </w:tcPr>
          <w:p>
            <w:pPr>
              <w:spacing w:after="0"/>
              <w:rPr>
                <w:sz w:val="21"/>
                <w:szCs w:val="21"/>
                <w:color w:val="auto"/>
              </w:rPr>
            </w:pPr>
          </w:p>
        </w:tc>
        <w:tc>
          <w:tcPr>
            <w:tcW w:w="1240" w:type="dxa"/>
            <w:vAlign w:val="bottom"/>
            <w:shd w:val="clear" w:color="auto" w:fill="D8D8D8"/>
          </w:tcPr>
          <w:p>
            <w:pPr>
              <w:spacing w:after="0"/>
              <w:rPr>
                <w:sz w:val="21"/>
                <w:szCs w:val="21"/>
                <w:color w:val="auto"/>
              </w:rPr>
            </w:pPr>
          </w:p>
        </w:tc>
        <w:tc>
          <w:tcPr>
            <w:tcW w:w="340" w:type="dxa"/>
            <w:vAlign w:val="bottom"/>
            <w:shd w:val="clear" w:color="auto" w:fill="D8D8D8"/>
          </w:tcPr>
          <w:p>
            <w:pPr>
              <w:spacing w:after="0"/>
              <w:rPr>
                <w:sz w:val="21"/>
                <w:szCs w:val="21"/>
                <w:color w:val="auto"/>
              </w:rPr>
            </w:pPr>
          </w:p>
        </w:tc>
        <w:tc>
          <w:tcPr>
            <w:tcW w:w="1160" w:type="dxa"/>
            <w:vAlign w:val="bottom"/>
            <w:shd w:val="clear" w:color="auto" w:fill="D8D8D8"/>
          </w:tcPr>
          <w:p>
            <w:pPr>
              <w:spacing w:after="0"/>
              <w:rPr>
                <w:sz w:val="21"/>
                <w:szCs w:val="21"/>
                <w:color w:val="auto"/>
              </w:rPr>
            </w:pPr>
          </w:p>
        </w:tc>
        <w:tc>
          <w:tcPr>
            <w:tcW w:w="300" w:type="dxa"/>
            <w:vAlign w:val="bottom"/>
            <w:shd w:val="clear" w:color="auto" w:fill="D8D8D8"/>
          </w:tcPr>
          <w:p>
            <w:pPr>
              <w:spacing w:after="0"/>
              <w:rPr>
                <w:sz w:val="21"/>
                <w:szCs w:val="21"/>
                <w:color w:val="auto"/>
              </w:rPr>
            </w:pPr>
          </w:p>
        </w:tc>
        <w:tc>
          <w:tcPr>
            <w:tcW w:w="1160" w:type="dxa"/>
            <w:vAlign w:val="bottom"/>
            <w:shd w:val="clear" w:color="auto" w:fill="D8D8D8"/>
          </w:tcPr>
          <w:p>
            <w:pPr>
              <w:spacing w:after="0"/>
              <w:rPr>
                <w:sz w:val="21"/>
                <w:szCs w:val="21"/>
                <w:color w:val="auto"/>
              </w:rPr>
            </w:pPr>
          </w:p>
        </w:tc>
        <w:tc>
          <w:tcPr>
            <w:tcW w:w="380" w:type="dxa"/>
            <w:vAlign w:val="bottom"/>
            <w:shd w:val="clear" w:color="auto" w:fill="D8D8D8"/>
          </w:tcPr>
          <w:p>
            <w:pPr>
              <w:spacing w:after="0"/>
              <w:rPr>
                <w:sz w:val="21"/>
                <w:szCs w:val="21"/>
                <w:color w:val="auto"/>
              </w:rPr>
            </w:pPr>
          </w:p>
        </w:tc>
        <w:tc>
          <w:tcPr>
            <w:tcW w:w="880" w:type="dxa"/>
            <w:vAlign w:val="bottom"/>
            <w:shd w:val="clear" w:color="auto" w:fill="D8D8D8"/>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3300" w:type="dxa"/>
            <w:vAlign w:val="bottom"/>
          </w:tcPr>
          <w:p>
            <w:pPr>
              <w:ind w:left="180"/>
              <w:spacing w:after="0"/>
              <w:rPr>
                <w:sz w:val="20"/>
                <w:szCs w:val="20"/>
                <w:color w:val="auto"/>
              </w:rPr>
            </w:pPr>
            <w:r>
              <w:rPr>
                <w:rFonts w:ascii="Arial" w:cs="Arial" w:eastAsia="Arial" w:hAnsi="Arial"/>
                <w:sz w:val="18"/>
                <w:szCs w:val="18"/>
                <w:color w:val="auto"/>
              </w:rPr>
              <w:t>U.S. government and agency</w:t>
            </w:r>
          </w:p>
        </w:tc>
        <w:tc>
          <w:tcPr>
            <w:tcW w:w="2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vMerge w:val="restart"/>
          </w:tcPr>
          <w:p>
            <w:pPr>
              <w:jc w:val="right"/>
              <w:ind w:right="32"/>
              <w:spacing w:after="0"/>
              <w:rPr>
                <w:sz w:val="20"/>
                <w:szCs w:val="20"/>
                <w:color w:val="auto"/>
              </w:rPr>
            </w:pPr>
            <w:r>
              <w:rPr>
                <w:rFonts w:ascii="Arial" w:cs="Arial" w:eastAsia="Arial" w:hAnsi="Arial"/>
                <w:sz w:val="18"/>
                <w:szCs w:val="18"/>
                <w:b w:val="1"/>
                <w:bCs w:val="1"/>
                <w:color w:val="auto"/>
              </w:rPr>
              <w:t>284.5</w:t>
            </w:r>
          </w:p>
        </w:tc>
        <w:tc>
          <w:tcPr>
            <w:tcW w:w="34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w:t>
            </w:r>
          </w:p>
        </w:tc>
        <w:tc>
          <w:tcPr>
            <w:tcW w:w="900" w:type="dxa"/>
            <w:vAlign w:val="bottom"/>
            <w:vMerge w:val="restart"/>
          </w:tcPr>
          <w:p>
            <w:pPr>
              <w:jc w:val="right"/>
              <w:ind w:right="11"/>
              <w:spacing w:after="0"/>
              <w:rPr>
                <w:sz w:val="20"/>
                <w:szCs w:val="20"/>
                <w:color w:val="auto"/>
              </w:rPr>
            </w:pPr>
            <w:r>
              <w:rPr>
                <w:rFonts w:ascii="Arial" w:cs="Arial" w:eastAsia="Arial" w:hAnsi="Arial"/>
                <w:sz w:val="18"/>
                <w:szCs w:val="18"/>
                <w:b w:val="1"/>
                <w:bCs w:val="1"/>
                <w:color w:val="auto"/>
              </w:rPr>
              <w:t>286.0</w:t>
            </w:r>
          </w:p>
        </w:tc>
        <w:tc>
          <w:tcPr>
            <w:tcW w:w="260" w:type="dxa"/>
            <w:vAlign w:val="bottom"/>
            <w:gridSpan w:val="2"/>
            <w:vMerge w:val="restart"/>
          </w:tcPr>
          <w:p>
            <w:pPr>
              <w:jc w:val="right"/>
              <w:ind w:right="20"/>
              <w:spacing w:after="0"/>
              <w:rPr>
                <w:sz w:val="20"/>
                <w:szCs w:val="20"/>
                <w:color w:val="auto"/>
              </w:rPr>
            </w:pPr>
            <w:r>
              <w:rPr>
                <w:rFonts w:ascii="Arial" w:cs="Arial" w:eastAsia="Arial" w:hAnsi="Arial"/>
                <w:sz w:val="18"/>
                <w:szCs w:val="18"/>
                <w:b w:val="1"/>
                <w:bCs w:val="1"/>
                <w:color w:val="auto"/>
              </w:rPr>
              <w:t>$</w:t>
            </w:r>
          </w:p>
        </w:tc>
        <w:tc>
          <w:tcPr>
            <w:tcW w:w="1240" w:type="dxa"/>
            <w:vAlign w:val="bottom"/>
            <w:vMerge w:val="restart"/>
          </w:tcPr>
          <w:p>
            <w:pPr>
              <w:jc w:val="right"/>
              <w:ind w:right="35"/>
              <w:spacing w:after="0"/>
              <w:rPr>
                <w:sz w:val="20"/>
                <w:szCs w:val="20"/>
                <w:color w:val="auto"/>
              </w:rPr>
            </w:pPr>
            <w:r>
              <w:rPr>
                <w:rFonts w:ascii="Arial" w:cs="Arial" w:eastAsia="Arial" w:hAnsi="Arial"/>
                <w:sz w:val="18"/>
                <w:szCs w:val="18"/>
                <w:b w:val="1"/>
                <w:bCs w:val="1"/>
                <w:color w:val="auto"/>
              </w:rPr>
              <w:t>283.5</w:t>
            </w:r>
          </w:p>
        </w:tc>
        <w:tc>
          <w:tcPr>
            <w:tcW w:w="34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w:t>
            </w:r>
          </w:p>
        </w:tc>
        <w:tc>
          <w:tcPr>
            <w:tcW w:w="1160" w:type="dxa"/>
            <w:vAlign w:val="bottom"/>
            <w:vMerge w:val="restart"/>
          </w:tcPr>
          <w:p>
            <w:pPr>
              <w:jc w:val="right"/>
              <w:ind w:right="35"/>
              <w:spacing w:after="0"/>
              <w:rPr>
                <w:sz w:val="20"/>
                <w:szCs w:val="20"/>
                <w:color w:val="auto"/>
              </w:rPr>
            </w:pPr>
            <w:r>
              <w:rPr>
                <w:rFonts w:ascii="Arial" w:cs="Arial" w:eastAsia="Arial" w:hAnsi="Arial"/>
                <w:sz w:val="18"/>
                <w:szCs w:val="18"/>
                <w:b w:val="1"/>
                <w:bCs w:val="1"/>
                <w:color w:val="auto"/>
              </w:rPr>
              <w:t>1.0</w:t>
            </w:r>
          </w:p>
        </w:tc>
        <w:tc>
          <w:tcPr>
            <w:tcW w:w="3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vMerge w:val="restart"/>
          </w:tcPr>
          <w:p>
            <w:pPr>
              <w:ind w:left="880"/>
              <w:spacing w:after="0"/>
              <w:rPr>
                <w:sz w:val="20"/>
                <w:szCs w:val="20"/>
                <w:color w:val="auto"/>
              </w:rPr>
            </w:pPr>
            <w:r>
              <w:rPr>
                <w:rFonts w:ascii="Arial" w:cs="Arial" w:eastAsia="Arial" w:hAnsi="Arial"/>
                <w:sz w:val="18"/>
                <w:szCs w:val="18"/>
                <w:b w:val="1"/>
                <w:bCs w:val="1"/>
                <w:color w:val="auto"/>
              </w:rPr>
              <w:t>—</w:t>
            </w:r>
          </w:p>
        </w:tc>
        <w:tc>
          <w:tcPr>
            <w:tcW w:w="38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rPr>
              <w:t>$</w:t>
            </w:r>
          </w:p>
        </w:tc>
        <w:tc>
          <w:tcPr>
            <w:tcW w:w="880" w:type="dxa"/>
            <w:vAlign w:val="bottom"/>
            <w:vMerge w:val="restart"/>
          </w:tcPr>
          <w:p>
            <w:pPr>
              <w:jc w:val="right"/>
              <w:ind w:right="12"/>
              <w:spacing w:after="0"/>
              <w:rPr>
                <w:sz w:val="20"/>
                <w:szCs w:val="20"/>
                <w:color w:val="auto"/>
              </w:rPr>
            </w:pPr>
            <w:r>
              <w:rPr>
                <w:rFonts w:ascii="Arial" w:cs="Arial" w:eastAsia="Arial" w:hAnsi="Arial"/>
                <w:sz w:val="18"/>
                <w:szCs w:val="18"/>
                <w:b w:val="1"/>
                <w:bCs w:val="1"/>
                <w:color w:val="auto"/>
              </w:rPr>
              <w:t>284.5</w:t>
            </w:r>
          </w:p>
        </w:tc>
        <w:tc>
          <w:tcPr>
            <w:tcW w:w="0" w:type="dxa"/>
            <w:vAlign w:val="bottom"/>
          </w:tcPr>
          <w:p>
            <w:pPr>
              <w:spacing w:after="0"/>
              <w:rPr>
                <w:sz w:val="1"/>
                <w:szCs w:val="1"/>
                <w:color w:val="auto"/>
              </w:rPr>
            </w:pPr>
          </w:p>
        </w:tc>
      </w:tr>
      <w:tr>
        <w:trPr>
          <w:trHeight w:val="252"/>
        </w:trPr>
        <w:tc>
          <w:tcPr>
            <w:tcW w:w="3300" w:type="dxa"/>
            <w:vAlign w:val="bottom"/>
          </w:tcPr>
          <w:p>
            <w:pPr>
              <w:ind w:left="340"/>
              <w:spacing w:after="0"/>
              <w:rPr>
                <w:sz w:val="20"/>
                <w:szCs w:val="20"/>
                <w:color w:val="auto"/>
              </w:rPr>
            </w:pPr>
            <w:r>
              <w:rPr>
                <w:rFonts w:ascii="Arial" w:cs="Arial" w:eastAsia="Arial" w:hAnsi="Arial"/>
                <w:sz w:val="18"/>
                <w:szCs w:val="18"/>
                <w:color w:val="auto"/>
              </w:rPr>
              <w:t>securities</w:t>
            </w:r>
          </w:p>
        </w:tc>
        <w:tc>
          <w:tcPr>
            <w:tcW w:w="220" w:type="dxa"/>
            <w:vAlign w:val="bottom"/>
            <w:vMerge w:val="continue"/>
          </w:tcPr>
          <w:p>
            <w:pPr>
              <w:spacing w:after="0"/>
              <w:rPr>
                <w:sz w:val="21"/>
                <w:szCs w:val="21"/>
                <w:color w:val="auto"/>
              </w:rPr>
            </w:pPr>
          </w:p>
        </w:tc>
        <w:tc>
          <w:tcPr>
            <w:tcW w:w="940" w:type="dxa"/>
            <w:vAlign w:val="bottom"/>
            <w:vMerge w:val="continue"/>
          </w:tcPr>
          <w:p>
            <w:pPr>
              <w:spacing w:after="0"/>
              <w:rPr>
                <w:sz w:val="21"/>
                <w:szCs w:val="21"/>
                <w:color w:val="auto"/>
              </w:rPr>
            </w:pPr>
          </w:p>
        </w:tc>
        <w:tc>
          <w:tcPr>
            <w:tcW w:w="340" w:type="dxa"/>
            <w:vAlign w:val="bottom"/>
            <w:vMerge w:val="continue"/>
          </w:tcPr>
          <w:p>
            <w:pPr>
              <w:spacing w:after="0"/>
              <w:rPr>
                <w:sz w:val="21"/>
                <w:szCs w:val="21"/>
                <w:color w:val="auto"/>
              </w:rPr>
            </w:pPr>
          </w:p>
        </w:tc>
        <w:tc>
          <w:tcPr>
            <w:tcW w:w="900" w:type="dxa"/>
            <w:vAlign w:val="bottom"/>
            <w:vMerge w:val="continue"/>
          </w:tcPr>
          <w:p>
            <w:pPr>
              <w:spacing w:after="0"/>
              <w:rPr>
                <w:sz w:val="21"/>
                <w:szCs w:val="21"/>
                <w:color w:val="auto"/>
              </w:rPr>
            </w:pPr>
          </w:p>
        </w:tc>
        <w:tc>
          <w:tcPr>
            <w:tcW w:w="260" w:type="dxa"/>
            <w:vAlign w:val="bottom"/>
            <w:gridSpan w:val="2"/>
            <w:vMerge w:val="continue"/>
          </w:tcPr>
          <w:p>
            <w:pPr>
              <w:spacing w:after="0"/>
              <w:rPr>
                <w:sz w:val="21"/>
                <w:szCs w:val="21"/>
                <w:color w:val="auto"/>
              </w:rPr>
            </w:pPr>
          </w:p>
        </w:tc>
        <w:tc>
          <w:tcPr>
            <w:tcW w:w="1240" w:type="dxa"/>
            <w:vAlign w:val="bottom"/>
            <w:vMerge w:val="continue"/>
          </w:tcPr>
          <w:p>
            <w:pPr>
              <w:spacing w:after="0"/>
              <w:rPr>
                <w:sz w:val="21"/>
                <w:szCs w:val="21"/>
                <w:color w:val="auto"/>
              </w:rPr>
            </w:pPr>
          </w:p>
        </w:tc>
        <w:tc>
          <w:tcPr>
            <w:tcW w:w="340" w:type="dxa"/>
            <w:vAlign w:val="bottom"/>
            <w:vMerge w:val="continue"/>
          </w:tcPr>
          <w:p>
            <w:pPr>
              <w:spacing w:after="0"/>
              <w:rPr>
                <w:sz w:val="21"/>
                <w:szCs w:val="21"/>
                <w:color w:val="auto"/>
              </w:rPr>
            </w:pPr>
          </w:p>
        </w:tc>
        <w:tc>
          <w:tcPr>
            <w:tcW w:w="1160" w:type="dxa"/>
            <w:vAlign w:val="bottom"/>
            <w:vMerge w:val="continue"/>
          </w:tcPr>
          <w:p>
            <w:pPr>
              <w:spacing w:after="0"/>
              <w:rPr>
                <w:sz w:val="21"/>
                <w:szCs w:val="21"/>
                <w:color w:val="auto"/>
              </w:rPr>
            </w:pPr>
          </w:p>
        </w:tc>
        <w:tc>
          <w:tcPr>
            <w:tcW w:w="300" w:type="dxa"/>
            <w:vAlign w:val="bottom"/>
            <w:vMerge w:val="continue"/>
          </w:tcPr>
          <w:p>
            <w:pPr>
              <w:spacing w:after="0"/>
              <w:rPr>
                <w:sz w:val="21"/>
                <w:szCs w:val="21"/>
                <w:color w:val="auto"/>
              </w:rPr>
            </w:pPr>
          </w:p>
        </w:tc>
        <w:tc>
          <w:tcPr>
            <w:tcW w:w="1160" w:type="dxa"/>
            <w:vAlign w:val="bottom"/>
            <w:vMerge w:val="continue"/>
          </w:tcPr>
          <w:p>
            <w:pPr>
              <w:spacing w:after="0"/>
              <w:rPr>
                <w:sz w:val="21"/>
                <w:szCs w:val="21"/>
                <w:color w:val="auto"/>
              </w:rPr>
            </w:pPr>
          </w:p>
        </w:tc>
        <w:tc>
          <w:tcPr>
            <w:tcW w:w="380" w:type="dxa"/>
            <w:vAlign w:val="bottom"/>
            <w:vMerge w:val="continue"/>
          </w:tcPr>
          <w:p>
            <w:pPr>
              <w:spacing w:after="0"/>
              <w:rPr>
                <w:sz w:val="21"/>
                <w:szCs w:val="21"/>
                <w:color w:val="auto"/>
              </w:rPr>
            </w:pPr>
          </w:p>
        </w:tc>
        <w:tc>
          <w:tcPr>
            <w:tcW w:w="8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3300" w:type="dxa"/>
            <w:vAlign w:val="bottom"/>
            <w:shd w:val="clear" w:color="auto" w:fill="D8D8D8"/>
          </w:tcPr>
          <w:p>
            <w:pPr>
              <w:ind w:left="180"/>
              <w:spacing w:after="0"/>
              <w:rPr>
                <w:sz w:val="20"/>
                <w:szCs w:val="20"/>
                <w:color w:val="auto"/>
              </w:rPr>
            </w:pPr>
            <w:r>
              <w:rPr>
                <w:rFonts w:ascii="Arial" w:cs="Arial" w:eastAsia="Arial" w:hAnsi="Arial"/>
                <w:sz w:val="18"/>
                <w:szCs w:val="18"/>
                <w:color w:val="auto"/>
              </w:rPr>
              <w:t>Corporate debt securities</w:t>
            </w:r>
          </w:p>
        </w:tc>
        <w:tc>
          <w:tcPr>
            <w:tcW w:w="220" w:type="dxa"/>
            <w:vAlign w:val="bottom"/>
            <w:shd w:val="clear" w:color="auto" w:fill="D8D8D8"/>
          </w:tcPr>
          <w:p>
            <w:pPr>
              <w:spacing w:after="0"/>
              <w:rPr>
                <w:sz w:val="23"/>
                <w:szCs w:val="23"/>
                <w:color w:val="auto"/>
              </w:rPr>
            </w:pPr>
          </w:p>
        </w:tc>
        <w:tc>
          <w:tcPr>
            <w:tcW w:w="940" w:type="dxa"/>
            <w:vAlign w:val="bottom"/>
            <w:shd w:val="clear" w:color="auto" w:fill="D8D8D8"/>
          </w:tcPr>
          <w:p>
            <w:pPr>
              <w:jc w:val="right"/>
              <w:ind w:right="32"/>
              <w:spacing w:after="0"/>
              <w:rPr>
                <w:sz w:val="20"/>
                <w:szCs w:val="20"/>
                <w:color w:val="auto"/>
              </w:rPr>
            </w:pPr>
            <w:r>
              <w:rPr>
                <w:rFonts w:ascii="Arial" w:cs="Arial" w:eastAsia="Arial" w:hAnsi="Arial"/>
                <w:sz w:val="18"/>
                <w:szCs w:val="18"/>
                <w:b w:val="1"/>
                <w:bCs w:val="1"/>
                <w:color w:val="auto"/>
              </w:rPr>
              <w:t>1,962.6</w:t>
            </w:r>
          </w:p>
        </w:tc>
        <w:tc>
          <w:tcPr>
            <w:tcW w:w="340" w:type="dxa"/>
            <w:vAlign w:val="bottom"/>
            <w:shd w:val="clear" w:color="auto" w:fill="D8D8D8"/>
          </w:tcPr>
          <w:p>
            <w:pPr>
              <w:spacing w:after="0"/>
              <w:rPr>
                <w:sz w:val="23"/>
                <w:szCs w:val="23"/>
                <w:color w:val="auto"/>
              </w:rPr>
            </w:pPr>
          </w:p>
        </w:tc>
        <w:tc>
          <w:tcPr>
            <w:tcW w:w="900" w:type="dxa"/>
            <w:vAlign w:val="bottom"/>
            <w:shd w:val="clear" w:color="auto" w:fill="D8D8D8"/>
          </w:tcPr>
          <w:p>
            <w:pPr>
              <w:jc w:val="right"/>
              <w:ind w:right="11"/>
              <w:spacing w:after="0"/>
              <w:rPr>
                <w:sz w:val="20"/>
                <w:szCs w:val="20"/>
                <w:color w:val="auto"/>
              </w:rPr>
            </w:pPr>
            <w:r>
              <w:rPr>
                <w:rFonts w:ascii="Arial" w:cs="Arial" w:eastAsia="Arial" w:hAnsi="Arial"/>
                <w:sz w:val="18"/>
                <w:szCs w:val="18"/>
                <w:b w:val="1"/>
                <w:bCs w:val="1"/>
                <w:color w:val="auto"/>
              </w:rPr>
              <w:t>1,995.8</w:t>
            </w:r>
          </w:p>
        </w:tc>
        <w:tc>
          <w:tcPr>
            <w:tcW w:w="120" w:type="dxa"/>
            <w:vAlign w:val="bottom"/>
            <w:shd w:val="clear" w:color="auto" w:fill="D8D8D8"/>
          </w:tcPr>
          <w:p>
            <w:pPr>
              <w:spacing w:after="0"/>
              <w:rPr>
                <w:sz w:val="23"/>
                <w:szCs w:val="23"/>
                <w:color w:val="auto"/>
              </w:rPr>
            </w:pPr>
          </w:p>
        </w:tc>
        <w:tc>
          <w:tcPr>
            <w:tcW w:w="140" w:type="dxa"/>
            <w:vAlign w:val="bottom"/>
            <w:shd w:val="clear" w:color="auto" w:fill="D8D8D8"/>
          </w:tcPr>
          <w:p>
            <w:pPr>
              <w:spacing w:after="0"/>
              <w:rPr>
                <w:sz w:val="23"/>
                <w:szCs w:val="23"/>
                <w:color w:val="auto"/>
              </w:rPr>
            </w:pPr>
          </w:p>
        </w:tc>
        <w:tc>
          <w:tcPr>
            <w:tcW w:w="1240" w:type="dxa"/>
            <w:vAlign w:val="bottom"/>
            <w:shd w:val="clear" w:color="auto" w:fill="D8D8D8"/>
          </w:tcPr>
          <w:p>
            <w:pPr>
              <w:jc w:val="right"/>
              <w:ind w:right="35"/>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D8D8D8"/>
          </w:tcPr>
          <w:p>
            <w:pPr>
              <w:spacing w:after="0"/>
              <w:rPr>
                <w:sz w:val="23"/>
                <w:szCs w:val="23"/>
                <w:color w:val="auto"/>
              </w:rPr>
            </w:pPr>
          </w:p>
        </w:tc>
        <w:tc>
          <w:tcPr>
            <w:tcW w:w="1160" w:type="dxa"/>
            <w:vAlign w:val="bottom"/>
            <w:shd w:val="clear" w:color="auto" w:fill="D8D8D8"/>
          </w:tcPr>
          <w:p>
            <w:pPr>
              <w:jc w:val="right"/>
              <w:ind w:right="35"/>
              <w:spacing w:after="0"/>
              <w:rPr>
                <w:sz w:val="20"/>
                <w:szCs w:val="20"/>
                <w:color w:val="auto"/>
              </w:rPr>
            </w:pPr>
            <w:r>
              <w:rPr>
                <w:rFonts w:ascii="Arial" w:cs="Arial" w:eastAsia="Arial" w:hAnsi="Arial"/>
                <w:sz w:val="18"/>
                <w:szCs w:val="18"/>
                <w:b w:val="1"/>
                <w:bCs w:val="1"/>
                <w:color w:val="auto"/>
              </w:rPr>
              <w:t>1,962.6</w:t>
            </w:r>
          </w:p>
        </w:tc>
        <w:tc>
          <w:tcPr>
            <w:tcW w:w="300" w:type="dxa"/>
            <w:vAlign w:val="bottom"/>
            <w:shd w:val="clear" w:color="auto" w:fill="D8D8D8"/>
          </w:tcPr>
          <w:p>
            <w:pPr>
              <w:spacing w:after="0"/>
              <w:rPr>
                <w:sz w:val="23"/>
                <w:szCs w:val="23"/>
                <w:color w:val="auto"/>
              </w:rPr>
            </w:pPr>
          </w:p>
        </w:tc>
        <w:tc>
          <w:tcPr>
            <w:tcW w:w="1160" w:type="dxa"/>
            <w:vAlign w:val="bottom"/>
            <w:shd w:val="clear" w:color="auto" w:fill="D8D8D8"/>
          </w:tcPr>
          <w:p>
            <w:pPr>
              <w:ind w:left="880"/>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D8D8D8"/>
          </w:tcPr>
          <w:p>
            <w:pPr>
              <w:spacing w:after="0"/>
              <w:rPr>
                <w:sz w:val="23"/>
                <w:szCs w:val="23"/>
                <w:color w:val="auto"/>
              </w:rPr>
            </w:pPr>
          </w:p>
        </w:tc>
        <w:tc>
          <w:tcPr>
            <w:tcW w:w="880" w:type="dxa"/>
            <w:vAlign w:val="bottom"/>
            <w:shd w:val="clear" w:color="auto" w:fill="D8D8D8"/>
          </w:tcPr>
          <w:p>
            <w:pPr>
              <w:jc w:val="right"/>
              <w:ind w:right="12"/>
              <w:spacing w:after="0"/>
              <w:rPr>
                <w:sz w:val="20"/>
                <w:szCs w:val="20"/>
                <w:color w:val="auto"/>
              </w:rPr>
            </w:pPr>
            <w:r>
              <w:rPr>
                <w:rFonts w:ascii="Arial" w:cs="Arial" w:eastAsia="Arial" w:hAnsi="Arial"/>
                <w:sz w:val="18"/>
                <w:szCs w:val="18"/>
                <w:b w:val="1"/>
                <w:bCs w:val="1"/>
                <w:color w:val="auto"/>
              </w:rPr>
              <w:t>1,962.6</w:t>
            </w:r>
          </w:p>
        </w:tc>
        <w:tc>
          <w:tcPr>
            <w:tcW w:w="0" w:type="dxa"/>
            <w:vAlign w:val="bottom"/>
          </w:tcPr>
          <w:p>
            <w:pPr>
              <w:spacing w:after="0"/>
              <w:rPr>
                <w:sz w:val="1"/>
                <w:szCs w:val="1"/>
                <w:color w:val="auto"/>
              </w:rPr>
            </w:pPr>
          </w:p>
        </w:tc>
      </w:tr>
      <w:tr>
        <w:trPr>
          <w:trHeight w:val="269"/>
        </w:trPr>
        <w:tc>
          <w:tcPr>
            <w:tcW w:w="3300" w:type="dxa"/>
            <w:vAlign w:val="bottom"/>
          </w:tcPr>
          <w:p>
            <w:pPr>
              <w:ind w:left="180"/>
              <w:spacing w:after="0"/>
              <w:rPr>
                <w:sz w:val="20"/>
                <w:szCs w:val="20"/>
                <w:color w:val="auto"/>
              </w:rPr>
            </w:pPr>
            <w:r>
              <w:rPr>
                <w:rFonts w:ascii="Arial" w:cs="Arial" w:eastAsia="Arial" w:hAnsi="Arial"/>
                <w:sz w:val="18"/>
                <w:szCs w:val="18"/>
                <w:color w:val="auto"/>
              </w:rPr>
              <w:t>Mortgage-backed securities</w:t>
            </w:r>
          </w:p>
        </w:tc>
        <w:tc>
          <w:tcPr>
            <w:tcW w:w="220" w:type="dxa"/>
            <w:vAlign w:val="bottom"/>
          </w:tcPr>
          <w:p>
            <w:pPr>
              <w:spacing w:after="0"/>
              <w:rPr>
                <w:sz w:val="23"/>
                <w:szCs w:val="23"/>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b w:val="1"/>
                <w:bCs w:val="1"/>
                <w:color w:val="auto"/>
              </w:rPr>
              <w:t>153.3</w:t>
            </w:r>
          </w:p>
        </w:tc>
        <w:tc>
          <w:tcPr>
            <w:tcW w:w="340" w:type="dxa"/>
            <w:vAlign w:val="bottom"/>
          </w:tcPr>
          <w:p>
            <w:pPr>
              <w:spacing w:after="0"/>
              <w:rPr>
                <w:sz w:val="23"/>
                <w:szCs w:val="23"/>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b w:val="1"/>
                <w:bCs w:val="1"/>
                <w:color w:val="auto"/>
              </w:rPr>
              <w:t>154.7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40" w:type="dxa"/>
            <w:vAlign w:val="bottom"/>
          </w:tcPr>
          <w:p>
            <w:pPr>
              <w:jc w:val="right"/>
              <w:ind w:right="35"/>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23"/>
                <w:szCs w:val="23"/>
                <w:color w:val="auto"/>
              </w:rPr>
            </w:pPr>
          </w:p>
        </w:tc>
        <w:tc>
          <w:tcPr>
            <w:tcW w:w="1160" w:type="dxa"/>
            <w:vAlign w:val="bottom"/>
          </w:tcPr>
          <w:p>
            <w:pPr>
              <w:jc w:val="right"/>
              <w:ind w:right="35"/>
              <w:spacing w:after="0"/>
              <w:rPr>
                <w:sz w:val="20"/>
                <w:szCs w:val="20"/>
                <w:color w:val="auto"/>
              </w:rPr>
            </w:pPr>
            <w:r>
              <w:rPr>
                <w:rFonts w:ascii="Arial" w:cs="Arial" w:eastAsia="Arial" w:hAnsi="Arial"/>
                <w:sz w:val="18"/>
                <w:szCs w:val="18"/>
                <w:b w:val="1"/>
                <w:bCs w:val="1"/>
                <w:color w:val="auto"/>
              </w:rPr>
              <w:t>153.3</w:t>
            </w:r>
          </w:p>
        </w:tc>
        <w:tc>
          <w:tcPr>
            <w:tcW w:w="300" w:type="dxa"/>
            <w:vAlign w:val="bottom"/>
          </w:tcPr>
          <w:p>
            <w:pPr>
              <w:spacing w:after="0"/>
              <w:rPr>
                <w:sz w:val="23"/>
                <w:szCs w:val="23"/>
                <w:color w:val="auto"/>
              </w:rPr>
            </w:pPr>
          </w:p>
        </w:tc>
        <w:tc>
          <w:tcPr>
            <w:tcW w:w="1160" w:type="dxa"/>
            <w:vAlign w:val="bottom"/>
          </w:tcPr>
          <w:p>
            <w:pPr>
              <w:ind w:left="880"/>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23"/>
                <w:szCs w:val="23"/>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b w:val="1"/>
                <w:bCs w:val="1"/>
                <w:color w:val="auto"/>
              </w:rPr>
              <w:t>153.3</w:t>
            </w:r>
          </w:p>
        </w:tc>
        <w:tc>
          <w:tcPr>
            <w:tcW w:w="0" w:type="dxa"/>
            <w:vAlign w:val="bottom"/>
          </w:tcPr>
          <w:p>
            <w:pPr>
              <w:spacing w:after="0"/>
              <w:rPr>
                <w:sz w:val="1"/>
                <w:szCs w:val="1"/>
                <w:color w:val="auto"/>
              </w:rPr>
            </w:pPr>
          </w:p>
        </w:tc>
      </w:tr>
      <w:tr>
        <w:trPr>
          <w:trHeight w:val="271"/>
        </w:trPr>
        <w:tc>
          <w:tcPr>
            <w:tcW w:w="3300" w:type="dxa"/>
            <w:vAlign w:val="bottom"/>
            <w:shd w:val="clear" w:color="auto" w:fill="D8D8D8"/>
          </w:tcPr>
          <w:p>
            <w:pPr>
              <w:ind w:left="180"/>
              <w:spacing w:after="0"/>
              <w:rPr>
                <w:sz w:val="20"/>
                <w:szCs w:val="20"/>
                <w:color w:val="auto"/>
              </w:rPr>
            </w:pPr>
            <w:r>
              <w:rPr>
                <w:rFonts w:ascii="Arial" w:cs="Arial" w:eastAsia="Arial" w:hAnsi="Arial"/>
                <w:sz w:val="18"/>
                <w:szCs w:val="18"/>
                <w:color w:val="auto"/>
              </w:rPr>
              <w:t>Asset-backed securities</w:t>
            </w:r>
          </w:p>
        </w:tc>
        <w:tc>
          <w:tcPr>
            <w:tcW w:w="220" w:type="dxa"/>
            <w:vAlign w:val="bottom"/>
            <w:shd w:val="clear" w:color="auto" w:fill="D8D8D8"/>
          </w:tcPr>
          <w:p>
            <w:pPr>
              <w:spacing w:after="0"/>
              <w:rPr>
                <w:sz w:val="23"/>
                <w:szCs w:val="23"/>
                <w:color w:val="auto"/>
              </w:rPr>
            </w:pPr>
          </w:p>
        </w:tc>
        <w:tc>
          <w:tcPr>
            <w:tcW w:w="940" w:type="dxa"/>
            <w:vAlign w:val="bottom"/>
            <w:shd w:val="clear" w:color="auto" w:fill="D8D8D8"/>
          </w:tcPr>
          <w:p>
            <w:pPr>
              <w:jc w:val="right"/>
              <w:ind w:right="32"/>
              <w:spacing w:after="0"/>
              <w:rPr>
                <w:sz w:val="20"/>
                <w:szCs w:val="20"/>
                <w:color w:val="auto"/>
              </w:rPr>
            </w:pPr>
            <w:r>
              <w:rPr>
                <w:rFonts w:ascii="Arial" w:cs="Arial" w:eastAsia="Arial" w:hAnsi="Arial"/>
                <w:sz w:val="18"/>
                <w:szCs w:val="18"/>
                <w:b w:val="1"/>
                <w:bCs w:val="1"/>
                <w:color w:val="auto"/>
              </w:rPr>
              <w:t>441.9</w:t>
            </w:r>
          </w:p>
        </w:tc>
        <w:tc>
          <w:tcPr>
            <w:tcW w:w="340" w:type="dxa"/>
            <w:vAlign w:val="bottom"/>
            <w:shd w:val="clear" w:color="auto" w:fill="D8D8D8"/>
          </w:tcPr>
          <w:p>
            <w:pPr>
              <w:spacing w:after="0"/>
              <w:rPr>
                <w:sz w:val="23"/>
                <w:szCs w:val="23"/>
                <w:color w:val="auto"/>
              </w:rPr>
            </w:pPr>
          </w:p>
        </w:tc>
        <w:tc>
          <w:tcPr>
            <w:tcW w:w="900" w:type="dxa"/>
            <w:vAlign w:val="bottom"/>
            <w:shd w:val="clear" w:color="auto" w:fill="D8D8D8"/>
          </w:tcPr>
          <w:p>
            <w:pPr>
              <w:jc w:val="right"/>
              <w:ind w:right="11"/>
              <w:spacing w:after="0"/>
              <w:rPr>
                <w:sz w:val="20"/>
                <w:szCs w:val="20"/>
                <w:color w:val="auto"/>
              </w:rPr>
            </w:pPr>
            <w:r>
              <w:rPr>
                <w:rFonts w:ascii="Arial" w:cs="Arial" w:eastAsia="Arial" w:hAnsi="Arial"/>
                <w:sz w:val="18"/>
                <w:szCs w:val="18"/>
                <w:b w:val="1"/>
                <w:bCs w:val="1"/>
                <w:color w:val="auto"/>
              </w:rPr>
              <w:t>443.1</w:t>
            </w:r>
          </w:p>
        </w:tc>
        <w:tc>
          <w:tcPr>
            <w:tcW w:w="120" w:type="dxa"/>
            <w:vAlign w:val="bottom"/>
            <w:shd w:val="clear" w:color="auto" w:fill="D8D8D8"/>
          </w:tcPr>
          <w:p>
            <w:pPr>
              <w:spacing w:after="0"/>
              <w:rPr>
                <w:sz w:val="23"/>
                <w:szCs w:val="23"/>
                <w:color w:val="auto"/>
              </w:rPr>
            </w:pPr>
          </w:p>
        </w:tc>
        <w:tc>
          <w:tcPr>
            <w:tcW w:w="140" w:type="dxa"/>
            <w:vAlign w:val="bottom"/>
            <w:shd w:val="clear" w:color="auto" w:fill="D8D8D8"/>
          </w:tcPr>
          <w:p>
            <w:pPr>
              <w:spacing w:after="0"/>
              <w:rPr>
                <w:sz w:val="23"/>
                <w:szCs w:val="23"/>
                <w:color w:val="auto"/>
              </w:rPr>
            </w:pPr>
          </w:p>
        </w:tc>
        <w:tc>
          <w:tcPr>
            <w:tcW w:w="1240" w:type="dxa"/>
            <w:vAlign w:val="bottom"/>
            <w:shd w:val="clear" w:color="auto" w:fill="D8D8D8"/>
          </w:tcPr>
          <w:p>
            <w:pPr>
              <w:jc w:val="right"/>
              <w:ind w:right="35"/>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D8D8D8"/>
          </w:tcPr>
          <w:p>
            <w:pPr>
              <w:spacing w:after="0"/>
              <w:rPr>
                <w:sz w:val="23"/>
                <w:szCs w:val="23"/>
                <w:color w:val="auto"/>
              </w:rPr>
            </w:pPr>
          </w:p>
        </w:tc>
        <w:tc>
          <w:tcPr>
            <w:tcW w:w="1160" w:type="dxa"/>
            <w:vAlign w:val="bottom"/>
            <w:shd w:val="clear" w:color="auto" w:fill="D8D8D8"/>
          </w:tcPr>
          <w:p>
            <w:pPr>
              <w:jc w:val="right"/>
              <w:ind w:right="35"/>
              <w:spacing w:after="0"/>
              <w:rPr>
                <w:sz w:val="20"/>
                <w:szCs w:val="20"/>
                <w:color w:val="auto"/>
              </w:rPr>
            </w:pPr>
            <w:r>
              <w:rPr>
                <w:rFonts w:ascii="Arial" w:cs="Arial" w:eastAsia="Arial" w:hAnsi="Arial"/>
                <w:sz w:val="18"/>
                <w:szCs w:val="18"/>
                <w:b w:val="1"/>
                <w:bCs w:val="1"/>
                <w:color w:val="auto"/>
              </w:rPr>
              <w:t>441.9</w:t>
            </w:r>
          </w:p>
        </w:tc>
        <w:tc>
          <w:tcPr>
            <w:tcW w:w="300" w:type="dxa"/>
            <w:vAlign w:val="bottom"/>
            <w:shd w:val="clear" w:color="auto" w:fill="D8D8D8"/>
          </w:tcPr>
          <w:p>
            <w:pPr>
              <w:spacing w:after="0"/>
              <w:rPr>
                <w:sz w:val="23"/>
                <w:szCs w:val="23"/>
                <w:color w:val="auto"/>
              </w:rPr>
            </w:pPr>
          </w:p>
        </w:tc>
        <w:tc>
          <w:tcPr>
            <w:tcW w:w="1160" w:type="dxa"/>
            <w:vAlign w:val="bottom"/>
            <w:shd w:val="clear" w:color="auto" w:fill="D8D8D8"/>
          </w:tcPr>
          <w:p>
            <w:pPr>
              <w:ind w:left="880"/>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D8D8D8"/>
          </w:tcPr>
          <w:p>
            <w:pPr>
              <w:spacing w:after="0"/>
              <w:rPr>
                <w:sz w:val="23"/>
                <w:szCs w:val="23"/>
                <w:color w:val="auto"/>
              </w:rPr>
            </w:pPr>
          </w:p>
        </w:tc>
        <w:tc>
          <w:tcPr>
            <w:tcW w:w="880" w:type="dxa"/>
            <w:vAlign w:val="bottom"/>
            <w:shd w:val="clear" w:color="auto" w:fill="D8D8D8"/>
          </w:tcPr>
          <w:p>
            <w:pPr>
              <w:jc w:val="right"/>
              <w:ind w:right="12"/>
              <w:spacing w:after="0"/>
              <w:rPr>
                <w:sz w:val="20"/>
                <w:szCs w:val="20"/>
                <w:color w:val="auto"/>
              </w:rPr>
            </w:pPr>
            <w:r>
              <w:rPr>
                <w:rFonts w:ascii="Arial" w:cs="Arial" w:eastAsia="Arial" w:hAnsi="Arial"/>
                <w:sz w:val="18"/>
                <w:szCs w:val="18"/>
                <w:b w:val="1"/>
                <w:bCs w:val="1"/>
                <w:color w:val="auto"/>
              </w:rPr>
              <w:t>441.9</w:t>
            </w:r>
          </w:p>
        </w:tc>
        <w:tc>
          <w:tcPr>
            <w:tcW w:w="0" w:type="dxa"/>
            <w:vAlign w:val="bottom"/>
          </w:tcPr>
          <w:p>
            <w:pPr>
              <w:spacing w:after="0"/>
              <w:rPr>
                <w:sz w:val="1"/>
                <w:szCs w:val="1"/>
                <w:color w:val="auto"/>
              </w:rPr>
            </w:pPr>
          </w:p>
        </w:tc>
      </w:tr>
      <w:tr>
        <w:trPr>
          <w:trHeight w:val="269"/>
        </w:trPr>
        <w:tc>
          <w:tcPr>
            <w:tcW w:w="3300" w:type="dxa"/>
            <w:vAlign w:val="bottom"/>
          </w:tcPr>
          <w:p>
            <w:pPr>
              <w:ind w:left="180"/>
              <w:spacing w:after="0"/>
              <w:rPr>
                <w:sz w:val="20"/>
                <w:szCs w:val="20"/>
                <w:color w:val="auto"/>
              </w:rPr>
            </w:pPr>
            <w:r>
              <w:rPr>
                <w:rFonts w:ascii="Arial" w:cs="Arial" w:eastAsia="Arial" w:hAnsi="Arial"/>
                <w:sz w:val="18"/>
                <w:szCs w:val="18"/>
                <w:color w:val="auto"/>
              </w:rPr>
              <w:t>Other securities</w:t>
            </w:r>
          </w:p>
        </w:tc>
        <w:tc>
          <w:tcPr>
            <w:tcW w:w="220" w:type="dxa"/>
            <w:vAlign w:val="bottom"/>
          </w:tcPr>
          <w:p>
            <w:pPr>
              <w:spacing w:after="0"/>
              <w:rPr>
                <w:sz w:val="23"/>
                <w:szCs w:val="23"/>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b w:val="1"/>
                <w:bCs w:val="1"/>
                <w:color w:val="auto"/>
              </w:rPr>
              <w:t>4.1</w:t>
            </w:r>
          </w:p>
        </w:tc>
        <w:tc>
          <w:tcPr>
            <w:tcW w:w="340" w:type="dxa"/>
            <w:vAlign w:val="bottom"/>
          </w:tcPr>
          <w:p>
            <w:pPr>
              <w:spacing w:after="0"/>
              <w:rPr>
                <w:sz w:val="23"/>
                <w:szCs w:val="23"/>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b w:val="1"/>
                <w:bCs w:val="1"/>
                <w:color w:val="auto"/>
              </w:rPr>
              <w:t>4.1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40" w:type="dxa"/>
            <w:vAlign w:val="bottom"/>
          </w:tcPr>
          <w:p>
            <w:pPr>
              <w:jc w:val="right"/>
              <w:ind w:right="35"/>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23"/>
                <w:szCs w:val="23"/>
                <w:color w:val="auto"/>
              </w:rPr>
            </w:pPr>
          </w:p>
        </w:tc>
        <w:tc>
          <w:tcPr>
            <w:tcW w:w="1160" w:type="dxa"/>
            <w:vAlign w:val="bottom"/>
          </w:tcPr>
          <w:p>
            <w:pPr>
              <w:jc w:val="right"/>
              <w:ind w:right="35"/>
              <w:spacing w:after="0"/>
              <w:rPr>
                <w:sz w:val="20"/>
                <w:szCs w:val="20"/>
                <w:color w:val="auto"/>
              </w:rPr>
            </w:pPr>
            <w:r>
              <w:rPr>
                <w:rFonts w:ascii="Arial" w:cs="Arial" w:eastAsia="Arial" w:hAnsi="Arial"/>
                <w:sz w:val="18"/>
                <w:szCs w:val="18"/>
                <w:b w:val="1"/>
                <w:bCs w:val="1"/>
                <w:color w:val="auto"/>
              </w:rPr>
              <w:t>4.1</w:t>
            </w:r>
          </w:p>
        </w:tc>
        <w:tc>
          <w:tcPr>
            <w:tcW w:w="300" w:type="dxa"/>
            <w:vAlign w:val="bottom"/>
          </w:tcPr>
          <w:p>
            <w:pPr>
              <w:spacing w:after="0"/>
              <w:rPr>
                <w:sz w:val="23"/>
                <w:szCs w:val="23"/>
                <w:color w:val="auto"/>
              </w:rPr>
            </w:pPr>
          </w:p>
        </w:tc>
        <w:tc>
          <w:tcPr>
            <w:tcW w:w="1160" w:type="dxa"/>
            <w:vAlign w:val="bottom"/>
          </w:tcPr>
          <w:p>
            <w:pPr>
              <w:ind w:left="880"/>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23"/>
                <w:szCs w:val="23"/>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b w:val="1"/>
                <w:bCs w:val="1"/>
                <w:color w:val="auto"/>
              </w:rPr>
              <w:t>4.1</w:t>
            </w:r>
          </w:p>
        </w:tc>
        <w:tc>
          <w:tcPr>
            <w:tcW w:w="0" w:type="dxa"/>
            <w:vAlign w:val="bottom"/>
          </w:tcPr>
          <w:p>
            <w:pPr>
              <w:spacing w:after="0"/>
              <w:rPr>
                <w:sz w:val="1"/>
                <w:szCs w:val="1"/>
                <w:color w:val="auto"/>
              </w:rPr>
            </w:pPr>
          </w:p>
        </w:tc>
      </w:tr>
      <w:tr>
        <w:trPr>
          <w:trHeight w:val="271"/>
        </w:trPr>
        <w:tc>
          <w:tcPr>
            <w:tcW w:w="3300" w:type="dxa"/>
            <w:vAlign w:val="bottom"/>
            <w:shd w:val="clear" w:color="auto" w:fill="D8D8D8"/>
          </w:tcPr>
          <w:p>
            <w:pPr>
              <w:ind w:left="180"/>
              <w:spacing w:after="0"/>
              <w:rPr>
                <w:sz w:val="20"/>
                <w:szCs w:val="20"/>
                <w:color w:val="auto"/>
              </w:rPr>
            </w:pPr>
            <w:r>
              <w:rPr>
                <w:rFonts w:ascii="Arial" w:cs="Arial" w:eastAsia="Arial" w:hAnsi="Arial"/>
                <w:sz w:val="18"/>
                <w:szCs w:val="18"/>
                <w:color w:val="auto"/>
              </w:rPr>
              <w:t>Marketable equity securities</w:t>
            </w:r>
          </w:p>
        </w:tc>
        <w:tc>
          <w:tcPr>
            <w:tcW w:w="220" w:type="dxa"/>
            <w:vAlign w:val="bottom"/>
            <w:shd w:val="clear" w:color="auto" w:fill="D8D8D8"/>
          </w:tcPr>
          <w:p>
            <w:pPr>
              <w:spacing w:after="0"/>
              <w:rPr>
                <w:sz w:val="23"/>
                <w:szCs w:val="23"/>
                <w:color w:val="auto"/>
              </w:rPr>
            </w:pPr>
          </w:p>
        </w:tc>
        <w:tc>
          <w:tcPr>
            <w:tcW w:w="940" w:type="dxa"/>
            <w:vAlign w:val="bottom"/>
            <w:shd w:val="clear" w:color="auto" w:fill="D8D8D8"/>
          </w:tcPr>
          <w:p>
            <w:pPr>
              <w:jc w:val="right"/>
              <w:ind w:right="32"/>
              <w:spacing w:after="0"/>
              <w:rPr>
                <w:sz w:val="20"/>
                <w:szCs w:val="20"/>
                <w:color w:val="auto"/>
              </w:rPr>
            </w:pPr>
            <w:r>
              <w:rPr>
                <w:rFonts w:ascii="Arial" w:cs="Arial" w:eastAsia="Arial" w:hAnsi="Arial"/>
                <w:sz w:val="18"/>
                <w:szCs w:val="18"/>
                <w:b w:val="1"/>
                <w:bCs w:val="1"/>
                <w:color w:val="auto"/>
              </w:rPr>
              <w:t>128.9</w:t>
            </w:r>
          </w:p>
        </w:tc>
        <w:tc>
          <w:tcPr>
            <w:tcW w:w="340" w:type="dxa"/>
            <w:vAlign w:val="bottom"/>
            <w:shd w:val="clear" w:color="auto" w:fill="D8D8D8"/>
          </w:tcPr>
          <w:p>
            <w:pPr>
              <w:spacing w:after="0"/>
              <w:rPr>
                <w:sz w:val="23"/>
                <w:szCs w:val="23"/>
                <w:color w:val="auto"/>
              </w:rPr>
            </w:pPr>
          </w:p>
        </w:tc>
        <w:tc>
          <w:tcPr>
            <w:tcW w:w="900" w:type="dxa"/>
            <w:vAlign w:val="bottom"/>
            <w:shd w:val="clear" w:color="auto" w:fill="D8D8D8"/>
          </w:tcPr>
          <w:p>
            <w:pPr>
              <w:jc w:val="right"/>
              <w:ind w:right="11"/>
              <w:spacing w:after="0"/>
              <w:rPr>
                <w:sz w:val="20"/>
                <w:szCs w:val="20"/>
                <w:color w:val="auto"/>
              </w:rPr>
            </w:pPr>
            <w:r>
              <w:rPr>
                <w:rFonts w:ascii="Arial" w:cs="Arial" w:eastAsia="Arial" w:hAnsi="Arial"/>
                <w:sz w:val="18"/>
                <w:szCs w:val="18"/>
                <w:b w:val="1"/>
                <w:bCs w:val="1"/>
                <w:color w:val="auto"/>
              </w:rPr>
              <w:t>74.8</w:t>
            </w:r>
          </w:p>
        </w:tc>
        <w:tc>
          <w:tcPr>
            <w:tcW w:w="120" w:type="dxa"/>
            <w:vAlign w:val="bottom"/>
            <w:shd w:val="clear" w:color="auto" w:fill="D8D8D8"/>
          </w:tcPr>
          <w:p>
            <w:pPr>
              <w:spacing w:after="0"/>
              <w:rPr>
                <w:sz w:val="23"/>
                <w:szCs w:val="23"/>
                <w:color w:val="auto"/>
              </w:rPr>
            </w:pPr>
          </w:p>
        </w:tc>
        <w:tc>
          <w:tcPr>
            <w:tcW w:w="140" w:type="dxa"/>
            <w:vAlign w:val="bottom"/>
            <w:shd w:val="clear" w:color="auto" w:fill="D8D8D8"/>
          </w:tcPr>
          <w:p>
            <w:pPr>
              <w:spacing w:after="0"/>
              <w:rPr>
                <w:sz w:val="23"/>
                <w:szCs w:val="23"/>
                <w:color w:val="auto"/>
              </w:rPr>
            </w:pPr>
          </w:p>
        </w:tc>
        <w:tc>
          <w:tcPr>
            <w:tcW w:w="1240" w:type="dxa"/>
            <w:vAlign w:val="bottom"/>
            <w:shd w:val="clear" w:color="auto" w:fill="D8D8D8"/>
          </w:tcPr>
          <w:p>
            <w:pPr>
              <w:jc w:val="right"/>
              <w:ind w:right="35"/>
              <w:spacing w:after="0"/>
              <w:rPr>
                <w:sz w:val="20"/>
                <w:szCs w:val="20"/>
                <w:color w:val="auto"/>
              </w:rPr>
            </w:pPr>
            <w:r>
              <w:rPr>
                <w:rFonts w:ascii="Arial" w:cs="Arial" w:eastAsia="Arial" w:hAnsi="Arial"/>
                <w:sz w:val="18"/>
                <w:szCs w:val="18"/>
                <w:b w:val="1"/>
                <w:bCs w:val="1"/>
                <w:color w:val="auto"/>
              </w:rPr>
              <w:t>128.9</w:t>
            </w:r>
          </w:p>
        </w:tc>
        <w:tc>
          <w:tcPr>
            <w:tcW w:w="340" w:type="dxa"/>
            <w:vAlign w:val="bottom"/>
            <w:shd w:val="clear" w:color="auto" w:fill="D8D8D8"/>
          </w:tcPr>
          <w:p>
            <w:pPr>
              <w:spacing w:after="0"/>
              <w:rPr>
                <w:sz w:val="23"/>
                <w:szCs w:val="23"/>
                <w:color w:val="auto"/>
              </w:rPr>
            </w:pPr>
          </w:p>
        </w:tc>
        <w:tc>
          <w:tcPr>
            <w:tcW w:w="1160" w:type="dxa"/>
            <w:vAlign w:val="bottom"/>
            <w:shd w:val="clear" w:color="auto" w:fill="D8D8D8"/>
          </w:tcPr>
          <w:p>
            <w:pPr>
              <w:jc w:val="right"/>
              <w:ind w:right="35"/>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D8D8D8"/>
          </w:tcPr>
          <w:p>
            <w:pPr>
              <w:spacing w:after="0"/>
              <w:rPr>
                <w:sz w:val="23"/>
                <w:szCs w:val="23"/>
                <w:color w:val="auto"/>
              </w:rPr>
            </w:pPr>
          </w:p>
        </w:tc>
        <w:tc>
          <w:tcPr>
            <w:tcW w:w="1160" w:type="dxa"/>
            <w:vAlign w:val="bottom"/>
            <w:shd w:val="clear" w:color="auto" w:fill="D8D8D8"/>
          </w:tcPr>
          <w:p>
            <w:pPr>
              <w:ind w:left="880"/>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D8D8D8"/>
          </w:tcPr>
          <w:p>
            <w:pPr>
              <w:spacing w:after="0"/>
              <w:rPr>
                <w:sz w:val="23"/>
                <w:szCs w:val="23"/>
                <w:color w:val="auto"/>
              </w:rPr>
            </w:pPr>
          </w:p>
        </w:tc>
        <w:tc>
          <w:tcPr>
            <w:tcW w:w="880" w:type="dxa"/>
            <w:vAlign w:val="bottom"/>
            <w:shd w:val="clear" w:color="auto" w:fill="D8D8D8"/>
          </w:tcPr>
          <w:p>
            <w:pPr>
              <w:jc w:val="right"/>
              <w:ind w:right="12"/>
              <w:spacing w:after="0"/>
              <w:rPr>
                <w:sz w:val="20"/>
                <w:szCs w:val="20"/>
                <w:color w:val="auto"/>
              </w:rPr>
            </w:pPr>
            <w:r>
              <w:rPr>
                <w:rFonts w:ascii="Arial" w:cs="Arial" w:eastAsia="Arial" w:hAnsi="Arial"/>
                <w:sz w:val="18"/>
                <w:szCs w:val="18"/>
                <w:b w:val="1"/>
                <w:bCs w:val="1"/>
                <w:color w:val="auto"/>
              </w:rPr>
              <w:t>128.9</w:t>
            </w:r>
          </w:p>
        </w:tc>
        <w:tc>
          <w:tcPr>
            <w:tcW w:w="0" w:type="dxa"/>
            <w:vAlign w:val="bottom"/>
          </w:tcPr>
          <w:p>
            <w:pPr>
              <w:spacing w:after="0"/>
              <w:rPr>
                <w:sz w:val="1"/>
                <w:szCs w:val="1"/>
                <w:color w:val="auto"/>
              </w:rPr>
            </w:pPr>
          </w:p>
        </w:tc>
      </w:tr>
      <w:tr>
        <w:trPr>
          <w:trHeight w:val="270"/>
        </w:trPr>
        <w:tc>
          <w:tcPr>
            <w:tcW w:w="3300" w:type="dxa"/>
            <w:vAlign w:val="bottom"/>
            <w:tcBorders>
              <w:bottom w:val="single" w:sz="8" w:color="D8D8D8"/>
            </w:tcBorders>
          </w:tcPr>
          <w:p>
            <w:pPr>
              <w:ind w:left="180"/>
              <w:spacing w:after="0"/>
              <w:rPr>
                <w:sz w:val="20"/>
                <w:szCs w:val="20"/>
                <w:color w:val="auto"/>
              </w:rPr>
            </w:pPr>
            <w:r>
              <w:rPr>
                <w:rFonts w:ascii="Arial" w:cs="Arial" w:eastAsia="Arial" w:hAnsi="Arial"/>
                <w:sz w:val="18"/>
                <w:szCs w:val="18"/>
                <w:color w:val="auto"/>
              </w:rPr>
              <w:t>Other investments</w:t>
            </w:r>
            <w:r>
              <w:rPr>
                <w:rFonts w:ascii="Arial" w:cs="Arial" w:eastAsia="Arial" w:hAnsi="Arial"/>
                <w:sz w:val="21"/>
                <w:szCs w:val="21"/>
                <w:color w:val="auto"/>
                <w:vertAlign w:val="superscript"/>
              </w:rPr>
              <w:t>(2)</w:t>
            </w:r>
          </w:p>
        </w:tc>
        <w:tc>
          <w:tcPr>
            <w:tcW w:w="22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671.3</w:t>
            </w:r>
          </w:p>
        </w:tc>
        <w:tc>
          <w:tcPr>
            <w:tcW w:w="3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671.3</w:t>
            </w:r>
          </w:p>
        </w:tc>
        <w:tc>
          <w:tcPr>
            <w:tcW w:w="120" w:type="dxa"/>
            <w:vAlign w:val="bottom"/>
            <w:tcBorders>
              <w:bottom w:val="single" w:sz="8" w:color="D8D8D8"/>
            </w:tcBorders>
          </w:tcPr>
          <w:p>
            <w:pPr>
              <w:spacing w:after="0"/>
              <w:rPr>
                <w:sz w:val="23"/>
                <w:szCs w:val="23"/>
                <w:color w:val="auto"/>
              </w:rPr>
            </w:pPr>
          </w:p>
        </w:tc>
        <w:tc>
          <w:tcPr>
            <w:tcW w:w="140" w:type="dxa"/>
            <w:vAlign w:val="bottom"/>
            <w:tcBorders>
              <w:bottom w:val="single" w:sz="8" w:color="D8D8D8"/>
            </w:tcBorders>
          </w:tcPr>
          <w:p>
            <w:pPr>
              <w:spacing w:after="0"/>
              <w:rPr>
                <w:sz w:val="23"/>
                <w:szCs w:val="23"/>
                <w:color w:val="auto"/>
              </w:rPr>
            </w:pPr>
          </w:p>
        </w:tc>
        <w:tc>
          <w:tcPr>
            <w:tcW w:w="1240" w:type="dxa"/>
            <w:vAlign w:val="bottom"/>
            <w:tcBorders>
              <w:bottom w:val="single" w:sz="8" w:color="D8D8D8"/>
            </w:tcBorders>
          </w:tcPr>
          <w:p>
            <w:pPr>
              <w:spacing w:after="0"/>
              <w:rPr>
                <w:sz w:val="23"/>
                <w:szCs w:val="23"/>
                <w:color w:val="auto"/>
              </w:rPr>
            </w:pPr>
          </w:p>
        </w:tc>
        <w:tc>
          <w:tcPr>
            <w:tcW w:w="340" w:type="dxa"/>
            <w:vAlign w:val="bottom"/>
            <w:tcBorders>
              <w:bottom w:val="single" w:sz="8" w:color="D8D8D8"/>
            </w:tcBorders>
          </w:tcPr>
          <w:p>
            <w:pPr>
              <w:spacing w:after="0"/>
              <w:rPr>
                <w:sz w:val="23"/>
                <w:szCs w:val="23"/>
                <w:color w:val="auto"/>
              </w:rPr>
            </w:pPr>
          </w:p>
        </w:tc>
        <w:tc>
          <w:tcPr>
            <w:tcW w:w="1160" w:type="dxa"/>
            <w:vAlign w:val="bottom"/>
            <w:tcBorders>
              <w:bottom w:val="single" w:sz="8" w:color="D8D8D8"/>
            </w:tcBorders>
          </w:tcPr>
          <w:p>
            <w:pPr>
              <w:spacing w:after="0"/>
              <w:rPr>
                <w:sz w:val="23"/>
                <w:szCs w:val="23"/>
                <w:color w:val="auto"/>
              </w:rPr>
            </w:pPr>
          </w:p>
        </w:tc>
        <w:tc>
          <w:tcPr>
            <w:tcW w:w="300" w:type="dxa"/>
            <w:vAlign w:val="bottom"/>
            <w:tcBorders>
              <w:bottom w:val="single" w:sz="8" w:color="D8D8D8"/>
            </w:tcBorders>
          </w:tcPr>
          <w:p>
            <w:pPr>
              <w:spacing w:after="0"/>
              <w:rPr>
                <w:sz w:val="23"/>
                <w:szCs w:val="23"/>
                <w:color w:val="auto"/>
              </w:rPr>
            </w:pPr>
          </w:p>
        </w:tc>
        <w:tc>
          <w:tcPr>
            <w:tcW w:w="1160" w:type="dxa"/>
            <w:vAlign w:val="bottom"/>
            <w:tcBorders>
              <w:bottom w:val="single" w:sz="8" w:color="D8D8D8"/>
            </w:tcBorders>
          </w:tcPr>
          <w:p>
            <w:pPr>
              <w:spacing w:after="0"/>
              <w:rPr>
                <w:sz w:val="23"/>
                <w:szCs w:val="23"/>
                <w:color w:val="auto"/>
              </w:rPr>
            </w:pPr>
          </w:p>
        </w:tc>
        <w:tc>
          <w:tcPr>
            <w:tcW w:w="380" w:type="dxa"/>
            <w:vAlign w:val="bottom"/>
            <w:tcBorders>
              <w:bottom w:val="single" w:sz="8" w:color="D8D8D8"/>
            </w:tcBorders>
          </w:tcPr>
          <w:p>
            <w:pPr>
              <w:spacing w:after="0"/>
              <w:rPr>
                <w:sz w:val="23"/>
                <w:szCs w:val="23"/>
                <w:color w:val="auto"/>
              </w:rPr>
            </w:pPr>
          </w:p>
        </w:tc>
        <w:tc>
          <w:tcPr>
            <w:tcW w:w="880" w:type="dxa"/>
            <w:vAlign w:val="bottom"/>
            <w:tcBorders>
              <w:bottom w:val="single" w:sz="8" w:color="D8D8D8"/>
            </w:tcBorders>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3300" w:type="dxa"/>
            <w:vAlign w:val="bottom"/>
            <w:tcBorders>
              <w:bottom w:val="single" w:sz="8" w:color="D8D8D8"/>
            </w:tcBorders>
            <w:shd w:val="clear" w:color="auto" w:fill="D8D8D8"/>
          </w:tcPr>
          <w:p>
            <w:pPr>
              <w:ind w:left="180"/>
              <w:spacing w:after="0"/>
              <w:rPr>
                <w:sz w:val="20"/>
                <w:szCs w:val="20"/>
                <w:color w:val="auto"/>
              </w:rPr>
            </w:pPr>
            <w:r>
              <w:rPr>
                <w:rFonts w:ascii="Arial" w:cs="Arial" w:eastAsia="Arial" w:hAnsi="Arial"/>
                <w:sz w:val="18"/>
                <w:szCs w:val="18"/>
                <w:color w:val="auto"/>
              </w:rPr>
              <w:t>Noncurrent investments</w:t>
            </w:r>
          </w:p>
        </w:tc>
        <w:tc>
          <w:tcPr>
            <w:tcW w:w="22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auto"/>
            </w:tcBorders>
            <w:shd w:val="clear" w:color="auto" w:fill="D8D8D8"/>
          </w:tcPr>
          <w:p>
            <w:pPr>
              <w:jc w:val="right"/>
              <w:ind w:right="32"/>
              <w:spacing w:after="0"/>
              <w:rPr>
                <w:sz w:val="20"/>
                <w:szCs w:val="20"/>
                <w:color w:val="auto"/>
              </w:rPr>
            </w:pPr>
            <w:r>
              <w:rPr>
                <w:rFonts w:ascii="Arial" w:cs="Arial" w:eastAsia="Arial" w:hAnsi="Arial"/>
                <w:sz w:val="18"/>
                <w:szCs w:val="18"/>
                <w:b w:val="1"/>
                <w:bCs w:val="1"/>
                <w:color w:val="auto"/>
              </w:rPr>
              <w:t>3,646.6</w:t>
            </w:r>
          </w:p>
        </w:tc>
        <w:tc>
          <w:tcPr>
            <w:tcW w:w="340" w:type="dxa"/>
            <w:vAlign w:val="bottom"/>
            <w:tcBorders>
              <w:bottom w:val="single" w:sz="8" w:color="auto"/>
            </w:tcBorders>
            <w:shd w:val="clear" w:color="auto" w:fill="D8D8D8"/>
          </w:tcPr>
          <w:p>
            <w:pPr>
              <w:jc w:val="right"/>
              <w:ind w:right="30"/>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shd w:val="clear" w:color="auto" w:fill="D8D8D8"/>
          </w:tcPr>
          <w:p>
            <w:pPr>
              <w:jc w:val="right"/>
              <w:ind w:right="11"/>
              <w:spacing w:after="0"/>
              <w:rPr>
                <w:sz w:val="20"/>
                <w:szCs w:val="20"/>
                <w:color w:val="auto"/>
              </w:rPr>
            </w:pPr>
            <w:r>
              <w:rPr>
                <w:rFonts w:ascii="Arial" w:cs="Arial" w:eastAsia="Arial" w:hAnsi="Arial"/>
                <w:sz w:val="18"/>
                <w:szCs w:val="18"/>
                <w:b w:val="1"/>
                <w:bCs w:val="1"/>
                <w:color w:val="auto"/>
              </w:rPr>
              <w:t>3,629.8</w:t>
            </w:r>
          </w:p>
        </w:tc>
        <w:tc>
          <w:tcPr>
            <w:tcW w:w="120" w:type="dxa"/>
            <w:vAlign w:val="bottom"/>
            <w:tcBorders>
              <w:bottom w:val="single" w:sz="8" w:color="D8D8D8"/>
            </w:tcBorders>
            <w:shd w:val="clear" w:color="auto" w:fill="D8D8D8"/>
          </w:tcPr>
          <w:p>
            <w:pPr>
              <w:spacing w:after="0"/>
              <w:rPr>
                <w:sz w:val="24"/>
                <w:szCs w:val="24"/>
                <w:color w:val="auto"/>
              </w:rPr>
            </w:pPr>
          </w:p>
        </w:tc>
        <w:tc>
          <w:tcPr>
            <w:tcW w:w="140" w:type="dxa"/>
            <w:vAlign w:val="bottom"/>
            <w:tcBorders>
              <w:bottom w:val="single" w:sz="8" w:color="D8D8D8"/>
            </w:tcBorders>
            <w:shd w:val="clear" w:color="auto" w:fill="D8D8D8"/>
          </w:tcPr>
          <w:p>
            <w:pPr>
              <w:spacing w:after="0"/>
              <w:rPr>
                <w:sz w:val="24"/>
                <w:szCs w:val="24"/>
                <w:color w:val="auto"/>
              </w:rPr>
            </w:pPr>
          </w:p>
        </w:tc>
        <w:tc>
          <w:tcPr>
            <w:tcW w:w="1240" w:type="dxa"/>
            <w:vAlign w:val="bottom"/>
            <w:tcBorders>
              <w:bottom w:val="single" w:sz="8" w:color="D8D8D8"/>
            </w:tcBorders>
            <w:shd w:val="clear" w:color="auto" w:fill="D8D8D8"/>
          </w:tcPr>
          <w:p>
            <w:pPr>
              <w:spacing w:after="0"/>
              <w:rPr>
                <w:sz w:val="24"/>
                <w:szCs w:val="24"/>
                <w:color w:val="auto"/>
              </w:rPr>
            </w:pPr>
          </w:p>
        </w:tc>
        <w:tc>
          <w:tcPr>
            <w:tcW w:w="340" w:type="dxa"/>
            <w:vAlign w:val="bottom"/>
            <w:tcBorders>
              <w:bottom w:val="single" w:sz="8" w:color="D8D8D8"/>
            </w:tcBorders>
            <w:shd w:val="clear" w:color="auto" w:fill="D8D8D8"/>
          </w:tcPr>
          <w:p>
            <w:pPr>
              <w:spacing w:after="0"/>
              <w:rPr>
                <w:sz w:val="24"/>
                <w:szCs w:val="24"/>
                <w:color w:val="auto"/>
              </w:rPr>
            </w:pPr>
          </w:p>
        </w:tc>
        <w:tc>
          <w:tcPr>
            <w:tcW w:w="1160" w:type="dxa"/>
            <w:vAlign w:val="bottom"/>
            <w:tcBorders>
              <w:bottom w:val="single" w:sz="8" w:color="D8D8D8"/>
            </w:tcBorders>
            <w:shd w:val="clear" w:color="auto" w:fill="D8D8D8"/>
          </w:tcPr>
          <w:p>
            <w:pPr>
              <w:spacing w:after="0"/>
              <w:rPr>
                <w:sz w:val="24"/>
                <w:szCs w:val="24"/>
                <w:color w:val="auto"/>
              </w:rPr>
            </w:pPr>
          </w:p>
        </w:tc>
        <w:tc>
          <w:tcPr>
            <w:tcW w:w="300" w:type="dxa"/>
            <w:vAlign w:val="bottom"/>
            <w:tcBorders>
              <w:bottom w:val="single" w:sz="8" w:color="D8D8D8"/>
            </w:tcBorders>
            <w:shd w:val="clear" w:color="auto" w:fill="D8D8D8"/>
          </w:tcPr>
          <w:p>
            <w:pPr>
              <w:spacing w:after="0"/>
              <w:rPr>
                <w:sz w:val="24"/>
                <w:szCs w:val="24"/>
                <w:color w:val="auto"/>
              </w:rPr>
            </w:pPr>
          </w:p>
        </w:tc>
        <w:tc>
          <w:tcPr>
            <w:tcW w:w="1160" w:type="dxa"/>
            <w:vAlign w:val="bottom"/>
            <w:tcBorders>
              <w:bottom w:val="single" w:sz="8" w:color="D8D8D8"/>
            </w:tcBorders>
            <w:shd w:val="clear" w:color="auto" w:fill="D8D8D8"/>
          </w:tcPr>
          <w:p>
            <w:pPr>
              <w:spacing w:after="0"/>
              <w:rPr>
                <w:sz w:val="24"/>
                <w:szCs w:val="24"/>
                <w:color w:val="auto"/>
              </w:rPr>
            </w:pPr>
          </w:p>
        </w:tc>
        <w:tc>
          <w:tcPr>
            <w:tcW w:w="380" w:type="dxa"/>
            <w:vAlign w:val="bottom"/>
            <w:tcBorders>
              <w:bottom w:val="single" w:sz="8" w:color="D8D8D8"/>
            </w:tcBorders>
            <w:shd w:val="clear" w:color="auto" w:fill="D8D8D8"/>
          </w:tcPr>
          <w:p>
            <w:pPr>
              <w:spacing w:after="0"/>
              <w:rPr>
                <w:sz w:val="24"/>
                <w:szCs w:val="24"/>
                <w:color w:val="auto"/>
              </w:rPr>
            </w:pPr>
          </w:p>
        </w:tc>
        <w:tc>
          <w:tcPr>
            <w:tcW w:w="880" w:type="dxa"/>
            <w:vAlign w:val="bottom"/>
            <w:tcBorders>
              <w:bottom w:val="single" w:sz="8" w:color="D8D8D8"/>
            </w:tcBorders>
            <w:shd w:val="clear" w:color="auto" w:fill="D8D8D8"/>
          </w:tcPr>
          <w:p>
            <w:pPr>
              <w:spacing w:after="0"/>
              <w:rPr>
                <w:sz w:val="24"/>
                <w:szCs w:val="24"/>
                <w:color w:val="auto"/>
              </w:rPr>
            </w:pPr>
          </w:p>
        </w:tc>
        <w:tc>
          <w:tcPr>
            <w:tcW w:w="0" w:type="dxa"/>
            <w:vAlign w:val="bottom"/>
          </w:tcPr>
          <w:p>
            <w:pPr>
              <w:spacing w:after="0"/>
              <w:rPr>
                <w:sz w:val="1"/>
                <w:szCs w:val="1"/>
                <w:color w:val="auto"/>
              </w:rPr>
            </w:pPr>
          </w:p>
        </w:tc>
      </w:tr>
      <w:tr>
        <w:trPr>
          <w:trHeight w:val="527"/>
        </w:trPr>
        <w:tc>
          <w:tcPr>
            <w:tcW w:w="3300" w:type="dxa"/>
            <w:vAlign w:val="bottom"/>
          </w:tcPr>
          <w:p>
            <w:pPr>
              <w:ind w:left="40"/>
              <w:spacing w:after="0"/>
              <w:rPr>
                <w:sz w:val="20"/>
                <w:szCs w:val="20"/>
                <w:color w:val="auto"/>
              </w:rPr>
            </w:pPr>
            <w:r>
              <w:rPr>
                <w:rFonts w:ascii="Arial" w:cs="Arial" w:eastAsia="Arial" w:hAnsi="Arial"/>
                <w:sz w:val="18"/>
                <w:szCs w:val="18"/>
                <w:b w:val="1"/>
                <w:bCs w:val="1"/>
                <w:color w:val="auto"/>
              </w:rPr>
              <w:t>December 31, 2014</w:t>
            </w: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3300" w:type="dxa"/>
            <w:vAlign w:val="bottom"/>
            <w:tcBorders>
              <w:bottom w:val="single" w:sz="8" w:color="D8D8D8"/>
            </w:tcBorders>
            <w:shd w:val="clear" w:color="auto" w:fill="D8D8D8"/>
          </w:tcPr>
          <w:p>
            <w:pPr>
              <w:ind w:left="40"/>
              <w:spacing w:after="0"/>
              <w:rPr>
                <w:sz w:val="20"/>
                <w:szCs w:val="20"/>
                <w:color w:val="auto"/>
              </w:rPr>
            </w:pPr>
            <w:r>
              <w:rPr>
                <w:rFonts w:ascii="Arial" w:cs="Arial" w:eastAsia="Arial" w:hAnsi="Arial"/>
                <w:sz w:val="18"/>
                <w:szCs w:val="18"/>
                <w:color w:val="auto"/>
              </w:rPr>
              <w:t>Cash equivalents</w:t>
            </w:r>
          </w:p>
        </w:tc>
        <w:tc>
          <w:tcPr>
            <w:tcW w:w="22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D8D8D8"/>
          </w:tcPr>
          <w:p>
            <w:pPr>
              <w:jc w:val="right"/>
              <w:ind w:right="32"/>
              <w:spacing w:after="0"/>
              <w:rPr>
                <w:sz w:val="20"/>
                <w:szCs w:val="20"/>
                <w:color w:val="auto"/>
              </w:rPr>
            </w:pPr>
            <w:r>
              <w:rPr>
                <w:rFonts w:ascii="Arial" w:cs="Arial" w:eastAsia="Arial" w:hAnsi="Arial"/>
                <w:sz w:val="18"/>
                <w:szCs w:val="18"/>
                <w:color w:val="auto"/>
              </w:rPr>
              <w:t>2,443.5</w:t>
            </w:r>
          </w:p>
        </w:tc>
        <w:tc>
          <w:tcPr>
            <w:tcW w:w="340" w:type="dxa"/>
            <w:vAlign w:val="bottom"/>
            <w:tcBorders>
              <w:bottom w:val="single" w:sz="8" w:color="auto"/>
            </w:tcBorders>
            <w:shd w:val="clear" w:color="auto" w:fill="D8D8D8"/>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D8D8D8"/>
          </w:tcPr>
          <w:p>
            <w:pPr>
              <w:jc w:val="right"/>
              <w:ind w:right="11"/>
              <w:spacing w:after="0"/>
              <w:rPr>
                <w:sz w:val="20"/>
                <w:szCs w:val="20"/>
                <w:color w:val="auto"/>
              </w:rPr>
            </w:pPr>
            <w:r>
              <w:rPr>
                <w:rFonts w:ascii="Arial" w:cs="Arial" w:eastAsia="Arial" w:hAnsi="Arial"/>
                <w:sz w:val="18"/>
                <w:szCs w:val="18"/>
                <w:color w:val="auto"/>
              </w:rPr>
              <w:t>2,443.5</w:t>
            </w:r>
          </w:p>
        </w:tc>
        <w:tc>
          <w:tcPr>
            <w:tcW w:w="260" w:type="dxa"/>
            <w:vAlign w:val="bottom"/>
            <w:tcBorders>
              <w:bottom w:val="single" w:sz="8" w:color="D8D8D8"/>
            </w:tcBorders>
            <w:gridSpan w:val="2"/>
            <w:shd w:val="clear" w:color="auto" w:fill="D8D8D8"/>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D8D8D8"/>
            </w:tcBorders>
            <w:shd w:val="clear" w:color="auto" w:fill="D8D8D8"/>
          </w:tcPr>
          <w:p>
            <w:pPr>
              <w:jc w:val="right"/>
              <w:ind w:right="35"/>
              <w:spacing w:after="0"/>
              <w:rPr>
                <w:sz w:val="20"/>
                <w:szCs w:val="20"/>
                <w:color w:val="auto"/>
              </w:rPr>
            </w:pPr>
            <w:r>
              <w:rPr>
                <w:rFonts w:ascii="Arial" w:cs="Arial" w:eastAsia="Arial" w:hAnsi="Arial"/>
                <w:sz w:val="18"/>
                <w:szCs w:val="18"/>
                <w:color w:val="auto"/>
              </w:rPr>
              <w:t>2,415.5</w:t>
            </w:r>
          </w:p>
        </w:tc>
        <w:tc>
          <w:tcPr>
            <w:tcW w:w="340" w:type="dxa"/>
            <w:vAlign w:val="bottom"/>
            <w:tcBorders>
              <w:bottom w:val="single" w:sz="8" w:color="D8D8D8"/>
            </w:tcBorders>
            <w:shd w:val="clear" w:color="auto" w:fill="D8D8D8"/>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D8D8D8"/>
            </w:tcBorders>
            <w:shd w:val="clear" w:color="auto" w:fill="D8D8D8"/>
          </w:tcPr>
          <w:p>
            <w:pPr>
              <w:jc w:val="right"/>
              <w:ind w:right="35"/>
              <w:spacing w:after="0"/>
              <w:rPr>
                <w:sz w:val="20"/>
                <w:szCs w:val="20"/>
                <w:color w:val="auto"/>
              </w:rPr>
            </w:pPr>
            <w:r>
              <w:rPr>
                <w:rFonts w:ascii="Arial" w:cs="Arial" w:eastAsia="Arial" w:hAnsi="Arial"/>
                <w:sz w:val="18"/>
                <w:szCs w:val="18"/>
                <w:color w:val="auto"/>
              </w:rPr>
              <w:t>28.0</w:t>
            </w:r>
          </w:p>
        </w:tc>
        <w:tc>
          <w:tcPr>
            <w:tcW w:w="300" w:type="dxa"/>
            <w:vAlign w:val="bottom"/>
            <w:tcBorders>
              <w:bottom w:val="single" w:sz="8" w:color="D8D8D8"/>
            </w:tcBorders>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D8D8D8"/>
            </w:tcBorders>
            <w:shd w:val="clear" w:color="auto" w:fill="D8D8D8"/>
          </w:tcPr>
          <w:p>
            <w:pPr>
              <w:ind w:left="88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D8D8D8"/>
            </w:tcBorders>
            <w:shd w:val="clear" w:color="auto" w:fill="D8D8D8"/>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D8D8D8"/>
            </w:tcBorders>
            <w:shd w:val="clear" w:color="auto" w:fill="D8D8D8"/>
          </w:tcPr>
          <w:p>
            <w:pPr>
              <w:jc w:val="right"/>
              <w:ind w:right="12"/>
              <w:spacing w:after="0"/>
              <w:rPr>
                <w:sz w:val="20"/>
                <w:szCs w:val="20"/>
                <w:color w:val="auto"/>
              </w:rPr>
            </w:pPr>
            <w:r>
              <w:rPr>
                <w:rFonts w:ascii="Arial" w:cs="Arial" w:eastAsia="Arial" w:hAnsi="Arial"/>
                <w:sz w:val="18"/>
                <w:szCs w:val="18"/>
                <w:color w:val="auto"/>
              </w:rPr>
              <w:t>2,443.5</w:t>
            </w:r>
          </w:p>
        </w:tc>
        <w:tc>
          <w:tcPr>
            <w:tcW w:w="0" w:type="dxa"/>
            <w:vAlign w:val="bottom"/>
          </w:tcPr>
          <w:p>
            <w:pPr>
              <w:spacing w:after="0"/>
              <w:rPr>
                <w:sz w:val="1"/>
                <w:szCs w:val="1"/>
                <w:color w:val="auto"/>
              </w:rPr>
            </w:pPr>
          </w:p>
        </w:tc>
      </w:tr>
      <w:tr>
        <w:trPr>
          <w:trHeight w:val="252"/>
        </w:trPr>
        <w:tc>
          <w:tcPr>
            <w:tcW w:w="3300" w:type="dxa"/>
            <w:vAlign w:val="bottom"/>
          </w:tcPr>
          <w:p>
            <w:pPr>
              <w:ind w:left="40"/>
              <w:spacing w:after="0"/>
              <w:rPr>
                <w:sz w:val="20"/>
                <w:szCs w:val="20"/>
                <w:color w:val="auto"/>
              </w:rPr>
            </w:pPr>
            <w:r>
              <w:rPr>
                <w:rFonts w:ascii="Arial" w:cs="Arial" w:eastAsia="Arial" w:hAnsi="Arial"/>
                <w:sz w:val="18"/>
                <w:szCs w:val="18"/>
                <w:color w:val="auto"/>
              </w:rPr>
              <w:t>Short-term investments:</w:t>
            </w: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3300" w:type="dxa"/>
            <w:vAlign w:val="bottom"/>
            <w:shd w:val="clear" w:color="auto" w:fill="D8D8D8"/>
          </w:tcPr>
          <w:p>
            <w:pPr>
              <w:ind w:left="180"/>
              <w:spacing w:after="0"/>
              <w:rPr>
                <w:sz w:val="20"/>
                <w:szCs w:val="20"/>
                <w:color w:val="auto"/>
              </w:rPr>
            </w:pPr>
            <w:r>
              <w:rPr>
                <w:rFonts w:ascii="Arial" w:cs="Arial" w:eastAsia="Arial" w:hAnsi="Arial"/>
                <w:sz w:val="18"/>
                <w:szCs w:val="18"/>
                <w:color w:val="auto"/>
              </w:rPr>
              <w:t>U.S. government and agency</w:t>
            </w:r>
          </w:p>
        </w:tc>
        <w:tc>
          <w:tcPr>
            <w:tcW w:w="220" w:type="dxa"/>
            <w:vAlign w:val="bottom"/>
            <w:shd w:val="clear" w:color="auto" w:fill="D8D8D8"/>
          </w:tcPr>
          <w:p>
            <w:pPr>
              <w:spacing w:after="0"/>
              <w:rPr>
                <w:sz w:val="18"/>
                <w:szCs w:val="18"/>
                <w:color w:val="auto"/>
              </w:rPr>
            </w:pPr>
          </w:p>
        </w:tc>
        <w:tc>
          <w:tcPr>
            <w:tcW w:w="940" w:type="dxa"/>
            <w:vAlign w:val="bottom"/>
            <w:shd w:val="clear" w:color="auto" w:fill="D8D8D8"/>
          </w:tcPr>
          <w:p>
            <w:pPr>
              <w:spacing w:after="0"/>
              <w:rPr>
                <w:sz w:val="18"/>
                <w:szCs w:val="18"/>
                <w:color w:val="auto"/>
              </w:rPr>
            </w:pPr>
          </w:p>
        </w:tc>
        <w:tc>
          <w:tcPr>
            <w:tcW w:w="340" w:type="dxa"/>
            <w:vAlign w:val="bottom"/>
            <w:shd w:val="clear" w:color="auto" w:fill="D8D8D8"/>
          </w:tcPr>
          <w:p>
            <w:pPr>
              <w:spacing w:after="0"/>
              <w:rPr>
                <w:sz w:val="18"/>
                <w:szCs w:val="18"/>
                <w:color w:val="auto"/>
              </w:rPr>
            </w:pPr>
          </w:p>
        </w:tc>
        <w:tc>
          <w:tcPr>
            <w:tcW w:w="900" w:type="dxa"/>
            <w:vAlign w:val="bottom"/>
            <w:shd w:val="clear" w:color="auto" w:fill="D8D8D8"/>
          </w:tcPr>
          <w:p>
            <w:pPr>
              <w:spacing w:after="0"/>
              <w:rPr>
                <w:sz w:val="18"/>
                <w:szCs w:val="18"/>
                <w:color w:val="auto"/>
              </w:rPr>
            </w:pPr>
          </w:p>
        </w:tc>
        <w:tc>
          <w:tcPr>
            <w:tcW w:w="120" w:type="dxa"/>
            <w:vAlign w:val="bottom"/>
            <w:shd w:val="clear" w:color="auto" w:fill="D8D8D8"/>
          </w:tcPr>
          <w:p>
            <w:pPr>
              <w:spacing w:after="0"/>
              <w:rPr>
                <w:sz w:val="18"/>
                <w:szCs w:val="18"/>
                <w:color w:val="auto"/>
              </w:rPr>
            </w:pPr>
          </w:p>
        </w:tc>
        <w:tc>
          <w:tcPr>
            <w:tcW w:w="140" w:type="dxa"/>
            <w:vAlign w:val="bottom"/>
            <w:shd w:val="clear" w:color="auto" w:fill="D8D8D8"/>
          </w:tcPr>
          <w:p>
            <w:pPr>
              <w:spacing w:after="0"/>
              <w:rPr>
                <w:sz w:val="18"/>
                <w:szCs w:val="18"/>
                <w:color w:val="auto"/>
              </w:rPr>
            </w:pPr>
          </w:p>
        </w:tc>
        <w:tc>
          <w:tcPr>
            <w:tcW w:w="1240" w:type="dxa"/>
            <w:vAlign w:val="bottom"/>
            <w:shd w:val="clear" w:color="auto" w:fill="D8D8D8"/>
          </w:tcPr>
          <w:p>
            <w:pPr>
              <w:spacing w:after="0"/>
              <w:rPr>
                <w:sz w:val="18"/>
                <w:szCs w:val="18"/>
                <w:color w:val="auto"/>
              </w:rPr>
            </w:pPr>
          </w:p>
        </w:tc>
        <w:tc>
          <w:tcPr>
            <w:tcW w:w="340" w:type="dxa"/>
            <w:vAlign w:val="bottom"/>
            <w:shd w:val="clear" w:color="auto" w:fill="D8D8D8"/>
          </w:tcPr>
          <w:p>
            <w:pPr>
              <w:spacing w:after="0"/>
              <w:rPr>
                <w:sz w:val="18"/>
                <w:szCs w:val="18"/>
                <w:color w:val="auto"/>
              </w:rPr>
            </w:pPr>
          </w:p>
        </w:tc>
        <w:tc>
          <w:tcPr>
            <w:tcW w:w="1160" w:type="dxa"/>
            <w:vAlign w:val="bottom"/>
            <w:shd w:val="clear" w:color="auto" w:fill="D8D8D8"/>
          </w:tcPr>
          <w:p>
            <w:pPr>
              <w:spacing w:after="0"/>
              <w:rPr>
                <w:sz w:val="18"/>
                <w:szCs w:val="18"/>
                <w:color w:val="auto"/>
              </w:rPr>
            </w:pPr>
          </w:p>
        </w:tc>
        <w:tc>
          <w:tcPr>
            <w:tcW w:w="300" w:type="dxa"/>
            <w:vAlign w:val="bottom"/>
            <w:shd w:val="clear" w:color="auto" w:fill="D8D8D8"/>
          </w:tcPr>
          <w:p>
            <w:pPr>
              <w:spacing w:after="0"/>
              <w:rPr>
                <w:sz w:val="18"/>
                <w:szCs w:val="18"/>
                <w:color w:val="auto"/>
              </w:rPr>
            </w:pPr>
          </w:p>
        </w:tc>
        <w:tc>
          <w:tcPr>
            <w:tcW w:w="1160" w:type="dxa"/>
            <w:vAlign w:val="bottom"/>
            <w:shd w:val="clear" w:color="auto" w:fill="D8D8D8"/>
          </w:tcPr>
          <w:p>
            <w:pPr>
              <w:spacing w:after="0"/>
              <w:rPr>
                <w:sz w:val="18"/>
                <w:szCs w:val="18"/>
                <w:color w:val="auto"/>
              </w:rPr>
            </w:pPr>
          </w:p>
        </w:tc>
        <w:tc>
          <w:tcPr>
            <w:tcW w:w="380" w:type="dxa"/>
            <w:vAlign w:val="bottom"/>
            <w:shd w:val="clear" w:color="auto" w:fill="D8D8D8"/>
          </w:tcPr>
          <w:p>
            <w:pPr>
              <w:spacing w:after="0"/>
              <w:rPr>
                <w:sz w:val="18"/>
                <w:szCs w:val="18"/>
                <w:color w:val="auto"/>
              </w:rPr>
            </w:pPr>
          </w:p>
        </w:tc>
        <w:tc>
          <w:tcPr>
            <w:tcW w:w="880" w:type="dxa"/>
            <w:vAlign w:val="bottom"/>
            <w:shd w:val="clear" w:color="auto" w:fill="D8D8D8"/>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3300" w:type="dxa"/>
            <w:vAlign w:val="bottom"/>
            <w:shd w:val="clear" w:color="auto" w:fill="D8D8D8"/>
          </w:tcPr>
          <w:p>
            <w:pPr>
              <w:ind w:left="340"/>
              <w:spacing w:after="0"/>
              <w:rPr>
                <w:sz w:val="20"/>
                <w:szCs w:val="20"/>
                <w:color w:val="auto"/>
              </w:rPr>
            </w:pPr>
            <w:r>
              <w:rPr>
                <w:rFonts w:ascii="Arial" w:cs="Arial" w:eastAsia="Arial" w:hAnsi="Arial"/>
                <w:sz w:val="18"/>
                <w:szCs w:val="18"/>
                <w:color w:val="auto"/>
              </w:rPr>
              <w:t>securities</w:t>
            </w:r>
          </w:p>
        </w:tc>
        <w:tc>
          <w:tcPr>
            <w:tcW w:w="220" w:type="dxa"/>
            <w:vAlign w:val="bottom"/>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D8D8D8"/>
          </w:tcPr>
          <w:p>
            <w:pPr>
              <w:jc w:val="right"/>
              <w:ind w:right="32"/>
              <w:spacing w:after="0"/>
              <w:rPr>
                <w:sz w:val="20"/>
                <w:szCs w:val="20"/>
                <w:color w:val="auto"/>
              </w:rPr>
            </w:pPr>
            <w:r>
              <w:rPr>
                <w:rFonts w:ascii="Arial" w:cs="Arial" w:eastAsia="Arial" w:hAnsi="Arial"/>
                <w:sz w:val="18"/>
                <w:szCs w:val="18"/>
                <w:color w:val="auto"/>
              </w:rPr>
              <w:t>185.5</w:t>
            </w:r>
          </w:p>
        </w:tc>
        <w:tc>
          <w:tcPr>
            <w:tcW w:w="340" w:type="dxa"/>
            <w:vAlign w:val="bottom"/>
            <w:shd w:val="clear" w:color="auto" w:fill="D8D8D8"/>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shd w:val="clear" w:color="auto" w:fill="D8D8D8"/>
          </w:tcPr>
          <w:p>
            <w:pPr>
              <w:jc w:val="right"/>
              <w:ind w:right="11"/>
              <w:spacing w:after="0"/>
              <w:rPr>
                <w:sz w:val="20"/>
                <w:szCs w:val="20"/>
                <w:color w:val="auto"/>
              </w:rPr>
            </w:pPr>
            <w:r>
              <w:rPr>
                <w:rFonts w:ascii="Arial" w:cs="Arial" w:eastAsia="Arial" w:hAnsi="Arial"/>
                <w:sz w:val="18"/>
                <w:szCs w:val="18"/>
                <w:color w:val="auto"/>
              </w:rPr>
              <w:t>185.6</w:t>
            </w:r>
          </w:p>
        </w:tc>
        <w:tc>
          <w:tcPr>
            <w:tcW w:w="260" w:type="dxa"/>
            <w:vAlign w:val="bottom"/>
            <w:gridSpan w:val="2"/>
            <w:shd w:val="clear" w:color="auto" w:fill="D8D8D8"/>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D8D8D8"/>
          </w:tcPr>
          <w:p>
            <w:pPr>
              <w:jc w:val="right"/>
              <w:ind w:right="35"/>
              <w:spacing w:after="0"/>
              <w:rPr>
                <w:sz w:val="20"/>
                <w:szCs w:val="20"/>
                <w:color w:val="auto"/>
              </w:rPr>
            </w:pPr>
            <w:r>
              <w:rPr>
                <w:rFonts w:ascii="Arial" w:cs="Arial" w:eastAsia="Arial" w:hAnsi="Arial"/>
                <w:sz w:val="18"/>
                <w:szCs w:val="18"/>
                <w:color w:val="auto"/>
              </w:rPr>
              <w:t>156.5</w:t>
            </w:r>
          </w:p>
        </w:tc>
        <w:tc>
          <w:tcPr>
            <w:tcW w:w="340" w:type="dxa"/>
            <w:vAlign w:val="bottom"/>
            <w:shd w:val="clear" w:color="auto" w:fill="D8D8D8"/>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shd w:val="clear" w:color="auto" w:fill="D8D8D8"/>
          </w:tcPr>
          <w:p>
            <w:pPr>
              <w:jc w:val="right"/>
              <w:ind w:right="35"/>
              <w:spacing w:after="0"/>
              <w:rPr>
                <w:sz w:val="20"/>
                <w:szCs w:val="20"/>
                <w:color w:val="auto"/>
              </w:rPr>
            </w:pPr>
            <w:r>
              <w:rPr>
                <w:rFonts w:ascii="Arial" w:cs="Arial" w:eastAsia="Arial" w:hAnsi="Arial"/>
                <w:sz w:val="18"/>
                <w:szCs w:val="18"/>
                <w:color w:val="auto"/>
              </w:rPr>
              <w:t>29.0</w:t>
            </w:r>
          </w:p>
        </w:tc>
        <w:tc>
          <w:tcPr>
            <w:tcW w:w="3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D8D8D8"/>
          </w:tcPr>
          <w:p>
            <w:pPr>
              <w:ind w:left="880"/>
              <w:spacing w:after="0"/>
              <w:rPr>
                <w:sz w:val="20"/>
                <w:szCs w:val="20"/>
                <w:color w:val="auto"/>
              </w:rPr>
            </w:pPr>
            <w:r>
              <w:rPr>
                <w:rFonts w:ascii="Arial" w:cs="Arial" w:eastAsia="Arial" w:hAnsi="Arial"/>
                <w:sz w:val="18"/>
                <w:szCs w:val="18"/>
                <w:color w:val="auto"/>
              </w:rPr>
              <w:t>—</w:t>
            </w:r>
          </w:p>
        </w:tc>
        <w:tc>
          <w:tcPr>
            <w:tcW w:w="380" w:type="dxa"/>
            <w:vAlign w:val="bottom"/>
            <w:shd w:val="clear" w:color="auto" w:fill="D8D8D8"/>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shd w:val="clear" w:color="auto" w:fill="D8D8D8"/>
          </w:tcPr>
          <w:p>
            <w:pPr>
              <w:jc w:val="right"/>
              <w:ind w:right="12"/>
              <w:spacing w:after="0"/>
              <w:rPr>
                <w:sz w:val="20"/>
                <w:szCs w:val="20"/>
                <w:color w:val="auto"/>
              </w:rPr>
            </w:pPr>
            <w:r>
              <w:rPr>
                <w:rFonts w:ascii="Arial" w:cs="Arial" w:eastAsia="Arial" w:hAnsi="Arial"/>
                <w:sz w:val="18"/>
                <w:szCs w:val="18"/>
                <w:color w:val="auto"/>
              </w:rPr>
              <w:t>185.5</w:t>
            </w:r>
          </w:p>
        </w:tc>
        <w:tc>
          <w:tcPr>
            <w:tcW w:w="0" w:type="dxa"/>
            <w:vAlign w:val="bottom"/>
          </w:tcPr>
          <w:p>
            <w:pPr>
              <w:spacing w:after="0"/>
              <w:rPr>
                <w:sz w:val="1"/>
                <w:szCs w:val="1"/>
                <w:color w:val="auto"/>
              </w:rPr>
            </w:pPr>
          </w:p>
        </w:tc>
      </w:tr>
      <w:tr>
        <w:trPr>
          <w:trHeight w:val="265"/>
        </w:trPr>
        <w:tc>
          <w:tcPr>
            <w:tcW w:w="3300" w:type="dxa"/>
            <w:vAlign w:val="bottom"/>
          </w:tcPr>
          <w:p>
            <w:pPr>
              <w:ind w:left="180"/>
              <w:spacing w:after="0"/>
              <w:rPr>
                <w:sz w:val="20"/>
                <w:szCs w:val="20"/>
                <w:color w:val="auto"/>
              </w:rPr>
            </w:pPr>
            <w:r>
              <w:rPr>
                <w:rFonts w:ascii="Arial" w:cs="Arial" w:eastAsia="Arial" w:hAnsi="Arial"/>
                <w:sz w:val="18"/>
                <w:szCs w:val="18"/>
                <w:color w:val="auto"/>
              </w:rPr>
              <w:t>Corporate debt securities</w:t>
            </w:r>
          </w:p>
        </w:tc>
        <w:tc>
          <w:tcPr>
            <w:tcW w:w="220" w:type="dxa"/>
            <w:vAlign w:val="bottom"/>
          </w:tcPr>
          <w:p>
            <w:pPr>
              <w:spacing w:after="0"/>
              <w:rPr>
                <w:sz w:val="23"/>
                <w:szCs w:val="23"/>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767.4</w:t>
            </w:r>
          </w:p>
        </w:tc>
        <w:tc>
          <w:tcPr>
            <w:tcW w:w="340" w:type="dxa"/>
            <w:vAlign w:val="bottom"/>
          </w:tcPr>
          <w:p>
            <w:pPr>
              <w:spacing w:after="0"/>
              <w:rPr>
                <w:sz w:val="23"/>
                <w:szCs w:val="23"/>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766.7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4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1160" w:type="dxa"/>
            <w:vAlign w:val="bottom"/>
          </w:tcPr>
          <w:p>
            <w:pPr>
              <w:jc w:val="right"/>
              <w:ind w:right="35"/>
              <w:spacing w:after="0"/>
              <w:rPr>
                <w:sz w:val="20"/>
                <w:szCs w:val="20"/>
                <w:color w:val="auto"/>
              </w:rPr>
            </w:pPr>
            <w:r>
              <w:rPr>
                <w:rFonts w:ascii="Arial" w:cs="Arial" w:eastAsia="Arial" w:hAnsi="Arial"/>
                <w:sz w:val="18"/>
                <w:szCs w:val="18"/>
                <w:color w:val="auto"/>
              </w:rPr>
              <w:t>767.4</w:t>
            </w:r>
          </w:p>
        </w:tc>
        <w:tc>
          <w:tcPr>
            <w:tcW w:w="300" w:type="dxa"/>
            <w:vAlign w:val="bottom"/>
          </w:tcPr>
          <w:p>
            <w:pPr>
              <w:spacing w:after="0"/>
              <w:rPr>
                <w:sz w:val="23"/>
                <w:szCs w:val="23"/>
                <w:color w:val="auto"/>
              </w:rPr>
            </w:pPr>
          </w:p>
        </w:tc>
        <w:tc>
          <w:tcPr>
            <w:tcW w:w="1160" w:type="dxa"/>
            <w:vAlign w:val="bottom"/>
          </w:tcPr>
          <w:p>
            <w:pPr>
              <w:ind w:left="8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767.4</w:t>
            </w:r>
          </w:p>
        </w:tc>
        <w:tc>
          <w:tcPr>
            <w:tcW w:w="0" w:type="dxa"/>
            <w:vAlign w:val="bottom"/>
          </w:tcPr>
          <w:p>
            <w:pPr>
              <w:spacing w:after="0"/>
              <w:rPr>
                <w:sz w:val="1"/>
                <w:szCs w:val="1"/>
                <w:color w:val="auto"/>
              </w:rPr>
            </w:pPr>
          </w:p>
        </w:tc>
      </w:tr>
      <w:tr>
        <w:trPr>
          <w:trHeight w:val="275"/>
        </w:trPr>
        <w:tc>
          <w:tcPr>
            <w:tcW w:w="3300" w:type="dxa"/>
            <w:vAlign w:val="bottom"/>
            <w:shd w:val="clear" w:color="auto" w:fill="D8D8D8"/>
          </w:tcPr>
          <w:p>
            <w:pPr>
              <w:ind w:left="180"/>
              <w:spacing w:after="0"/>
              <w:rPr>
                <w:sz w:val="20"/>
                <w:szCs w:val="20"/>
                <w:color w:val="auto"/>
              </w:rPr>
            </w:pPr>
            <w:r>
              <w:rPr>
                <w:rFonts w:ascii="Arial" w:cs="Arial" w:eastAsia="Arial" w:hAnsi="Arial"/>
                <w:sz w:val="18"/>
                <w:szCs w:val="18"/>
                <w:color w:val="auto"/>
              </w:rPr>
              <w:t>Other securities</w:t>
            </w:r>
          </w:p>
        </w:tc>
        <w:tc>
          <w:tcPr>
            <w:tcW w:w="220" w:type="dxa"/>
            <w:vAlign w:val="bottom"/>
            <w:tcBorders>
              <w:bottom w:val="single" w:sz="8" w:color="auto"/>
            </w:tcBorders>
            <w:shd w:val="clear" w:color="auto" w:fill="D8D8D8"/>
          </w:tcPr>
          <w:p>
            <w:pPr>
              <w:spacing w:after="0"/>
              <w:rPr>
                <w:sz w:val="23"/>
                <w:szCs w:val="23"/>
                <w:color w:val="auto"/>
              </w:rPr>
            </w:pPr>
          </w:p>
        </w:tc>
        <w:tc>
          <w:tcPr>
            <w:tcW w:w="940" w:type="dxa"/>
            <w:vAlign w:val="bottom"/>
            <w:tcBorders>
              <w:bottom w:val="single" w:sz="8" w:color="auto"/>
            </w:tcBorders>
            <w:shd w:val="clear" w:color="auto" w:fill="D8D8D8"/>
          </w:tcPr>
          <w:p>
            <w:pPr>
              <w:jc w:val="right"/>
              <w:ind w:right="32"/>
              <w:spacing w:after="0"/>
              <w:rPr>
                <w:sz w:val="20"/>
                <w:szCs w:val="20"/>
                <w:color w:val="auto"/>
              </w:rPr>
            </w:pPr>
            <w:r>
              <w:rPr>
                <w:rFonts w:ascii="Arial" w:cs="Arial" w:eastAsia="Arial" w:hAnsi="Arial"/>
                <w:sz w:val="18"/>
                <w:szCs w:val="18"/>
                <w:color w:val="auto"/>
              </w:rPr>
              <w:t>2.5</w:t>
            </w:r>
          </w:p>
        </w:tc>
        <w:tc>
          <w:tcPr>
            <w:tcW w:w="340" w:type="dxa"/>
            <w:vAlign w:val="bottom"/>
            <w:tcBorders>
              <w:bottom w:val="single" w:sz="8" w:color="auto"/>
            </w:tcBorders>
            <w:shd w:val="clear" w:color="auto" w:fill="D8D8D8"/>
          </w:tcPr>
          <w:p>
            <w:pPr>
              <w:spacing w:after="0"/>
              <w:rPr>
                <w:sz w:val="23"/>
                <w:szCs w:val="23"/>
                <w:color w:val="auto"/>
              </w:rPr>
            </w:pPr>
          </w:p>
        </w:tc>
        <w:tc>
          <w:tcPr>
            <w:tcW w:w="900" w:type="dxa"/>
            <w:vAlign w:val="bottom"/>
            <w:tcBorders>
              <w:bottom w:val="single" w:sz="8" w:color="auto"/>
            </w:tcBorders>
            <w:shd w:val="clear" w:color="auto" w:fill="D8D8D8"/>
          </w:tcPr>
          <w:p>
            <w:pPr>
              <w:jc w:val="right"/>
              <w:ind w:right="11"/>
              <w:spacing w:after="0"/>
              <w:rPr>
                <w:sz w:val="20"/>
                <w:szCs w:val="20"/>
                <w:color w:val="auto"/>
              </w:rPr>
            </w:pPr>
            <w:r>
              <w:rPr>
                <w:rFonts w:ascii="Arial" w:cs="Arial" w:eastAsia="Arial" w:hAnsi="Arial"/>
                <w:sz w:val="18"/>
                <w:szCs w:val="18"/>
                <w:color w:val="auto"/>
              </w:rPr>
              <w:t>2.5</w:t>
            </w:r>
          </w:p>
        </w:tc>
        <w:tc>
          <w:tcPr>
            <w:tcW w:w="120" w:type="dxa"/>
            <w:vAlign w:val="bottom"/>
            <w:shd w:val="clear" w:color="auto" w:fill="D8D8D8"/>
          </w:tcPr>
          <w:p>
            <w:pPr>
              <w:spacing w:after="0"/>
              <w:rPr>
                <w:sz w:val="23"/>
                <w:szCs w:val="23"/>
                <w:color w:val="auto"/>
              </w:rPr>
            </w:pPr>
          </w:p>
        </w:tc>
        <w:tc>
          <w:tcPr>
            <w:tcW w:w="140" w:type="dxa"/>
            <w:vAlign w:val="bottom"/>
            <w:shd w:val="clear" w:color="auto" w:fill="D8D8D8"/>
          </w:tcPr>
          <w:p>
            <w:pPr>
              <w:spacing w:after="0"/>
              <w:rPr>
                <w:sz w:val="23"/>
                <w:szCs w:val="23"/>
                <w:color w:val="auto"/>
              </w:rPr>
            </w:pPr>
          </w:p>
        </w:tc>
        <w:tc>
          <w:tcPr>
            <w:tcW w:w="1240" w:type="dxa"/>
            <w:vAlign w:val="bottom"/>
            <w:shd w:val="clear" w:color="auto" w:fill="D8D8D8"/>
          </w:tcPr>
          <w:p>
            <w:pPr>
              <w:jc w:val="right"/>
              <w:ind w:right="35"/>
              <w:spacing w:after="0"/>
              <w:rPr>
                <w:sz w:val="20"/>
                <w:szCs w:val="20"/>
                <w:color w:val="auto"/>
              </w:rPr>
            </w:pPr>
            <w:r>
              <w:rPr>
                <w:rFonts w:ascii="Arial" w:cs="Arial" w:eastAsia="Arial" w:hAnsi="Arial"/>
                <w:sz w:val="18"/>
                <w:szCs w:val="18"/>
                <w:color w:val="auto"/>
              </w:rPr>
              <w:t>—</w:t>
            </w:r>
          </w:p>
        </w:tc>
        <w:tc>
          <w:tcPr>
            <w:tcW w:w="340" w:type="dxa"/>
            <w:vAlign w:val="bottom"/>
            <w:shd w:val="clear" w:color="auto" w:fill="D8D8D8"/>
          </w:tcPr>
          <w:p>
            <w:pPr>
              <w:spacing w:after="0"/>
              <w:rPr>
                <w:sz w:val="23"/>
                <w:szCs w:val="23"/>
                <w:color w:val="auto"/>
              </w:rPr>
            </w:pPr>
          </w:p>
        </w:tc>
        <w:tc>
          <w:tcPr>
            <w:tcW w:w="1160" w:type="dxa"/>
            <w:vAlign w:val="bottom"/>
            <w:shd w:val="clear" w:color="auto" w:fill="D8D8D8"/>
          </w:tcPr>
          <w:p>
            <w:pPr>
              <w:jc w:val="right"/>
              <w:ind w:right="35"/>
              <w:spacing w:after="0"/>
              <w:rPr>
                <w:sz w:val="20"/>
                <w:szCs w:val="20"/>
                <w:color w:val="auto"/>
              </w:rPr>
            </w:pPr>
            <w:r>
              <w:rPr>
                <w:rFonts w:ascii="Arial" w:cs="Arial" w:eastAsia="Arial" w:hAnsi="Arial"/>
                <w:sz w:val="18"/>
                <w:szCs w:val="18"/>
                <w:color w:val="auto"/>
              </w:rPr>
              <w:t>2.5</w:t>
            </w:r>
          </w:p>
        </w:tc>
        <w:tc>
          <w:tcPr>
            <w:tcW w:w="300" w:type="dxa"/>
            <w:vAlign w:val="bottom"/>
            <w:shd w:val="clear" w:color="auto" w:fill="D8D8D8"/>
          </w:tcPr>
          <w:p>
            <w:pPr>
              <w:spacing w:after="0"/>
              <w:rPr>
                <w:sz w:val="23"/>
                <w:szCs w:val="23"/>
                <w:color w:val="auto"/>
              </w:rPr>
            </w:pPr>
          </w:p>
        </w:tc>
        <w:tc>
          <w:tcPr>
            <w:tcW w:w="1160" w:type="dxa"/>
            <w:vAlign w:val="bottom"/>
            <w:shd w:val="clear" w:color="auto" w:fill="D8D8D8"/>
          </w:tcPr>
          <w:p>
            <w:pPr>
              <w:ind w:left="880"/>
              <w:spacing w:after="0"/>
              <w:rPr>
                <w:sz w:val="20"/>
                <w:szCs w:val="20"/>
                <w:color w:val="auto"/>
              </w:rPr>
            </w:pPr>
            <w:r>
              <w:rPr>
                <w:rFonts w:ascii="Arial" w:cs="Arial" w:eastAsia="Arial" w:hAnsi="Arial"/>
                <w:sz w:val="18"/>
                <w:szCs w:val="18"/>
                <w:color w:val="auto"/>
              </w:rPr>
              <w:t>—</w:t>
            </w:r>
          </w:p>
        </w:tc>
        <w:tc>
          <w:tcPr>
            <w:tcW w:w="380" w:type="dxa"/>
            <w:vAlign w:val="bottom"/>
            <w:shd w:val="clear" w:color="auto" w:fill="D8D8D8"/>
          </w:tcPr>
          <w:p>
            <w:pPr>
              <w:spacing w:after="0"/>
              <w:rPr>
                <w:sz w:val="23"/>
                <w:szCs w:val="23"/>
                <w:color w:val="auto"/>
              </w:rPr>
            </w:pPr>
          </w:p>
        </w:tc>
        <w:tc>
          <w:tcPr>
            <w:tcW w:w="880" w:type="dxa"/>
            <w:vAlign w:val="bottom"/>
            <w:shd w:val="clear" w:color="auto" w:fill="D8D8D8"/>
          </w:tcPr>
          <w:p>
            <w:pPr>
              <w:jc w:val="right"/>
              <w:ind w:right="12"/>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1"/>
        </w:trPr>
        <w:tc>
          <w:tcPr>
            <w:tcW w:w="3300" w:type="dxa"/>
            <w:vAlign w:val="bottom"/>
            <w:tcBorders>
              <w:bottom w:val="single" w:sz="8" w:color="D8D8D8"/>
            </w:tcBorders>
          </w:tcPr>
          <w:p>
            <w:pPr>
              <w:ind w:left="180"/>
              <w:spacing w:after="0"/>
              <w:rPr>
                <w:sz w:val="20"/>
                <w:szCs w:val="20"/>
                <w:color w:val="auto"/>
              </w:rPr>
            </w:pPr>
            <w:r>
              <w:rPr>
                <w:rFonts w:ascii="Arial" w:cs="Arial" w:eastAsia="Arial" w:hAnsi="Arial"/>
                <w:sz w:val="18"/>
                <w:szCs w:val="18"/>
                <w:color w:val="auto"/>
              </w:rPr>
              <w:t>Short-term investments</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955.4</w:t>
            </w:r>
          </w:p>
        </w:tc>
        <w:tc>
          <w:tcPr>
            <w:tcW w:w="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954.8</w:t>
            </w:r>
          </w:p>
        </w:tc>
        <w:tc>
          <w:tcPr>
            <w:tcW w:w="120" w:type="dxa"/>
            <w:vAlign w:val="bottom"/>
            <w:tcBorders>
              <w:bottom w:val="single" w:sz="8" w:color="D8D8D8"/>
            </w:tcBorders>
          </w:tcPr>
          <w:p>
            <w:pPr>
              <w:spacing w:after="0"/>
              <w:rPr>
                <w:sz w:val="23"/>
                <w:szCs w:val="23"/>
                <w:color w:val="auto"/>
              </w:rPr>
            </w:pPr>
          </w:p>
        </w:tc>
        <w:tc>
          <w:tcPr>
            <w:tcW w:w="140" w:type="dxa"/>
            <w:vAlign w:val="bottom"/>
            <w:tcBorders>
              <w:bottom w:val="single" w:sz="8" w:color="D8D8D8"/>
            </w:tcBorders>
          </w:tcPr>
          <w:p>
            <w:pPr>
              <w:spacing w:after="0"/>
              <w:rPr>
                <w:sz w:val="23"/>
                <w:szCs w:val="23"/>
                <w:color w:val="auto"/>
              </w:rPr>
            </w:pPr>
          </w:p>
        </w:tc>
        <w:tc>
          <w:tcPr>
            <w:tcW w:w="1240" w:type="dxa"/>
            <w:vAlign w:val="bottom"/>
            <w:tcBorders>
              <w:bottom w:val="single" w:sz="8" w:color="D8D8D8"/>
            </w:tcBorders>
          </w:tcPr>
          <w:p>
            <w:pPr>
              <w:spacing w:after="0"/>
              <w:rPr>
                <w:sz w:val="23"/>
                <w:szCs w:val="23"/>
                <w:color w:val="auto"/>
              </w:rPr>
            </w:pPr>
          </w:p>
        </w:tc>
        <w:tc>
          <w:tcPr>
            <w:tcW w:w="340" w:type="dxa"/>
            <w:vAlign w:val="bottom"/>
            <w:tcBorders>
              <w:bottom w:val="single" w:sz="8" w:color="D8D8D8"/>
            </w:tcBorders>
          </w:tcPr>
          <w:p>
            <w:pPr>
              <w:spacing w:after="0"/>
              <w:rPr>
                <w:sz w:val="23"/>
                <w:szCs w:val="23"/>
                <w:color w:val="auto"/>
              </w:rPr>
            </w:pPr>
          </w:p>
        </w:tc>
        <w:tc>
          <w:tcPr>
            <w:tcW w:w="1160" w:type="dxa"/>
            <w:vAlign w:val="bottom"/>
            <w:tcBorders>
              <w:bottom w:val="single" w:sz="8" w:color="D8D8D8"/>
            </w:tcBorders>
          </w:tcPr>
          <w:p>
            <w:pPr>
              <w:spacing w:after="0"/>
              <w:rPr>
                <w:sz w:val="23"/>
                <w:szCs w:val="23"/>
                <w:color w:val="auto"/>
              </w:rPr>
            </w:pPr>
          </w:p>
        </w:tc>
        <w:tc>
          <w:tcPr>
            <w:tcW w:w="300" w:type="dxa"/>
            <w:vAlign w:val="bottom"/>
            <w:tcBorders>
              <w:bottom w:val="single" w:sz="8" w:color="D8D8D8"/>
            </w:tcBorders>
          </w:tcPr>
          <w:p>
            <w:pPr>
              <w:spacing w:after="0"/>
              <w:rPr>
                <w:sz w:val="23"/>
                <w:szCs w:val="23"/>
                <w:color w:val="auto"/>
              </w:rPr>
            </w:pPr>
          </w:p>
        </w:tc>
        <w:tc>
          <w:tcPr>
            <w:tcW w:w="1160" w:type="dxa"/>
            <w:vAlign w:val="bottom"/>
            <w:tcBorders>
              <w:bottom w:val="single" w:sz="8" w:color="D8D8D8"/>
            </w:tcBorders>
          </w:tcPr>
          <w:p>
            <w:pPr>
              <w:spacing w:after="0"/>
              <w:rPr>
                <w:sz w:val="23"/>
                <w:szCs w:val="23"/>
                <w:color w:val="auto"/>
              </w:rPr>
            </w:pPr>
          </w:p>
        </w:tc>
        <w:tc>
          <w:tcPr>
            <w:tcW w:w="380" w:type="dxa"/>
            <w:vAlign w:val="bottom"/>
            <w:tcBorders>
              <w:bottom w:val="single" w:sz="8" w:color="D8D8D8"/>
            </w:tcBorders>
          </w:tcPr>
          <w:p>
            <w:pPr>
              <w:spacing w:after="0"/>
              <w:rPr>
                <w:sz w:val="23"/>
                <w:szCs w:val="23"/>
                <w:color w:val="auto"/>
              </w:rPr>
            </w:pPr>
          </w:p>
        </w:tc>
        <w:tc>
          <w:tcPr>
            <w:tcW w:w="880" w:type="dxa"/>
            <w:vAlign w:val="bottom"/>
            <w:tcBorders>
              <w:bottom w:val="single" w:sz="8" w:color="D8D8D8"/>
            </w:tcBorders>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300" w:type="dxa"/>
            <w:vAlign w:val="bottom"/>
            <w:shd w:val="clear" w:color="auto" w:fill="D8D8D8"/>
          </w:tcPr>
          <w:p>
            <w:pPr>
              <w:ind w:left="40"/>
              <w:spacing w:after="0"/>
              <w:rPr>
                <w:sz w:val="20"/>
                <w:szCs w:val="20"/>
                <w:color w:val="auto"/>
              </w:rPr>
            </w:pPr>
            <w:r>
              <w:rPr>
                <w:rFonts w:ascii="Arial" w:cs="Arial" w:eastAsia="Arial" w:hAnsi="Arial"/>
                <w:sz w:val="18"/>
                <w:szCs w:val="18"/>
                <w:color w:val="auto"/>
              </w:rPr>
              <w:t>Noncurrent investments:</w:t>
            </w:r>
          </w:p>
        </w:tc>
        <w:tc>
          <w:tcPr>
            <w:tcW w:w="220" w:type="dxa"/>
            <w:vAlign w:val="bottom"/>
            <w:shd w:val="clear" w:color="auto" w:fill="D8D8D8"/>
          </w:tcPr>
          <w:p>
            <w:pPr>
              <w:spacing w:after="0"/>
              <w:rPr>
                <w:sz w:val="23"/>
                <w:szCs w:val="23"/>
                <w:color w:val="auto"/>
              </w:rPr>
            </w:pPr>
          </w:p>
        </w:tc>
        <w:tc>
          <w:tcPr>
            <w:tcW w:w="940" w:type="dxa"/>
            <w:vAlign w:val="bottom"/>
            <w:shd w:val="clear" w:color="auto" w:fill="D8D8D8"/>
          </w:tcPr>
          <w:p>
            <w:pPr>
              <w:spacing w:after="0"/>
              <w:rPr>
                <w:sz w:val="23"/>
                <w:szCs w:val="23"/>
                <w:color w:val="auto"/>
              </w:rPr>
            </w:pPr>
          </w:p>
        </w:tc>
        <w:tc>
          <w:tcPr>
            <w:tcW w:w="340" w:type="dxa"/>
            <w:vAlign w:val="bottom"/>
            <w:shd w:val="clear" w:color="auto" w:fill="D8D8D8"/>
          </w:tcPr>
          <w:p>
            <w:pPr>
              <w:spacing w:after="0"/>
              <w:rPr>
                <w:sz w:val="23"/>
                <w:szCs w:val="23"/>
                <w:color w:val="auto"/>
              </w:rPr>
            </w:pPr>
          </w:p>
        </w:tc>
        <w:tc>
          <w:tcPr>
            <w:tcW w:w="900" w:type="dxa"/>
            <w:vAlign w:val="bottom"/>
            <w:shd w:val="clear" w:color="auto" w:fill="D8D8D8"/>
          </w:tcPr>
          <w:p>
            <w:pPr>
              <w:spacing w:after="0"/>
              <w:rPr>
                <w:sz w:val="23"/>
                <w:szCs w:val="23"/>
                <w:color w:val="auto"/>
              </w:rPr>
            </w:pPr>
          </w:p>
        </w:tc>
        <w:tc>
          <w:tcPr>
            <w:tcW w:w="120" w:type="dxa"/>
            <w:vAlign w:val="bottom"/>
            <w:shd w:val="clear" w:color="auto" w:fill="D8D8D8"/>
          </w:tcPr>
          <w:p>
            <w:pPr>
              <w:spacing w:after="0"/>
              <w:rPr>
                <w:sz w:val="23"/>
                <w:szCs w:val="23"/>
                <w:color w:val="auto"/>
              </w:rPr>
            </w:pPr>
          </w:p>
        </w:tc>
        <w:tc>
          <w:tcPr>
            <w:tcW w:w="140" w:type="dxa"/>
            <w:vAlign w:val="bottom"/>
            <w:shd w:val="clear" w:color="auto" w:fill="D8D8D8"/>
          </w:tcPr>
          <w:p>
            <w:pPr>
              <w:spacing w:after="0"/>
              <w:rPr>
                <w:sz w:val="23"/>
                <w:szCs w:val="23"/>
                <w:color w:val="auto"/>
              </w:rPr>
            </w:pPr>
          </w:p>
        </w:tc>
        <w:tc>
          <w:tcPr>
            <w:tcW w:w="1240" w:type="dxa"/>
            <w:vAlign w:val="bottom"/>
            <w:shd w:val="clear" w:color="auto" w:fill="D8D8D8"/>
          </w:tcPr>
          <w:p>
            <w:pPr>
              <w:spacing w:after="0"/>
              <w:rPr>
                <w:sz w:val="23"/>
                <w:szCs w:val="23"/>
                <w:color w:val="auto"/>
              </w:rPr>
            </w:pPr>
          </w:p>
        </w:tc>
        <w:tc>
          <w:tcPr>
            <w:tcW w:w="340" w:type="dxa"/>
            <w:vAlign w:val="bottom"/>
            <w:shd w:val="clear" w:color="auto" w:fill="D8D8D8"/>
          </w:tcPr>
          <w:p>
            <w:pPr>
              <w:spacing w:after="0"/>
              <w:rPr>
                <w:sz w:val="23"/>
                <w:szCs w:val="23"/>
                <w:color w:val="auto"/>
              </w:rPr>
            </w:pPr>
          </w:p>
        </w:tc>
        <w:tc>
          <w:tcPr>
            <w:tcW w:w="1160" w:type="dxa"/>
            <w:vAlign w:val="bottom"/>
            <w:shd w:val="clear" w:color="auto" w:fill="D8D8D8"/>
          </w:tcPr>
          <w:p>
            <w:pPr>
              <w:spacing w:after="0"/>
              <w:rPr>
                <w:sz w:val="23"/>
                <w:szCs w:val="23"/>
                <w:color w:val="auto"/>
              </w:rPr>
            </w:pPr>
          </w:p>
        </w:tc>
        <w:tc>
          <w:tcPr>
            <w:tcW w:w="300" w:type="dxa"/>
            <w:vAlign w:val="bottom"/>
            <w:shd w:val="clear" w:color="auto" w:fill="D8D8D8"/>
          </w:tcPr>
          <w:p>
            <w:pPr>
              <w:spacing w:after="0"/>
              <w:rPr>
                <w:sz w:val="23"/>
                <w:szCs w:val="23"/>
                <w:color w:val="auto"/>
              </w:rPr>
            </w:pPr>
          </w:p>
        </w:tc>
        <w:tc>
          <w:tcPr>
            <w:tcW w:w="1160" w:type="dxa"/>
            <w:vAlign w:val="bottom"/>
            <w:shd w:val="clear" w:color="auto" w:fill="D8D8D8"/>
          </w:tcPr>
          <w:p>
            <w:pPr>
              <w:spacing w:after="0"/>
              <w:rPr>
                <w:sz w:val="23"/>
                <w:szCs w:val="23"/>
                <w:color w:val="auto"/>
              </w:rPr>
            </w:pPr>
          </w:p>
        </w:tc>
        <w:tc>
          <w:tcPr>
            <w:tcW w:w="380" w:type="dxa"/>
            <w:vAlign w:val="bottom"/>
            <w:shd w:val="clear" w:color="auto" w:fill="D8D8D8"/>
          </w:tcPr>
          <w:p>
            <w:pPr>
              <w:spacing w:after="0"/>
              <w:rPr>
                <w:sz w:val="23"/>
                <w:szCs w:val="23"/>
                <w:color w:val="auto"/>
              </w:rPr>
            </w:pPr>
          </w:p>
        </w:tc>
        <w:tc>
          <w:tcPr>
            <w:tcW w:w="880" w:type="dxa"/>
            <w:vAlign w:val="bottom"/>
            <w:shd w:val="clear" w:color="auto" w:fill="D8D8D8"/>
          </w:tcPr>
          <w:p>
            <w:pPr>
              <w:spacing w:after="0"/>
              <w:rPr>
                <w:sz w:val="23"/>
                <w:szCs w:val="23"/>
                <w:color w:val="auto"/>
              </w:rPr>
            </w:pPr>
          </w:p>
        </w:tc>
        <w:tc>
          <w:tcPr>
            <w:tcW w:w="0" w:type="dxa"/>
            <w:vAlign w:val="bottom"/>
          </w:tcPr>
          <w:p>
            <w:pPr>
              <w:spacing w:after="0"/>
              <w:rPr>
                <w:sz w:val="1"/>
                <w:szCs w:val="1"/>
                <w:color w:val="auto"/>
              </w:rPr>
            </w:pPr>
          </w:p>
        </w:tc>
      </w:tr>
      <w:tr>
        <w:trPr>
          <w:trHeight w:val="207"/>
        </w:trPr>
        <w:tc>
          <w:tcPr>
            <w:tcW w:w="3300" w:type="dxa"/>
            <w:vAlign w:val="bottom"/>
          </w:tcPr>
          <w:p>
            <w:pPr>
              <w:ind w:left="180"/>
              <w:spacing w:after="0"/>
              <w:rPr>
                <w:sz w:val="20"/>
                <w:szCs w:val="20"/>
                <w:color w:val="auto"/>
              </w:rPr>
            </w:pPr>
            <w:r>
              <w:rPr>
                <w:rFonts w:ascii="Arial" w:cs="Arial" w:eastAsia="Arial" w:hAnsi="Arial"/>
                <w:sz w:val="18"/>
                <w:szCs w:val="18"/>
                <w:color w:val="auto"/>
              </w:rPr>
              <w:t>U.S. government and agency</w:t>
            </w: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3300" w:type="dxa"/>
            <w:vAlign w:val="bottom"/>
          </w:tcPr>
          <w:p>
            <w:pPr>
              <w:ind w:left="340"/>
              <w:spacing w:after="0"/>
              <w:rPr>
                <w:sz w:val="20"/>
                <w:szCs w:val="20"/>
                <w:color w:val="auto"/>
              </w:rPr>
            </w:pPr>
            <w:r>
              <w:rPr>
                <w:rFonts w:ascii="Arial" w:cs="Arial" w:eastAsia="Arial" w:hAnsi="Arial"/>
                <w:sz w:val="18"/>
                <w:szCs w:val="18"/>
                <w:color w:val="auto"/>
              </w:rPr>
              <w:t>securities</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756.7</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757.5</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5"/>
              <w:spacing w:after="0"/>
              <w:rPr>
                <w:sz w:val="20"/>
                <w:szCs w:val="20"/>
                <w:color w:val="auto"/>
              </w:rPr>
            </w:pPr>
            <w:r>
              <w:rPr>
                <w:rFonts w:ascii="Arial" w:cs="Arial" w:eastAsia="Arial" w:hAnsi="Arial"/>
                <w:sz w:val="18"/>
                <w:szCs w:val="18"/>
                <w:color w:val="auto"/>
              </w:rPr>
              <w:t>747.5</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5"/>
              <w:spacing w:after="0"/>
              <w:rPr>
                <w:sz w:val="20"/>
                <w:szCs w:val="20"/>
                <w:color w:val="auto"/>
              </w:rPr>
            </w:pPr>
            <w:r>
              <w:rPr>
                <w:rFonts w:ascii="Arial" w:cs="Arial" w:eastAsia="Arial" w:hAnsi="Arial"/>
                <w:sz w:val="18"/>
                <w:szCs w:val="18"/>
                <w:color w:val="auto"/>
              </w:rPr>
              <w:t>9.2</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ind w:left="88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756.7</w:t>
            </w:r>
          </w:p>
        </w:tc>
        <w:tc>
          <w:tcPr>
            <w:tcW w:w="0" w:type="dxa"/>
            <w:vAlign w:val="bottom"/>
          </w:tcPr>
          <w:p>
            <w:pPr>
              <w:spacing w:after="0"/>
              <w:rPr>
                <w:sz w:val="1"/>
                <w:szCs w:val="1"/>
                <w:color w:val="auto"/>
              </w:rPr>
            </w:pPr>
          </w:p>
        </w:tc>
      </w:tr>
      <w:tr>
        <w:trPr>
          <w:trHeight w:val="275"/>
        </w:trPr>
        <w:tc>
          <w:tcPr>
            <w:tcW w:w="3300" w:type="dxa"/>
            <w:vAlign w:val="bottom"/>
            <w:shd w:val="clear" w:color="auto" w:fill="D8D8D8"/>
          </w:tcPr>
          <w:p>
            <w:pPr>
              <w:ind w:left="180"/>
              <w:spacing w:after="0"/>
              <w:rPr>
                <w:sz w:val="20"/>
                <w:szCs w:val="20"/>
                <w:color w:val="auto"/>
              </w:rPr>
            </w:pPr>
            <w:r>
              <w:rPr>
                <w:rFonts w:ascii="Arial" w:cs="Arial" w:eastAsia="Arial" w:hAnsi="Arial"/>
                <w:sz w:val="18"/>
                <w:szCs w:val="18"/>
                <w:color w:val="auto"/>
              </w:rPr>
              <w:t>Corporate debt securities</w:t>
            </w:r>
          </w:p>
        </w:tc>
        <w:tc>
          <w:tcPr>
            <w:tcW w:w="220" w:type="dxa"/>
            <w:vAlign w:val="bottom"/>
            <w:shd w:val="clear" w:color="auto" w:fill="D8D8D8"/>
          </w:tcPr>
          <w:p>
            <w:pPr>
              <w:spacing w:after="0"/>
              <w:rPr>
                <w:sz w:val="23"/>
                <w:szCs w:val="23"/>
                <w:color w:val="auto"/>
              </w:rPr>
            </w:pPr>
          </w:p>
        </w:tc>
        <w:tc>
          <w:tcPr>
            <w:tcW w:w="940" w:type="dxa"/>
            <w:vAlign w:val="bottom"/>
            <w:shd w:val="clear" w:color="auto" w:fill="D8D8D8"/>
          </w:tcPr>
          <w:p>
            <w:pPr>
              <w:jc w:val="right"/>
              <w:ind w:right="32"/>
              <w:spacing w:after="0"/>
              <w:rPr>
                <w:sz w:val="20"/>
                <w:szCs w:val="20"/>
                <w:color w:val="auto"/>
              </w:rPr>
            </w:pPr>
            <w:r>
              <w:rPr>
                <w:rFonts w:ascii="Arial" w:cs="Arial" w:eastAsia="Arial" w:hAnsi="Arial"/>
                <w:sz w:val="18"/>
                <w:szCs w:val="18"/>
                <w:color w:val="auto"/>
              </w:rPr>
              <w:t>2,462.7</w:t>
            </w:r>
          </w:p>
        </w:tc>
        <w:tc>
          <w:tcPr>
            <w:tcW w:w="340" w:type="dxa"/>
            <w:vAlign w:val="bottom"/>
            <w:shd w:val="clear" w:color="auto" w:fill="D8D8D8"/>
          </w:tcPr>
          <w:p>
            <w:pPr>
              <w:spacing w:after="0"/>
              <w:rPr>
                <w:sz w:val="23"/>
                <w:szCs w:val="23"/>
                <w:color w:val="auto"/>
              </w:rPr>
            </w:pPr>
          </w:p>
        </w:tc>
        <w:tc>
          <w:tcPr>
            <w:tcW w:w="900" w:type="dxa"/>
            <w:vAlign w:val="bottom"/>
            <w:shd w:val="clear" w:color="auto" w:fill="D8D8D8"/>
          </w:tcPr>
          <w:p>
            <w:pPr>
              <w:jc w:val="right"/>
              <w:ind w:right="11"/>
              <w:spacing w:after="0"/>
              <w:rPr>
                <w:sz w:val="20"/>
                <w:szCs w:val="20"/>
                <w:color w:val="auto"/>
              </w:rPr>
            </w:pPr>
            <w:r>
              <w:rPr>
                <w:rFonts w:ascii="Arial" w:cs="Arial" w:eastAsia="Arial" w:hAnsi="Arial"/>
                <w:sz w:val="18"/>
                <w:szCs w:val="18"/>
                <w:color w:val="auto"/>
              </w:rPr>
              <w:t>2,468.9</w:t>
            </w:r>
          </w:p>
        </w:tc>
        <w:tc>
          <w:tcPr>
            <w:tcW w:w="120" w:type="dxa"/>
            <w:vAlign w:val="bottom"/>
            <w:shd w:val="clear" w:color="auto" w:fill="D8D8D8"/>
          </w:tcPr>
          <w:p>
            <w:pPr>
              <w:spacing w:after="0"/>
              <w:rPr>
                <w:sz w:val="23"/>
                <w:szCs w:val="23"/>
                <w:color w:val="auto"/>
              </w:rPr>
            </w:pPr>
          </w:p>
        </w:tc>
        <w:tc>
          <w:tcPr>
            <w:tcW w:w="140" w:type="dxa"/>
            <w:vAlign w:val="bottom"/>
            <w:shd w:val="clear" w:color="auto" w:fill="D8D8D8"/>
          </w:tcPr>
          <w:p>
            <w:pPr>
              <w:spacing w:after="0"/>
              <w:rPr>
                <w:sz w:val="23"/>
                <w:szCs w:val="23"/>
                <w:color w:val="auto"/>
              </w:rPr>
            </w:pPr>
          </w:p>
        </w:tc>
        <w:tc>
          <w:tcPr>
            <w:tcW w:w="1240" w:type="dxa"/>
            <w:vAlign w:val="bottom"/>
            <w:shd w:val="clear" w:color="auto" w:fill="D8D8D8"/>
          </w:tcPr>
          <w:p>
            <w:pPr>
              <w:jc w:val="right"/>
              <w:ind w:right="35"/>
              <w:spacing w:after="0"/>
              <w:rPr>
                <w:sz w:val="20"/>
                <w:szCs w:val="20"/>
                <w:color w:val="auto"/>
              </w:rPr>
            </w:pPr>
            <w:r>
              <w:rPr>
                <w:rFonts w:ascii="Arial" w:cs="Arial" w:eastAsia="Arial" w:hAnsi="Arial"/>
                <w:sz w:val="18"/>
                <w:szCs w:val="18"/>
                <w:color w:val="auto"/>
              </w:rPr>
              <w:t>—</w:t>
            </w:r>
          </w:p>
        </w:tc>
        <w:tc>
          <w:tcPr>
            <w:tcW w:w="340" w:type="dxa"/>
            <w:vAlign w:val="bottom"/>
            <w:shd w:val="clear" w:color="auto" w:fill="D8D8D8"/>
          </w:tcPr>
          <w:p>
            <w:pPr>
              <w:spacing w:after="0"/>
              <w:rPr>
                <w:sz w:val="23"/>
                <w:szCs w:val="23"/>
                <w:color w:val="auto"/>
              </w:rPr>
            </w:pPr>
          </w:p>
        </w:tc>
        <w:tc>
          <w:tcPr>
            <w:tcW w:w="1160" w:type="dxa"/>
            <w:vAlign w:val="bottom"/>
            <w:shd w:val="clear" w:color="auto" w:fill="D8D8D8"/>
          </w:tcPr>
          <w:p>
            <w:pPr>
              <w:jc w:val="right"/>
              <w:ind w:right="35"/>
              <w:spacing w:after="0"/>
              <w:rPr>
                <w:sz w:val="20"/>
                <w:szCs w:val="20"/>
                <w:color w:val="auto"/>
              </w:rPr>
            </w:pPr>
            <w:r>
              <w:rPr>
                <w:rFonts w:ascii="Arial" w:cs="Arial" w:eastAsia="Arial" w:hAnsi="Arial"/>
                <w:sz w:val="18"/>
                <w:szCs w:val="18"/>
                <w:color w:val="auto"/>
              </w:rPr>
              <w:t>2,462.7</w:t>
            </w:r>
          </w:p>
        </w:tc>
        <w:tc>
          <w:tcPr>
            <w:tcW w:w="300" w:type="dxa"/>
            <w:vAlign w:val="bottom"/>
            <w:shd w:val="clear" w:color="auto" w:fill="D8D8D8"/>
          </w:tcPr>
          <w:p>
            <w:pPr>
              <w:spacing w:after="0"/>
              <w:rPr>
                <w:sz w:val="23"/>
                <w:szCs w:val="23"/>
                <w:color w:val="auto"/>
              </w:rPr>
            </w:pPr>
          </w:p>
        </w:tc>
        <w:tc>
          <w:tcPr>
            <w:tcW w:w="1160" w:type="dxa"/>
            <w:vAlign w:val="bottom"/>
            <w:shd w:val="clear" w:color="auto" w:fill="D8D8D8"/>
          </w:tcPr>
          <w:p>
            <w:pPr>
              <w:ind w:left="880"/>
              <w:spacing w:after="0"/>
              <w:rPr>
                <w:sz w:val="20"/>
                <w:szCs w:val="20"/>
                <w:color w:val="auto"/>
              </w:rPr>
            </w:pPr>
            <w:r>
              <w:rPr>
                <w:rFonts w:ascii="Arial" w:cs="Arial" w:eastAsia="Arial" w:hAnsi="Arial"/>
                <w:sz w:val="18"/>
                <w:szCs w:val="18"/>
                <w:color w:val="auto"/>
              </w:rPr>
              <w:t>—</w:t>
            </w:r>
          </w:p>
        </w:tc>
        <w:tc>
          <w:tcPr>
            <w:tcW w:w="380" w:type="dxa"/>
            <w:vAlign w:val="bottom"/>
            <w:shd w:val="clear" w:color="auto" w:fill="D8D8D8"/>
          </w:tcPr>
          <w:p>
            <w:pPr>
              <w:spacing w:after="0"/>
              <w:rPr>
                <w:sz w:val="23"/>
                <w:szCs w:val="23"/>
                <w:color w:val="auto"/>
              </w:rPr>
            </w:pPr>
          </w:p>
        </w:tc>
        <w:tc>
          <w:tcPr>
            <w:tcW w:w="880" w:type="dxa"/>
            <w:vAlign w:val="bottom"/>
            <w:shd w:val="clear" w:color="auto" w:fill="D8D8D8"/>
          </w:tcPr>
          <w:p>
            <w:pPr>
              <w:jc w:val="right"/>
              <w:ind w:right="12"/>
              <w:spacing w:after="0"/>
              <w:rPr>
                <w:sz w:val="20"/>
                <w:szCs w:val="20"/>
                <w:color w:val="auto"/>
              </w:rPr>
            </w:pPr>
            <w:r>
              <w:rPr>
                <w:rFonts w:ascii="Arial" w:cs="Arial" w:eastAsia="Arial" w:hAnsi="Arial"/>
                <w:sz w:val="18"/>
                <w:szCs w:val="18"/>
                <w:color w:val="auto"/>
              </w:rPr>
              <w:t>2,462.7</w:t>
            </w:r>
          </w:p>
        </w:tc>
        <w:tc>
          <w:tcPr>
            <w:tcW w:w="0" w:type="dxa"/>
            <w:vAlign w:val="bottom"/>
          </w:tcPr>
          <w:p>
            <w:pPr>
              <w:spacing w:after="0"/>
              <w:rPr>
                <w:sz w:val="1"/>
                <w:szCs w:val="1"/>
                <w:color w:val="auto"/>
              </w:rPr>
            </w:pPr>
          </w:p>
        </w:tc>
      </w:tr>
      <w:tr>
        <w:trPr>
          <w:trHeight w:val="265"/>
        </w:trPr>
        <w:tc>
          <w:tcPr>
            <w:tcW w:w="3300" w:type="dxa"/>
            <w:vAlign w:val="bottom"/>
          </w:tcPr>
          <w:p>
            <w:pPr>
              <w:ind w:left="180"/>
              <w:spacing w:after="0"/>
              <w:rPr>
                <w:sz w:val="20"/>
                <w:szCs w:val="20"/>
                <w:color w:val="auto"/>
              </w:rPr>
            </w:pPr>
            <w:r>
              <w:rPr>
                <w:rFonts w:ascii="Arial" w:cs="Arial" w:eastAsia="Arial" w:hAnsi="Arial"/>
                <w:sz w:val="18"/>
                <w:szCs w:val="18"/>
                <w:color w:val="auto"/>
              </w:rPr>
              <w:t>Mortgage-backed securities</w:t>
            </w:r>
          </w:p>
        </w:tc>
        <w:tc>
          <w:tcPr>
            <w:tcW w:w="220" w:type="dxa"/>
            <w:vAlign w:val="bottom"/>
          </w:tcPr>
          <w:p>
            <w:pPr>
              <w:spacing w:after="0"/>
              <w:rPr>
                <w:sz w:val="23"/>
                <w:szCs w:val="23"/>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217.0</w:t>
            </w:r>
          </w:p>
        </w:tc>
        <w:tc>
          <w:tcPr>
            <w:tcW w:w="340" w:type="dxa"/>
            <w:vAlign w:val="bottom"/>
          </w:tcPr>
          <w:p>
            <w:pPr>
              <w:spacing w:after="0"/>
              <w:rPr>
                <w:sz w:val="23"/>
                <w:szCs w:val="23"/>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217.6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4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1160" w:type="dxa"/>
            <w:vAlign w:val="bottom"/>
          </w:tcPr>
          <w:p>
            <w:pPr>
              <w:jc w:val="right"/>
              <w:ind w:right="35"/>
              <w:spacing w:after="0"/>
              <w:rPr>
                <w:sz w:val="20"/>
                <w:szCs w:val="20"/>
                <w:color w:val="auto"/>
              </w:rPr>
            </w:pPr>
            <w:r>
              <w:rPr>
                <w:rFonts w:ascii="Arial" w:cs="Arial" w:eastAsia="Arial" w:hAnsi="Arial"/>
                <w:sz w:val="18"/>
                <w:szCs w:val="18"/>
                <w:color w:val="auto"/>
              </w:rPr>
              <w:t>217.0</w:t>
            </w:r>
          </w:p>
        </w:tc>
        <w:tc>
          <w:tcPr>
            <w:tcW w:w="300" w:type="dxa"/>
            <w:vAlign w:val="bottom"/>
          </w:tcPr>
          <w:p>
            <w:pPr>
              <w:spacing w:after="0"/>
              <w:rPr>
                <w:sz w:val="23"/>
                <w:szCs w:val="23"/>
                <w:color w:val="auto"/>
              </w:rPr>
            </w:pPr>
          </w:p>
        </w:tc>
        <w:tc>
          <w:tcPr>
            <w:tcW w:w="1160" w:type="dxa"/>
            <w:vAlign w:val="bottom"/>
          </w:tcPr>
          <w:p>
            <w:pPr>
              <w:ind w:left="8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217.0</w:t>
            </w:r>
          </w:p>
        </w:tc>
        <w:tc>
          <w:tcPr>
            <w:tcW w:w="0" w:type="dxa"/>
            <w:vAlign w:val="bottom"/>
          </w:tcPr>
          <w:p>
            <w:pPr>
              <w:spacing w:after="0"/>
              <w:rPr>
                <w:sz w:val="1"/>
                <w:szCs w:val="1"/>
                <w:color w:val="auto"/>
              </w:rPr>
            </w:pPr>
          </w:p>
        </w:tc>
      </w:tr>
      <w:tr>
        <w:trPr>
          <w:trHeight w:val="275"/>
        </w:trPr>
        <w:tc>
          <w:tcPr>
            <w:tcW w:w="3300" w:type="dxa"/>
            <w:vAlign w:val="bottom"/>
            <w:shd w:val="clear" w:color="auto" w:fill="D8D8D8"/>
          </w:tcPr>
          <w:p>
            <w:pPr>
              <w:ind w:left="180"/>
              <w:spacing w:after="0"/>
              <w:rPr>
                <w:sz w:val="20"/>
                <w:szCs w:val="20"/>
                <w:color w:val="auto"/>
              </w:rPr>
            </w:pPr>
            <w:r>
              <w:rPr>
                <w:rFonts w:ascii="Arial" w:cs="Arial" w:eastAsia="Arial" w:hAnsi="Arial"/>
                <w:sz w:val="18"/>
                <w:szCs w:val="18"/>
                <w:color w:val="auto"/>
              </w:rPr>
              <w:t>Asset-backed securities</w:t>
            </w:r>
          </w:p>
        </w:tc>
        <w:tc>
          <w:tcPr>
            <w:tcW w:w="220" w:type="dxa"/>
            <w:vAlign w:val="bottom"/>
            <w:shd w:val="clear" w:color="auto" w:fill="D8D8D8"/>
          </w:tcPr>
          <w:p>
            <w:pPr>
              <w:spacing w:after="0"/>
              <w:rPr>
                <w:sz w:val="23"/>
                <w:szCs w:val="23"/>
                <w:color w:val="auto"/>
              </w:rPr>
            </w:pPr>
          </w:p>
        </w:tc>
        <w:tc>
          <w:tcPr>
            <w:tcW w:w="940" w:type="dxa"/>
            <w:vAlign w:val="bottom"/>
            <w:shd w:val="clear" w:color="auto" w:fill="D8D8D8"/>
          </w:tcPr>
          <w:p>
            <w:pPr>
              <w:jc w:val="right"/>
              <w:ind w:right="32"/>
              <w:spacing w:after="0"/>
              <w:rPr>
                <w:sz w:val="20"/>
                <w:szCs w:val="20"/>
                <w:color w:val="auto"/>
              </w:rPr>
            </w:pPr>
            <w:r>
              <w:rPr>
                <w:rFonts w:ascii="Arial" w:cs="Arial" w:eastAsia="Arial" w:hAnsi="Arial"/>
                <w:sz w:val="18"/>
                <w:szCs w:val="18"/>
                <w:color w:val="auto"/>
              </w:rPr>
              <w:t>477.8</w:t>
            </w:r>
          </w:p>
        </w:tc>
        <w:tc>
          <w:tcPr>
            <w:tcW w:w="340" w:type="dxa"/>
            <w:vAlign w:val="bottom"/>
            <w:shd w:val="clear" w:color="auto" w:fill="D8D8D8"/>
          </w:tcPr>
          <w:p>
            <w:pPr>
              <w:spacing w:after="0"/>
              <w:rPr>
                <w:sz w:val="23"/>
                <w:szCs w:val="23"/>
                <w:color w:val="auto"/>
              </w:rPr>
            </w:pPr>
          </w:p>
        </w:tc>
        <w:tc>
          <w:tcPr>
            <w:tcW w:w="900" w:type="dxa"/>
            <w:vAlign w:val="bottom"/>
            <w:shd w:val="clear" w:color="auto" w:fill="D8D8D8"/>
          </w:tcPr>
          <w:p>
            <w:pPr>
              <w:jc w:val="right"/>
              <w:ind w:right="11"/>
              <w:spacing w:after="0"/>
              <w:rPr>
                <w:sz w:val="20"/>
                <w:szCs w:val="20"/>
                <w:color w:val="auto"/>
              </w:rPr>
            </w:pPr>
            <w:r>
              <w:rPr>
                <w:rFonts w:ascii="Arial" w:cs="Arial" w:eastAsia="Arial" w:hAnsi="Arial"/>
                <w:sz w:val="18"/>
                <w:szCs w:val="18"/>
                <w:color w:val="auto"/>
              </w:rPr>
              <w:t>478.0</w:t>
            </w:r>
          </w:p>
        </w:tc>
        <w:tc>
          <w:tcPr>
            <w:tcW w:w="120" w:type="dxa"/>
            <w:vAlign w:val="bottom"/>
            <w:shd w:val="clear" w:color="auto" w:fill="D8D8D8"/>
          </w:tcPr>
          <w:p>
            <w:pPr>
              <w:spacing w:after="0"/>
              <w:rPr>
                <w:sz w:val="23"/>
                <w:szCs w:val="23"/>
                <w:color w:val="auto"/>
              </w:rPr>
            </w:pPr>
          </w:p>
        </w:tc>
        <w:tc>
          <w:tcPr>
            <w:tcW w:w="140" w:type="dxa"/>
            <w:vAlign w:val="bottom"/>
            <w:shd w:val="clear" w:color="auto" w:fill="D8D8D8"/>
          </w:tcPr>
          <w:p>
            <w:pPr>
              <w:spacing w:after="0"/>
              <w:rPr>
                <w:sz w:val="23"/>
                <w:szCs w:val="23"/>
                <w:color w:val="auto"/>
              </w:rPr>
            </w:pPr>
          </w:p>
        </w:tc>
        <w:tc>
          <w:tcPr>
            <w:tcW w:w="1240" w:type="dxa"/>
            <w:vAlign w:val="bottom"/>
            <w:shd w:val="clear" w:color="auto" w:fill="D8D8D8"/>
          </w:tcPr>
          <w:p>
            <w:pPr>
              <w:jc w:val="right"/>
              <w:ind w:right="35"/>
              <w:spacing w:after="0"/>
              <w:rPr>
                <w:sz w:val="20"/>
                <w:szCs w:val="20"/>
                <w:color w:val="auto"/>
              </w:rPr>
            </w:pPr>
            <w:r>
              <w:rPr>
                <w:rFonts w:ascii="Arial" w:cs="Arial" w:eastAsia="Arial" w:hAnsi="Arial"/>
                <w:sz w:val="18"/>
                <w:szCs w:val="18"/>
                <w:color w:val="auto"/>
              </w:rPr>
              <w:t>—</w:t>
            </w:r>
          </w:p>
        </w:tc>
        <w:tc>
          <w:tcPr>
            <w:tcW w:w="340" w:type="dxa"/>
            <w:vAlign w:val="bottom"/>
            <w:shd w:val="clear" w:color="auto" w:fill="D8D8D8"/>
          </w:tcPr>
          <w:p>
            <w:pPr>
              <w:spacing w:after="0"/>
              <w:rPr>
                <w:sz w:val="23"/>
                <w:szCs w:val="23"/>
                <w:color w:val="auto"/>
              </w:rPr>
            </w:pPr>
          </w:p>
        </w:tc>
        <w:tc>
          <w:tcPr>
            <w:tcW w:w="1160" w:type="dxa"/>
            <w:vAlign w:val="bottom"/>
            <w:shd w:val="clear" w:color="auto" w:fill="D8D8D8"/>
          </w:tcPr>
          <w:p>
            <w:pPr>
              <w:jc w:val="right"/>
              <w:ind w:right="35"/>
              <w:spacing w:after="0"/>
              <w:rPr>
                <w:sz w:val="20"/>
                <w:szCs w:val="20"/>
                <w:color w:val="auto"/>
              </w:rPr>
            </w:pPr>
            <w:r>
              <w:rPr>
                <w:rFonts w:ascii="Arial" w:cs="Arial" w:eastAsia="Arial" w:hAnsi="Arial"/>
                <w:sz w:val="18"/>
                <w:szCs w:val="18"/>
                <w:color w:val="auto"/>
              </w:rPr>
              <w:t>477.8</w:t>
            </w:r>
          </w:p>
        </w:tc>
        <w:tc>
          <w:tcPr>
            <w:tcW w:w="300" w:type="dxa"/>
            <w:vAlign w:val="bottom"/>
            <w:shd w:val="clear" w:color="auto" w:fill="D8D8D8"/>
          </w:tcPr>
          <w:p>
            <w:pPr>
              <w:spacing w:after="0"/>
              <w:rPr>
                <w:sz w:val="23"/>
                <w:szCs w:val="23"/>
                <w:color w:val="auto"/>
              </w:rPr>
            </w:pPr>
          </w:p>
        </w:tc>
        <w:tc>
          <w:tcPr>
            <w:tcW w:w="1160" w:type="dxa"/>
            <w:vAlign w:val="bottom"/>
            <w:shd w:val="clear" w:color="auto" w:fill="D8D8D8"/>
          </w:tcPr>
          <w:p>
            <w:pPr>
              <w:ind w:left="880"/>
              <w:spacing w:after="0"/>
              <w:rPr>
                <w:sz w:val="20"/>
                <w:szCs w:val="20"/>
                <w:color w:val="auto"/>
              </w:rPr>
            </w:pPr>
            <w:r>
              <w:rPr>
                <w:rFonts w:ascii="Arial" w:cs="Arial" w:eastAsia="Arial" w:hAnsi="Arial"/>
                <w:sz w:val="18"/>
                <w:szCs w:val="18"/>
                <w:color w:val="auto"/>
              </w:rPr>
              <w:t>—</w:t>
            </w:r>
          </w:p>
        </w:tc>
        <w:tc>
          <w:tcPr>
            <w:tcW w:w="380" w:type="dxa"/>
            <w:vAlign w:val="bottom"/>
            <w:shd w:val="clear" w:color="auto" w:fill="D8D8D8"/>
          </w:tcPr>
          <w:p>
            <w:pPr>
              <w:spacing w:after="0"/>
              <w:rPr>
                <w:sz w:val="23"/>
                <w:szCs w:val="23"/>
                <w:color w:val="auto"/>
              </w:rPr>
            </w:pPr>
          </w:p>
        </w:tc>
        <w:tc>
          <w:tcPr>
            <w:tcW w:w="880" w:type="dxa"/>
            <w:vAlign w:val="bottom"/>
            <w:shd w:val="clear" w:color="auto" w:fill="D8D8D8"/>
          </w:tcPr>
          <w:p>
            <w:pPr>
              <w:jc w:val="right"/>
              <w:ind w:right="12"/>
              <w:spacing w:after="0"/>
              <w:rPr>
                <w:sz w:val="20"/>
                <w:szCs w:val="20"/>
                <w:color w:val="auto"/>
              </w:rPr>
            </w:pPr>
            <w:r>
              <w:rPr>
                <w:rFonts w:ascii="Arial" w:cs="Arial" w:eastAsia="Arial" w:hAnsi="Arial"/>
                <w:sz w:val="18"/>
                <w:szCs w:val="18"/>
                <w:color w:val="auto"/>
              </w:rPr>
              <w:t>477.8</w:t>
            </w:r>
          </w:p>
        </w:tc>
        <w:tc>
          <w:tcPr>
            <w:tcW w:w="0" w:type="dxa"/>
            <w:vAlign w:val="bottom"/>
          </w:tcPr>
          <w:p>
            <w:pPr>
              <w:spacing w:after="0"/>
              <w:rPr>
                <w:sz w:val="1"/>
                <w:szCs w:val="1"/>
                <w:color w:val="auto"/>
              </w:rPr>
            </w:pPr>
          </w:p>
        </w:tc>
      </w:tr>
      <w:tr>
        <w:trPr>
          <w:trHeight w:val="265"/>
        </w:trPr>
        <w:tc>
          <w:tcPr>
            <w:tcW w:w="3300" w:type="dxa"/>
            <w:vAlign w:val="bottom"/>
          </w:tcPr>
          <w:p>
            <w:pPr>
              <w:ind w:left="180"/>
              <w:spacing w:after="0"/>
              <w:rPr>
                <w:sz w:val="20"/>
                <w:szCs w:val="20"/>
                <w:color w:val="auto"/>
              </w:rPr>
            </w:pPr>
            <w:r>
              <w:rPr>
                <w:rFonts w:ascii="Arial" w:cs="Arial" w:eastAsia="Arial" w:hAnsi="Arial"/>
                <w:sz w:val="18"/>
                <w:szCs w:val="18"/>
                <w:color w:val="auto"/>
              </w:rPr>
              <w:t>Other securities</w:t>
            </w:r>
          </w:p>
        </w:tc>
        <w:tc>
          <w:tcPr>
            <w:tcW w:w="220" w:type="dxa"/>
            <w:vAlign w:val="bottom"/>
          </w:tcPr>
          <w:p>
            <w:pPr>
              <w:spacing w:after="0"/>
              <w:rPr>
                <w:sz w:val="23"/>
                <w:szCs w:val="23"/>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3.2</w:t>
            </w:r>
          </w:p>
        </w:tc>
        <w:tc>
          <w:tcPr>
            <w:tcW w:w="340" w:type="dxa"/>
            <w:vAlign w:val="bottom"/>
          </w:tcPr>
          <w:p>
            <w:pPr>
              <w:spacing w:after="0"/>
              <w:rPr>
                <w:sz w:val="23"/>
                <w:szCs w:val="23"/>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4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1160" w:type="dxa"/>
            <w:vAlign w:val="bottom"/>
          </w:tcPr>
          <w:p>
            <w:pPr>
              <w:jc w:val="right"/>
              <w:ind w:right="35"/>
              <w:spacing w:after="0"/>
              <w:rPr>
                <w:sz w:val="20"/>
                <w:szCs w:val="20"/>
                <w:color w:val="auto"/>
              </w:rPr>
            </w:pPr>
            <w:r>
              <w:rPr>
                <w:rFonts w:ascii="Arial" w:cs="Arial" w:eastAsia="Arial" w:hAnsi="Arial"/>
                <w:sz w:val="18"/>
                <w:szCs w:val="18"/>
                <w:color w:val="auto"/>
              </w:rPr>
              <w:t>3.2</w:t>
            </w:r>
          </w:p>
        </w:tc>
        <w:tc>
          <w:tcPr>
            <w:tcW w:w="300" w:type="dxa"/>
            <w:vAlign w:val="bottom"/>
          </w:tcPr>
          <w:p>
            <w:pPr>
              <w:spacing w:after="0"/>
              <w:rPr>
                <w:sz w:val="23"/>
                <w:szCs w:val="23"/>
                <w:color w:val="auto"/>
              </w:rPr>
            </w:pPr>
          </w:p>
        </w:tc>
        <w:tc>
          <w:tcPr>
            <w:tcW w:w="1160" w:type="dxa"/>
            <w:vAlign w:val="bottom"/>
          </w:tcPr>
          <w:p>
            <w:pPr>
              <w:ind w:left="8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5"/>
        </w:trPr>
        <w:tc>
          <w:tcPr>
            <w:tcW w:w="3300" w:type="dxa"/>
            <w:vAlign w:val="bottom"/>
            <w:shd w:val="clear" w:color="auto" w:fill="D8D8D8"/>
          </w:tcPr>
          <w:p>
            <w:pPr>
              <w:ind w:left="180"/>
              <w:spacing w:after="0"/>
              <w:rPr>
                <w:sz w:val="20"/>
                <w:szCs w:val="20"/>
                <w:color w:val="auto"/>
              </w:rPr>
            </w:pPr>
            <w:r>
              <w:rPr>
                <w:rFonts w:ascii="Arial" w:cs="Arial" w:eastAsia="Arial" w:hAnsi="Arial"/>
                <w:sz w:val="18"/>
                <w:szCs w:val="18"/>
                <w:color w:val="auto"/>
              </w:rPr>
              <w:t>Marketable equity securities</w:t>
            </w:r>
          </w:p>
        </w:tc>
        <w:tc>
          <w:tcPr>
            <w:tcW w:w="220" w:type="dxa"/>
            <w:vAlign w:val="bottom"/>
            <w:shd w:val="clear" w:color="auto" w:fill="D8D8D8"/>
          </w:tcPr>
          <w:p>
            <w:pPr>
              <w:spacing w:after="0"/>
              <w:rPr>
                <w:sz w:val="23"/>
                <w:szCs w:val="23"/>
                <w:color w:val="auto"/>
              </w:rPr>
            </w:pPr>
          </w:p>
        </w:tc>
        <w:tc>
          <w:tcPr>
            <w:tcW w:w="940" w:type="dxa"/>
            <w:vAlign w:val="bottom"/>
            <w:shd w:val="clear" w:color="auto" w:fill="D8D8D8"/>
          </w:tcPr>
          <w:p>
            <w:pPr>
              <w:jc w:val="right"/>
              <w:ind w:right="32"/>
              <w:spacing w:after="0"/>
              <w:rPr>
                <w:sz w:val="20"/>
                <w:szCs w:val="20"/>
                <w:color w:val="auto"/>
              </w:rPr>
            </w:pPr>
            <w:r>
              <w:rPr>
                <w:rFonts w:ascii="Arial" w:cs="Arial" w:eastAsia="Arial" w:hAnsi="Arial"/>
                <w:sz w:val="18"/>
                <w:szCs w:val="18"/>
                <w:color w:val="auto"/>
              </w:rPr>
              <w:t>204.8</w:t>
            </w:r>
          </w:p>
        </w:tc>
        <w:tc>
          <w:tcPr>
            <w:tcW w:w="340" w:type="dxa"/>
            <w:vAlign w:val="bottom"/>
            <w:shd w:val="clear" w:color="auto" w:fill="D8D8D8"/>
          </w:tcPr>
          <w:p>
            <w:pPr>
              <w:spacing w:after="0"/>
              <w:rPr>
                <w:sz w:val="23"/>
                <w:szCs w:val="23"/>
                <w:color w:val="auto"/>
              </w:rPr>
            </w:pPr>
          </w:p>
        </w:tc>
        <w:tc>
          <w:tcPr>
            <w:tcW w:w="900" w:type="dxa"/>
            <w:vAlign w:val="bottom"/>
            <w:shd w:val="clear" w:color="auto" w:fill="D8D8D8"/>
          </w:tcPr>
          <w:p>
            <w:pPr>
              <w:jc w:val="right"/>
              <w:ind w:right="11"/>
              <w:spacing w:after="0"/>
              <w:rPr>
                <w:sz w:val="20"/>
                <w:szCs w:val="20"/>
                <w:color w:val="auto"/>
              </w:rPr>
            </w:pPr>
            <w:r>
              <w:rPr>
                <w:rFonts w:ascii="Arial" w:cs="Arial" w:eastAsia="Arial" w:hAnsi="Arial"/>
                <w:sz w:val="18"/>
                <w:szCs w:val="18"/>
                <w:color w:val="auto"/>
              </w:rPr>
              <w:t>44.0</w:t>
            </w:r>
          </w:p>
        </w:tc>
        <w:tc>
          <w:tcPr>
            <w:tcW w:w="120" w:type="dxa"/>
            <w:vAlign w:val="bottom"/>
            <w:shd w:val="clear" w:color="auto" w:fill="D8D8D8"/>
          </w:tcPr>
          <w:p>
            <w:pPr>
              <w:spacing w:after="0"/>
              <w:rPr>
                <w:sz w:val="23"/>
                <w:szCs w:val="23"/>
                <w:color w:val="auto"/>
              </w:rPr>
            </w:pPr>
          </w:p>
        </w:tc>
        <w:tc>
          <w:tcPr>
            <w:tcW w:w="140" w:type="dxa"/>
            <w:vAlign w:val="bottom"/>
            <w:shd w:val="clear" w:color="auto" w:fill="D8D8D8"/>
          </w:tcPr>
          <w:p>
            <w:pPr>
              <w:spacing w:after="0"/>
              <w:rPr>
                <w:sz w:val="23"/>
                <w:szCs w:val="23"/>
                <w:color w:val="auto"/>
              </w:rPr>
            </w:pPr>
          </w:p>
        </w:tc>
        <w:tc>
          <w:tcPr>
            <w:tcW w:w="1240" w:type="dxa"/>
            <w:vAlign w:val="bottom"/>
            <w:shd w:val="clear" w:color="auto" w:fill="D8D8D8"/>
          </w:tcPr>
          <w:p>
            <w:pPr>
              <w:jc w:val="right"/>
              <w:ind w:right="35"/>
              <w:spacing w:after="0"/>
              <w:rPr>
                <w:sz w:val="20"/>
                <w:szCs w:val="20"/>
                <w:color w:val="auto"/>
              </w:rPr>
            </w:pPr>
            <w:r>
              <w:rPr>
                <w:rFonts w:ascii="Arial" w:cs="Arial" w:eastAsia="Arial" w:hAnsi="Arial"/>
                <w:sz w:val="18"/>
                <w:szCs w:val="18"/>
                <w:color w:val="auto"/>
              </w:rPr>
              <w:t>204.8</w:t>
            </w:r>
          </w:p>
        </w:tc>
        <w:tc>
          <w:tcPr>
            <w:tcW w:w="340" w:type="dxa"/>
            <w:vAlign w:val="bottom"/>
            <w:shd w:val="clear" w:color="auto" w:fill="D8D8D8"/>
          </w:tcPr>
          <w:p>
            <w:pPr>
              <w:spacing w:after="0"/>
              <w:rPr>
                <w:sz w:val="23"/>
                <w:szCs w:val="23"/>
                <w:color w:val="auto"/>
              </w:rPr>
            </w:pPr>
          </w:p>
        </w:tc>
        <w:tc>
          <w:tcPr>
            <w:tcW w:w="1160" w:type="dxa"/>
            <w:vAlign w:val="bottom"/>
            <w:shd w:val="clear" w:color="auto" w:fill="D8D8D8"/>
          </w:tcPr>
          <w:p>
            <w:pPr>
              <w:jc w:val="right"/>
              <w:ind w:right="35"/>
              <w:spacing w:after="0"/>
              <w:rPr>
                <w:sz w:val="20"/>
                <w:szCs w:val="20"/>
                <w:color w:val="auto"/>
              </w:rPr>
            </w:pPr>
            <w:r>
              <w:rPr>
                <w:rFonts w:ascii="Arial" w:cs="Arial" w:eastAsia="Arial" w:hAnsi="Arial"/>
                <w:sz w:val="18"/>
                <w:szCs w:val="18"/>
                <w:color w:val="auto"/>
              </w:rPr>
              <w:t>—</w:t>
            </w:r>
          </w:p>
        </w:tc>
        <w:tc>
          <w:tcPr>
            <w:tcW w:w="300" w:type="dxa"/>
            <w:vAlign w:val="bottom"/>
            <w:shd w:val="clear" w:color="auto" w:fill="D8D8D8"/>
          </w:tcPr>
          <w:p>
            <w:pPr>
              <w:spacing w:after="0"/>
              <w:rPr>
                <w:sz w:val="23"/>
                <w:szCs w:val="23"/>
                <w:color w:val="auto"/>
              </w:rPr>
            </w:pPr>
          </w:p>
        </w:tc>
        <w:tc>
          <w:tcPr>
            <w:tcW w:w="1160" w:type="dxa"/>
            <w:vAlign w:val="bottom"/>
            <w:shd w:val="clear" w:color="auto" w:fill="D8D8D8"/>
          </w:tcPr>
          <w:p>
            <w:pPr>
              <w:ind w:left="880"/>
              <w:spacing w:after="0"/>
              <w:rPr>
                <w:sz w:val="20"/>
                <w:szCs w:val="20"/>
                <w:color w:val="auto"/>
              </w:rPr>
            </w:pPr>
            <w:r>
              <w:rPr>
                <w:rFonts w:ascii="Arial" w:cs="Arial" w:eastAsia="Arial" w:hAnsi="Arial"/>
                <w:sz w:val="18"/>
                <w:szCs w:val="18"/>
                <w:color w:val="auto"/>
              </w:rPr>
              <w:t>—</w:t>
            </w:r>
          </w:p>
        </w:tc>
        <w:tc>
          <w:tcPr>
            <w:tcW w:w="380" w:type="dxa"/>
            <w:vAlign w:val="bottom"/>
            <w:shd w:val="clear" w:color="auto" w:fill="D8D8D8"/>
          </w:tcPr>
          <w:p>
            <w:pPr>
              <w:spacing w:after="0"/>
              <w:rPr>
                <w:sz w:val="23"/>
                <w:szCs w:val="23"/>
                <w:color w:val="auto"/>
              </w:rPr>
            </w:pPr>
          </w:p>
        </w:tc>
        <w:tc>
          <w:tcPr>
            <w:tcW w:w="880" w:type="dxa"/>
            <w:vAlign w:val="bottom"/>
            <w:shd w:val="clear" w:color="auto" w:fill="D8D8D8"/>
          </w:tcPr>
          <w:p>
            <w:pPr>
              <w:jc w:val="right"/>
              <w:ind w:right="12"/>
              <w:spacing w:after="0"/>
              <w:rPr>
                <w:sz w:val="20"/>
                <w:szCs w:val="20"/>
                <w:color w:val="auto"/>
              </w:rPr>
            </w:pPr>
            <w:r>
              <w:rPr>
                <w:rFonts w:ascii="Arial" w:cs="Arial" w:eastAsia="Arial" w:hAnsi="Arial"/>
                <w:sz w:val="18"/>
                <w:szCs w:val="18"/>
                <w:color w:val="auto"/>
              </w:rPr>
              <w:t>204.8</w:t>
            </w:r>
          </w:p>
        </w:tc>
        <w:tc>
          <w:tcPr>
            <w:tcW w:w="0" w:type="dxa"/>
            <w:vAlign w:val="bottom"/>
          </w:tcPr>
          <w:p>
            <w:pPr>
              <w:spacing w:after="0"/>
              <w:rPr>
                <w:sz w:val="1"/>
                <w:szCs w:val="1"/>
                <w:color w:val="auto"/>
              </w:rPr>
            </w:pPr>
          </w:p>
        </w:tc>
      </w:tr>
      <w:tr>
        <w:trPr>
          <w:trHeight w:val="270"/>
        </w:trPr>
        <w:tc>
          <w:tcPr>
            <w:tcW w:w="3300" w:type="dxa"/>
            <w:vAlign w:val="bottom"/>
            <w:tcBorders>
              <w:bottom w:val="single" w:sz="8" w:color="D8D8D8"/>
            </w:tcBorders>
          </w:tcPr>
          <w:p>
            <w:pPr>
              <w:ind w:left="180"/>
              <w:spacing w:after="0"/>
              <w:rPr>
                <w:sz w:val="20"/>
                <w:szCs w:val="20"/>
                <w:color w:val="auto"/>
              </w:rPr>
            </w:pPr>
            <w:r>
              <w:rPr>
                <w:rFonts w:ascii="Arial" w:cs="Arial" w:eastAsia="Arial" w:hAnsi="Arial"/>
                <w:sz w:val="18"/>
                <w:szCs w:val="18"/>
                <w:color w:val="auto"/>
              </w:rPr>
              <w:t>Other investments</w:t>
            </w:r>
            <w:r>
              <w:rPr>
                <w:rFonts w:ascii="Arial" w:cs="Arial" w:eastAsia="Arial" w:hAnsi="Arial"/>
                <w:sz w:val="21"/>
                <w:szCs w:val="21"/>
                <w:color w:val="auto"/>
                <w:vertAlign w:val="superscript"/>
              </w:rPr>
              <w:t>(2)</w:t>
            </w:r>
          </w:p>
        </w:tc>
        <w:tc>
          <w:tcPr>
            <w:tcW w:w="22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446.7</w:t>
            </w:r>
          </w:p>
        </w:tc>
        <w:tc>
          <w:tcPr>
            <w:tcW w:w="3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446.7</w:t>
            </w:r>
          </w:p>
        </w:tc>
        <w:tc>
          <w:tcPr>
            <w:tcW w:w="120" w:type="dxa"/>
            <w:vAlign w:val="bottom"/>
            <w:tcBorders>
              <w:bottom w:val="single" w:sz="8" w:color="D8D8D8"/>
            </w:tcBorders>
          </w:tcPr>
          <w:p>
            <w:pPr>
              <w:spacing w:after="0"/>
              <w:rPr>
                <w:sz w:val="23"/>
                <w:szCs w:val="23"/>
                <w:color w:val="auto"/>
              </w:rPr>
            </w:pPr>
          </w:p>
        </w:tc>
        <w:tc>
          <w:tcPr>
            <w:tcW w:w="140" w:type="dxa"/>
            <w:vAlign w:val="bottom"/>
            <w:tcBorders>
              <w:bottom w:val="single" w:sz="8" w:color="D8D8D8"/>
            </w:tcBorders>
          </w:tcPr>
          <w:p>
            <w:pPr>
              <w:spacing w:after="0"/>
              <w:rPr>
                <w:sz w:val="23"/>
                <w:szCs w:val="23"/>
                <w:color w:val="auto"/>
              </w:rPr>
            </w:pPr>
          </w:p>
        </w:tc>
        <w:tc>
          <w:tcPr>
            <w:tcW w:w="1240" w:type="dxa"/>
            <w:vAlign w:val="bottom"/>
            <w:tcBorders>
              <w:bottom w:val="single" w:sz="8" w:color="D8D8D8"/>
            </w:tcBorders>
          </w:tcPr>
          <w:p>
            <w:pPr>
              <w:spacing w:after="0"/>
              <w:rPr>
                <w:sz w:val="23"/>
                <w:szCs w:val="23"/>
                <w:color w:val="auto"/>
              </w:rPr>
            </w:pPr>
          </w:p>
        </w:tc>
        <w:tc>
          <w:tcPr>
            <w:tcW w:w="340" w:type="dxa"/>
            <w:vAlign w:val="bottom"/>
            <w:tcBorders>
              <w:bottom w:val="single" w:sz="8" w:color="D8D8D8"/>
            </w:tcBorders>
          </w:tcPr>
          <w:p>
            <w:pPr>
              <w:spacing w:after="0"/>
              <w:rPr>
                <w:sz w:val="23"/>
                <w:szCs w:val="23"/>
                <w:color w:val="auto"/>
              </w:rPr>
            </w:pPr>
          </w:p>
        </w:tc>
        <w:tc>
          <w:tcPr>
            <w:tcW w:w="1160" w:type="dxa"/>
            <w:vAlign w:val="bottom"/>
            <w:tcBorders>
              <w:bottom w:val="single" w:sz="8" w:color="D8D8D8"/>
            </w:tcBorders>
          </w:tcPr>
          <w:p>
            <w:pPr>
              <w:spacing w:after="0"/>
              <w:rPr>
                <w:sz w:val="23"/>
                <w:szCs w:val="23"/>
                <w:color w:val="auto"/>
              </w:rPr>
            </w:pPr>
          </w:p>
        </w:tc>
        <w:tc>
          <w:tcPr>
            <w:tcW w:w="300" w:type="dxa"/>
            <w:vAlign w:val="bottom"/>
            <w:tcBorders>
              <w:bottom w:val="single" w:sz="8" w:color="D8D8D8"/>
            </w:tcBorders>
          </w:tcPr>
          <w:p>
            <w:pPr>
              <w:spacing w:after="0"/>
              <w:rPr>
                <w:sz w:val="23"/>
                <w:szCs w:val="23"/>
                <w:color w:val="auto"/>
              </w:rPr>
            </w:pPr>
          </w:p>
        </w:tc>
        <w:tc>
          <w:tcPr>
            <w:tcW w:w="1160" w:type="dxa"/>
            <w:vAlign w:val="bottom"/>
            <w:tcBorders>
              <w:bottom w:val="single" w:sz="8" w:color="D8D8D8"/>
            </w:tcBorders>
          </w:tcPr>
          <w:p>
            <w:pPr>
              <w:spacing w:after="0"/>
              <w:rPr>
                <w:sz w:val="23"/>
                <w:szCs w:val="23"/>
                <w:color w:val="auto"/>
              </w:rPr>
            </w:pPr>
          </w:p>
        </w:tc>
        <w:tc>
          <w:tcPr>
            <w:tcW w:w="380" w:type="dxa"/>
            <w:vAlign w:val="bottom"/>
            <w:tcBorders>
              <w:bottom w:val="single" w:sz="8" w:color="D8D8D8"/>
            </w:tcBorders>
          </w:tcPr>
          <w:p>
            <w:pPr>
              <w:spacing w:after="0"/>
              <w:rPr>
                <w:sz w:val="23"/>
                <w:szCs w:val="23"/>
                <w:color w:val="auto"/>
              </w:rPr>
            </w:pPr>
          </w:p>
        </w:tc>
        <w:tc>
          <w:tcPr>
            <w:tcW w:w="880" w:type="dxa"/>
            <w:vAlign w:val="bottom"/>
            <w:tcBorders>
              <w:bottom w:val="single" w:sz="8" w:color="D8D8D8"/>
            </w:tcBorders>
          </w:tcPr>
          <w:p>
            <w:pPr>
              <w:spacing w:after="0"/>
              <w:rPr>
                <w:sz w:val="23"/>
                <w:szCs w:val="23"/>
                <w:color w:val="auto"/>
              </w:rPr>
            </w:pPr>
          </w:p>
        </w:tc>
        <w:tc>
          <w:tcPr>
            <w:tcW w:w="0" w:type="dxa"/>
            <w:vAlign w:val="bottom"/>
          </w:tcPr>
          <w:p>
            <w:pPr>
              <w:spacing w:after="0"/>
              <w:rPr>
                <w:sz w:val="1"/>
                <w:szCs w:val="1"/>
                <w:color w:val="auto"/>
              </w:rPr>
            </w:pPr>
          </w:p>
        </w:tc>
      </w:tr>
      <w:tr>
        <w:trPr>
          <w:trHeight w:val="271"/>
        </w:trPr>
        <w:tc>
          <w:tcPr>
            <w:tcW w:w="3300" w:type="dxa"/>
            <w:vAlign w:val="bottom"/>
            <w:tcBorders>
              <w:bottom w:val="single" w:sz="8" w:color="D8D8D8"/>
            </w:tcBorders>
            <w:shd w:val="clear" w:color="auto" w:fill="D8D8D8"/>
          </w:tcPr>
          <w:p>
            <w:pPr>
              <w:ind w:left="180"/>
              <w:spacing w:after="0"/>
              <w:rPr>
                <w:sz w:val="20"/>
                <w:szCs w:val="20"/>
                <w:color w:val="auto"/>
              </w:rPr>
            </w:pPr>
            <w:r>
              <w:rPr>
                <w:rFonts w:ascii="Arial" w:cs="Arial" w:eastAsia="Arial" w:hAnsi="Arial"/>
                <w:sz w:val="18"/>
                <w:szCs w:val="18"/>
                <w:color w:val="auto"/>
              </w:rPr>
              <w:t>Noncurrent investments</w:t>
            </w:r>
          </w:p>
        </w:tc>
        <w:tc>
          <w:tcPr>
            <w:tcW w:w="22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D8D8D8"/>
          </w:tcPr>
          <w:p>
            <w:pPr>
              <w:jc w:val="right"/>
              <w:ind w:right="32"/>
              <w:spacing w:after="0"/>
              <w:rPr>
                <w:sz w:val="20"/>
                <w:szCs w:val="20"/>
                <w:color w:val="auto"/>
              </w:rPr>
            </w:pPr>
            <w:r>
              <w:rPr>
                <w:rFonts w:ascii="Arial" w:cs="Arial" w:eastAsia="Arial" w:hAnsi="Arial"/>
                <w:sz w:val="18"/>
                <w:szCs w:val="18"/>
                <w:color w:val="auto"/>
              </w:rPr>
              <w:t>4,568.9</w:t>
            </w:r>
          </w:p>
        </w:tc>
        <w:tc>
          <w:tcPr>
            <w:tcW w:w="340" w:type="dxa"/>
            <w:vAlign w:val="bottom"/>
            <w:tcBorders>
              <w:bottom w:val="single" w:sz="8" w:color="auto"/>
            </w:tcBorders>
            <w:shd w:val="clear" w:color="auto" w:fill="D8D8D8"/>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D8D8D8"/>
          </w:tcPr>
          <w:p>
            <w:pPr>
              <w:jc w:val="right"/>
              <w:ind w:right="11"/>
              <w:spacing w:after="0"/>
              <w:rPr>
                <w:sz w:val="20"/>
                <w:szCs w:val="20"/>
                <w:color w:val="auto"/>
              </w:rPr>
            </w:pPr>
            <w:r>
              <w:rPr>
                <w:rFonts w:ascii="Arial" w:cs="Arial" w:eastAsia="Arial" w:hAnsi="Arial"/>
                <w:sz w:val="18"/>
                <w:szCs w:val="18"/>
                <w:color w:val="auto"/>
              </w:rPr>
              <w:t>4,415.9</w:t>
            </w:r>
          </w:p>
        </w:tc>
        <w:tc>
          <w:tcPr>
            <w:tcW w:w="120" w:type="dxa"/>
            <w:vAlign w:val="bottom"/>
            <w:tcBorders>
              <w:bottom w:val="single" w:sz="8" w:color="D8D8D8"/>
            </w:tcBorders>
            <w:shd w:val="clear" w:color="auto" w:fill="D8D8D8"/>
          </w:tcPr>
          <w:p>
            <w:pPr>
              <w:spacing w:after="0"/>
              <w:rPr>
                <w:sz w:val="23"/>
                <w:szCs w:val="23"/>
                <w:color w:val="auto"/>
              </w:rPr>
            </w:pPr>
          </w:p>
        </w:tc>
        <w:tc>
          <w:tcPr>
            <w:tcW w:w="140" w:type="dxa"/>
            <w:vAlign w:val="bottom"/>
            <w:tcBorders>
              <w:bottom w:val="single" w:sz="8" w:color="D8D8D8"/>
            </w:tcBorders>
            <w:shd w:val="clear" w:color="auto" w:fill="D8D8D8"/>
          </w:tcPr>
          <w:p>
            <w:pPr>
              <w:spacing w:after="0"/>
              <w:rPr>
                <w:sz w:val="23"/>
                <w:szCs w:val="23"/>
                <w:color w:val="auto"/>
              </w:rPr>
            </w:pPr>
          </w:p>
        </w:tc>
        <w:tc>
          <w:tcPr>
            <w:tcW w:w="1240" w:type="dxa"/>
            <w:vAlign w:val="bottom"/>
            <w:tcBorders>
              <w:bottom w:val="single" w:sz="8" w:color="D8D8D8"/>
            </w:tcBorders>
            <w:shd w:val="clear" w:color="auto" w:fill="D8D8D8"/>
          </w:tcPr>
          <w:p>
            <w:pPr>
              <w:spacing w:after="0"/>
              <w:rPr>
                <w:sz w:val="23"/>
                <w:szCs w:val="23"/>
                <w:color w:val="auto"/>
              </w:rPr>
            </w:pPr>
          </w:p>
        </w:tc>
        <w:tc>
          <w:tcPr>
            <w:tcW w:w="340" w:type="dxa"/>
            <w:vAlign w:val="bottom"/>
            <w:tcBorders>
              <w:bottom w:val="single" w:sz="8" w:color="D8D8D8"/>
            </w:tcBorders>
            <w:shd w:val="clear" w:color="auto" w:fill="D8D8D8"/>
          </w:tcPr>
          <w:p>
            <w:pPr>
              <w:spacing w:after="0"/>
              <w:rPr>
                <w:sz w:val="23"/>
                <w:szCs w:val="23"/>
                <w:color w:val="auto"/>
              </w:rPr>
            </w:pPr>
          </w:p>
        </w:tc>
        <w:tc>
          <w:tcPr>
            <w:tcW w:w="1160" w:type="dxa"/>
            <w:vAlign w:val="bottom"/>
            <w:tcBorders>
              <w:bottom w:val="single" w:sz="8" w:color="D8D8D8"/>
            </w:tcBorders>
            <w:shd w:val="clear" w:color="auto" w:fill="D8D8D8"/>
          </w:tcPr>
          <w:p>
            <w:pPr>
              <w:spacing w:after="0"/>
              <w:rPr>
                <w:sz w:val="23"/>
                <w:szCs w:val="23"/>
                <w:color w:val="auto"/>
              </w:rPr>
            </w:pPr>
          </w:p>
        </w:tc>
        <w:tc>
          <w:tcPr>
            <w:tcW w:w="300" w:type="dxa"/>
            <w:vAlign w:val="bottom"/>
            <w:tcBorders>
              <w:bottom w:val="single" w:sz="8" w:color="D8D8D8"/>
            </w:tcBorders>
            <w:shd w:val="clear" w:color="auto" w:fill="D8D8D8"/>
          </w:tcPr>
          <w:p>
            <w:pPr>
              <w:spacing w:after="0"/>
              <w:rPr>
                <w:sz w:val="23"/>
                <w:szCs w:val="23"/>
                <w:color w:val="auto"/>
              </w:rPr>
            </w:pPr>
          </w:p>
        </w:tc>
        <w:tc>
          <w:tcPr>
            <w:tcW w:w="1160" w:type="dxa"/>
            <w:vAlign w:val="bottom"/>
            <w:tcBorders>
              <w:bottom w:val="single" w:sz="8" w:color="D8D8D8"/>
            </w:tcBorders>
            <w:shd w:val="clear" w:color="auto" w:fill="D8D8D8"/>
          </w:tcPr>
          <w:p>
            <w:pPr>
              <w:spacing w:after="0"/>
              <w:rPr>
                <w:sz w:val="23"/>
                <w:szCs w:val="23"/>
                <w:color w:val="auto"/>
              </w:rPr>
            </w:pPr>
          </w:p>
        </w:tc>
        <w:tc>
          <w:tcPr>
            <w:tcW w:w="380" w:type="dxa"/>
            <w:vAlign w:val="bottom"/>
            <w:tcBorders>
              <w:bottom w:val="single" w:sz="8" w:color="D8D8D8"/>
            </w:tcBorders>
            <w:shd w:val="clear" w:color="auto" w:fill="D8D8D8"/>
          </w:tcPr>
          <w:p>
            <w:pPr>
              <w:spacing w:after="0"/>
              <w:rPr>
                <w:sz w:val="23"/>
                <w:szCs w:val="23"/>
                <w:color w:val="auto"/>
              </w:rPr>
            </w:pPr>
          </w:p>
        </w:tc>
        <w:tc>
          <w:tcPr>
            <w:tcW w:w="880" w:type="dxa"/>
            <w:vAlign w:val="bottom"/>
            <w:tcBorders>
              <w:bottom w:val="single" w:sz="8" w:color="D8D8D8"/>
            </w:tcBorders>
            <w:shd w:val="clear" w:color="auto" w:fill="D8D8D8"/>
          </w:tcPr>
          <w:p>
            <w:pPr>
              <w:spacing w:after="0"/>
              <w:rPr>
                <w:sz w:val="23"/>
                <w:szCs w:val="23"/>
                <w:color w:val="auto"/>
              </w:rPr>
            </w:pPr>
          </w:p>
        </w:tc>
        <w:tc>
          <w:tcPr>
            <w:tcW w:w="0" w:type="dxa"/>
            <w:vAlign w:val="bottom"/>
          </w:tcPr>
          <w:p>
            <w:pPr>
              <w:spacing w:after="0"/>
              <w:rPr>
                <w:sz w:val="1"/>
                <w:szCs w:val="1"/>
                <w:color w:val="auto"/>
              </w:rPr>
            </w:pPr>
          </w:p>
        </w:tc>
      </w:tr>
    </w:tbl>
    <w:p>
      <w:pPr>
        <w:spacing w:after="0" w:line="28" w:lineRule="exact"/>
        <w:rPr>
          <w:sz w:val="20"/>
          <w:szCs w:val="20"/>
          <w:color w:val="auto"/>
        </w:rPr>
      </w:pPr>
    </w:p>
    <w:p>
      <w:pPr>
        <w:ind w:left="160" w:hanging="152"/>
        <w:spacing w:after="0"/>
        <w:tabs>
          <w:tab w:leader="none" w:pos="160" w:val="left"/>
        </w:tabs>
        <w:numPr>
          <w:ilvl w:val="0"/>
          <w:numId w:val="61"/>
        </w:numPr>
        <w:rPr>
          <w:rFonts w:ascii="Arial" w:cs="Arial" w:eastAsia="Arial" w:hAnsi="Arial"/>
          <w:sz w:val="18"/>
          <w:szCs w:val="18"/>
          <w:color w:val="auto"/>
          <w:vertAlign w:val="superscript"/>
        </w:rPr>
      </w:pPr>
      <w:r>
        <w:rPr>
          <w:rFonts w:ascii="Arial" w:cs="Arial" w:eastAsia="Arial" w:hAnsi="Arial"/>
          <w:sz w:val="14"/>
          <w:szCs w:val="14"/>
          <w:color w:val="auto"/>
        </w:rPr>
        <w:t>For available-for-sale debt securities, amounts disclosed represent the securities' amortized cost.</w:t>
      </w:r>
    </w:p>
    <w:p>
      <w:pPr>
        <w:spacing w:after="0" w:line="63" w:lineRule="exact"/>
        <w:rPr>
          <w:rFonts w:ascii="Arial" w:cs="Arial" w:eastAsia="Arial" w:hAnsi="Arial"/>
          <w:sz w:val="18"/>
          <w:szCs w:val="18"/>
          <w:color w:val="auto"/>
          <w:vertAlign w:val="superscript"/>
        </w:rPr>
      </w:pPr>
    </w:p>
    <w:p>
      <w:pPr>
        <w:ind w:left="160" w:hanging="152"/>
        <w:spacing w:after="0"/>
        <w:tabs>
          <w:tab w:leader="none" w:pos="160" w:val="left"/>
        </w:tabs>
        <w:numPr>
          <w:ilvl w:val="0"/>
          <w:numId w:val="61"/>
        </w:numPr>
        <w:rPr>
          <w:rFonts w:ascii="Arial" w:cs="Arial" w:eastAsia="Arial" w:hAnsi="Arial"/>
          <w:sz w:val="18"/>
          <w:szCs w:val="18"/>
          <w:color w:val="auto"/>
          <w:vertAlign w:val="superscript"/>
        </w:rPr>
      </w:pPr>
      <w:r>
        <w:rPr>
          <w:rFonts w:ascii="Arial" w:cs="Arial" w:eastAsia="Arial" w:hAnsi="Arial"/>
          <w:sz w:val="14"/>
          <w:szCs w:val="14"/>
          <w:color w:val="auto"/>
        </w:rPr>
        <w:t>Primarily includes investments accounted for under the cost method and equity method for which fair value disclosures are not applicable.</w:t>
      </w:r>
    </w:p>
    <w:p>
      <w:pPr>
        <w:sectPr>
          <w:pgSz w:w="11900" w:h="16838" w:orient="portrait"/>
          <w:cols w:equalWidth="0" w:num="1">
            <w:col w:w="11420"/>
          </w:cols>
          <w:pgMar w:left="240" w:top="73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76</w:t>
      </w:r>
    </w:p>
    <w:p>
      <w:pPr>
        <w:sectPr>
          <w:pgSz w:w="11900" w:h="16838" w:orient="portrait"/>
          <w:cols w:equalWidth="0" w:num="1">
            <w:col w:w="11420"/>
          </w:cols>
          <w:pgMar w:left="240" w:top="736" w:right="239" w:bottom="1440" w:gutter="0" w:footer="0" w:header="0"/>
          <w:type w:val="continuous"/>
        </w:sectPr>
      </w:pPr>
    </w:p>
    <w:bookmarkStart w:id="76" w:name="page77"/>
    <w:bookmarkEnd w:id="76"/>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4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860" w:type="dxa"/>
            <w:vAlign w:val="bottom"/>
            <w:tcBorders>
              <w:bottom w:val="single" w:sz="8" w:color="auto"/>
            </w:tcBorders>
            <w:gridSpan w:val="6"/>
          </w:tcPr>
          <w:p>
            <w:pPr>
              <w:ind w:left="940"/>
              <w:spacing w:after="0"/>
              <w:rPr>
                <w:sz w:val="20"/>
                <w:szCs w:val="20"/>
                <w:color w:val="auto"/>
              </w:rPr>
            </w:pPr>
            <w:r>
              <w:rPr>
                <w:rFonts w:ascii="Arial" w:cs="Arial" w:eastAsia="Arial" w:hAnsi="Arial"/>
                <w:sz w:val="13"/>
                <w:szCs w:val="13"/>
                <w:b w:val="1"/>
                <w:bCs w:val="1"/>
                <w:color w:val="auto"/>
              </w:rPr>
              <w:t>Fair Value Measurements Using</w:t>
            </w: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4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vMerge w:val="restart"/>
          </w:tcPr>
          <w:p>
            <w:pPr>
              <w:jc w:val="center"/>
              <w:ind w:right="79"/>
              <w:spacing w:after="0"/>
              <w:rPr>
                <w:sz w:val="20"/>
                <w:szCs w:val="20"/>
                <w:color w:val="auto"/>
              </w:rPr>
            </w:pPr>
            <w:r>
              <w:rPr>
                <w:rFonts w:ascii="Arial" w:cs="Arial" w:eastAsia="Arial" w:hAnsi="Arial"/>
                <w:sz w:val="13"/>
                <w:szCs w:val="13"/>
                <w:b w:val="1"/>
                <w:bCs w:val="1"/>
                <w:color w:val="auto"/>
                <w:w w:val="96"/>
              </w:rPr>
              <w:t>Quoted Prices in</w:t>
            </w:r>
          </w:p>
        </w:tc>
        <w:tc>
          <w:tcPr>
            <w:tcW w:w="280" w:type="dxa"/>
            <w:vAlign w:val="bottom"/>
          </w:tcPr>
          <w:p>
            <w:pPr>
              <w:spacing w:after="0"/>
              <w:rPr>
                <w:sz w:val="11"/>
                <w:szCs w:val="11"/>
                <w:color w:val="auto"/>
              </w:rPr>
            </w:pPr>
          </w:p>
        </w:tc>
        <w:tc>
          <w:tcPr>
            <w:tcW w:w="1100" w:type="dxa"/>
            <w:vAlign w:val="bottom"/>
          </w:tcPr>
          <w:p>
            <w:pPr>
              <w:jc w:val="center"/>
              <w:ind w:right="161"/>
              <w:spacing w:after="0" w:line="136" w:lineRule="exact"/>
              <w:rPr>
                <w:sz w:val="20"/>
                <w:szCs w:val="20"/>
                <w:color w:val="auto"/>
              </w:rPr>
            </w:pPr>
            <w:r>
              <w:rPr>
                <w:rFonts w:ascii="Arial" w:cs="Arial" w:eastAsia="Arial" w:hAnsi="Arial"/>
                <w:sz w:val="13"/>
                <w:szCs w:val="13"/>
                <w:b w:val="1"/>
                <w:bCs w:val="1"/>
                <w:color w:val="auto"/>
                <w:w w:val="99"/>
              </w:rPr>
              <w:t>Significant</w:t>
            </w:r>
          </w:p>
        </w:tc>
        <w:tc>
          <w:tcPr>
            <w:tcW w:w="220" w:type="dxa"/>
            <w:vAlign w:val="bottom"/>
          </w:tcPr>
          <w:p>
            <w:pPr>
              <w:spacing w:after="0"/>
              <w:rPr>
                <w:sz w:val="11"/>
                <w:szCs w:val="11"/>
                <w:color w:val="auto"/>
              </w:rPr>
            </w:pPr>
          </w:p>
        </w:tc>
        <w:tc>
          <w:tcPr>
            <w:tcW w:w="1100" w:type="dxa"/>
            <w:vAlign w:val="bottom"/>
            <w:gridSpan w:val="2"/>
            <w:vMerge w:val="restart"/>
          </w:tcPr>
          <w:p>
            <w:pPr>
              <w:jc w:val="center"/>
              <w:ind w:right="140"/>
              <w:spacing w:after="0"/>
              <w:rPr>
                <w:sz w:val="20"/>
                <w:szCs w:val="20"/>
                <w:color w:val="auto"/>
              </w:rPr>
            </w:pPr>
            <w:r>
              <w:rPr>
                <w:rFonts w:ascii="Arial" w:cs="Arial" w:eastAsia="Arial" w:hAnsi="Arial"/>
                <w:sz w:val="13"/>
                <w:szCs w:val="13"/>
                <w:b w:val="1"/>
                <w:bCs w:val="1"/>
                <w:color w:val="auto"/>
                <w:w w:val="96"/>
              </w:rPr>
              <w:t>Significant</w:t>
            </w:r>
          </w:p>
        </w:tc>
        <w:tc>
          <w:tcPr>
            <w:tcW w:w="4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1100" w:type="dxa"/>
            <w:vAlign w:val="bottom"/>
          </w:tcPr>
          <w:p>
            <w:pPr>
              <w:jc w:val="center"/>
              <w:ind w:right="161"/>
              <w:spacing w:after="0" w:line="135" w:lineRule="exact"/>
              <w:rPr>
                <w:sz w:val="20"/>
                <w:szCs w:val="20"/>
                <w:color w:val="auto"/>
              </w:rPr>
            </w:pPr>
            <w:r>
              <w:rPr>
                <w:rFonts w:ascii="Arial" w:cs="Arial" w:eastAsia="Arial" w:hAnsi="Arial"/>
                <w:sz w:val="13"/>
                <w:szCs w:val="13"/>
                <w:b w:val="1"/>
                <w:bCs w:val="1"/>
                <w:color w:val="auto"/>
                <w:w w:val="97"/>
              </w:rPr>
              <w:t>Other</w:t>
            </w:r>
          </w:p>
        </w:tc>
        <w:tc>
          <w:tcPr>
            <w:tcW w:w="22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4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20" w:type="dxa"/>
            <w:vAlign w:val="bottom"/>
            <w:gridSpan w:val="2"/>
            <w:vMerge w:val="restart"/>
          </w:tcPr>
          <w:p>
            <w:pPr>
              <w:ind w:left="120"/>
              <w:spacing w:after="0"/>
              <w:rPr>
                <w:sz w:val="20"/>
                <w:szCs w:val="20"/>
                <w:color w:val="auto"/>
              </w:rPr>
            </w:pPr>
            <w:r>
              <w:rPr>
                <w:rFonts w:ascii="Arial" w:cs="Arial" w:eastAsia="Arial" w:hAnsi="Arial"/>
                <w:sz w:val="13"/>
                <w:szCs w:val="13"/>
                <w:b w:val="1"/>
                <w:bCs w:val="1"/>
                <w:color w:val="auto"/>
              </w:rPr>
              <w:t>Carrying</w:t>
            </w:r>
          </w:p>
        </w:tc>
        <w:tc>
          <w:tcPr>
            <w:tcW w:w="128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7"/>
              </w:rPr>
              <w:t>Active Markets for</w:t>
            </w:r>
          </w:p>
        </w:tc>
        <w:tc>
          <w:tcPr>
            <w:tcW w:w="280" w:type="dxa"/>
            <w:vAlign w:val="bottom"/>
          </w:tcPr>
          <w:p>
            <w:pPr>
              <w:spacing w:after="0"/>
              <w:rPr>
                <w:sz w:val="11"/>
                <w:szCs w:val="11"/>
                <w:color w:val="auto"/>
              </w:rPr>
            </w:pPr>
          </w:p>
        </w:tc>
        <w:tc>
          <w:tcPr>
            <w:tcW w:w="1100" w:type="dxa"/>
            <w:vAlign w:val="bottom"/>
          </w:tcPr>
          <w:p>
            <w:pPr>
              <w:jc w:val="center"/>
              <w:ind w:right="161"/>
              <w:spacing w:after="0" w:line="135" w:lineRule="exact"/>
              <w:rPr>
                <w:sz w:val="20"/>
                <w:szCs w:val="20"/>
                <w:color w:val="auto"/>
              </w:rPr>
            </w:pPr>
            <w:r>
              <w:rPr>
                <w:rFonts w:ascii="Arial" w:cs="Arial" w:eastAsia="Arial" w:hAnsi="Arial"/>
                <w:sz w:val="13"/>
                <w:szCs w:val="13"/>
                <w:b w:val="1"/>
                <w:bCs w:val="1"/>
                <w:color w:val="auto"/>
                <w:w w:val="98"/>
              </w:rPr>
              <w:t>Observable</w:t>
            </w:r>
          </w:p>
        </w:tc>
        <w:tc>
          <w:tcPr>
            <w:tcW w:w="220" w:type="dxa"/>
            <w:vAlign w:val="bottom"/>
          </w:tcPr>
          <w:p>
            <w:pPr>
              <w:spacing w:after="0"/>
              <w:rPr>
                <w:sz w:val="11"/>
                <w:szCs w:val="11"/>
                <w:color w:val="auto"/>
              </w:rPr>
            </w:pPr>
          </w:p>
        </w:tc>
        <w:tc>
          <w:tcPr>
            <w:tcW w:w="110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97"/>
              </w:rPr>
              <w:t>Unobservable</w:t>
            </w:r>
          </w:p>
        </w:tc>
        <w:tc>
          <w:tcPr>
            <w:tcW w:w="400" w:type="dxa"/>
            <w:vAlign w:val="bottom"/>
          </w:tcPr>
          <w:p>
            <w:pPr>
              <w:spacing w:after="0"/>
              <w:rPr>
                <w:sz w:val="11"/>
                <w:szCs w:val="11"/>
                <w:color w:val="auto"/>
              </w:rPr>
            </w:pPr>
          </w:p>
        </w:tc>
        <w:tc>
          <w:tcPr>
            <w:tcW w:w="960" w:type="dxa"/>
            <w:vAlign w:val="bottom"/>
            <w:vMerge w:val="restart"/>
          </w:tcPr>
          <w:p>
            <w:pPr>
              <w:jc w:val="center"/>
              <w:ind w:right="196"/>
              <w:spacing w:after="0"/>
              <w:rPr>
                <w:sz w:val="20"/>
                <w:szCs w:val="20"/>
                <w:color w:val="auto"/>
              </w:rPr>
            </w:pPr>
            <w:r>
              <w:rPr>
                <w:rFonts w:ascii="Arial" w:cs="Arial" w:eastAsia="Arial" w:hAnsi="Arial"/>
                <w:sz w:val="13"/>
                <w:szCs w:val="13"/>
                <w:b w:val="1"/>
                <w:bCs w:val="1"/>
                <w:color w:val="auto"/>
              </w:rPr>
              <w:t>Fair</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2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Description</w:t>
            </w:r>
          </w:p>
        </w:tc>
        <w:tc>
          <w:tcPr>
            <w:tcW w:w="30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jc w:val="center"/>
              <w:ind w:right="79"/>
              <w:spacing w:after="0" w:line="135" w:lineRule="exact"/>
              <w:rPr>
                <w:sz w:val="20"/>
                <w:szCs w:val="20"/>
                <w:color w:val="auto"/>
              </w:rPr>
            </w:pPr>
            <w:r>
              <w:rPr>
                <w:rFonts w:ascii="Arial" w:cs="Arial" w:eastAsia="Arial" w:hAnsi="Arial"/>
                <w:sz w:val="13"/>
                <w:szCs w:val="13"/>
                <w:b w:val="1"/>
                <w:bCs w:val="1"/>
                <w:color w:val="auto"/>
                <w:w w:val="96"/>
              </w:rPr>
              <w:t>Identical Assets</w:t>
            </w:r>
          </w:p>
        </w:tc>
        <w:tc>
          <w:tcPr>
            <w:tcW w:w="280" w:type="dxa"/>
            <w:vAlign w:val="bottom"/>
          </w:tcPr>
          <w:p>
            <w:pPr>
              <w:spacing w:after="0"/>
              <w:rPr>
                <w:sz w:val="11"/>
                <w:szCs w:val="11"/>
                <w:color w:val="auto"/>
              </w:rPr>
            </w:pPr>
          </w:p>
        </w:tc>
        <w:tc>
          <w:tcPr>
            <w:tcW w:w="1100" w:type="dxa"/>
            <w:vAlign w:val="bottom"/>
          </w:tcPr>
          <w:p>
            <w:pPr>
              <w:jc w:val="center"/>
              <w:ind w:right="161"/>
              <w:spacing w:after="0" w:line="135" w:lineRule="exact"/>
              <w:rPr>
                <w:sz w:val="20"/>
                <w:szCs w:val="20"/>
                <w:color w:val="auto"/>
              </w:rPr>
            </w:pPr>
            <w:r>
              <w:rPr>
                <w:rFonts w:ascii="Arial" w:cs="Arial" w:eastAsia="Arial" w:hAnsi="Arial"/>
                <w:sz w:val="13"/>
                <w:szCs w:val="13"/>
                <w:b w:val="1"/>
                <w:bCs w:val="1"/>
                <w:color w:val="auto"/>
                <w:w w:val="97"/>
              </w:rPr>
              <w:t>Inputs</w:t>
            </w:r>
          </w:p>
        </w:tc>
        <w:tc>
          <w:tcPr>
            <w:tcW w:w="220" w:type="dxa"/>
            <w:vAlign w:val="bottom"/>
          </w:tcPr>
          <w:p>
            <w:pPr>
              <w:spacing w:after="0"/>
              <w:rPr>
                <w:sz w:val="11"/>
                <w:szCs w:val="11"/>
                <w:color w:val="auto"/>
              </w:rPr>
            </w:pPr>
          </w:p>
        </w:tc>
        <w:tc>
          <w:tcPr>
            <w:tcW w:w="110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97"/>
              </w:rPr>
              <w:t>Inputs</w:t>
            </w:r>
          </w:p>
        </w:tc>
        <w:tc>
          <w:tcPr>
            <w:tcW w:w="40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620" w:type="dxa"/>
            <w:vAlign w:val="bottom"/>
            <w:tcBorders>
              <w:bottom w:val="single" w:sz="8" w:color="auto"/>
            </w:tcBorders>
            <w:vMerge w:val="continue"/>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2"/>
          </w:tcPr>
          <w:p>
            <w:pPr>
              <w:ind w:left="140"/>
              <w:spacing w:after="0"/>
              <w:rPr>
                <w:sz w:val="20"/>
                <w:szCs w:val="20"/>
                <w:color w:val="auto"/>
              </w:rPr>
            </w:pPr>
            <w:r>
              <w:rPr>
                <w:rFonts w:ascii="Arial" w:cs="Arial" w:eastAsia="Arial" w:hAnsi="Arial"/>
                <w:sz w:val="13"/>
                <w:szCs w:val="13"/>
                <w:b w:val="1"/>
                <w:bCs w:val="1"/>
                <w:color w:val="auto"/>
              </w:rPr>
              <w:t>Amount</w:t>
            </w:r>
          </w:p>
        </w:tc>
        <w:tc>
          <w:tcPr>
            <w:tcW w:w="1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59"/>
              <w:spacing w:after="0"/>
              <w:rPr>
                <w:sz w:val="20"/>
                <w:szCs w:val="20"/>
                <w:color w:val="auto"/>
              </w:rPr>
            </w:pPr>
            <w:r>
              <w:rPr>
                <w:rFonts w:ascii="Arial" w:cs="Arial" w:eastAsia="Arial" w:hAnsi="Arial"/>
                <w:sz w:val="13"/>
                <w:szCs w:val="13"/>
                <w:b w:val="1"/>
                <w:bCs w:val="1"/>
                <w:color w:val="auto"/>
                <w:w w:val="94"/>
              </w:rPr>
              <w:t>(Level 1)</w:t>
            </w:r>
          </w:p>
        </w:tc>
        <w:tc>
          <w:tcPr>
            <w:tcW w:w="2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161"/>
              <w:spacing w:after="0"/>
              <w:rPr>
                <w:sz w:val="20"/>
                <w:szCs w:val="20"/>
                <w:color w:val="auto"/>
              </w:rPr>
            </w:pPr>
            <w:r>
              <w:rPr>
                <w:rFonts w:ascii="Arial" w:cs="Arial" w:eastAsia="Arial" w:hAnsi="Arial"/>
                <w:sz w:val="13"/>
                <w:szCs w:val="13"/>
                <w:b w:val="1"/>
                <w:bCs w:val="1"/>
                <w:color w:val="auto"/>
                <w:w w:val="94"/>
              </w:rPr>
              <w:t>(Level 2)</w:t>
            </w:r>
          </w:p>
        </w:tc>
        <w:tc>
          <w:tcPr>
            <w:tcW w:w="2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3"/>
                <w:szCs w:val="13"/>
                <w:b w:val="1"/>
                <w:bCs w:val="1"/>
                <w:color w:val="auto"/>
                <w:w w:val="98"/>
              </w:rPr>
              <w:t>(Level 3)</w:t>
            </w:r>
          </w:p>
        </w:tc>
        <w:tc>
          <w:tcPr>
            <w:tcW w:w="4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196"/>
              <w:spacing w:after="0"/>
              <w:rPr>
                <w:sz w:val="20"/>
                <w:szCs w:val="20"/>
                <w:color w:val="auto"/>
              </w:rPr>
            </w:pPr>
            <w:r>
              <w:rPr>
                <w:rFonts w:ascii="Arial" w:cs="Arial" w:eastAsia="Arial" w:hAnsi="Arial"/>
                <w:sz w:val="13"/>
                <w:szCs w:val="13"/>
                <w:b w:val="1"/>
                <w:bCs w:val="1"/>
                <w:color w:val="auto"/>
                <w:w w:val="92"/>
              </w:rPr>
              <w:t>Value</w:t>
            </w: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4620" w:type="dxa"/>
            <w:vAlign w:val="bottom"/>
            <w:shd w:val="clear" w:color="auto" w:fill="D8D8D8"/>
          </w:tcPr>
          <w:p>
            <w:pPr>
              <w:ind w:left="20"/>
              <w:spacing w:after="0"/>
              <w:rPr>
                <w:sz w:val="20"/>
                <w:szCs w:val="20"/>
                <w:color w:val="auto"/>
              </w:rPr>
            </w:pPr>
            <w:r>
              <w:rPr>
                <w:rFonts w:ascii="Arial" w:cs="Arial" w:eastAsia="Arial" w:hAnsi="Arial"/>
                <w:sz w:val="18"/>
                <w:szCs w:val="18"/>
                <w:b w:val="1"/>
                <w:bCs w:val="1"/>
                <w:color w:val="auto"/>
              </w:rPr>
              <w:t>Short-term commercial paper borrowings</w:t>
            </w:r>
          </w:p>
        </w:tc>
        <w:tc>
          <w:tcPr>
            <w:tcW w:w="300" w:type="dxa"/>
            <w:vAlign w:val="bottom"/>
            <w:shd w:val="clear" w:color="auto" w:fill="D8D8D8"/>
          </w:tcPr>
          <w:p>
            <w:pPr>
              <w:spacing w:after="0"/>
              <w:rPr>
                <w:sz w:val="23"/>
                <w:szCs w:val="23"/>
                <w:color w:val="auto"/>
              </w:rPr>
            </w:pPr>
          </w:p>
        </w:tc>
        <w:tc>
          <w:tcPr>
            <w:tcW w:w="1100" w:type="dxa"/>
            <w:vAlign w:val="bottom"/>
            <w:shd w:val="clear" w:color="auto" w:fill="D8D8D8"/>
          </w:tcPr>
          <w:p>
            <w:pPr>
              <w:spacing w:after="0"/>
              <w:rPr>
                <w:sz w:val="23"/>
                <w:szCs w:val="23"/>
                <w:color w:val="auto"/>
              </w:rPr>
            </w:pPr>
          </w:p>
        </w:tc>
        <w:tc>
          <w:tcPr>
            <w:tcW w:w="20" w:type="dxa"/>
            <w:vAlign w:val="bottom"/>
            <w:shd w:val="clear" w:color="auto" w:fill="D8D8D8"/>
          </w:tcPr>
          <w:p>
            <w:pPr>
              <w:spacing w:after="0"/>
              <w:rPr>
                <w:sz w:val="23"/>
                <w:szCs w:val="23"/>
                <w:color w:val="auto"/>
              </w:rPr>
            </w:pPr>
          </w:p>
        </w:tc>
        <w:tc>
          <w:tcPr>
            <w:tcW w:w="120" w:type="dxa"/>
            <w:vAlign w:val="bottom"/>
            <w:shd w:val="clear" w:color="auto" w:fill="D8D8D8"/>
          </w:tcPr>
          <w:p>
            <w:pPr>
              <w:spacing w:after="0"/>
              <w:rPr>
                <w:sz w:val="23"/>
                <w:szCs w:val="23"/>
                <w:color w:val="auto"/>
              </w:rPr>
            </w:pPr>
          </w:p>
        </w:tc>
        <w:tc>
          <w:tcPr>
            <w:tcW w:w="1160" w:type="dxa"/>
            <w:vAlign w:val="bottom"/>
            <w:shd w:val="clear" w:color="auto" w:fill="D8D8D8"/>
          </w:tcPr>
          <w:p>
            <w:pPr>
              <w:spacing w:after="0"/>
              <w:rPr>
                <w:sz w:val="23"/>
                <w:szCs w:val="23"/>
                <w:color w:val="auto"/>
              </w:rPr>
            </w:pPr>
          </w:p>
        </w:tc>
        <w:tc>
          <w:tcPr>
            <w:tcW w:w="280" w:type="dxa"/>
            <w:vAlign w:val="bottom"/>
            <w:shd w:val="clear" w:color="auto" w:fill="D8D8D8"/>
          </w:tcPr>
          <w:p>
            <w:pPr>
              <w:spacing w:after="0"/>
              <w:rPr>
                <w:sz w:val="23"/>
                <w:szCs w:val="23"/>
                <w:color w:val="auto"/>
              </w:rPr>
            </w:pPr>
          </w:p>
        </w:tc>
        <w:tc>
          <w:tcPr>
            <w:tcW w:w="1100" w:type="dxa"/>
            <w:vAlign w:val="bottom"/>
            <w:shd w:val="clear" w:color="auto" w:fill="D8D8D8"/>
          </w:tcPr>
          <w:p>
            <w:pPr>
              <w:spacing w:after="0"/>
              <w:rPr>
                <w:sz w:val="23"/>
                <w:szCs w:val="23"/>
                <w:color w:val="auto"/>
              </w:rPr>
            </w:pPr>
          </w:p>
        </w:tc>
        <w:tc>
          <w:tcPr>
            <w:tcW w:w="220" w:type="dxa"/>
            <w:vAlign w:val="bottom"/>
            <w:shd w:val="clear" w:color="auto" w:fill="D8D8D8"/>
          </w:tcPr>
          <w:p>
            <w:pPr>
              <w:spacing w:after="0"/>
              <w:rPr>
                <w:sz w:val="23"/>
                <w:szCs w:val="23"/>
                <w:color w:val="auto"/>
              </w:rPr>
            </w:pPr>
          </w:p>
        </w:tc>
        <w:tc>
          <w:tcPr>
            <w:tcW w:w="1080" w:type="dxa"/>
            <w:vAlign w:val="bottom"/>
            <w:shd w:val="clear" w:color="auto" w:fill="D8D8D8"/>
          </w:tcPr>
          <w:p>
            <w:pPr>
              <w:spacing w:after="0"/>
              <w:rPr>
                <w:sz w:val="23"/>
                <w:szCs w:val="23"/>
                <w:color w:val="auto"/>
              </w:rPr>
            </w:pPr>
          </w:p>
        </w:tc>
        <w:tc>
          <w:tcPr>
            <w:tcW w:w="20" w:type="dxa"/>
            <w:vAlign w:val="bottom"/>
            <w:shd w:val="clear" w:color="auto" w:fill="D8D8D8"/>
          </w:tcPr>
          <w:p>
            <w:pPr>
              <w:spacing w:after="0"/>
              <w:rPr>
                <w:sz w:val="23"/>
                <w:szCs w:val="23"/>
                <w:color w:val="auto"/>
              </w:rPr>
            </w:pPr>
          </w:p>
        </w:tc>
        <w:tc>
          <w:tcPr>
            <w:tcW w:w="400" w:type="dxa"/>
            <w:vAlign w:val="bottom"/>
            <w:shd w:val="clear" w:color="auto" w:fill="D8D8D8"/>
          </w:tcPr>
          <w:p>
            <w:pPr>
              <w:spacing w:after="0"/>
              <w:rPr>
                <w:sz w:val="23"/>
                <w:szCs w:val="23"/>
                <w:color w:val="auto"/>
              </w:rPr>
            </w:pPr>
          </w:p>
        </w:tc>
        <w:tc>
          <w:tcPr>
            <w:tcW w:w="960" w:type="dxa"/>
            <w:vAlign w:val="bottom"/>
            <w:shd w:val="clear" w:color="auto" w:fill="D8D8D8"/>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4620" w:type="dxa"/>
            <w:vAlign w:val="bottom"/>
          </w:tcPr>
          <w:p>
            <w:pPr>
              <w:ind w:left="20"/>
              <w:spacing w:after="0"/>
              <w:rPr>
                <w:sz w:val="20"/>
                <w:szCs w:val="20"/>
                <w:color w:val="auto"/>
              </w:rPr>
            </w:pPr>
            <w:r>
              <w:rPr>
                <w:rFonts w:ascii="Arial" w:cs="Arial" w:eastAsia="Arial" w:hAnsi="Arial"/>
                <w:sz w:val="18"/>
                <w:szCs w:val="18"/>
                <w:b w:val="1"/>
                <w:bCs w:val="1"/>
                <w:color w:val="auto"/>
              </w:rPr>
              <w:t>December 31, 2015</w:t>
            </w:r>
          </w:p>
        </w:tc>
        <w:tc>
          <w:tcPr>
            <w:tcW w:w="30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Pr>
          <w:p>
            <w:pPr>
              <w:ind w:left="84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ind w:right="61"/>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tcPr>
          <w:p>
            <w:pPr>
              <w:ind w:left="820"/>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16"/>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4620" w:type="dxa"/>
            <w:vAlign w:val="bottom"/>
            <w:shd w:val="clear" w:color="auto" w:fill="D8D8D8"/>
          </w:tcPr>
          <w:p>
            <w:pPr>
              <w:ind w:left="20"/>
              <w:spacing w:after="0"/>
              <w:rPr>
                <w:sz w:val="20"/>
                <w:szCs w:val="20"/>
                <w:color w:val="auto"/>
              </w:rPr>
            </w:pPr>
            <w:r>
              <w:rPr>
                <w:rFonts w:ascii="Arial" w:cs="Arial" w:eastAsia="Arial" w:hAnsi="Arial"/>
                <w:sz w:val="18"/>
                <w:szCs w:val="18"/>
                <w:color w:val="auto"/>
              </w:rPr>
              <w:t>December 31, 2014</w:t>
            </w:r>
          </w:p>
        </w:tc>
        <w:tc>
          <w:tcPr>
            <w:tcW w:w="300" w:type="dxa"/>
            <w:vAlign w:val="bottom"/>
            <w:shd w:val="clear" w:color="auto" w:fill="D8D8D8"/>
          </w:tcPr>
          <w:p>
            <w:pPr>
              <w:spacing w:after="0"/>
              <w:rPr>
                <w:sz w:val="23"/>
                <w:szCs w:val="23"/>
                <w:color w:val="auto"/>
              </w:rPr>
            </w:pPr>
          </w:p>
        </w:tc>
        <w:tc>
          <w:tcPr>
            <w:tcW w:w="1100" w:type="dxa"/>
            <w:vAlign w:val="bottom"/>
            <w:shd w:val="clear" w:color="auto" w:fill="D8D8D8"/>
          </w:tcPr>
          <w:p>
            <w:pPr>
              <w:jc w:val="right"/>
              <w:ind w:right="56"/>
              <w:spacing w:after="0"/>
              <w:rPr>
                <w:sz w:val="20"/>
                <w:szCs w:val="20"/>
                <w:color w:val="auto"/>
              </w:rPr>
            </w:pPr>
            <w:r>
              <w:rPr>
                <w:rFonts w:ascii="Arial" w:cs="Arial" w:eastAsia="Arial" w:hAnsi="Arial"/>
                <w:sz w:val="18"/>
                <w:szCs w:val="18"/>
                <w:color w:val="auto"/>
              </w:rPr>
              <w:t>(2,680.6)</w:t>
            </w:r>
          </w:p>
        </w:tc>
        <w:tc>
          <w:tcPr>
            <w:tcW w:w="20" w:type="dxa"/>
            <w:vAlign w:val="bottom"/>
            <w:shd w:val="clear" w:color="auto" w:fill="D8D8D8"/>
          </w:tcPr>
          <w:p>
            <w:pPr>
              <w:spacing w:after="0"/>
              <w:rPr>
                <w:sz w:val="23"/>
                <w:szCs w:val="23"/>
                <w:color w:val="auto"/>
              </w:rPr>
            </w:pPr>
          </w:p>
        </w:tc>
        <w:tc>
          <w:tcPr>
            <w:tcW w:w="120" w:type="dxa"/>
            <w:vAlign w:val="bottom"/>
            <w:shd w:val="clear" w:color="auto" w:fill="D8D8D8"/>
          </w:tcPr>
          <w:p>
            <w:pPr>
              <w:spacing w:after="0"/>
              <w:rPr>
                <w:sz w:val="23"/>
                <w:szCs w:val="23"/>
                <w:color w:val="auto"/>
              </w:rPr>
            </w:pPr>
          </w:p>
        </w:tc>
        <w:tc>
          <w:tcPr>
            <w:tcW w:w="1160" w:type="dxa"/>
            <w:vAlign w:val="bottom"/>
            <w:shd w:val="clear" w:color="auto" w:fill="D8D8D8"/>
          </w:tcPr>
          <w:p>
            <w:pPr>
              <w:ind w:left="840"/>
              <w:spacing w:after="0"/>
              <w:rPr>
                <w:sz w:val="20"/>
                <w:szCs w:val="20"/>
                <w:color w:val="auto"/>
              </w:rPr>
            </w:pPr>
            <w:r>
              <w:rPr>
                <w:rFonts w:ascii="Arial" w:cs="Arial" w:eastAsia="Arial" w:hAnsi="Arial"/>
                <w:sz w:val="18"/>
                <w:szCs w:val="18"/>
                <w:color w:val="auto"/>
              </w:rPr>
              <w:t>—</w:t>
            </w:r>
          </w:p>
        </w:tc>
        <w:tc>
          <w:tcPr>
            <w:tcW w:w="280" w:type="dxa"/>
            <w:vAlign w:val="bottom"/>
            <w:shd w:val="clear" w:color="auto" w:fill="D8D8D8"/>
          </w:tcPr>
          <w:p>
            <w:pPr>
              <w:spacing w:after="0"/>
              <w:rPr>
                <w:sz w:val="23"/>
                <w:szCs w:val="23"/>
                <w:color w:val="auto"/>
              </w:rPr>
            </w:pPr>
          </w:p>
        </w:tc>
        <w:tc>
          <w:tcPr>
            <w:tcW w:w="1100" w:type="dxa"/>
            <w:vAlign w:val="bottom"/>
            <w:shd w:val="clear" w:color="auto" w:fill="D8D8D8"/>
          </w:tcPr>
          <w:p>
            <w:pPr>
              <w:jc w:val="right"/>
              <w:ind w:right="1"/>
              <w:spacing w:after="0"/>
              <w:rPr>
                <w:sz w:val="20"/>
                <w:szCs w:val="20"/>
                <w:color w:val="auto"/>
              </w:rPr>
            </w:pPr>
            <w:r>
              <w:rPr>
                <w:rFonts w:ascii="Arial" w:cs="Arial" w:eastAsia="Arial" w:hAnsi="Arial"/>
                <w:sz w:val="18"/>
                <w:szCs w:val="18"/>
                <w:color w:val="auto"/>
              </w:rPr>
              <w:t>(2,680.6)</w:t>
            </w:r>
          </w:p>
        </w:tc>
        <w:tc>
          <w:tcPr>
            <w:tcW w:w="220" w:type="dxa"/>
            <w:vAlign w:val="bottom"/>
            <w:shd w:val="clear" w:color="auto" w:fill="D8D8D8"/>
          </w:tcPr>
          <w:p>
            <w:pPr>
              <w:spacing w:after="0"/>
              <w:rPr>
                <w:sz w:val="23"/>
                <w:szCs w:val="23"/>
                <w:color w:val="auto"/>
              </w:rPr>
            </w:pPr>
          </w:p>
        </w:tc>
        <w:tc>
          <w:tcPr>
            <w:tcW w:w="1100" w:type="dxa"/>
            <w:vAlign w:val="bottom"/>
            <w:gridSpan w:val="2"/>
            <w:shd w:val="clear" w:color="auto" w:fill="D8D8D8"/>
          </w:tcPr>
          <w:p>
            <w:pPr>
              <w:ind w:left="820"/>
              <w:spacing w:after="0"/>
              <w:rPr>
                <w:sz w:val="20"/>
                <w:szCs w:val="20"/>
                <w:color w:val="auto"/>
              </w:rPr>
            </w:pPr>
            <w:r>
              <w:rPr>
                <w:rFonts w:ascii="Arial" w:cs="Arial" w:eastAsia="Arial" w:hAnsi="Arial"/>
                <w:sz w:val="18"/>
                <w:szCs w:val="18"/>
                <w:color w:val="auto"/>
              </w:rPr>
              <w:t>—</w:t>
            </w:r>
          </w:p>
        </w:tc>
        <w:tc>
          <w:tcPr>
            <w:tcW w:w="400" w:type="dxa"/>
            <w:vAlign w:val="bottom"/>
            <w:shd w:val="clear" w:color="auto" w:fill="D8D8D8"/>
          </w:tcPr>
          <w:p>
            <w:pPr>
              <w:spacing w:after="0"/>
              <w:rPr>
                <w:sz w:val="23"/>
                <w:szCs w:val="23"/>
                <w:color w:val="auto"/>
              </w:rPr>
            </w:pPr>
          </w:p>
        </w:tc>
        <w:tc>
          <w:tcPr>
            <w:tcW w:w="960" w:type="dxa"/>
            <w:vAlign w:val="bottom"/>
            <w:shd w:val="clear" w:color="auto" w:fill="D8D8D8"/>
          </w:tcPr>
          <w:p>
            <w:pPr>
              <w:jc w:val="right"/>
              <w:spacing w:after="0"/>
              <w:rPr>
                <w:sz w:val="20"/>
                <w:szCs w:val="20"/>
                <w:color w:val="auto"/>
              </w:rPr>
            </w:pPr>
            <w:r>
              <w:rPr>
                <w:rFonts w:ascii="Arial" w:cs="Arial" w:eastAsia="Arial" w:hAnsi="Arial"/>
                <w:sz w:val="18"/>
                <w:szCs w:val="18"/>
                <w:color w:val="auto"/>
              </w:rPr>
              <w:t>(2,680.6)</w:t>
            </w: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620" w:type="dxa"/>
            <w:vAlign w:val="bottom"/>
            <w:shd w:val="clear" w:color="auto" w:fill="D8D8D8"/>
          </w:tcPr>
          <w:p>
            <w:pPr>
              <w:ind w:left="20"/>
              <w:spacing w:after="0"/>
              <w:rPr>
                <w:sz w:val="20"/>
                <w:szCs w:val="20"/>
                <w:color w:val="auto"/>
              </w:rPr>
            </w:pPr>
            <w:r>
              <w:rPr>
                <w:rFonts w:ascii="Arial" w:cs="Arial" w:eastAsia="Arial" w:hAnsi="Arial"/>
                <w:sz w:val="18"/>
                <w:szCs w:val="18"/>
                <w:b w:val="1"/>
                <w:bCs w:val="1"/>
                <w:color w:val="auto"/>
              </w:rPr>
              <w:t>Long-term debt, including current portion</w:t>
            </w:r>
          </w:p>
        </w:tc>
        <w:tc>
          <w:tcPr>
            <w:tcW w:w="300" w:type="dxa"/>
            <w:vAlign w:val="bottom"/>
            <w:shd w:val="clear" w:color="auto" w:fill="D8D8D8"/>
          </w:tcPr>
          <w:p>
            <w:pPr>
              <w:spacing w:after="0"/>
              <w:rPr>
                <w:sz w:val="23"/>
                <w:szCs w:val="23"/>
                <w:color w:val="auto"/>
              </w:rPr>
            </w:pPr>
          </w:p>
        </w:tc>
        <w:tc>
          <w:tcPr>
            <w:tcW w:w="1100" w:type="dxa"/>
            <w:vAlign w:val="bottom"/>
            <w:shd w:val="clear" w:color="auto" w:fill="D8D8D8"/>
          </w:tcPr>
          <w:p>
            <w:pPr>
              <w:spacing w:after="0"/>
              <w:rPr>
                <w:sz w:val="23"/>
                <w:szCs w:val="23"/>
                <w:color w:val="auto"/>
              </w:rPr>
            </w:pPr>
          </w:p>
        </w:tc>
        <w:tc>
          <w:tcPr>
            <w:tcW w:w="20" w:type="dxa"/>
            <w:vAlign w:val="bottom"/>
            <w:shd w:val="clear" w:color="auto" w:fill="D8D8D8"/>
          </w:tcPr>
          <w:p>
            <w:pPr>
              <w:spacing w:after="0"/>
              <w:rPr>
                <w:sz w:val="23"/>
                <w:szCs w:val="23"/>
                <w:color w:val="auto"/>
              </w:rPr>
            </w:pPr>
          </w:p>
        </w:tc>
        <w:tc>
          <w:tcPr>
            <w:tcW w:w="120" w:type="dxa"/>
            <w:vAlign w:val="bottom"/>
            <w:shd w:val="clear" w:color="auto" w:fill="D8D8D8"/>
          </w:tcPr>
          <w:p>
            <w:pPr>
              <w:spacing w:after="0"/>
              <w:rPr>
                <w:sz w:val="23"/>
                <w:szCs w:val="23"/>
                <w:color w:val="auto"/>
              </w:rPr>
            </w:pPr>
          </w:p>
        </w:tc>
        <w:tc>
          <w:tcPr>
            <w:tcW w:w="1160" w:type="dxa"/>
            <w:vAlign w:val="bottom"/>
            <w:shd w:val="clear" w:color="auto" w:fill="D8D8D8"/>
          </w:tcPr>
          <w:p>
            <w:pPr>
              <w:spacing w:after="0"/>
              <w:rPr>
                <w:sz w:val="23"/>
                <w:szCs w:val="23"/>
                <w:color w:val="auto"/>
              </w:rPr>
            </w:pPr>
          </w:p>
        </w:tc>
        <w:tc>
          <w:tcPr>
            <w:tcW w:w="280" w:type="dxa"/>
            <w:vAlign w:val="bottom"/>
            <w:shd w:val="clear" w:color="auto" w:fill="D8D8D8"/>
          </w:tcPr>
          <w:p>
            <w:pPr>
              <w:spacing w:after="0"/>
              <w:rPr>
                <w:sz w:val="23"/>
                <w:szCs w:val="23"/>
                <w:color w:val="auto"/>
              </w:rPr>
            </w:pPr>
          </w:p>
        </w:tc>
        <w:tc>
          <w:tcPr>
            <w:tcW w:w="1100" w:type="dxa"/>
            <w:vAlign w:val="bottom"/>
            <w:shd w:val="clear" w:color="auto" w:fill="D8D8D8"/>
          </w:tcPr>
          <w:p>
            <w:pPr>
              <w:spacing w:after="0"/>
              <w:rPr>
                <w:sz w:val="23"/>
                <w:szCs w:val="23"/>
                <w:color w:val="auto"/>
              </w:rPr>
            </w:pPr>
          </w:p>
        </w:tc>
        <w:tc>
          <w:tcPr>
            <w:tcW w:w="220" w:type="dxa"/>
            <w:vAlign w:val="bottom"/>
            <w:shd w:val="clear" w:color="auto" w:fill="D8D8D8"/>
          </w:tcPr>
          <w:p>
            <w:pPr>
              <w:spacing w:after="0"/>
              <w:rPr>
                <w:sz w:val="23"/>
                <w:szCs w:val="23"/>
                <w:color w:val="auto"/>
              </w:rPr>
            </w:pPr>
          </w:p>
        </w:tc>
        <w:tc>
          <w:tcPr>
            <w:tcW w:w="1080" w:type="dxa"/>
            <w:vAlign w:val="bottom"/>
            <w:shd w:val="clear" w:color="auto" w:fill="D8D8D8"/>
          </w:tcPr>
          <w:p>
            <w:pPr>
              <w:spacing w:after="0"/>
              <w:rPr>
                <w:sz w:val="23"/>
                <w:szCs w:val="23"/>
                <w:color w:val="auto"/>
              </w:rPr>
            </w:pPr>
          </w:p>
        </w:tc>
        <w:tc>
          <w:tcPr>
            <w:tcW w:w="20" w:type="dxa"/>
            <w:vAlign w:val="bottom"/>
            <w:shd w:val="clear" w:color="auto" w:fill="D8D8D8"/>
          </w:tcPr>
          <w:p>
            <w:pPr>
              <w:spacing w:after="0"/>
              <w:rPr>
                <w:sz w:val="23"/>
                <w:szCs w:val="23"/>
                <w:color w:val="auto"/>
              </w:rPr>
            </w:pPr>
          </w:p>
        </w:tc>
        <w:tc>
          <w:tcPr>
            <w:tcW w:w="400" w:type="dxa"/>
            <w:vAlign w:val="bottom"/>
            <w:shd w:val="clear" w:color="auto" w:fill="D8D8D8"/>
          </w:tcPr>
          <w:p>
            <w:pPr>
              <w:spacing w:after="0"/>
              <w:rPr>
                <w:sz w:val="23"/>
                <w:szCs w:val="23"/>
                <w:color w:val="auto"/>
              </w:rPr>
            </w:pPr>
          </w:p>
        </w:tc>
        <w:tc>
          <w:tcPr>
            <w:tcW w:w="960" w:type="dxa"/>
            <w:vAlign w:val="bottom"/>
            <w:shd w:val="clear" w:color="auto" w:fill="D8D8D8"/>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4620" w:type="dxa"/>
            <w:vAlign w:val="bottom"/>
          </w:tcPr>
          <w:p>
            <w:pPr>
              <w:ind w:left="20"/>
              <w:spacing w:after="0"/>
              <w:rPr>
                <w:sz w:val="20"/>
                <w:szCs w:val="20"/>
                <w:color w:val="auto"/>
              </w:rPr>
            </w:pPr>
            <w:r>
              <w:rPr>
                <w:rFonts w:ascii="Arial" w:cs="Arial" w:eastAsia="Arial" w:hAnsi="Arial"/>
                <w:sz w:val="18"/>
                <w:szCs w:val="18"/>
                <w:b w:val="1"/>
                <w:bCs w:val="1"/>
                <w:color w:val="auto"/>
              </w:rPr>
              <w:t>December 31, 2015</w:t>
            </w:r>
          </w:p>
        </w:tc>
        <w:tc>
          <w:tcPr>
            <w:tcW w:w="30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ind w:right="56"/>
              <w:spacing w:after="0"/>
              <w:rPr>
                <w:sz w:val="20"/>
                <w:szCs w:val="20"/>
                <w:color w:val="auto"/>
              </w:rPr>
            </w:pPr>
            <w:r>
              <w:rPr>
                <w:rFonts w:ascii="Arial" w:cs="Arial" w:eastAsia="Arial" w:hAnsi="Arial"/>
                <w:sz w:val="18"/>
                <w:szCs w:val="18"/>
                <w:b w:val="1"/>
                <w:bCs w:val="1"/>
                <w:color w:val="auto"/>
              </w:rPr>
              <w:t>(7,978.5)</w:t>
            </w:r>
          </w:p>
        </w:tc>
        <w:tc>
          <w:tcPr>
            <w:tcW w:w="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Pr>
          <w:p>
            <w:pPr>
              <w:ind w:left="84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ind w:right="1"/>
              <w:spacing w:after="0"/>
              <w:rPr>
                <w:sz w:val="20"/>
                <w:szCs w:val="20"/>
                <w:color w:val="auto"/>
              </w:rPr>
            </w:pPr>
            <w:r>
              <w:rPr>
                <w:rFonts w:ascii="Arial" w:cs="Arial" w:eastAsia="Arial" w:hAnsi="Arial"/>
                <w:sz w:val="18"/>
                <w:szCs w:val="18"/>
                <w:b w:val="1"/>
                <w:bCs w:val="1"/>
                <w:color w:val="auto"/>
              </w:rPr>
              <w:t>(8,172.0)</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tcPr>
          <w:p>
            <w:pPr>
              <w:ind w:left="820"/>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(8,172.0)</w:t>
            </w: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4620" w:type="dxa"/>
            <w:vAlign w:val="bottom"/>
            <w:shd w:val="clear" w:color="auto" w:fill="D8D8D8"/>
          </w:tcPr>
          <w:p>
            <w:pPr>
              <w:ind w:left="20"/>
              <w:spacing w:after="0"/>
              <w:rPr>
                <w:sz w:val="20"/>
                <w:szCs w:val="20"/>
                <w:color w:val="auto"/>
              </w:rPr>
            </w:pPr>
            <w:r>
              <w:rPr>
                <w:rFonts w:ascii="Arial" w:cs="Arial" w:eastAsia="Arial" w:hAnsi="Arial"/>
                <w:sz w:val="18"/>
                <w:szCs w:val="18"/>
                <w:color w:val="auto"/>
              </w:rPr>
              <w:t>December 31, 2014</w:t>
            </w:r>
          </w:p>
        </w:tc>
        <w:tc>
          <w:tcPr>
            <w:tcW w:w="300" w:type="dxa"/>
            <w:vAlign w:val="bottom"/>
            <w:shd w:val="clear" w:color="auto" w:fill="D8D8D8"/>
          </w:tcPr>
          <w:p>
            <w:pPr>
              <w:spacing w:after="0"/>
              <w:rPr>
                <w:sz w:val="23"/>
                <w:szCs w:val="23"/>
                <w:color w:val="auto"/>
              </w:rPr>
            </w:pPr>
          </w:p>
        </w:tc>
        <w:tc>
          <w:tcPr>
            <w:tcW w:w="1100" w:type="dxa"/>
            <w:vAlign w:val="bottom"/>
            <w:shd w:val="clear" w:color="auto" w:fill="D8D8D8"/>
          </w:tcPr>
          <w:p>
            <w:pPr>
              <w:jc w:val="right"/>
              <w:ind w:right="56"/>
              <w:spacing w:after="0"/>
              <w:rPr>
                <w:sz w:val="20"/>
                <w:szCs w:val="20"/>
                <w:color w:val="auto"/>
              </w:rPr>
            </w:pPr>
            <w:r>
              <w:rPr>
                <w:rFonts w:ascii="Arial" w:cs="Arial" w:eastAsia="Arial" w:hAnsi="Arial"/>
                <w:sz w:val="18"/>
                <w:szCs w:val="18"/>
                <w:color w:val="auto"/>
              </w:rPr>
              <w:t>(5,340.9)</w:t>
            </w:r>
          </w:p>
        </w:tc>
        <w:tc>
          <w:tcPr>
            <w:tcW w:w="20" w:type="dxa"/>
            <w:vAlign w:val="bottom"/>
            <w:shd w:val="clear" w:color="auto" w:fill="D8D8D8"/>
          </w:tcPr>
          <w:p>
            <w:pPr>
              <w:spacing w:after="0"/>
              <w:rPr>
                <w:sz w:val="23"/>
                <w:szCs w:val="23"/>
                <w:color w:val="auto"/>
              </w:rPr>
            </w:pPr>
          </w:p>
        </w:tc>
        <w:tc>
          <w:tcPr>
            <w:tcW w:w="120" w:type="dxa"/>
            <w:vAlign w:val="bottom"/>
            <w:shd w:val="clear" w:color="auto" w:fill="D8D8D8"/>
          </w:tcPr>
          <w:p>
            <w:pPr>
              <w:spacing w:after="0"/>
              <w:rPr>
                <w:sz w:val="23"/>
                <w:szCs w:val="23"/>
                <w:color w:val="auto"/>
              </w:rPr>
            </w:pPr>
          </w:p>
        </w:tc>
        <w:tc>
          <w:tcPr>
            <w:tcW w:w="1160" w:type="dxa"/>
            <w:vAlign w:val="bottom"/>
            <w:shd w:val="clear" w:color="auto" w:fill="D8D8D8"/>
          </w:tcPr>
          <w:p>
            <w:pPr>
              <w:ind w:left="840"/>
              <w:spacing w:after="0"/>
              <w:rPr>
                <w:sz w:val="20"/>
                <w:szCs w:val="20"/>
                <w:color w:val="auto"/>
              </w:rPr>
            </w:pPr>
            <w:r>
              <w:rPr>
                <w:rFonts w:ascii="Arial" w:cs="Arial" w:eastAsia="Arial" w:hAnsi="Arial"/>
                <w:sz w:val="18"/>
                <w:szCs w:val="18"/>
                <w:color w:val="auto"/>
              </w:rPr>
              <w:t>—</w:t>
            </w:r>
          </w:p>
        </w:tc>
        <w:tc>
          <w:tcPr>
            <w:tcW w:w="280" w:type="dxa"/>
            <w:vAlign w:val="bottom"/>
            <w:shd w:val="clear" w:color="auto" w:fill="D8D8D8"/>
          </w:tcPr>
          <w:p>
            <w:pPr>
              <w:spacing w:after="0"/>
              <w:rPr>
                <w:sz w:val="23"/>
                <w:szCs w:val="23"/>
                <w:color w:val="auto"/>
              </w:rPr>
            </w:pPr>
          </w:p>
        </w:tc>
        <w:tc>
          <w:tcPr>
            <w:tcW w:w="1100" w:type="dxa"/>
            <w:vAlign w:val="bottom"/>
            <w:shd w:val="clear" w:color="auto" w:fill="D8D8D8"/>
          </w:tcPr>
          <w:p>
            <w:pPr>
              <w:jc w:val="right"/>
              <w:ind w:right="1"/>
              <w:spacing w:after="0"/>
              <w:rPr>
                <w:sz w:val="20"/>
                <w:szCs w:val="20"/>
                <w:color w:val="auto"/>
              </w:rPr>
            </w:pPr>
            <w:r>
              <w:rPr>
                <w:rFonts w:ascii="Arial" w:cs="Arial" w:eastAsia="Arial" w:hAnsi="Arial"/>
                <w:sz w:val="18"/>
                <w:szCs w:val="18"/>
                <w:color w:val="auto"/>
              </w:rPr>
              <w:t>(5,722.1)</w:t>
            </w:r>
          </w:p>
        </w:tc>
        <w:tc>
          <w:tcPr>
            <w:tcW w:w="220" w:type="dxa"/>
            <w:vAlign w:val="bottom"/>
            <w:shd w:val="clear" w:color="auto" w:fill="D8D8D8"/>
          </w:tcPr>
          <w:p>
            <w:pPr>
              <w:spacing w:after="0"/>
              <w:rPr>
                <w:sz w:val="23"/>
                <w:szCs w:val="23"/>
                <w:color w:val="auto"/>
              </w:rPr>
            </w:pPr>
          </w:p>
        </w:tc>
        <w:tc>
          <w:tcPr>
            <w:tcW w:w="1100" w:type="dxa"/>
            <w:vAlign w:val="bottom"/>
            <w:gridSpan w:val="2"/>
            <w:shd w:val="clear" w:color="auto" w:fill="D8D8D8"/>
          </w:tcPr>
          <w:p>
            <w:pPr>
              <w:ind w:left="820"/>
              <w:spacing w:after="0"/>
              <w:rPr>
                <w:sz w:val="20"/>
                <w:szCs w:val="20"/>
                <w:color w:val="auto"/>
              </w:rPr>
            </w:pPr>
            <w:r>
              <w:rPr>
                <w:rFonts w:ascii="Arial" w:cs="Arial" w:eastAsia="Arial" w:hAnsi="Arial"/>
                <w:sz w:val="18"/>
                <w:szCs w:val="18"/>
                <w:color w:val="auto"/>
              </w:rPr>
              <w:t>—</w:t>
            </w:r>
          </w:p>
        </w:tc>
        <w:tc>
          <w:tcPr>
            <w:tcW w:w="400" w:type="dxa"/>
            <w:vAlign w:val="bottom"/>
            <w:shd w:val="clear" w:color="auto" w:fill="D8D8D8"/>
          </w:tcPr>
          <w:p>
            <w:pPr>
              <w:spacing w:after="0"/>
              <w:rPr>
                <w:sz w:val="23"/>
                <w:szCs w:val="23"/>
                <w:color w:val="auto"/>
              </w:rPr>
            </w:pPr>
          </w:p>
        </w:tc>
        <w:tc>
          <w:tcPr>
            <w:tcW w:w="960" w:type="dxa"/>
            <w:vAlign w:val="bottom"/>
            <w:shd w:val="clear" w:color="auto" w:fill="D8D8D8"/>
          </w:tcPr>
          <w:p>
            <w:pPr>
              <w:jc w:val="right"/>
              <w:spacing w:after="0"/>
              <w:rPr>
                <w:sz w:val="20"/>
                <w:szCs w:val="20"/>
                <w:color w:val="auto"/>
              </w:rPr>
            </w:pPr>
            <w:r>
              <w:rPr>
                <w:rFonts w:ascii="Arial" w:cs="Arial" w:eastAsia="Arial" w:hAnsi="Arial"/>
                <w:sz w:val="18"/>
                <w:szCs w:val="18"/>
                <w:color w:val="auto"/>
              </w:rPr>
              <w:t>(5,722.1)</w:t>
            </w:r>
          </w:p>
        </w:tc>
        <w:tc>
          <w:tcPr>
            <w:tcW w:w="0" w:type="dxa"/>
            <w:vAlign w:val="bottom"/>
          </w:tcPr>
          <w:p>
            <w:pPr>
              <w:spacing w:after="0"/>
              <w:rPr>
                <w:sz w:val="1"/>
                <w:szCs w:val="1"/>
                <w:color w:val="auto"/>
              </w:rPr>
            </w:pPr>
          </w:p>
        </w:tc>
      </w:tr>
      <w:tr>
        <w:trPr>
          <w:trHeight w:val="833"/>
        </w:trPr>
        <w:tc>
          <w:tcPr>
            <w:tcW w:w="2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gridSpan w:val="5"/>
          </w:tcPr>
          <w:p>
            <w:pPr>
              <w:jc w:val="center"/>
              <w:ind w:right="19"/>
              <w:spacing w:after="0"/>
              <w:rPr>
                <w:sz w:val="20"/>
                <w:szCs w:val="20"/>
                <w:color w:val="auto"/>
              </w:rPr>
            </w:pPr>
            <w:r>
              <w:rPr>
                <w:rFonts w:ascii="Arial" w:cs="Arial" w:eastAsia="Arial" w:hAnsi="Arial"/>
                <w:sz w:val="13"/>
                <w:szCs w:val="13"/>
                <w:b w:val="1"/>
                <w:bCs w:val="1"/>
                <w:color w:val="auto"/>
                <w:w w:val="96"/>
              </w:rPr>
              <w:t>Fair Value Measurements Using</w:t>
            </w: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4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8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w w:val="96"/>
              </w:rPr>
              <w:t>Quoted Prices in</w:t>
            </w:r>
          </w:p>
        </w:tc>
        <w:tc>
          <w:tcPr>
            <w:tcW w:w="280" w:type="dxa"/>
            <w:vAlign w:val="bottom"/>
          </w:tcPr>
          <w:p>
            <w:pPr>
              <w:spacing w:after="0"/>
              <w:rPr>
                <w:sz w:val="11"/>
                <w:szCs w:val="11"/>
                <w:color w:val="auto"/>
              </w:rPr>
            </w:pPr>
          </w:p>
        </w:tc>
        <w:tc>
          <w:tcPr>
            <w:tcW w:w="1100" w:type="dxa"/>
            <w:vAlign w:val="bottom"/>
          </w:tcPr>
          <w:p>
            <w:pPr>
              <w:jc w:val="center"/>
              <w:ind w:right="181"/>
              <w:spacing w:after="0" w:line="136" w:lineRule="exact"/>
              <w:rPr>
                <w:sz w:val="20"/>
                <w:szCs w:val="20"/>
                <w:color w:val="auto"/>
              </w:rPr>
            </w:pPr>
            <w:r>
              <w:rPr>
                <w:rFonts w:ascii="Arial" w:cs="Arial" w:eastAsia="Arial" w:hAnsi="Arial"/>
                <w:sz w:val="13"/>
                <w:szCs w:val="13"/>
                <w:b w:val="1"/>
                <w:bCs w:val="1"/>
                <w:color w:val="auto"/>
                <w:w w:val="96"/>
              </w:rPr>
              <w:t>Significant</w:t>
            </w:r>
          </w:p>
        </w:tc>
        <w:tc>
          <w:tcPr>
            <w:tcW w:w="220" w:type="dxa"/>
            <w:vAlign w:val="bottom"/>
          </w:tcPr>
          <w:p>
            <w:pPr>
              <w:spacing w:after="0"/>
              <w:rPr>
                <w:sz w:val="11"/>
                <w:szCs w:val="11"/>
                <w:color w:val="auto"/>
              </w:rPr>
            </w:pPr>
          </w:p>
        </w:tc>
        <w:tc>
          <w:tcPr>
            <w:tcW w:w="1100" w:type="dxa"/>
            <w:vAlign w:val="bottom"/>
            <w:gridSpan w:val="2"/>
            <w:vMerge w:val="restart"/>
          </w:tcPr>
          <w:p>
            <w:pPr>
              <w:jc w:val="center"/>
              <w:ind w:right="180"/>
              <w:spacing w:after="0"/>
              <w:rPr>
                <w:sz w:val="20"/>
                <w:szCs w:val="20"/>
                <w:color w:val="auto"/>
              </w:rPr>
            </w:pPr>
            <w:r>
              <w:rPr>
                <w:rFonts w:ascii="Arial" w:cs="Arial" w:eastAsia="Arial" w:hAnsi="Arial"/>
                <w:sz w:val="13"/>
                <w:szCs w:val="13"/>
                <w:b w:val="1"/>
                <w:bCs w:val="1"/>
                <w:color w:val="auto"/>
                <w:w w:val="96"/>
              </w:rPr>
              <w:t>Significant</w:t>
            </w:r>
          </w:p>
        </w:tc>
        <w:tc>
          <w:tcPr>
            <w:tcW w:w="4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280" w:type="dxa"/>
            <w:vAlign w:val="bottom"/>
          </w:tcPr>
          <w:p>
            <w:pPr>
              <w:spacing w:after="0"/>
              <w:rPr>
                <w:sz w:val="11"/>
                <w:szCs w:val="11"/>
                <w:color w:val="auto"/>
              </w:rPr>
            </w:pPr>
          </w:p>
        </w:tc>
        <w:tc>
          <w:tcPr>
            <w:tcW w:w="1100" w:type="dxa"/>
            <w:vAlign w:val="bottom"/>
          </w:tcPr>
          <w:p>
            <w:pPr>
              <w:jc w:val="center"/>
              <w:ind w:right="201"/>
              <w:spacing w:after="0" w:line="135" w:lineRule="exact"/>
              <w:rPr>
                <w:sz w:val="20"/>
                <w:szCs w:val="20"/>
                <w:color w:val="auto"/>
              </w:rPr>
            </w:pPr>
            <w:r>
              <w:rPr>
                <w:rFonts w:ascii="Arial" w:cs="Arial" w:eastAsia="Arial" w:hAnsi="Arial"/>
                <w:sz w:val="13"/>
                <w:szCs w:val="13"/>
                <w:b w:val="1"/>
                <w:bCs w:val="1"/>
                <w:color w:val="auto"/>
                <w:w w:val="97"/>
              </w:rPr>
              <w:t>Other</w:t>
            </w:r>
          </w:p>
        </w:tc>
        <w:tc>
          <w:tcPr>
            <w:tcW w:w="22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4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20" w:type="dxa"/>
            <w:vAlign w:val="bottom"/>
            <w:gridSpan w:val="2"/>
            <w:vMerge w:val="restart"/>
          </w:tcPr>
          <w:p>
            <w:pPr>
              <w:ind w:left="100"/>
              <w:spacing w:after="0"/>
              <w:rPr>
                <w:sz w:val="20"/>
                <w:szCs w:val="20"/>
                <w:color w:val="auto"/>
              </w:rPr>
            </w:pPr>
            <w:r>
              <w:rPr>
                <w:rFonts w:ascii="Arial" w:cs="Arial" w:eastAsia="Arial" w:hAnsi="Arial"/>
                <w:sz w:val="13"/>
                <w:szCs w:val="13"/>
                <w:b w:val="1"/>
                <w:bCs w:val="1"/>
                <w:color w:val="auto"/>
              </w:rPr>
              <w:t>Carrying</w:t>
            </w:r>
          </w:p>
        </w:tc>
        <w:tc>
          <w:tcPr>
            <w:tcW w:w="128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7"/>
              </w:rPr>
              <w:t>Active Markets for</w:t>
            </w:r>
          </w:p>
        </w:tc>
        <w:tc>
          <w:tcPr>
            <w:tcW w:w="280" w:type="dxa"/>
            <w:vAlign w:val="bottom"/>
          </w:tcPr>
          <w:p>
            <w:pPr>
              <w:spacing w:after="0"/>
              <w:rPr>
                <w:sz w:val="11"/>
                <w:szCs w:val="11"/>
                <w:color w:val="auto"/>
              </w:rPr>
            </w:pPr>
          </w:p>
        </w:tc>
        <w:tc>
          <w:tcPr>
            <w:tcW w:w="1100" w:type="dxa"/>
            <w:vAlign w:val="bottom"/>
          </w:tcPr>
          <w:p>
            <w:pPr>
              <w:jc w:val="center"/>
              <w:ind w:right="181"/>
              <w:spacing w:after="0" w:line="135" w:lineRule="exact"/>
              <w:rPr>
                <w:sz w:val="20"/>
                <w:szCs w:val="20"/>
                <w:color w:val="auto"/>
              </w:rPr>
            </w:pPr>
            <w:r>
              <w:rPr>
                <w:rFonts w:ascii="Arial" w:cs="Arial" w:eastAsia="Arial" w:hAnsi="Arial"/>
                <w:sz w:val="13"/>
                <w:szCs w:val="13"/>
                <w:b w:val="1"/>
                <w:bCs w:val="1"/>
                <w:color w:val="auto"/>
                <w:w w:val="95"/>
              </w:rPr>
              <w:t>Observable</w:t>
            </w:r>
          </w:p>
        </w:tc>
        <w:tc>
          <w:tcPr>
            <w:tcW w:w="220" w:type="dxa"/>
            <w:vAlign w:val="bottom"/>
          </w:tcPr>
          <w:p>
            <w:pPr>
              <w:spacing w:after="0"/>
              <w:rPr>
                <w:sz w:val="11"/>
                <w:szCs w:val="11"/>
                <w:color w:val="auto"/>
              </w:rPr>
            </w:pPr>
          </w:p>
        </w:tc>
        <w:tc>
          <w:tcPr>
            <w:tcW w:w="110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97"/>
              </w:rPr>
              <w:t>Unobservable</w:t>
            </w:r>
          </w:p>
        </w:tc>
        <w:tc>
          <w:tcPr>
            <w:tcW w:w="400" w:type="dxa"/>
            <w:vAlign w:val="bottom"/>
          </w:tcPr>
          <w:p>
            <w:pPr>
              <w:spacing w:after="0"/>
              <w:rPr>
                <w:sz w:val="11"/>
                <w:szCs w:val="11"/>
                <w:color w:val="auto"/>
              </w:rPr>
            </w:pPr>
          </w:p>
        </w:tc>
        <w:tc>
          <w:tcPr>
            <w:tcW w:w="960" w:type="dxa"/>
            <w:vAlign w:val="bottom"/>
            <w:vMerge w:val="restart"/>
          </w:tcPr>
          <w:p>
            <w:pPr>
              <w:jc w:val="center"/>
              <w:ind w:right="236"/>
              <w:spacing w:after="0"/>
              <w:rPr>
                <w:sz w:val="20"/>
                <w:szCs w:val="20"/>
                <w:color w:val="auto"/>
              </w:rPr>
            </w:pPr>
            <w:r>
              <w:rPr>
                <w:rFonts w:ascii="Arial" w:cs="Arial" w:eastAsia="Arial" w:hAnsi="Arial"/>
                <w:sz w:val="13"/>
                <w:szCs w:val="13"/>
                <w:b w:val="1"/>
                <w:bCs w:val="1"/>
                <w:color w:val="auto"/>
              </w:rPr>
              <w:t>Fair</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2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Description</w:t>
            </w:r>
          </w:p>
        </w:tc>
        <w:tc>
          <w:tcPr>
            <w:tcW w:w="30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jc w:val="center"/>
              <w:ind w:right="79"/>
              <w:spacing w:after="0" w:line="135" w:lineRule="exact"/>
              <w:rPr>
                <w:sz w:val="20"/>
                <w:szCs w:val="20"/>
                <w:color w:val="auto"/>
              </w:rPr>
            </w:pPr>
            <w:r>
              <w:rPr>
                <w:rFonts w:ascii="Arial" w:cs="Arial" w:eastAsia="Arial" w:hAnsi="Arial"/>
                <w:sz w:val="13"/>
                <w:szCs w:val="13"/>
                <w:b w:val="1"/>
                <w:bCs w:val="1"/>
                <w:color w:val="auto"/>
                <w:w w:val="96"/>
              </w:rPr>
              <w:t>Identical Assets</w:t>
            </w:r>
          </w:p>
        </w:tc>
        <w:tc>
          <w:tcPr>
            <w:tcW w:w="280" w:type="dxa"/>
            <w:vAlign w:val="bottom"/>
          </w:tcPr>
          <w:p>
            <w:pPr>
              <w:spacing w:after="0"/>
              <w:rPr>
                <w:sz w:val="11"/>
                <w:szCs w:val="11"/>
                <w:color w:val="auto"/>
              </w:rPr>
            </w:pPr>
          </w:p>
        </w:tc>
        <w:tc>
          <w:tcPr>
            <w:tcW w:w="1100" w:type="dxa"/>
            <w:vAlign w:val="bottom"/>
          </w:tcPr>
          <w:p>
            <w:pPr>
              <w:jc w:val="center"/>
              <w:ind w:right="201"/>
              <w:spacing w:after="0" w:line="135" w:lineRule="exact"/>
              <w:rPr>
                <w:sz w:val="20"/>
                <w:szCs w:val="20"/>
                <w:color w:val="auto"/>
              </w:rPr>
            </w:pPr>
            <w:r>
              <w:rPr>
                <w:rFonts w:ascii="Arial" w:cs="Arial" w:eastAsia="Arial" w:hAnsi="Arial"/>
                <w:sz w:val="13"/>
                <w:szCs w:val="13"/>
                <w:b w:val="1"/>
                <w:bCs w:val="1"/>
                <w:color w:val="auto"/>
                <w:w w:val="97"/>
              </w:rPr>
              <w:t>Inputs</w:t>
            </w:r>
          </w:p>
        </w:tc>
        <w:tc>
          <w:tcPr>
            <w:tcW w:w="220" w:type="dxa"/>
            <w:vAlign w:val="bottom"/>
          </w:tcPr>
          <w:p>
            <w:pPr>
              <w:spacing w:after="0"/>
              <w:rPr>
                <w:sz w:val="11"/>
                <w:szCs w:val="11"/>
                <w:color w:val="auto"/>
              </w:rPr>
            </w:pPr>
          </w:p>
        </w:tc>
        <w:tc>
          <w:tcPr>
            <w:tcW w:w="110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97"/>
              </w:rPr>
              <w:t>Inputs</w:t>
            </w:r>
          </w:p>
        </w:tc>
        <w:tc>
          <w:tcPr>
            <w:tcW w:w="40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20" w:type="dxa"/>
            <w:vAlign w:val="bottom"/>
            <w:tcBorders>
              <w:bottom w:val="single" w:sz="8" w:color="auto"/>
            </w:tcBorders>
          </w:tcPr>
          <w:p>
            <w:pPr>
              <w:spacing w:after="0"/>
              <w:rPr>
                <w:sz w:val="15"/>
                <w:szCs w:val="15"/>
                <w:color w:val="auto"/>
              </w:rPr>
            </w:pPr>
          </w:p>
        </w:tc>
        <w:tc>
          <w:tcPr>
            <w:tcW w:w="4620" w:type="dxa"/>
            <w:vAlign w:val="bottom"/>
            <w:tcBorders>
              <w:bottom w:val="single" w:sz="8" w:color="auto"/>
            </w:tcBorders>
            <w:vMerge w:val="continue"/>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2"/>
          </w:tcPr>
          <w:p>
            <w:pPr>
              <w:ind w:left="140"/>
              <w:spacing w:after="0"/>
              <w:rPr>
                <w:sz w:val="20"/>
                <w:szCs w:val="20"/>
                <w:color w:val="auto"/>
              </w:rPr>
            </w:pPr>
            <w:r>
              <w:rPr>
                <w:rFonts w:ascii="Arial" w:cs="Arial" w:eastAsia="Arial" w:hAnsi="Arial"/>
                <w:sz w:val="13"/>
                <w:szCs w:val="13"/>
                <w:b w:val="1"/>
                <w:bCs w:val="1"/>
                <w:color w:val="auto"/>
              </w:rPr>
              <w:t>Amount</w:t>
            </w:r>
          </w:p>
        </w:tc>
        <w:tc>
          <w:tcPr>
            <w:tcW w:w="1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99"/>
              <w:spacing w:after="0"/>
              <w:rPr>
                <w:sz w:val="20"/>
                <w:szCs w:val="20"/>
                <w:color w:val="auto"/>
              </w:rPr>
            </w:pPr>
            <w:r>
              <w:rPr>
                <w:rFonts w:ascii="Arial" w:cs="Arial" w:eastAsia="Arial" w:hAnsi="Arial"/>
                <w:sz w:val="13"/>
                <w:szCs w:val="13"/>
                <w:b w:val="1"/>
                <w:bCs w:val="1"/>
                <w:color w:val="auto"/>
                <w:w w:val="94"/>
              </w:rPr>
              <w:t>(Level 1)</w:t>
            </w:r>
          </w:p>
        </w:tc>
        <w:tc>
          <w:tcPr>
            <w:tcW w:w="2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181"/>
              <w:spacing w:after="0"/>
              <w:rPr>
                <w:sz w:val="20"/>
                <w:szCs w:val="20"/>
                <w:color w:val="auto"/>
              </w:rPr>
            </w:pPr>
            <w:r>
              <w:rPr>
                <w:rFonts w:ascii="Arial" w:cs="Arial" w:eastAsia="Arial" w:hAnsi="Arial"/>
                <w:sz w:val="13"/>
                <w:szCs w:val="13"/>
                <w:b w:val="1"/>
                <w:bCs w:val="1"/>
                <w:color w:val="auto"/>
                <w:w w:val="98"/>
              </w:rPr>
              <w:t>(Level 2)</w:t>
            </w:r>
          </w:p>
        </w:tc>
        <w:tc>
          <w:tcPr>
            <w:tcW w:w="2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3"/>
                <w:szCs w:val="13"/>
                <w:b w:val="1"/>
                <w:bCs w:val="1"/>
                <w:color w:val="auto"/>
                <w:w w:val="98"/>
              </w:rPr>
              <w:t>(Level 3)</w:t>
            </w:r>
          </w:p>
        </w:tc>
        <w:tc>
          <w:tcPr>
            <w:tcW w:w="4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236"/>
              <w:spacing w:after="0"/>
              <w:rPr>
                <w:sz w:val="20"/>
                <w:szCs w:val="20"/>
                <w:color w:val="auto"/>
              </w:rPr>
            </w:pPr>
            <w:r>
              <w:rPr>
                <w:rFonts w:ascii="Arial" w:cs="Arial" w:eastAsia="Arial" w:hAnsi="Arial"/>
                <w:sz w:val="13"/>
                <w:szCs w:val="13"/>
                <w:b w:val="1"/>
                <w:bCs w:val="1"/>
                <w:color w:val="auto"/>
                <w:w w:val="92"/>
              </w:rPr>
              <w:t>Value</w:t>
            </w:r>
          </w:p>
        </w:tc>
        <w:tc>
          <w:tcPr>
            <w:tcW w:w="0" w:type="dxa"/>
            <w:vAlign w:val="bottom"/>
          </w:tcPr>
          <w:p>
            <w:pPr>
              <w:spacing w:after="0"/>
              <w:rPr>
                <w:sz w:val="1"/>
                <w:szCs w:val="1"/>
                <w:color w:val="auto"/>
              </w:rPr>
            </w:pPr>
          </w:p>
        </w:tc>
      </w:tr>
      <w:tr>
        <w:trPr>
          <w:trHeight w:val="268"/>
        </w:trPr>
        <w:tc>
          <w:tcPr>
            <w:tcW w:w="20" w:type="dxa"/>
            <w:vAlign w:val="bottom"/>
            <w:shd w:val="clear" w:color="auto" w:fill="D8D8D8"/>
          </w:tcPr>
          <w:p>
            <w:pPr>
              <w:spacing w:after="0"/>
              <w:rPr>
                <w:sz w:val="23"/>
                <w:szCs w:val="23"/>
                <w:color w:val="auto"/>
              </w:rPr>
            </w:pPr>
          </w:p>
        </w:tc>
        <w:tc>
          <w:tcPr>
            <w:tcW w:w="4620" w:type="dxa"/>
            <w:vAlign w:val="bottom"/>
            <w:shd w:val="clear" w:color="auto" w:fill="D8D8D8"/>
          </w:tcPr>
          <w:p>
            <w:pPr>
              <w:ind w:left="20"/>
              <w:spacing w:after="0"/>
              <w:rPr>
                <w:sz w:val="20"/>
                <w:szCs w:val="20"/>
                <w:color w:val="auto"/>
              </w:rPr>
            </w:pPr>
            <w:r>
              <w:rPr>
                <w:rFonts w:ascii="Arial" w:cs="Arial" w:eastAsia="Arial" w:hAnsi="Arial"/>
                <w:sz w:val="18"/>
                <w:szCs w:val="18"/>
                <w:b w:val="1"/>
                <w:bCs w:val="1"/>
                <w:color w:val="auto"/>
              </w:rPr>
              <w:t>December 31, 2015</w:t>
            </w:r>
          </w:p>
        </w:tc>
        <w:tc>
          <w:tcPr>
            <w:tcW w:w="300" w:type="dxa"/>
            <w:vAlign w:val="bottom"/>
            <w:shd w:val="clear" w:color="auto" w:fill="D8D8D8"/>
          </w:tcPr>
          <w:p>
            <w:pPr>
              <w:spacing w:after="0"/>
              <w:rPr>
                <w:sz w:val="23"/>
                <w:szCs w:val="23"/>
                <w:color w:val="auto"/>
              </w:rPr>
            </w:pPr>
          </w:p>
        </w:tc>
        <w:tc>
          <w:tcPr>
            <w:tcW w:w="1100" w:type="dxa"/>
            <w:vAlign w:val="bottom"/>
            <w:shd w:val="clear" w:color="auto" w:fill="D8D8D8"/>
          </w:tcPr>
          <w:p>
            <w:pPr>
              <w:spacing w:after="0"/>
              <w:rPr>
                <w:sz w:val="23"/>
                <w:szCs w:val="23"/>
                <w:color w:val="auto"/>
              </w:rPr>
            </w:pPr>
          </w:p>
        </w:tc>
        <w:tc>
          <w:tcPr>
            <w:tcW w:w="20" w:type="dxa"/>
            <w:vAlign w:val="bottom"/>
            <w:shd w:val="clear" w:color="auto" w:fill="D8D8D8"/>
          </w:tcPr>
          <w:p>
            <w:pPr>
              <w:spacing w:after="0"/>
              <w:rPr>
                <w:sz w:val="23"/>
                <w:szCs w:val="23"/>
                <w:color w:val="auto"/>
              </w:rPr>
            </w:pPr>
          </w:p>
        </w:tc>
        <w:tc>
          <w:tcPr>
            <w:tcW w:w="120" w:type="dxa"/>
            <w:vAlign w:val="bottom"/>
            <w:shd w:val="clear" w:color="auto" w:fill="D8D8D8"/>
          </w:tcPr>
          <w:p>
            <w:pPr>
              <w:spacing w:after="0"/>
              <w:rPr>
                <w:sz w:val="23"/>
                <w:szCs w:val="23"/>
                <w:color w:val="auto"/>
              </w:rPr>
            </w:pPr>
          </w:p>
        </w:tc>
        <w:tc>
          <w:tcPr>
            <w:tcW w:w="1160" w:type="dxa"/>
            <w:vAlign w:val="bottom"/>
            <w:shd w:val="clear" w:color="auto" w:fill="D8D8D8"/>
          </w:tcPr>
          <w:p>
            <w:pPr>
              <w:spacing w:after="0"/>
              <w:rPr>
                <w:sz w:val="23"/>
                <w:szCs w:val="23"/>
                <w:color w:val="auto"/>
              </w:rPr>
            </w:pPr>
          </w:p>
        </w:tc>
        <w:tc>
          <w:tcPr>
            <w:tcW w:w="280" w:type="dxa"/>
            <w:vAlign w:val="bottom"/>
            <w:shd w:val="clear" w:color="auto" w:fill="D8D8D8"/>
          </w:tcPr>
          <w:p>
            <w:pPr>
              <w:spacing w:after="0"/>
              <w:rPr>
                <w:sz w:val="23"/>
                <w:szCs w:val="23"/>
                <w:color w:val="auto"/>
              </w:rPr>
            </w:pPr>
          </w:p>
        </w:tc>
        <w:tc>
          <w:tcPr>
            <w:tcW w:w="1100" w:type="dxa"/>
            <w:vAlign w:val="bottom"/>
            <w:shd w:val="clear" w:color="auto" w:fill="D8D8D8"/>
          </w:tcPr>
          <w:p>
            <w:pPr>
              <w:spacing w:after="0"/>
              <w:rPr>
                <w:sz w:val="23"/>
                <w:szCs w:val="23"/>
                <w:color w:val="auto"/>
              </w:rPr>
            </w:pPr>
          </w:p>
        </w:tc>
        <w:tc>
          <w:tcPr>
            <w:tcW w:w="220" w:type="dxa"/>
            <w:vAlign w:val="bottom"/>
            <w:shd w:val="clear" w:color="auto" w:fill="D8D8D8"/>
          </w:tcPr>
          <w:p>
            <w:pPr>
              <w:spacing w:after="0"/>
              <w:rPr>
                <w:sz w:val="23"/>
                <w:szCs w:val="23"/>
                <w:color w:val="auto"/>
              </w:rPr>
            </w:pPr>
          </w:p>
        </w:tc>
        <w:tc>
          <w:tcPr>
            <w:tcW w:w="1080" w:type="dxa"/>
            <w:vAlign w:val="bottom"/>
            <w:shd w:val="clear" w:color="auto" w:fill="D8D8D8"/>
          </w:tcPr>
          <w:p>
            <w:pPr>
              <w:spacing w:after="0"/>
              <w:rPr>
                <w:sz w:val="23"/>
                <w:szCs w:val="23"/>
                <w:color w:val="auto"/>
              </w:rPr>
            </w:pPr>
          </w:p>
        </w:tc>
        <w:tc>
          <w:tcPr>
            <w:tcW w:w="20" w:type="dxa"/>
            <w:vAlign w:val="bottom"/>
            <w:shd w:val="clear" w:color="auto" w:fill="D8D8D8"/>
          </w:tcPr>
          <w:p>
            <w:pPr>
              <w:spacing w:after="0"/>
              <w:rPr>
                <w:sz w:val="23"/>
                <w:szCs w:val="23"/>
                <w:color w:val="auto"/>
              </w:rPr>
            </w:pPr>
          </w:p>
        </w:tc>
        <w:tc>
          <w:tcPr>
            <w:tcW w:w="400" w:type="dxa"/>
            <w:vAlign w:val="bottom"/>
            <w:shd w:val="clear" w:color="auto" w:fill="D8D8D8"/>
          </w:tcPr>
          <w:p>
            <w:pPr>
              <w:spacing w:after="0"/>
              <w:rPr>
                <w:sz w:val="23"/>
                <w:szCs w:val="23"/>
                <w:color w:val="auto"/>
              </w:rPr>
            </w:pPr>
          </w:p>
        </w:tc>
        <w:tc>
          <w:tcPr>
            <w:tcW w:w="960" w:type="dxa"/>
            <w:vAlign w:val="bottom"/>
            <w:shd w:val="clear" w:color="auto" w:fill="D8D8D8"/>
          </w:tcPr>
          <w:p>
            <w:pPr>
              <w:spacing w:after="0"/>
              <w:rPr>
                <w:sz w:val="23"/>
                <w:szCs w:val="23"/>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4620" w:type="dxa"/>
            <w:vAlign w:val="bottom"/>
          </w:tcPr>
          <w:p>
            <w:pPr>
              <w:ind w:left="20"/>
              <w:spacing w:after="0"/>
              <w:rPr>
                <w:sz w:val="20"/>
                <w:szCs w:val="20"/>
                <w:color w:val="auto"/>
              </w:rPr>
            </w:pPr>
            <w:r>
              <w:rPr>
                <w:rFonts w:ascii="Arial" w:cs="Arial" w:eastAsia="Arial" w:hAnsi="Arial"/>
                <w:sz w:val="18"/>
                <w:szCs w:val="18"/>
                <w:color w:val="auto"/>
              </w:rPr>
              <w:t>Risk-management instruments</w:t>
            </w:r>
          </w:p>
        </w:tc>
        <w:tc>
          <w:tcPr>
            <w:tcW w:w="3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4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shd w:val="clear" w:color="auto" w:fill="D8D8D8"/>
          </w:tcPr>
          <w:p>
            <w:pPr>
              <w:spacing w:after="0"/>
              <w:rPr>
                <w:sz w:val="17"/>
                <w:szCs w:val="17"/>
                <w:color w:val="auto"/>
              </w:rPr>
            </w:pPr>
          </w:p>
        </w:tc>
        <w:tc>
          <w:tcPr>
            <w:tcW w:w="4620" w:type="dxa"/>
            <w:vAlign w:val="bottom"/>
            <w:shd w:val="clear" w:color="auto" w:fill="D8D8D8"/>
          </w:tcPr>
          <w:p>
            <w:pPr>
              <w:ind w:left="160"/>
              <w:spacing w:after="0"/>
              <w:rPr>
                <w:sz w:val="20"/>
                <w:szCs w:val="20"/>
                <w:color w:val="auto"/>
              </w:rPr>
            </w:pPr>
            <w:r>
              <w:rPr>
                <w:rFonts w:ascii="Arial" w:cs="Arial" w:eastAsia="Arial" w:hAnsi="Arial"/>
                <w:sz w:val="18"/>
                <w:szCs w:val="18"/>
                <w:color w:val="auto"/>
              </w:rPr>
              <w:t>Interest rate contracts designated as hedging</w:t>
            </w:r>
          </w:p>
        </w:tc>
        <w:tc>
          <w:tcPr>
            <w:tcW w:w="300" w:type="dxa"/>
            <w:vAlign w:val="bottom"/>
            <w:shd w:val="clear" w:color="auto" w:fill="D8D8D8"/>
          </w:tcPr>
          <w:p>
            <w:pPr>
              <w:spacing w:after="0"/>
              <w:rPr>
                <w:sz w:val="17"/>
                <w:szCs w:val="17"/>
                <w:color w:val="auto"/>
              </w:rPr>
            </w:pPr>
          </w:p>
        </w:tc>
        <w:tc>
          <w:tcPr>
            <w:tcW w:w="1100" w:type="dxa"/>
            <w:vAlign w:val="bottom"/>
            <w:shd w:val="clear" w:color="auto" w:fill="D8D8D8"/>
          </w:tcPr>
          <w:p>
            <w:pPr>
              <w:spacing w:after="0"/>
              <w:rPr>
                <w:sz w:val="17"/>
                <w:szCs w:val="17"/>
                <w:color w:val="auto"/>
              </w:rPr>
            </w:pPr>
          </w:p>
        </w:tc>
        <w:tc>
          <w:tcPr>
            <w:tcW w:w="20" w:type="dxa"/>
            <w:vAlign w:val="bottom"/>
            <w:shd w:val="clear" w:color="auto" w:fill="D8D8D8"/>
          </w:tcPr>
          <w:p>
            <w:pPr>
              <w:spacing w:after="0"/>
              <w:rPr>
                <w:sz w:val="17"/>
                <w:szCs w:val="17"/>
                <w:color w:val="auto"/>
              </w:rPr>
            </w:pPr>
          </w:p>
        </w:tc>
        <w:tc>
          <w:tcPr>
            <w:tcW w:w="120" w:type="dxa"/>
            <w:vAlign w:val="bottom"/>
            <w:shd w:val="clear" w:color="auto" w:fill="D8D8D8"/>
          </w:tcPr>
          <w:p>
            <w:pPr>
              <w:spacing w:after="0"/>
              <w:rPr>
                <w:sz w:val="17"/>
                <w:szCs w:val="17"/>
                <w:color w:val="auto"/>
              </w:rPr>
            </w:pPr>
          </w:p>
        </w:tc>
        <w:tc>
          <w:tcPr>
            <w:tcW w:w="1160" w:type="dxa"/>
            <w:vAlign w:val="bottom"/>
            <w:shd w:val="clear" w:color="auto" w:fill="D8D8D8"/>
          </w:tcPr>
          <w:p>
            <w:pPr>
              <w:spacing w:after="0"/>
              <w:rPr>
                <w:sz w:val="17"/>
                <w:szCs w:val="17"/>
                <w:color w:val="auto"/>
              </w:rPr>
            </w:pPr>
          </w:p>
        </w:tc>
        <w:tc>
          <w:tcPr>
            <w:tcW w:w="280" w:type="dxa"/>
            <w:vAlign w:val="bottom"/>
            <w:shd w:val="clear" w:color="auto" w:fill="D8D8D8"/>
          </w:tcPr>
          <w:p>
            <w:pPr>
              <w:spacing w:after="0"/>
              <w:rPr>
                <w:sz w:val="17"/>
                <w:szCs w:val="17"/>
                <w:color w:val="auto"/>
              </w:rPr>
            </w:pPr>
          </w:p>
        </w:tc>
        <w:tc>
          <w:tcPr>
            <w:tcW w:w="1100" w:type="dxa"/>
            <w:vAlign w:val="bottom"/>
            <w:shd w:val="clear" w:color="auto" w:fill="D8D8D8"/>
          </w:tcPr>
          <w:p>
            <w:pPr>
              <w:spacing w:after="0"/>
              <w:rPr>
                <w:sz w:val="17"/>
                <w:szCs w:val="17"/>
                <w:color w:val="auto"/>
              </w:rPr>
            </w:pPr>
          </w:p>
        </w:tc>
        <w:tc>
          <w:tcPr>
            <w:tcW w:w="220" w:type="dxa"/>
            <w:vAlign w:val="bottom"/>
            <w:shd w:val="clear" w:color="auto" w:fill="D8D8D8"/>
          </w:tcPr>
          <w:p>
            <w:pPr>
              <w:spacing w:after="0"/>
              <w:rPr>
                <w:sz w:val="17"/>
                <w:szCs w:val="17"/>
                <w:color w:val="auto"/>
              </w:rPr>
            </w:pPr>
          </w:p>
        </w:tc>
        <w:tc>
          <w:tcPr>
            <w:tcW w:w="1080" w:type="dxa"/>
            <w:vAlign w:val="bottom"/>
            <w:shd w:val="clear" w:color="auto" w:fill="D8D8D8"/>
          </w:tcPr>
          <w:p>
            <w:pPr>
              <w:spacing w:after="0"/>
              <w:rPr>
                <w:sz w:val="17"/>
                <w:szCs w:val="17"/>
                <w:color w:val="auto"/>
              </w:rPr>
            </w:pPr>
          </w:p>
        </w:tc>
        <w:tc>
          <w:tcPr>
            <w:tcW w:w="20" w:type="dxa"/>
            <w:vAlign w:val="bottom"/>
            <w:shd w:val="clear" w:color="auto" w:fill="D8D8D8"/>
          </w:tcPr>
          <w:p>
            <w:pPr>
              <w:spacing w:after="0"/>
              <w:rPr>
                <w:sz w:val="17"/>
                <w:szCs w:val="17"/>
                <w:color w:val="auto"/>
              </w:rPr>
            </w:pPr>
          </w:p>
        </w:tc>
        <w:tc>
          <w:tcPr>
            <w:tcW w:w="400" w:type="dxa"/>
            <w:vAlign w:val="bottom"/>
            <w:shd w:val="clear" w:color="auto" w:fill="D8D8D8"/>
          </w:tcPr>
          <w:p>
            <w:pPr>
              <w:spacing w:after="0"/>
              <w:rPr>
                <w:sz w:val="17"/>
                <w:szCs w:val="17"/>
                <w:color w:val="auto"/>
              </w:rPr>
            </w:pPr>
          </w:p>
        </w:tc>
        <w:tc>
          <w:tcPr>
            <w:tcW w:w="960" w:type="dxa"/>
            <w:vAlign w:val="bottom"/>
            <w:shd w:val="clear" w:color="auto" w:fill="D8D8D8"/>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20" w:type="dxa"/>
            <w:vAlign w:val="bottom"/>
            <w:shd w:val="clear" w:color="auto" w:fill="D8D8D8"/>
          </w:tcPr>
          <w:p>
            <w:pPr>
              <w:spacing w:after="0"/>
              <w:rPr>
                <w:sz w:val="21"/>
                <w:szCs w:val="21"/>
                <w:color w:val="auto"/>
              </w:rPr>
            </w:pPr>
          </w:p>
        </w:tc>
        <w:tc>
          <w:tcPr>
            <w:tcW w:w="4620" w:type="dxa"/>
            <w:vAlign w:val="bottom"/>
            <w:shd w:val="clear" w:color="auto" w:fill="D8D8D8"/>
          </w:tcPr>
          <w:p>
            <w:pPr>
              <w:ind w:left="320"/>
              <w:spacing w:after="0"/>
              <w:rPr>
                <w:sz w:val="20"/>
                <w:szCs w:val="20"/>
                <w:color w:val="auto"/>
              </w:rPr>
            </w:pPr>
            <w:r>
              <w:rPr>
                <w:rFonts w:ascii="Arial" w:cs="Arial" w:eastAsia="Arial" w:hAnsi="Arial"/>
                <w:sz w:val="18"/>
                <w:szCs w:val="18"/>
                <w:color w:val="auto"/>
              </w:rPr>
              <w:t>instruments:</w:t>
            </w:r>
          </w:p>
        </w:tc>
        <w:tc>
          <w:tcPr>
            <w:tcW w:w="300" w:type="dxa"/>
            <w:vAlign w:val="bottom"/>
            <w:shd w:val="clear" w:color="auto" w:fill="D8D8D8"/>
          </w:tcPr>
          <w:p>
            <w:pPr>
              <w:spacing w:after="0"/>
              <w:rPr>
                <w:sz w:val="21"/>
                <w:szCs w:val="21"/>
                <w:color w:val="auto"/>
              </w:rPr>
            </w:pPr>
          </w:p>
        </w:tc>
        <w:tc>
          <w:tcPr>
            <w:tcW w:w="1100" w:type="dxa"/>
            <w:vAlign w:val="bottom"/>
            <w:shd w:val="clear" w:color="auto" w:fill="D8D8D8"/>
          </w:tcPr>
          <w:p>
            <w:pPr>
              <w:spacing w:after="0"/>
              <w:rPr>
                <w:sz w:val="21"/>
                <w:szCs w:val="21"/>
                <w:color w:val="auto"/>
              </w:rPr>
            </w:pPr>
          </w:p>
        </w:tc>
        <w:tc>
          <w:tcPr>
            <w:tcW w:w="20" w:type="dxa"/>
            <w:vAlign w:val="bottom"/>
            <w:shd w:val="clear" w:color="auto" w:fill="D8D8D8"/>
          </w:tcPr>
          <w:p>
            <w:pPr>
              <w:spacing w:after="0"/>
              <w:rPr>
                <w:sz w:val="21"/>
                <w:szCs w:val="21"/>
                <w:color w:val="auto"/>
              </w:rPr>
            </w:pPr>
          </w:p>
        </w:tc>
        <w:tc>
          <w:tcPr>
            <w:tcW w:w="120" w:type="dxa"/>
            <w:vAlign w:val="bottom"/>
            <w:shd w:val="clear" w:color="auto" w:fill="D8D8D8"/>
          </w:tcPr>
          <w:p>
            <w:pPr>
              <w:spacing w:after="0"/>
              <w:rPr>
                <w:sz w:val="21"/>
                <w:szCs w:val="21"/>
                <w:color w:val="auto"/>
              </w:rPr>
            </w:pPr>
          </w:p>
        </w:tc>
        <w:tc>
          <w:tcPr>
            <w:tcW w:w="1160" w:type="dxa"/>
            <w:vAlign w:val="bottom"/>
            <w:shd w:val="clear" w:color="auto" w:fill="D8D8D8"/>
          </w:tcPr>
          <w:p>
            <w:pPr>
              <w:spacing w:after="0"/>
              <w:rPr>
                <w:sz w:val="21"/>
                <w:szCs w:val="21"/>
                <w:color w:val="auto"/>
              </w:rPr>
            </w:pPr>
          </w:p>
        </w:tc>
        <w:tc>
          <w:tcPr>
            <w:tcW w:w="280" w:type="dxa"/>
            <w:vAlign w:val="bottom"/>
            <w:shd w:val="clear" w:color="auto" w:fill="D8D8D8"/>
          </w:tcPr>
          <w:p>
            <w:pPr>
              <w:spacing w:after="0"/>
              <w:rPr>
                <w:sz w:val="21"/>
                <w:szCs w:val="21"/>
                <w:color w:val="auto"/>
              </w:rPr>
            </w:pPr>
          </w:p>
        </w:tc>
        <w:tc>
          <w:tcPr>
            <w:tcW w:w="1100" w:type="dxa"/>
            <w:vAlign w:val="bottom"/>
            <w:shd w:val="clear" w:color="auto" w:fill="D8D8D8"/>
          </w:tcPr>
          <w:p>
            <w:pPr>
              <w:spacing w:after="0"/>
              <w:rPr>
                <w:sz w:val="21"/>
                <w:szCs w:val="21"/>
                <w:color w:val="auto"/>
              </w:rPr>
            </w:pPr>
          </w:p>
        </w:tc>
        <w:tc>
          <w:tcPr>
            <w:tcW w:w="220" w:type="dxa"/>
            <w:vAlign w:val="bottom"/>
            <w:shd w:val="clear" w:color="auto" w:fill="D8D8D8"/>
          </w:tcPr>
          <w:p>
            <w:pPr>
              <w:spacing w:after="0"/>
              <w:rPr>
                <w:sz w:val="21"/>
                <w:szCs w:val="21"/>
                <w:color w:val="auto"/>
              </w:rPr>
            </w:pPr>
          </w:p>
        </w:tc>
        <w:tc>
          <w:tcPr>
            <w:tcW w:w="1080" w:type="dxa"/>
            <w:vAlign w:val="bottom"/>
            <w:shd w:val="clear" w:color="auto" w:fill="D8D8D8"/>
          </w:tcPr>
          <w:p>
            <w:pPr>
              <w:spacing w:after="0"/>
              <w:rPr>
                <w:sz w:val="21"/>
                <w:szCs w:val="21"/>
                <w:color w:val="auto"/>
              </w:rPr>
            </w:pPr>
          </w:p>
        </w:tc>
        <w:tc>
          <w:tcPr>
            <w:tcW w:w="20" w:type="dxa"/>
            <w:vAlign w:val="bottom"/>
            <w:shd w:val="clear" w:color="auto" w:fill="D8D8D8"/>
          </w:tcPr>
          <w:p>
            <w:pPr>
              <w:spacing w:after="0"/>
              <w:rPr>
                <w:sz w:val="21"/>
                <w:szCs w:val="21"/>
                <w:color w:val="auto"/>
              </w:rPr>
            </w:pPr>
          </w:p>
        </w:tc>
        <w:tc>
          <w:tcPr>
            <w:tcW w:w="400" w:type="dxa"/>
            <w:vAlign w:val="bottom"/>
            <w:shd w:val="clear" w:color="auto" w:fill="D8D8D8"/>
          </w:tcPr>
          <w:p>
            <w:pPr>
              <w:spacing w:after="0"/>
              <w:rPr>
                <w:sz w:val="21"/>
                <w:szCs w:val="21"/>
                <w:color w:val="auto"/>
              </w:rPr>
            </w:pPr>
          </w:p>
        </w:tc>
        <w:tc>
          <w:tcPr>
            <w:tcW w:w="960" w:type="dxa"/>
            <w:vAlign w:val="bottom"/>
            <w:shd w:val="clear" w:color="auto" w:fill="D8D8D8"/>
          </w:tcPr>
          <w:p>
            <w:pPr>
              <w:spacing w:after="0"/>
              <w:rPr>
                <w:sz w:val="21"/>
                <w:szCs w:val="21"/>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4620" w:type="dxa"/>
            <w:vAlign w:val="bottom"/>
          </w:tcPr>
          <w:p>
            <w:pPr>
              <w:ind w:left="360"/>
              <w:spacing w:after="0"/>
              <w:rPr>
                <w:sz w:val="20"/>
                <w:szCs w:val="20"/>
                <w:color w:val="auto"/>
              </w:rPr>
            </w:pPr>
            <w:r>
              <w:rPr>
                <w:rFonts w:ascii="Arial" w:cs="Arial" w:eastAsia="Arial" w:hAnsi="Arial"/>
                <w:sz w:val="18"/>
                <w:szCs w:val="18"/>
                <w:color w:val="auto"/>
              </w:rPr>
              <w:t>Sundry</w:t>
            </w:r>
          </w:p>
        </w:tc>
        <w:tc>
          <w:tcPr>
            <w:tcW w:w="30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ind w:right="136"/>
              <w:spacing w:after="0"/>
              <w:rPr>
                <w:sz w:val="20"/>
                <w:szCs w:val="20"/>
                <w:color w:val="auto"/>
              </w:rPr>
            </w:pPr>
            <w:r>
              <w:rPr>
                <w:rFonts w:ascii="Arial" w:cs="Arial" w:eastAsia="Arial" w:hAnsi="Arial"/>
                <w:sz w:val="18"/>
                <w:szCs w:val="18"/>
                <w:b w:val="1"/>
                <w:bCs w:val="1"/>
                <w:color w:val="auto"/>
              </w:rPr>
              <w:t>70.1</w:t>
            </w:r>
          </w:p>
        </w:tc>
        <w:tc>
          <w:tcPr>
            <w:tcW w:w="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Pr>
          <w:p>
            <w:pPr>
              <w:ind w:left="84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23"/>
                <w:szCs w:val="23"/>
                <w:color w:val="auto"/>
              </w:rPr>
            </w:pPr>
          </w:p>
        </w:tc>
        <w:tc>
          <w:tcPr>
            <w:tcW w:w="1100" w:type="dxa"/>
            <w:vAlign w:val="bottom"/>
          </w:tcPr>
          <w:p>
            <w:pPr>
              <w:jc w:val="right"/>
              <w:ind w:right="81"/>
              <w:spacing w:after="0"/>
              <w:rPr>
                <w:sz w:val="20"/>
                <w:szCs w:val="20"/>
                <w:color w:val="auto"/>
              </w:rPr>
            </w:pPr>
            <w:r>
              <w:rPr>
                <w:rFonts w:ascii="Arial" w:cs="Arial" w:eastAsia="Arial" w:hAnsi="Arial"/>
                <w:sz w:val="18"/>
                <w:szCs w:val="18"/>
                <w:b w:val="1"/>
                <w:bCs w:val="1"/>
                <w:color w:val="auto"/>
              </w:rPr>
              <w:t>70.1</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jc w:val="right"/>
              <w:ind w:right="9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36"/>
              <w:spacing w:after="0"/>
              <w:rPr>
                <w:sz w:val="20"/>
                <w:szCs w:val="20"/>
                <w:color w:val="auto"/>
              </w:rPr>
            </w:pPr>
            <w:r>
              <w:rPr>
                <w:rFonts w:ascii="Arial" w:cs="Arial" w:eastAsia="Arial" w:hAnsi="Arial"/>
                <w:sz w:val="18"/>
                <w:szCs w:val="18"/>
                <w:b w:val="1"/>
                <w:bCs w:val="1"/>
                <w:color w:val="auto"/>
              </w:rPr>
              <w:t>70.1</w:t>
            </w:r>
          </w:p>
        </w:tc>
        <w:tc>
          <w:tcPr>
            <w:tcW w:w="0" w:type="dxa"/>
            <w:vAlign w:val="bottom"/>
          </w:tcPr>
          <w:p>
            <w:pPr>
              <w:spacing w:after="0"/>
              <w:rPr>
                <w:sz w:val="1"/>
                <w:szCs w:val="1"/>
                <w:color w:val="auto"/>
              </w:rPr>
            </w:pPr>
          </w:p>
        </w:tc>
      </w:tr>
      <w:tr>
        <w:trPr>
          <w:trHeight w:val="271"/>
        </w:trPr>
        <w:tc>
          <w:tcPr>
            <w:tcW w:w="20" w:type="dxa"/>
            <w:vAlign w:val="bottom"/>
            <w:shd w:val="clear" w:color="auto" w:fill="D8D8D8"/>
          </w:tcPr>
          <w:p>
            <w:pPr>
              <w:spacing w:after="0"/>
              <w:rPr>
                <w:sz w:val="23"/>
                <w:szCs w:val="23"/>
                <w:color w:val="auto"/>
              </w:rPr>
            </w:pPr>
          </w:p>
        </w:tc>
        <w:tc>
          <w:tcPr>
            <w:tcW w:w="4620" w:type="dxa"/>
            <w:vAlign w:val="bottom"/>
            <w:shd w:val="clear" w:color="auto" w:fill="D8D8D8"/>
          </w:tcPr>
          <w:p>
            <w:pPr>
              <w:ind w:left="360"/>
              <w:spacing w:after="0"/>
              <w:rPr>
                <w:sz w:val="20"/>
                <w:szCs w:val="20"/>
                <w:color w:val="auto"/>
              </w:rPr>
            </w:pPr>
            <w:r>
              <w:rPr>
                <w:rFonts w:ascii="Arial" w:cs="Arial" w:eastAsia="Arial" w:hAnsi="Arial"/>
                <w:sz w:val="18"/>
                <w:szCs w:val="18"/>
                <w:color w:val="auto"/>
              </w:rPr>
              <w:t>Other noncurrent liabilities</w:t>
            </w:r>
          </w:p>
        </w:tc>
        <w:tc>
          <w:tcPr>
            <w:tcW w:w="300" w:type="dxa"/>
            <w:vAlign w:val="bottom"/>
            <w:shd w:val="clear" w:color="auto" w:fill="D8D8D8"/>
          </w:tcPr>
          <w:p>
            <w:pPr>
              <w:spacing w:after="0"/>
              <w:rPr>
                <w:sz w:val="23"/>
                <w:szCs w:val="23"/>
                <w:color w:val="auto"/>
              </w:rPr>
            </w:pPr>
          </w:p>
        </w:tc>
        <w:tc>
          <w:tcPr>
            <w:tcW w:w="1100" w:type="dxa"/>
            <w:vAlign w:val="bottom"/>
            <w:shd w:val="clear" w:color="auto" w:fill="D8D8D8"/>
          </w:tcPr>
          <w:p>
            <w:pPr>
              <w:jc w:val="right"/>
              <w:ind w:right="76"/>
              <w:spacing w:after="0"/>
              <w:rPr>
                <w:sz w:val="20"/>
                <w:szCs w:val="20"/>
                <w:color w:val="auto"/>
              </w:rPr>
            </w:pPr>
            <w:r>
              <w:rPr>
                <w:rFonts w:ascii="Arial" w:cs="Arial" w:eastAsia="Arial" w:hAnsi="Arial"/>
                <w:sz w:val="18"/>
                <w:szCs w:val="18"/>
                <w:b w:val="1"/>
                <w:bCs w:val="1"/>
                <w:color w:val="auto"/>
              </w:rPr>
              <w:t>(0.4)</w:t>
            </w:r>
          </w:p>
        </w:tc>
        <w:tc>
          <w:tcPr>
            <w:tcW w:w="20" w:type="dxa"/>
            <w:vAlign w:val="bottom"/>
            <w:shd w:val="clear" w:color="auto" w:fill="D8D8D8"/>
          </w:tcPr>
          <w:p>
            <w:pPr>
              <w:spacing w:after="0"/>
              <w:rPr>
                <w:sz w:val="23"/>
                <w:szCs w:val="23"/>
                <w:color w:val="auto"/>
              </w:rPr>
            </w:pPr>
          </w:p>
        </w:tc>
        <w:tc>
          <w:tcPr>
            <w:tcW w:w="120" w:type="dxa"/>
            <w:vAlign w:val="bottom"/>
            <w:shd w:val="clear" w:color="auto" w:fill="D8D8D8"/>
          </w:tcPr>
          <w:p>
            <w:pPr>
              <w:spacing w:after="0"/>
              <w:rPr>
                <w:sz w:val="23"/>
                <w:szCs w:val="23"/>
                <w:color w:val="auto"/>
              </w:rPr>
            </w:pPr>
          </w:p>
        </w:tc>
        <w:tc>
          <w:tcPr>
            <w:tcW w:w="1160" w:type="dxa"/>
            <w:vAlign w:val="bottom"/>
            <w:shd w:val="clear" w:color="auto" w:fill="D8D8D8"/>
          </w:tcPr>
          <w:p>
            <w:pPr>
              <w:ind w:left="840"/>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D8D8D8"/>
          </w:tcPr>
          <w:p>
            <w:pPr>
              <w:spacing w:after="0"/>
              <w:rPr>
                <w:sz w:val="23"/>
                <w:szCs w:val="23"/>
                <w:color w:val="auto"/>
              </w:rPr>
            </w:pPr>
          </w:p>
        </w:tc>
        <w:tc>
          <w:tcPr>
            <w:tcW w:w="1100" w:type="dxa"/>
            <w:vAlign w:val="bottom"/>
            <w:shd w:val="clear" w:color="auto" w:fill="D8D8D8"/>
          </w:tcPr>
          <w:p>
            <w:pPr>
              <w:jc w:val="right"/>
              <w:ind w:right="21"/>
              <w:spacing w:after="0"/>
              <w:rPr>
                <w:sz w:val="20"/>
                <w:szCs w:val="20"/>
                <w:color w:val="auto"/>
              </w:rPr>
            </w:pPr>
            <w:r>
              <w:rPr>
                <w:rFonts w:ascii="Arial" w:cs="Arial" w:eastAsia="Arial" w:hAnsi="Arial"/>
                <w:sz w:val="18"/>
                <w:szCs w:val="18"/>
                <w:b w:val="1"/>
                <w:bCs w:val="1"/>
                <w:color w:val="auto"/>
              </w:rPr>
              <w:t>(0.4)</w:t>
            </w:r>
          </w:p>
        </w:tc>
        <w:tc>
          <w:tcPr>
            <w:tcW w:w="220" w:type="dxa"/>
            <w:vAlign w:val="bottom"/>
            <w:shd w:val="clear" w:color="auto" w:fill="D8D8D8"/>
          </w:tcPr>
          <w:p>
            <w:pPr>
              <w:spacing w:after="0"/>
              <w:rPr>
                <w:sz w:val="23"/>
                <w:szCs w:val="23"/>
                <w:color w:val="auto"/>
              </w:rPr>
            </w:pPr>
          </w:p>
        </w:tc>
        <w:tc>
          <w:tcPr>
            <w:tcW w:w="1100" w:type="dxa"/>
            <w:vAlign w:val="bottom"/>
            <w:gridSpan w:val="2"/>
            <w:shd w:val="clear" w:color="auto" w:fill="D8D8D8"/>
          </w:tcPr>
          <w:p>
            <w:pPr>
              <w:jc w:val="right"/>
              <w:ind w:right="120"/>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D8D8D8"/>
          </w:tcPr>
          <w:p>
            <w:pPr>
              <w:spacing w:after="0"/>
              <w:rPr>
                <w:sz w:val="23"/>
                <w:szCs w:val="23"/>
                <w:color w:val="auto"/>
              </w:rPr>
            </w:pPr>
          </w:p>
        </w:tc>
        <w:tc>
          <w:tcPr>
            <w:tcW w:w="960" w:type="dxa"/>
            <w:vAlign w:val="bottom"/>
            <w:shd w:val="clear" w:color="auto" w:fill="D8D8D8"/>
          </w:tcPr>
          <w:p>
            <w:pPr>
              <w:jc w:val="right"/>
              <w:spacing w:after="0"/>
              <w:rPr>
                <w:sz w:val="20"/>
                <w:szCs w:val="20"/>
                <w:color w:val="auto"/>
              </w:rPr>
            </w:pPr>
            <w:r>
              <w:rPr>
                <w:rFonts w:ascii="Arial" w:cs="Arial" w:eastAsia="Arial" w:hAnsi="Arial"/>
                <w:sz w:val="18"/>
                <w:szCs w:val="18"/>
                <w:b w:val="1"/>
                <w:bCs w:val="1"/>
                <w:color w:val="auto"/>
              </w:rPr>
              <w:t>(0.4)</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620" w:type="dxa"/>
            <w:vAlign w:val="bottom"/>
          </w:tcPr>
          <w:p>
            <w:pPr>
              <w:ind w:left="160"/>
              <w:spacing w:after="0"/>
              <w:rPr>
                <w:sz w:val="20"/>
                <w:szCs w:val="20"/>
                <w:color w:val="auto"/>
              </w:rPr>
            </w:pPr>
            <w:r>
              <w:rPr>
                <w:rFonts w:ascii="Arial" w:cs="Arial" w:eastAsia="Arial" w:hAnsi="Arial"/>
                <w:sz w:val="18"/>
                <w:szCs w:val="18"/>
                <w:color w:val="auto"/>
              </w:rPr>
              <w:t>Foreign exchange contracts not designated as hedging</w:t>
            </w: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4620" w:type="dxa"/>
            <w:vAlign w:val="bottom"/>
          </w:tcPr>
          <w:p>
            <w:pPr>
              <w:ind w:left="320"/>
              <w:spacing w:after="0"/>
              <w:rPr>
                <w:sz w:val="20"/>
                <w:szCs w:val="20"/>
                <w:color w:val="auto"/>
              </w:rPr>
            </w:pPr>
            <w:r>
              <w:rPr>
                <w:rFonts w:ascii="Arial" w:cs="Arial" w:eastAsia="Arial" w:hAnsi="Arial"/>
                <w:sz w:val="18"/>
                <w:szCs w:val="18"/>
                <w:color w:val="auto"/>
              </w:rPr>
              <w:t>instruments:</w:t>
            </w:r>
          </w:p>
        </w:tc>
        <w:tc>
          <w:tcPr>
            <w:tcW w:w="3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20" w:type="dxa"/>
            <w:vAlign w:val="bottom"/>
            <w:shd w:val="clear" w:color="auto" w:fill="D8D8D8"/>
          </w:tcPr>
          <w:p>
            <w:pPr>
              <w:spacing w:after="0"/>
              <w:rPr>
                <w:sz w:val="23"/>
                <w:szCs w:val="23"/>
                <w:color w:val="auto"/>
              </w:rPr>
            </w:pPr>
          </w:p>
        </w:tc>
        <w:tc>
          <w:tcPr>
            <w:tcW w:w="4620" w:type="dxa"/>
            <w:vAlign w:val="bottom"/>
            <w:shd w:val="clear" w:color="auto" w:fill="D8D8D8"/>
          </w:tcPr>
          <w:p>
            <w:pPr>
              <w:ind w:left="360"/>
              <w:spacing w:after="0"/>
              <w:rPr>
                <w:sz w:val="20"/>
                <w:szCs w:val="20"/>
                <w:color w:val="auto"/>
              </w:rPr>
            </w:pPr>
            <w:r>
              <w:rPr>
                <w:rFonts w:ascii="Arial" w:cs="Arial" w:eastAsia="Arial" w:hAnsi="Arial"/>
                <w:sz w:val="18"/>
                <w:szCs w:val="18"/>
                <w:color w:val="auto"/>
              </w:rPr>
              <w:t>Other receivables</w:t>
            </w:r>
          </w:p>
        </w:tc>
        <w:tc>
          <w:tcPr>
            <w:tcW w:w="300" w:type="dxa"/>
            <w:vAlign w:val="bottom"/>
            <w:shd w:val="clear" w:color="auto" w:fill="D8D8D8"/>
          </w:tcPr>
          <w:p>
            <w:pPr>
              <w:spacing w:after="0"/>
              <w:rPr>
                <w:sz w:val="23"/>
                <w:szCs w:val="23"/>
                <w:color w:val="auto"/>
              </w:rPr>
            </w:pPr>
          </w:p>
        </w:tc>
        <w:tc>
          <w:tcPr>
            <w:tcW w:w="1100" w:type="dxa"/>
            <w:vAlign w:val="bottom"/>
            <w:shd w:val="clear" w:color="auto" w:fill="D8D8D8"/>
          </w:tcPr>
          <w:p>
            <w:pPr>
              <w:jc w:val="right"/>
              <w:ind w:right="136"/>
              <w:spacing w:after="0"/>
              <w:rPr>
                <w:sz w:val="20"/>
                <w:szCs w:val="20"/>
                <w:color w:val="auto"/>
              </w:rPr>
            </w:pPr>
            <w:r>
              <w:rPr>
                <w:rFonts w:ascii="Arial" w:cs="Arial" w:eastAsia="Arial" w:hAnsi="Arial"/>
                <w:sz w:val="18"/>
                <w:szCs w:val="18"/>
                <w:b w:val="1"/>
                <w:bCs w:val="1"/>
                <w:color w:val="auto"/>
              </w:rPr>
              <w:t>13.1</w:t>
            </w:r>
          </w:p>
        </w:tc>
        <w:tc>
          <w:tcPr>
            <w:tcW w:w="20" w:type="dxa"/>
            <w:vAlign w:val="bottom"/>
            <w:shd w:val="clear" w:color="auto" w:fill="D8D8D8"/>
          </w:tcPr>
          <w:p>
            <w:pPr>
              <w:spacing w:after="0"/>
              <w:rPr>
                <w:sz w:val="23"/>
                <w:szCs w:val="23"/>
                <w:color w:val="auto"/>
              </w:rPr>
            </w:pPr>
          </w:p>
        </w:tc>
        <w:tc>
          <w:tcPr>
            <w:tcW w:w="120" w:type="dxa"/>
            <w:vAlign w:val="bottom"/>
            <w:shd w:val="clear" w:color="auto" w:fill="D8D8D8"/>
          </w:tcPr>
          <w:p>
            <w:pPr>
              <w:spacing w:after="0"/>
              <w:rPr>
                <w:sz w:val="23"/>
                <w:szCs w:val="23"/>
                <w:color w:val="auto"/>
              </w:rPr>
            </w:pPr>
          </w:p>
        </w:tc>
        <w:tc>
          <w:tcPr>
            <w:tcW w:w="1160" w:type="dxa"/>
            <w:vAlign w:val="bottom"/>
            <w:shd w:val="clear" w:color="auto" w:fill="D8D8D8"/>
          </w:tcPr>
          <w:p>
            <w:pPr>
              <w:ind w:left="840"/>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D8D8D8"/>
          </w:tcPr>
          <w:p>
            <w:pPr>
              <w:spacing w:after="0"/>
              <w:rPr>
                <w:sz w:val="23"/>
                <w:szCs w:val="23"/>
                <w:color w:val="auto"/>
              </w:rPr>
            </w:pPr>
          </w:p>
        </w:tc>
        <w:tc>
          <w:tcPr>
            <w:tcW w:w="1100" w:type="dxa"/>
            <w:vAlign w:val="bottom"/>
            <w:shd w:val="clear" w:color="auto" w:fill="D8D8D8"/>
          </w:tcPr>
          <w:p>
            <w:pPr>
              <w:jc w:val="right"/>
              <w:ind w:right="81"/>
              <w:spacing w:after="0"/>
              <w:rPr>
                <w:sz w:val="20"/>
                <w:szCs w:val="20"/>
                <w:color w:val="auto"/>
              </w:rPr>
            </w:pPr>
            <w:r>
              <w:rPr>
                <w:rFonts w:ascii="Arial" w:cs="Arial" w:eastAsia="Arial" w:hAnsi="Arial"/>
                <w:sz w:val="18"/>
                <w:szCs w:val="18"/>
                <w:b w:val="1"/>
                <w:bCs w:val="1"/>
                <w:color w:val="auto"/>
              </w:rPr>
              <w:t>13.1</w:t>
            </w:r>
          </w:p>
        </w:tc>
        <w:tc>
          <w:tcPr>
            <w:tcW w:w="220" w:type="dxa"/>
            <w:vAlign w:val="bottom"/>
            <w:shd w:val="clear" w:color="auto" w:fill="D8D8D8"/>
          </w:tcPr>
          <w:p>
            <w:pPr>
              <w:spacing w:after="0"/>
              <w:rPr>
                <w:sz w:val="23"/>
                <w:szCs w:val="23"/>
                <w:color w:val="auto"/>
              </w:rPr>
            </w:pPr>
          </w:p>
        </w:tc>
        <w:tc>
          <w:tcPr>
            <w:tcW w:w="1100" w:type="dxa"/>
            <w:vAlign w:val="bottom"/>
            <w:gridSpan w:val="2"/>
            <w:shd w:val="clear" w:color="auto" w:fill="D8D8D8"/>
          </w:tcPr>
          <w:p>
            <w:pPr>
              <w:jc w:val="right"/>
              <w:ind w:right="120"/>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D8D8D8"/>
          </w:tcPr>
          <w:p>
            <w:pPr>
              <w:spacing w:after="0"/>
              <w:rPr>
                <w:sz w:val="23"/>
                <w:szCs w:val="23"/>
                <w:color w:val="auto"/>
              </w:rPr>
            </w:pPr>
          </w:p>
        </w:tc>
        <w:tc>
          <w:tcPr>
            <w:tcW w:w="960" w:type="dxa"/>
            <w:vAlign w:val="bottom"/>
            <w:shd w:val="clear" w:color="auto" w:fill="D8D8D8"/>
          </w:tcPr>
          <w:p>
            <w:pPr>
              <w:jc w:val="right"/>
              <w:ind w:right="36"/>
              <w:spacing w:after="0"/>
              <w:rPr>
                <w:sz w:val="20"/>
                <w:szCs w:val="20"/>
                <w:color w:val="auto"/>
              </w:rPr>
            </w:pPr>
            <w:r>
              <w:rPr>
                <w:rFonts w:ascii="Arial" w:cs="Arial" w:eastAsia="Arial" w:hAnsi="Arial"/>
                <w:sz w:val="18"/>
                <w:szCs w:val="18"/>
                <w:b w:val="1"/>
                <w:bCs w:val="1"/>
                <w:color w:val="auto"/>
              </w:rPr>
              <w:t>13.1</w:t>
            </w: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4620" w:type="dxa"/>
            <w:vAlign w:val="bottom"/>
          </w:tcPr>
          <w:p>
            <w:pPr>
              <w:ind w:left="360"/>
              <w:spacing w:after="0"/>
              <w:rPr>
                <w:sz w:val="20"/>
                <w:szCs w:val="20"/>
                <w:color w:val="auto"/>
              </w:rPr>
            </w:pPr>
            <w:r>
              <w:rPr>
                <w:rFonts w:ascii="Arial" w:cs="Arial" w:eastAsia="Arial" w:hAnsi="Arial"/>
                <w:sz w:val="18"/>
                <w:szCs w:val="18"/>
                <w:color w:val="auto"/>
              </w:rPr>
              <w:t>Other current liabilities</w:t>
            </w:r>
          </w:p>
        </w:tc>
        <w:tc>
          <w:tcPr>
            <w:tcW w:w="300" w:type="dxa"/>
            <w:vAlign w:val="bottom"/>
          </w:tcPr>
          <w:p>
            <w:pPr>
              <w:spacing w:after="0"/>
              <w:rPr>
                <w:sz w:val="23"/>
                <w:szCs w:val="23"/>
                <w:color w:val="auto"/>
              </w:rPr>
            </w:pPr>
          </w:p>
        </w:tc>
        <w:tc>
          <w:tcPr>
            <w:tcW w:w="1100" w:type="dxa"/>
            <w:vAlign w:val="bottom"/>
          </w:tcPr>
          <w:p>
            <w:pPr>
              <w:jc w:val="right"/>
              <w:ind w:right="76"/>
              <w:spacing w:after="0"/>
              <w:rPr>
                <w:sz w:val="20"/>
                <w:szCs w:val="20"/>
                <w:color w:val="auto"/>
              </w:rPr>
            </w:pPr>
            <w:r>
              <w:rPr>
                <w:rFonts w:ascii="Arial" w:cs="Arial" w:eastAsia="Arial" w:hAnsi="Arial"/>
                <w:sz w:val="18"/>
                <w:szCs w:val="18"/>
                <w:b w:val="1"/>
                <w:bCs w:val="1"/>
                <w:color w:val="auto"/>
              </w:rPr>
              <w:t>(17.3)</w:t>
            </w: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tcPr>
          <w:p>
            <w:pPr>
              <w:ind w:left="84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23"/>
                <w:szCs w:val="23"/>
                <w:color w:val="auto"/>
              </w:rPr>
            </w:pPr>
          </w:p>
        </w:tc>
        <w:tc>
          <w:tcPr>
            <w:tcW w:w="1100" w:type="dxa"/>
            <w:vAlign w:val="bottom"/>
          </w:tcPr>
          <w:p>
            <w:pPr>
              <w:jc w:val="right"/>
              <w:ind w:right="21"/>
              <w:spacing w:after="0"/>
              <w:rPr>
                <w:sz w:val="20"/>
                <w:szCs w:val="20"/>
                <w:color w:val="auto"/>
              </w:rPr>
            </w:pPr>
            <w:r>
              <w:rPr>
                <w:rFonts w:ascii="Arial" w:cs="Arial" w:eastAsia="Arial" w:hAnsi="Arial"/>
                <w:sz w:val="18"/>
                <w:szCs w:val="18"/>
                <w:b w:val="1"/>
                <w:bCs w:val="1"/>
                <w:color w:val="auto"/>
              </w:rPr>
              <w:t>(17.3)</w:t>
            </w:r>
          </w:p>
        </w:tc>
        <w:tc>
          <w:tcPr>
            <w:tcW w:w="220" w:type="dxa"/>
            <w:vAlign w:val="bottom"/>
          </w:tcPr>
          <w:p>
            <w:pPr>
              <w:spacing w:after="0"/>
              <w:rPr>
                <w:sz w:val="23"/>
                <w:szCs w:val="23"/>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(17.3)</w:t>
            </w:r>
          </w:p>
        </w:tc>
        <w:tc>
          <w:tcPr>
            <w:tcW w:w="0" w:type="dxa"/>
            <w:vAlign w:val="bottom"/>
          </w:tcPr>
          <w:p>
            <w:pPr>
              <w:spacing w:after="0"/>
              <w:rPr>
                <w:sz w:val="1"/>
                <w:szCs w:val="1"/>
                <w:color w:val="auto"/>
              </w:rPr>
            </w:pPr>
          </w:p>
        </w:tc>
      </w:tr>
      <w:tr>
        <w:trPr>
          <w:trHeight w:val="271"/>
        </w:trPr>
        <w:tc>
          <w:tcPr>
            <w:tcW w:w="20" w:type="dxa"/>
            <w:vAlign w:val="bottom"/>
            <w:shd w:val="clear" w:color="auto" w:fill="D8D8D8"/>
          </w:tcPr>
          <w:p>
            <w:pPr>
              <w:spacing w:after="0"/>
              <w:rPr>
                <w:sz w:val="23"/>
                <w:szCs w:val="23"/>
                <w:color w:val="auto"/>
              </w:rPr>
            </w:pPr>
          </w:p>
        </w:tc>
        <w:tc>
          <w:tcPr>
            <w:tcW w:w="4620" w:type="dxa"/>
            <w:vAlign w:val="bottom"/>
            <w:shd w:val="clear" w:color="auto" w:fill="D8D8D8"/>
          </w:tcPr>
          <w:p>
            <w:pPr>
              <w:ind w:left="20"/>
              <w:spacing w:after="0"/>
              <w:rPr>
                <w:sz w:val="20"/>
                <w:szCs w:val="20"/>
                <w:color w:val="auto"/>
              </w:rPr>
            </w:pPr>
            <w:r>
              <w:rPr>
                <w:rFonts w:ascii="Arial" w:cs="Arial" w:eastAsia="Arial" w:hAnsi="Arial"/>
                <w:sz w:val="18"/>
                <w:szCs w:val="18"/>
                <w:color w:val="auto"/>
              </w:rPr>
              <w:t>Contingent consideration liability</w:t>
            </w:r>
            <w:r>
              <w:rPr>
                <w:rFonts w:ascii="Arial" w:cs="Arial" w:eastAsia="Arial" w:hAnsi="Arial"/>
                <w:sz w:val="21"/>
                <w:szCs w:val="21"/>
                <w:color w:val="auto"/>
                <w:vertAlign w:val="superscript"/>
              </w:rPr>
              <w:t>(1)</w:t>
            </w:r>
            <w:r>
              <w:rPr>
                <w:rFonts w:ascii="Arial" w:cs="Arial" w:eastAsia="Arial" w:hAnsi="Arial"/>
                <w:sz w:val="18"/>
                <w:szCs w:val="18"/>
                <w:color w:val="auto"/>
              </w:rPr>
              <w:t>:</w:t>
            </w:r>
          </w:p>
        </w:tc>
        <w:tc>
          <w:tcPr>
            <w:tcW w:w="300" w:type="dxa"/>
            <w:vAlign w:val="bottom"/>
            <w:shd w:val="clear" w:color="auto" w:fill="D8D8D8"/>
          </w:tcPr>
          <w:p>
            <w:pPr>
              <w:spacing w:after="0"/>
              <w:rPr>
                <w:sz w:val="23"/>
                <w:szCs w:val="23"/>
                <w:color w:val="auto"/>
              </w:rPr>
            </w:pPr>
          </w:p>
        </w:tc>
        <w:tc>
          <w:tcPr>
            <w:tcW w:w="1100" w:type="dxa"/>
            <w:vAlign w:val="bottom"/>
            <w:shd w:val="clear" w:color="auto" w:fill="D8D8D8"/>
          </w:tcPr>
          <w:p>
            <w:pPr>
              <w:spacing w:after="0"/>
              <w:rPr>
                <w:sz w:val="23"/>
                <w:szCs w:val="23"/>
                <w:color w:val="auto"/>
              </w:rPr>
            </w:pPr>
          </w:p>
        </w:tc>
        <w:tc>
          <w:tcPr>
            <w:tcW w:w="20" w:type="dxa"/>
            <w:vAlign w:val="bottom"/>
            <w:shd w:val="clear" w:color="auto" w:fill="D8D8D8"/>
          </w:tcPr>
          <w:p>
            <w:pPr>
              <w:spacing w:after="0"/>
              <w:rPr>
                <w:sz w:val="23"/>
                <w:szCs w:val="23"/>
                <w:color w:val="auto"/>
              </w:rPr>
            </w:pPr>
          </w:p>
        </w:tc>
        <w:tc>
          <w:tcPr>
            <w:tcW w:w="120" w:type="dxa"/>
            <w:vAlign w:val="bottom"/>
            <w:shd w:val="clear" w:color="auto" w:fill="D8D8D8"/>
          </w:tcPr>
          <w:p>
            <w:pPr>
              <w:spacing w:after="0"/>
              <w:rPr>
                <w:sz w:val="23"/>
                <w:szCs w:val="23"/>
                <w:color w:val="auto"/>
              </w:rPr>
            </w:pPr>
          </w:p>
        </w:tc>
        <w:tc>
          <w:tcPr>
            <w:tcW w:w="1160" w:type="dxa"/>
            <w:vAlign w:val="bottom"/>
            <w:shd w:val="clear" w:color="auto" w:fill="D8D8D8"/>
          </w:tcPr>
          <w:p>
            <w:pPr>
              <w:spacing w:after="0"/>
              <w:rPr>
                <w:sz w:val="23"/>
                <w:szCs w:val="23"/>
                <w:color w:val="auto"/>
              </w:rPr>
            </w:pPr>
          </w:p>
        </w:tc>
        <w:tc>
          <w:tcPr>
            <w:tcW w:w="280" w:type="dxa"/>
            <w:vAlign w:val="bottom"/>
            <w:shd w:val="clear" w:color="auto" w:fill="D8D8D8"/>
          </w:tcPr>
          <w:p>
            <w:pPr>
              <w:spacing w:after="0"/>
              <w:rPr>
                <w:sz w:val="23"/>
                <w:szCs w:val="23"/>
                <w:color w:val="auto"/>
              </w:rPr>
            </w:pPr>
          </w:p>
        </w:tc>
        <w:tc>
          <w:tcPr>
            <w:tcW w:w="1100" w:type="dxa"/>
            <w:vAlign w:val="bottom"/>
            <w:shd w:val="clear" w:color="auto" w:fill="D8D8D8"/>
          </w:tcPr>
          <w:p>
            <w:pPr>
              <w:spacing w:after="0"/>
              <w:rPr>
                <w:sz w:val="23"/>
                <w:szCs w:val="23"/>
                <w:color w:val="auto"/>
              </w:rPr>
            </w:pPr>
          </w:p>
        </w:tc>
        <w:tc>
          <w:tcPr>
            <w:tcW w:w="220" w:type="dxa"/>
            <w:vAlign w:val="bottom"/>
            <w:shd w:val="clear" w:color="auto" w:fill="D8D8D8"/>
          </w:tcPr>
          <w:p>
            <w:pPr>
              <w:spacing w:after="0"/>
              <w:rPr>
                <w:sz w:val="23"/>
                <w:szCs w:val="23"/>
                <w:color w:val="auto"/>
              </w:rPr>
            </w:pPr>
          </w:p>
        </w:tc>
        <w:tc>
          <w:tcPr>
            <w:tcW w:w="1080" w:type="dxa"/>
            <w:vAlign w:val="bottom"/>
            <w:shd w:val="clear" w:color="auto" w:fill="D8D8D8"/>
          </w:tcPr>
          <w:p>
            <w:pPr>
              <w:spacing w:after="0"/>
              <w:rPr>
                <w:sz w:val="23"/>
                <w:szCs w:val="23"/>
                <w:color w:val="auto"/>
              </w:rPr>
            </w:pPr>
          </w:p>
        </w:tc>
        <w:tc>
          <w:tcPr>
            <w:tcW w:w="20" w:type="dxa"/>
            <w:vAlign w:val="bottom"/>
            <w:shd w:val="clear" w:color="auto" w:fill="D8D8D8"/>
          </w:tcPr>
          <w:p>
            <w:pPr>
              <w:spacing w:after="0"/>
              <w:rPr>
                <w:sz w:val="23"/>
                <w:szCs w:val="23"/>
                <w:color w:val="auto"/>
              </w:rPr>
            </w:pPr>
          </w:p>
        </w:tc>
        <w:tc>
          <w:tcPr>
            <w:tcW w:w="400" w:type="dxa"/>
            <w:vAlign w:val="bottom"/>
            <w:shd w:val="clear" w:color="auto" w:fill="D8D8D8"/>
          </w:tcPr>
          <w:p>
            <w:pPr>
              <w:spacing w:after="0"/>
              <w:rPr>
                <w:sz w:val="23"/>
                <w:szCs w:val="23"/>
                <w:color w:val="auto"/>
              </w:rPr>
            </w:pPr>
          </w:p>
        </w:tc>
        <w:tc>
          <w:tcPr>
            <w:tcW w:w="960" w:type="dxa"/>
            <w:vAlign w:val="bottom"/>
            <w:shd w:val="clear" w:color="auto" w:fill="D8D8D8"/>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4620" w:type="dxa"/>
            <w:vAlign w:val="bottom"/>
          </w:tcPr>
          <w:p>
            <w:pPr>
              <w:ind w:left="360"/>
              <w:spacing w:after="0"/>
              <w:rPr>
                <w:sz w:val="20"/>
                <w:szCs w:val="20"/>
                <w:color w:val="auto"/>
              </w:rPr>
            </w:pPr>
            <w:r>
              <w:rPr>
                <w:rFonts w:ascii="Arial" w:cs="Arial" w:eastAsia="Arial" w:hAnsi="Arial"/>
                <w:sz w:val="18"/>
                <w:szCs w:val="18"/>
                <w:color w:val="auto"/>
              </w:rPr>
              <w:t>Other current liabilities</w:t>
            </w:r>
          </w:p>
        </w:tc>
        <w:tc>
          <w:tcPr>
            <w:tcW w:w="300" w:type="dxa"/>
            <w:vAlign w:val="bottom"/>
          </w:tcPr>
          <w:p>
            <w:pPr>
              <w:spacing w:after="0"/>
              <w:rPr>
                <w:sz w:val="23"/>
                <w:szCs w:val="23"/>
                <w:color w:val="auto"/>
              </w:rPr>
            </w:pPr>
          </w:p>
        </w:tc>
        <w:tc>
          <w:tcPr>
            <w:tcW w:w="1100" w:type="dxa"/>
            <w:vAlign w:val="bottom"/>
          </w:tcPr>
          <w:p>
            <w:pPr>
              <w:jc w:val="right"/>
              <w:ind w:right="76"/>
              <w:spacing w:after="0"/>
              <w:rPr>
                <w:sz w:val="20"/>
                <w:szCs w:val="20"/>
                <w:color w:val="auto"/>
              </w:rPr>
            </w:pPr>
            <w:r>
              <w:rPr>
                <w:rFonts w:ascii="Arial" w:cs="Arial" w:eastAsia="Arial" w:hAnsi="Arial"/>
                <w:sz w:val="18"/>
                <w:szCs w:val="18"/>
                <w:b w:val="1"/>
                <w:bCs w:val="1"/>
                <w:color w:val="auto"/>
              </w:rPr>
              <w:t>(243.7)</w:t>
            </w: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tcPr>
          <w:p>
            <w:pPr>
              <w:ind w:left="84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23"/>
                <w:szCs w:val="23"/>
                <w:color w:val="auto"/>
              </w:rPr>
            </w:pPr>
          </w:p>
        </w:tc>
        <w:tc>
          <w:tcPr>
            <w:tcW w:w="1100" w:type="dxa"/>
            <w:vAlign w:val="bottom"/>
          </w:tcPr>
          <w:p>
            <w:pPr>
              <w:jc w:val="right"/>
              <w:ind w:right="81"/>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(243.7)</w:t>
            </w:r>
          </w:p>
        </w:tc>
        <w:tc>
          <w:tcPr>
            <w:tcW w:w="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(243.7)</w:t>
            </w:r>
          </w:p>
        </w:tc>
        <w:tc>
          <w:tcPr>
            <w:tcW w:w="0" w:type="dxa"/>
            <w:vAlign w:val="bottom"/>
          </w:tcPr>
          <w:p>
            <w:pPr>
              <w:spacing w:after="0"/>
              <w:rPr>
                <w:sz w:val="1"/>
                <w:szCs w:val="1"/>
                <w:color w:val="auto"/>
              </w:rPr>
            </w:pPr>
          </w:p>
        </w:tc>
      </w:tr>
      <w:tr>
        <w:trPr>
          <w:trHeight w:val="271"/>
        </w:trPr>
        <w:tc>
          <w:tcPr>
            <w:tcW w:w="20" w:type="dxa"/>
            <w:vAlign w:val="bottom"/>
            <w:shd w:val="clear" w:color="auto" w:fill="D8D8D8"/>
          </w:tcPr>
          <w:p>
            <w:pPr>
              <w:spacing w:after="0"/>
              <w:rPr>
                <w:sz w:val="23"/>
                <w:szCs w:val="23"/>
                <w:color w:val="auto"/>
              </w:rPr>
            </w:pPr>
          </w:p>
        </w:tc>
        <w:tc>
          <w:tcPr>
            <w:tcW w:w="4620" w:type="dxa"/>
            <w:vAlign w:val="bottom"/>
            <w:shd w:val="clear" w:color="auto" w:fill="D8D8D8"/>
          </w:tcPr>
          <w:p>
            <w:pPr>
              <w:ind w:left="360"/>
              <w:spacing w:after="0"/>
              <w:rPr>
                <w:sz w:val="20"/>
                <w:szCs w:val="20"/>
                <w:color w:val="auto"/>
              </w:rPr>
            </w:pPr>
            <w:r>
              <w:rPr>
                <w:rFonts w:ascii="Arial" w:cs="Arial" w:eastAsia="Arial" w:hAnsi="Arial"/>
                <w:sz w:val="18"/>
                <w:szCs w:val="18"/>
                <w:color w:val="auto"/>
              </w:rPr>
              <w:t>Other noncurrent liabilities</w:t>
            </w:r>
          </w:p>
        </w:tc>
        <w:tc>
          <w:tcPr>
            <w:tcW w:w="300" w:type="dxa"/>
            <w:vAlign w:val="bottom"/>
            <w:shd w:val="clear" w:color="auto" w:fill="D8D8D8"/>
          </w:tcPr>
          <w:p>
            <w:pPr>
              <w:spacing w:after="0"/>
              <w:rPr>
                <w:sz w:val="23"/>
                <w:szCs w:val="23"/>
                <w:color w:val="auto"/>
              </w:rPr>
            </w:pPr>
          </w:p>
        </w:tc>
        <w:tc>
          <w:tcPr>
            <w:tcW w:w="1100" w:type="dxa"/>
            <w:vAlign w:val="bottom"/>
            <w:shd w:val="clear" w:color="auto" w:fill="D8D8D8"/>
          </w:tcPr>
          <w:p>
            <w:pPr>
              <w:jc w:val="right"/>
              <w:ind w:right="76"/>
              <w:spacing w:after="0"/>
              <w:rPr>
                <w:sz w:val="20"/>
                <w:szCs w:val="20"/>
                <w:color w:val="auto"/>
              </w:rPr>
            </w:pPr>
            <w:r>
              <w:rPr>
                <w:rFonts w:ascii="Arial" w:cs="Arial" w:eastAsia="Arial" w:hAnsi="Arial"/>
                <w:sz w:val="18"/>
                <w:szCs w:val="18"/>
                <w:b w:val="1"/>
                <w:bCs w:val="1"/>
                <w:color w:val="auto"/>
              </w:rPr>
              <w:t>(427.2)</w:t>
            </w:r>
          </w:p>
        </w:tc>
        <w:tc>
          <w:tcPr>
            <w:tcW w:w="20" w:type="dxa"/>
            <w:vAlign w:val="bottom"/>
            <w:shd w:val="clear" w:color="auto" w:fill="D8D8D8"/>
          </w:tcPr>
          <w:p>
            <w:pPr>
              <w:spacing w:after="0"/>
              <w:rPr>
                <w:sz w:val="23"/>
                <w:szCs w:val="23"/>
                <w:color w:val="auto"/>
              </w:rPr>
            </w:pPr>
          </w:p>
        </w:tc>
        <w:tc>
          <w:tcPr>
            <w:tcW w:w="120" w:type="dxa"/>
            <w:vAlign w:val="bottom"/>
            <w:shd w:val="clear" w:color="auto" w:fill="D8D8D8"/>
          </w:tcPr>
          <w:p>
            <w:pPr>
              <w:spacing w:after="0"/>
              <w:rPr>
                <w:sz w:val="23"/>
                <w:szCs w:val="23"/>
                <w:color w:val="auto"/>
              </w:rPr>
            </w:pPr>
          </w:p>
        </w:tc>
        <w:tc>
          <w:tcPr>
            <w:tcW w:w="1160" w:type="dxa"/>
            <w:vAlign w:val="bottom"/>
            <w:shd w:val="clear" w:color="auto" w:fill="D8D8D8"/>
          </w:tcPr>
          <w:p>
            <w:pPr>
              <w:ind w:left="840"/>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D8D8D8"/>
          </w:tcPr>
          <w:p>
            <w:pPr>
              <w:spacing w:after="0"/>
              <w:rPr>
                <w:sz w:val="23"/>
                <w:szCs w:val="23"/>
                <w:color w:val="auto"/>
              </w:rPr>
            </w:pPr>
          </w:p>
        </w:tc>
        <w:tc>
          <w:tcPr>
            <w:tcW w:w="1100" w:type="dxa"/>
            <w:vAlign w:val="bottom"/>
            <w:shd w:val="clear" w:color="auto" w:fill="D8D8D8"/>
          </w:tcPr>
          <w:p>
            <w:pPr>
              <w:jc w:val="right"/>
              <w:ind w:right="81"/>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D8D8D8"/>
          </w:tcPr>
          <w:p>
            <w:pPr>
              <w:spacing w:after="0"/>
              <w:rPr>
                <w:sz w:val="23"/>
                <w:szCs w:val="23"/>
                <w:color w:val="auto"/>
              </w:rPr>
            </w:pPr>
          </w:p>
        </w:tc>
        <w:tc>
          <w:tcPr>
            <w:tcW w:w="1080" w:type="dxa"/>
            <w:vAlign w:val="bottom"/>
            <w:shd w:val="clear" w:color="auto" w:fill="D8D8D8"/>
          </w:tcPr>
          <w:p>
            <w:pPr>
              <w:jc w:val="right"/>
              <w:spacing w:after="0"/>
              <w:rPr>
                <w:sz w:val="20"/>
                <w:szCs w:val="20"/>
                <w:color w:val="auto"/>
              </w:rPr>
            </w:pPr>
            <w:r>
              <w:rPr>
                <w:rFonts w:ascii="Arial" w:cs="Arial" w:eastAsia="Arial" w:hAnsi="Arial"/>
                <w:sz w:val="18"/>
                <w:szCs w:val="18"/>
                <w:b w:val="1"/>
                <w:bCs w:val="1"/>
                <w:color w:val="auto"/>
              </w:rPr>
              <w:t>(427.2)</w:t>
            </w:r>
          </w:p>
        </w:tc>
        <w:tc>
          <w:tcPr>
            <w:tcW w:w="20" w:type="dxa"/>
            <w:vAlign w:val="bottom"/>
            <w:shd w:val="clear" w:color="auto" w:fill="D8D8D8"/>
          </w:tcPr>
          <w:p>
            <w:pPr>
              <w:spacing w:after="0"/>
              <w:rPr>
                <w:sz w:val="23"/>
                <w:szCs w:val="23"/>
                <w:color w:val="auto"/>
              </w:rPr>
            </w:pPr>
          </w:p>
        </w:tc>
        <w:tc>
          <w:tcPr>
            <w:tcW w:w="400" w:type="dxa"/>
            <w:vAlign w:val="bottom"/>
            <w:shd w:val="clear" w:color="auto" w:fill="D8D8D8"/>
          </w:tcPr>
          <w:p>
            <w:pPr>
              <w:spacing w:after="0"/>
              <w:rPr>
                <w:sz w:val="23"/>
                <w:szCs w:val="23"/>
                <w:color w:val="auto"/>
              </w:rPr>
            </w:pPr>
          </w:p>
        </w:tc>
        <w:tc>
          <w:tcPr>
            <w:tcW w:w="960" w:type="dxa"/>
            <w:vAlign w:val="bottom"/>
            <w:shd w:val="clear" w:color="auto" w:fill="D8D8D8"/>
          </w:tcPr>
          <w:p>
            <w:pPr>
              <w:jc w:val="right"/>
              <w:spacing w:after="0"/>
              <w:rPr>
                <w:sz w:val="20"/>
                <w:szCs w:val="20"/>
                <w:color w:val="auto"/>
              </w:rPr>
            </w:pPr>
            <w:r>
              <w:rPr>
                <w:rFonts w:ascii="Arial" w:cs="Arial" w:eastAsia="Arial" w:hAnsi="Arial"/>
                <w:sz w:val="18"/>
                <w:szCs w:val="18"/>
                <w:b w:val="1"/>
                <w:bCs w:val="1"/>
                <w:color w:val="auto"/>
              </w:rPr>
              <w:t>(427.2)</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6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 w:type="dxa"/>
            <w:vAlign w:val="bottom"/>
            <w:shd w:val="clear" w:color="auto" w:fill="D8D8D8"/>
          </w:tcPr>
          <w:p>
            <w:pPr>
              <w:spacing w:after="0"/>
              <w:rPr>
                <w:sz w:val="23"/>
                <w:szCs w:val="23"/>
                <w:color w:val="auto"/>
              </w:rPr>
            </w:pPr>
          </w:p>
        </w:tc>
        <w:tc>
          <w:tcPr>
            <w:tcW w:w="4620" w:type="dxa"/>
            <w:vAlign w:val="bottom"/>
            <w:shd w:val="clear" w:color="auto" w:fill="D8D8D8"/>
          </w:tcPr>
          <w:p>
            <w:pPr>
              <w:ind w:left="20"/>
              <w:spacing w:after="0"/>
              <w:rPr>
                <w:sz w:val="20"/>
                <w:szCs w:val="20"/>
                <w:color w:val="auto"/>
              </w:rPr>
            </w:pPr>
            <w:r>
              <w:rPr>
                <w:rFonts w:ascii="Arial" w:cs="Arial" w:eastAsia="Arial" w:hAnsi="Arial"/>
                <w:sz w:val="18"/>
                <w:szCs w:val="18"/>
                <w:b w:val="1"/>
                <w:bCs w:val="1"/>
                <w:color w:val="auto"/>
              </w:rPr>
              <w:t>December 31, 2014</w:t>
            </w:r>
          </w:p>
        </w:tc>
        <w:tc>
          <w:tcPr>
            <w:tcW w:w="300" w:type="dxa"/>
            <w:vAlign w:val="bottom"/>
            <w:shd w:val="clear" w:color="auto" w:fill="D8D8D8"/>
          </w:tcPr>
          <w:p>
            <w:pPr>
              <w:spacing w:after="0"/>
              <w:rPr>
                <w:sz w:val="23"/>
                <w:szCs w:val="23"/>
                <w:color w:val="auto"/>
              </w:rPr>
            </w:pPr>
          </w:p>
        </w:tc>
        <w:tc>
          <w:tcPr>
            <w:tcW w:w="1100" w:type="dxa"/>
            <w:vAlign w:val="bottom"/>
            <w:shd w:val="clear" w:color="auto" w:fill="D8D8D8"/>
          </w:tcPr>
          <w:p>
            <w:pPr>
              <w:spacing w:after="0"/>
              <w:rPr>
                <w:sz w:val="23"/>
                <w:szCs w:val="23"/>
                <w:color w:val="auto"/>
              </w:rPr>
            </w:pPr>
          </w:p>
        </w:tc>
        <w:tc>
          <w:tcPr>
            <w:tcW w:w="20" w:type="dxa"/>
            <w:vAlign w:val="bottom"/>
            <w:shd w:val="clear" w:color="auto" w:fill="D8D8D8"/>
          </w:tcPr>
          <w:p>
            <w:pPr>
              <w:spacing w:after="0"/>
              <w:rPr>
                <w:sz w:val="23"/>
                <w:szCs w:val="23"/>
                <w:color w:val="auto"/>
              </w:rPr>
            </w:pPr>
          </w:p>
        </w:tc>
        <w:tc>
          <w:tcPr>
            <w:tcW w:w="120" w:type="dxa"/>
            <w:vAlign w:val="bottom"/>
            <w:shd w:val="clear" w:color="auto" w:fill="D8D8D8"/>
          </w:tcPr>
          <w:p>
            <w:pPr>
              <w:spacing w:after="0"/>
              <w:rPr>
                <w:sz w:val="23"/>
                <w:szCs w:val="23"/>
                <w:color w:val="auto"/>
              </w:rPr>
            </w:pPr>
          </w:p>
        </w:tc>
        <w:tc>
          <w:tcPr>
            <w:tcW w:w="1160" w:type="dxa"/>
            <w:vAlign w:val="bottom"/>
            <w:shd w:val="clear" w:color="auto" w:fill="D8D8D8"/>
          </w:tcPr>
          <w:p>
            <w:pPr>
              <w:spacing w:after="0"/>
              <w:rPr>
                <w:sz w:val="23"/>
                <w:szCs w:val="23"/>
                <w:color w:val="auto"/>
              </w:rPr>
            </w:pPr>
          </w:p>
        </w:tc>
        <w:tc>
          <w:tcPr>
            <w:tcW w:w="280" w:type="dxa"/>
            <w:vAlign w:val="bottom"/>
            <w:shd w:val="clear" w:color="auto" w:fill="D8D8D8"/>
          </w:tcPr>
          <w:p>
            <w:pPr>
              <w:spacing w:after="0"/>
              <w:rPr>
                <w:sz w:val="23"/>
                <w:szCs w:val="23"/>
                <w:color w:val="auto"/>
              </w:rPr>
            </w:pPr>
          </w:p>
        </w:tc>
        <w:tc>
          <w:tcPr>
            <w:tcW w:w="1100" w:type="dxa"/>
            <w:vAlign w:val="bottom"/>
            <w:shd w:val="clear" w:color="auto" w:fill="D8D8D8"/>
          </w:tcPr>
          <w:p>
            <w:pPr>
              <w:spacing w:after="0"/>
              <w:rPr>
                <w:sz w:val="23"/>
                <w:szCs w:val="23"/>
                <w:color w:val="auto"/>
              </w:rPr>
            </w:pPr>
          </w:p>
        </w:tc>
        <w:tc>
          <w:tcPr>
            <w:tcW w:w="220" w:type="dxa"/>
            <w:vAlign w:val="bottom"/>
            <w:shd w:val="clear" w:color="auto" w:fill="D8D8D8"/>
          </w:tcPr>
          <w:p>
            <w:pPr>
              <w:spacing w:after="0"/>
              <w:rPr>
                <w:sz w:val="23"/>
                <w:szCs w:val="23"/>
                <w:color w:val="auto"/>
              </w:rPr>
            </w:pPr>
          </w:p>
        </w:tc>
        <w:tc>
          <w:tcPr>
            <w:tcW w:w="1080" w:type="dxa"/>
            <w:vAlign w:val="bottom"/>
            <w:shd w:val="clear" w:color="auto" w:fill="D8D8D8"/>
          </w:tcPr>
          <w:p>
            <w:pPr>
              <w:spacing w:after="0"/>
              <w:rPr>
                <w:sz w:val="23"/>
                <w:szCs w:val="23"/>
                <w:color w:val="auto"/>
              </w:rPr>
            </w:pPr>
          </w:p>
        </w:tc>
        <w:tc>
          <w:tcPr>
            <w:tcW w:w="20" w:type="dxa"/>
            <w:vAlign w:val="bottom"/>
            <w:shd w:val="clear" w:color="auto" w:fill="D8D8D8"/>
          </w:tcPr>
          <w:p>
            <w:pPr>
              <w:spacing w:after="0"/>
              <w:rPr>
                <w:sz w:val="23"/>
                <w:szCs w:val="23"/>
                <w:color w:val="auto"/>
              </w:rPr>
            </w:pPr>
          </w:p>
        </w:tc>
        <w:tc>
          <w:tcPr>
            <w:tcW w:w="400" w:type="dxa"/>
            <w:vAlign w:val="bottom"/>
            <w:shd w:val="clear" w:color="auto" w:fill="D8D8D8"/>
          </w:tcPr>
          <w:p>
            <w:pPr>
              <w:spacing w:after="0"/>
              <w:rPr>
                <w:sz w:val="23"/>
                <w:szCs w:val="23"/>
                <w:color w:val="auto"/>
              </w:rPr>
            </w:pPr>
          </w:p>
        </w:tc>
        <w:tc>
          <w:tcPr>
            <w:tcW w:w="960" w:type="dxa"/>
            <w:vAlign w:val="bottom"/>
            <w:shd w:val="clear" w:color="auto" w:fill="D8D8D8"/>
          </w:tcPr>
          <w:p>
            <w:pPr>
              <w:spacing w:after="0"/>
              <w:rPr>
                <w:sz w:val="23"/>
                <w:szCs w:val="23"/>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4620" w:type="dxa"/>
            <w:vAlign w:val="bottom"/>
          </w:tcPr>
          <w:p>
            <w:pPr>
              <w:ind w:left="20"/>
              <w:spacing w:after="0"/>
              <w:rPr>
                <w:sz w:val="20"/>
                <w:szCs w:val="20"/>
                <w:color w:val="auto"/>
              </w:rPr>
            </w:pPr>
            <w:r>
              <w:rPr>
                <w:rFonts w:ascii="Arial" w:cs="Arial" w:eastAsia="Arial" w:hAnsi="Arial"/>
                <w:sz w:val="18"/>
                <w:szCs w:val="18"/>
                <w:color w:val="auto"/>
              </w:rPr>
              <w:t>Risk-management instruments</w:t>
            </w:r>
          </w:p>
        </w:tc>
        <w:tc>
          <w:tcPr>
            <w:tcW w:w="3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4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shd w:val="clear" w:color="auto" w:fill="D8D8D8"/>
          </w:tcPr>
          <w:p>
            <w:pPr>
              <w:spacing w:after="0"/>
              <w:rPr>
                <w:sz w:val="17"/>
                <w:szCs w:val="17"/>
                <w:color w:val="auto"/>
              </w:rPr>
            </w:pPr>
          </w:p>
        </w:tc>
        <w:tc>
          <w:tcPr>
            <w:tcW w:w="4620" w:type="dxa"/>
            <w:vAlign w:val="bottom"/>
            <w:shd w:val="clear" w:color="auto" w:fill="D8D8D8"/>
          </w:tcPr>
          <w:p>
            <w:pPr>
              <w:ind w:left="160"/>
              <w:spacing w:after="0"/>
              <w:rPr>
                <w:sz w:val="20"/>
                <w:szCs w:val="20"/>
                <w:color w:val="auto"/>
              </w:rPr>
            </w:pPr>
            <w:r>
              <w:rPr>
                <w:rFonts w:ascii="Arial" w:cs="Arial" w:eastAsia="Arial" w:hAnsi="Arial"/>
                <w:sz w:val="18"/>
                <w:szCs w:val="18"/>
                <w:color w:val="auto"/>
              </w:rPr>
              <w:t>Interest rate contracts designated as hedging</w:t>
            </w:r>
          </w:p>
        </w:tc>
        <w:tc>
          <w:tcPr>
            <w:tcW w:w="300" w:type="dxa"/>
            <w:vAlign w:val="bottom"/>
            <w:shd w:val="clear" w:color="auto" w:fill="D8D8D8"/>
          </w:tcPr>
          <w:p>
            <w:pPr>
              <w:spacing w:after="0"/>
              <w:rPr>
                <w:sz w:val="17"/>
                <w:szCs w:val="17"/>
                <w:color w:val="auto"/>
              </w:rPr>
            </w:pPr>
          </w:p>
        </w:tc>
        <w:tc>
          <w:tcPr>
            <w:tcW w:w="1100" w:type="dxa"/>
            <w:vAlign w:val="bottom"/>
            <w:shd w:val="clear" w:color="auto" w:fill="D8D8D8"/>
          </w:tcPr>
          <w:p>
            <w:pPr>
              <w:spacing w:after="0"/>
              <w:rPr>
                <w:sz w:val="17"/>
                <w:szCs w:val="17"/>
                <w:color w:val="auto"/>
              </w:rPr>
            </w:pPr>
          </w:p>
        </w:tc>
        <w:tc>
          <w:tcPr>
            <w:tcW w:w="20" w:type="dxa"/>
            <w:vAlign w:val="bottom"/>
            <w:shd w:val="clear" w:color="auto" w:fill="D8D8D8"/>
          </w:tcPr>
          <w:p>
            <w:pPr>
              <w:spacing w:after="0"/>
              <w:rPr>
                <w:sz w:val="17"/>
                <w:szCs w:val="17"/>
                <w:color w:val="auto"/>
              </w:rPr>
            </w:pPr>
          </w:p>
        </w:tc>
        <w:tc>
          <w:tcPr>
            <w:tcW w:w="120" w:type="dxa"/>
            <w:vAlign w:val="bottom"/>
            <w:shd w:val="clear" w:color="auto" w:fill="D8D8D8"/>
          </w:tcPr>
          <w:p>
            <w:pPr>
              <w:spacing w:after="0"/>
              <w:rPr>
                <w:sz w:val="17"/>
                <w:szCs w:val="17"/>
                <w:color w:val="auto"/>
              </w:rPr>
            </w:pPr>
          </w:p>
        </w:tc>
        <w:tc>
          <w:tcPr>
            <w:tcW w:w="1160" w:type="dxa"/>
            <w:vAlign w:val="bottom"/>
            <w:shd w:val="clear" w:color="auto" w:fill="D8D8D8"/>
          </w:tcPr>
          <w:p>
            <w:pPr>
              <w:spacing w:after="0"/>
              <w:rPr>
                <w:sz w:val="17"/>
                <w:szCs w:val="17"/>
                <w:color w:val="auto"/>
              </w:rPr>
            </w:pPr>
          </w:p>
        </w:tc>
        <w:tc>
          <w:tcPr>
            <w:tcW w:w="280" w:type="dxa"/>
            <w:vAlign w:val="bottom"/>
            <w:shd w:val="clear" w:color="auto" w:fill="D8D8D8"/>
          </w:tcPr>
          <w:p>
            <w:pPr>
              <w:spacing w:after="0"/>
              <w:rPr>
                <w:sz w:val="17"/>
                <w:szCs w:val="17"/>
                <w:color w:val="auto"/>
              </w:rPr>
            </w:pPr>
          </w:p>
        </w:tc>
        <w:tc>
          <w:tcPr>
            <w:tcW w:w="1100" w:type="dxa"/>
            <w:vAlign w:val="bottom"/>
            <w:shd w:val="clear" w:color="auto" w:fill="D8D8D8"/>
          </w:tcPr>
          <w:p>
            <w:pPr>
              <w:spacing w:after="0"/>
              <w:rPr>
                <w:sz w:val="17"/>
                <w:szCs w:val="17"/>
                <w:color w:val="auto"/>
              </w:rPr>
            </w:pPr>
          </w:p>
        </w:tc>
        <w:tc>
          <w:tcPr>
            <w:tcW w:w="220" w:type="dxa"/>
            <w:vAlign w:val="bottom"/>
            <w:shd w:val="clear" w:color="auto" w:fill="D8D8D8"/>
          </w:tcPr>
          <w:p>
            <w:pPr>
              <w:spacing w:after="0"/>
              <w:rPr>
                <w:sz w:val="17"/>
                <w:szCs w:val="17"/>
                <w:color w:val="auto"/>
              </w:rPr>
            </w:pPr>
          </w:p>
        </w:tc>
        <w:tc>
          <w:tcPr>
            <w:tcW w:w="1080" w:type="dxa"/>
            <w:vAlign w:val="bottom"/>
            <w:shd w:val="clear" w:color="auto" w:fill="D8D8D8"/>
          </w:tcPr>
          <w:p>
            <w:pPr>
              <w:spacing w:after="0"/>
              <w:rPr>
                <w:sz w:val="17"/>
                <w:szCs w:val="17"/>
                <w:color w:val="auto"/>
              </w:rPr>
            </w:pPr>
          </w:p>
        </w:tc>
        <w:tc>
          <w:tcPr>
            <w:tcW w:w="20" w:type="dxa"/>
            <w:vAlign w:val="bottom"/>
            <w:shd w:val="clear" w:color="auto" w:fill="D8D8D8"/>
          </w:tcPr>
          <w:p>
            <w:pPr>
              <w:spacing w:after="0"/>
              <w:rPr>
                <w:sz w:val="17"/>
                <w:szCs w:val="17"/>
                <w:color w:val="auto"/>
              </w:rPr>
            </w:pPr>
          </w:p>
        </w:tc>
        <w:tc>
          <w:tcPr>
            <w:tcW w:w="400" w:type="dxa"/>
            <w:vAlign w:val="bottom"/>
            <w:shd w:val="clear" w:color="auto" w:fill="D8D8D8"/>
          </w:tcPr>
          <w:p>
            <w:pPr>
              <w:spacing w:after="0"/>
              <w:rPr>
                <w:sz w:val="17"/>
                <w:szCs w:val="17"/>
                <w:color w:val="auto"/>
              </w:rPr>
            </w:pPr>
          </w:p>
        </w:tc>
        <w:tc>
          <w:tcPr>
            <w:tcW w:w="960" w:type="dxa"/>
            <w:vAlign w:val="bottom"/>
            <w:shd w:val="clear" w:color="auto" w:fill="D8D8D8"/>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20" w:type="dxa"/>
            <w:vAlign w:val="bottom"/>
            <w:shd w:val="clear" w:color="auto" w:fill="D8D8D8"/>
          </w:tcPr>
          <w:p>
            <w:pPr>
              <w:spacing w:after="0"/>
              <w:rPr>
                <w:sz w:val="21"/>
                <w:szCs w:val="21"/>
                <w:color w:val="auto"/>
              </w:rPr>
            </w:pPr>
          </w:p>
        </w:tc>
        <w:tc>
          <w:tcPr>
            <w:tcW w:w="4620" w:type="dxa"/>
            <w:vAlign w:val="bottom"/>
            <w:shd w:val="clear" w:color="auto" w:fill="D8D8D8"/>
          </w:tcPr>
          <w:p>
            <w:pPr>
              <w:ind w:left="320"/>
              <w:spacing w:after="0"/>
              <w:rPr>
                <w:sz w:val="20"/>
                <w:szCs w:val="20"/>
                <w:color w:val="auto"/>
              </w:rPr>
            </w:pPr>
            <w:r>
              <w:rPr>
                <w:rFonts w:ascii="Arial" w:cs="Arial" w:eastAsia="Arial" w:hAnsi="Arial"/>
                <w:sz w:val="18"/>
                <w:szCs w:val="18"/>
                <w:color w:val="auto"/>
              </w:rPr>
              <w:t>instruments:</w:t>
            </w:r>
          </w:p>
        </w:tc>
        <w:tc>
          <w:tcPr>
            <w:tcW w:w="300" w:type="dxa"/>
            <w:vAlign w:val="bottom"/>
            <w:shd w:val="clear" w:color="auto" w:fill="D8D8D8"/>
          </w:tcPr>
          <w:p>
            <w:pPr>
              <w:spacing w:after="0"/>
              <w:rPr>
                <w:sz w:val="21"/>
                <w:szCs w:val="21"/>
                <w:color w:val="auto"/>
              </w:rPr>
            </w:pPr>
          </w:p>
        </w:tc>
        <w:tc>
          <w:tcPr>
            <w:tcW w:w="1100" w:type="dxa"/>
            <w:vAlign w:val="bottom"/>
            <w:shd w:val="clear" w:color="auto" w:fill="D8D8D8"/>
          </w:tcPr>
          <w:p>
            <w:pPr>
              <w:spacing w:after="0"/>
              <w:rPr>
                <w:sz w:val="21"/>
                <w:szCs w:val="21"/>
                <w:color w:val="auto"/>
              </w:rPr>
            </w:pPr>
          </w:p>
        </w:tc>
        <w:tc>
          <w:tcPr>
            <w:tcW w:w="20" w:type="dxa"/>
            <w:vAlign w:val="bottom"/>
            <w:shd w:val="clear" w:color="auto" w:fill="D8D8D8"/>
          </w:tcPr>
          <w:p>
            <w:pPr>
              <w:spacing w:after="0"/>
              <w:rPr>
                <w:sz w:val="21"/>
                <w:szCs w:val="21"/>
                <w:color w:val="auto"/>
              </w:rPr>
            </w:pPr>
          </w:p>
        </w:tc>
        <w:tc>
          <w:tcPr>
            <w:tcW w:w="120" w:type="dxa"/>
            <w:vAlign w:val="bottom"/>
            <w:shd w:val="clear" w:color="auto" w:fill="D8D8D8"/>
          </w:tcPr>
          <w:p>
            <w:pPr>
              <w:spacing w:after="0"/>
              <w:rPr>
                <w:sz w:val="21"/>
                <w:szCs w:val="21"/>
                <w:color w:val="auto"/>
              </w:rPr>
            </w:pPr>
          </w:p>
        </w:tc>
        <w:tc>
          <w:tcPr>
            <w:tcW w:w="1160" w:type="dxa"/>
            <w:vAlign w:val="bottom"/>
            <w:shd w:val="clear" w:color="auto" w:fill="D8D8D8"/>
          </w:tcPr>
          <w:p>
            <w:pPr>
              <w:spacing w:after="0"/>
              <w:rPr>
                <w:sz w:val="21"/>
                <w:szCs w:val="21"/>
                <w:color w:val="auto"/>
              </w:rPr>
            </w:pPr>
          </w:p>
        </w:tc>
        <w:tc>
          <w:tcPr>
            <w:tcW w:w="280" w:type="dxa"/>
            <w:vAlign w:val="bottom"/>
            <w:shd w:val="clear" w:color="auto" w:fill="D8D8D8"/>
          </w:tcPr>
          <w:p>
            <w:pPr>
              <w:spacing w:after="0"/>
              <w:rPr>
                <w:sz w:val="21"/>
                <w:szCs w:val="21"/>
                <w:color w:val="auto"/>
              </w:rPr>
            </w:pPr>
          </w:p>
        </w:tc>
        <w:tc>
          <w:tcPr>
            <w:tcW w:w="1100" w:type="dxa"/>
            <w:vAlign w:val="bottom"/>
            <w:shd w:val="clear" w:color="auto" w:fill="D8D8D8"/>
          </w:tcPr>
          <w:p>
            <w:pPr>
              <w:spacing w:after="0"/>
              <w:rPr>
                <w:sz w:val="21"/>
                <w:szCs w:val="21"/>
                <w:color w:val="auto"/>
              </w:rPr>
            </w:pPr>
          </w:p>
        </w:tc>
        <w:tc>
          <w:tcPr>
            <w:tcW w:w="220" w:type="dxa"/>
            <w:vAlign w:val="bottom"/>
            <w:shd w:val="clear" w:color="auto" w:fill="D8D8D8"/>
          </w:tcPr>
          <w:p>
            <w:pPr>
              <w:spacing w:after="0"/>
              <w:rPr>
                <w:sz w:val="21"/>
                <w:szCs w:val="21"/>
                <w:color w:val="auto"/>
              </w:rPr>
            </w:pPr>
          </w:p>
        </w:tc>
        <w:tc>
          <w:tcPr>
            <w:tcW w:w="1080" w:type="dxa"/>
            <w:vAlign w:val="bottom"/>
            <w:shd w:val="clear" w:color="auto" w:fill="D8D8D8"/>
          </w:tcPr>
          <w:p>
            <w:pPr>
              <w:spacing w:after="0"/>
              <w:rPr>
                <w:sz w:val="21"/>
                <w:szCs w:val="21"/>
                <w:color w:val="auto"/>
              </w:rPr>
            </w:pPr>
          </w:p>
        </w:tc>
        <w:tc>
          <w:tcPr>
            <w:tcW w:w="20" w:type="dxa"/>
            <w:vAlign w:val="bottom"/>
            <w:shd w:val="clear" w:color="auto" w:fill="D8D8D8"/>
          </w:tcPr>
          <w:p>
            <w:pPr>
              <w:spacing w:after="0"/>
              <w:rPr>
                <w:sz w:val="21"/>
                <w:szCs w:val="21"/>
                <w:color w:val="auto"/>
              </w:rPr>
            </w:pPr>
          </w:p>
        </w:tc>
        <w:tc>
          <w:tcPr>
            <w:tcW w:w="400" w:type="dxa"/>
            <w:vAlign w:val="bottom"/>
            <w:shd w:val="clear" w:color="auto" w:fill="D8D8D8"/>
          </w:tcPr>
          <w:p>
            <w:pPr>
              <w:spacing w:after="0"/>
              <w:rPr>
                <w:sz w:val="21"/>
                <w:szCs w:val="21"/>
                <w:color w:val="auto"/>
              </w:rPr>
            </w:pPr>
          </w:p>
        </w:tc>
        <w:tc>
          <w:tcPr>
            <w:tcW w:w="960" w:type="dxa"/>
            <w:vAlign w:val="bottom"/>
            <w:shd w:val="clear" w:color="auto" w:fill="D8D8D8"/>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4620" w:type="dxa"/>
            <w:vAlign w:val="bottom"/>
          </w:tcPr>
          <w:p>
            <w:pPr>
              <w:ind w:left="360"/>
              <w:spacing w:after="0"/>
              <w:rPr>
                <w:sz w:val="20"/>
                <w:szCs w:val="20"/>
                <w:color w:val="auto"/>
              </w:rPr>
            </w:pPr>
            <w:r>
              <w:rPr>
                <w:rFonts w:ascii="Arial" w:cs="Arial" w:eastAsia="Arial" w:hAnsi="Arial"/>
                <w:sz w:val="18"/>
                <w:szCs w:val="18"/>
                <w:color w:val="auto"/>
              </w:rPr>
              <w:t>Sundry</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36"/>
              <w:spacing w:after="0"/>
              <w:rPr>
                <w:sz w:val="20"/>
                <w:szCs w:val="20"/>
                <w:color w:val="auto"/>
              </w:rPr>
            </w:pPr>
            <w:r>
              <w:rPr>
                <w:rFonts w:ascii="Arial" w:cs="Arial" w:eastAsia="Arial" w:hAnsi="Arial"/>
                <w:sz w:val="18"/>
                <w:szCs w:val="18"/>
                <w:color w:val="auto"/>
              </w:rPr>
              <w:t>102.5</w:t>
            </w:r>
          </w:p>
        </w:tc>
        <w:tc>
          <w:tcPr>
            <w:tcW w:w="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ind w:left="840"/>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81"/>
              <w:spacing w:after="0"/>
              <w:rPr>
                <w:sz w:val="20"/>
                <w:szCs w:val="20"/>
                <w:color w:val="auto"/>
              </w:rPr>
            </w:pPr>
            <w:r>
              <w:rPr>
                <w:rFonts w:ascii="Arial" w:cs="Arial" w:eastAsia="Arial" w:hAnsi="Arial"/>
                <w:sz w:val="18"/>
                <w:szCs w:val="18"/>
                <w:color w:val="auto"/>
              </w:rPr>
              <w:t>102.5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6"/>
              <w:spacing w:after="0"/>
              <w:rPr>
                <w:sz w:val="20"/>
                <w:szCs w:val="20"/>
                <w:color w:val="auto"/>
              </w:rPr>
            </w:pPr>
            <w:r>
              <w:rPr>
                <w:rFonts w:ascii="Arial" w:cs="Arial" w:eastAsia="Arial" w:hAnsi="Arial"/>
                <w:sz w:val="18"/>
                <w:szCs w:val="18"/>
                <w:color w:val="auto"/>
              </w:rPr>
              <w:t>102.5</w:t>
            </w:r>
          </w:p>
        </w:tc>
        <w:tc>
          <w:tcPr>
            <w:tcW w:w="0" w:type="dxa"/>
            <w:vAlign w:val="bottom"/>
          </w:tcPr>
          <w:p>
            <w:pPr>
              <w:spacing w:after="0"/>
              <w:rPr>
                <w:sz w:val="1"/>
                <w:szCs w:val="1"/>
                <w:color w:val="auto"/>
              </w:rPr>
            </w:pPr>
          </w:p>
        </w:tc>
      </w:tr>
      <w:tr>
        <w:trPr>
          <w:trHeight w:val="275"/>
        </w:trPr>
        <w:tc>
          <w:tcPr>
            <w:tcW w:w="20" w:type="dxa"/>
            <w:vAlign w:val="bottom"/>
            <w:shd w:val="clear" w:color="auto" w:fill="D8D8D8"/>
          </w:tcPr>
          <w:p>
            <w:pPr>
              <w:spacing w:after="0"/>
              <w:rPr>
                <w:sz w:val="23"/>
                <w:szCs w:val="23"/>
                <w:color w:val="auto"/>
              </w:rPr>
            </w:pPr>
          </w:p>
        </w:tc>
        <w:tc>
          <w:tcPr>
            <w:tcW w:w="4620" w:type="dxa"/>
            <w:vAlign w:val="bottom"/>
            <w:shd w:val="clear" w:color="auto" w:fill="D8D8D8"/>
          </w:tcPr>
          <w:p>
            <w:pPr>
              <w:ind w:left="360"/>
              <w:spacing w:after="0"/>
              <w:rPr>
                <w:sz w:val="20"/>
                <w:szCs w:val="20"/>
                <w:color w:val="auto"/>
              </w:rPr>
            </w:pPr>
            <w:r>
              <w:rPr>
                <w:rFonts w:ascii="Arial" w:cs="Arial" w:eastAsia="Arial" w:hAnsi="Arial"/>
                <w:sz w:val="18"/>
                <w:szCs w:val="18"/>
                <w:color w:val="auto"/>
              </w:rPr>
              <w:t>Other current liabilities</w:t>
            </w:r>
          </w:p>
        </w:tc>
        <w:tc>
          <w:tcPr>
            <w:tcW w:w="300" w:type="dxa"/>
            <w:vAlign w:val="bottom"/>
            <w:shd w:val="clear" w:color="auto" w:fill="D8D8D8"/>
          </w:tcPr>
          <w:p>
            <w:pPr>
              <w:spacing w:after="0"/>
              <w:rPr>
                <w:sz w:val="23"/>
                <w:szCs w:val="23"/>
                <w:color w:val="auto"/>
              </w:rPr>
            </w:pPr>
          </w:p>
        </w:tc>
        <w:tc>
          <w:tcPr>
            <w:tcW w:w="1100" w:type="dxa"/>
            <w:vAlign w:val="bottom"/>
            <w:shd w:val="clear" w:color="auto" w:fill="D8D8D8"/>
          </w:tcPr>
          <w:p>
            <w:pPr>
              <w:jc w:val="right"/>
              <w:ind w:right="76"/>
              <w:spacing w:after="0"/>
              <w:rPr>
                <w:sz w:val="20"/>
                <w:szCs w:val="20"/>
                <w:color w:val="auto"/>
              </w:rPr>
            </w:pPr>
            <w:r>
              <w:rPr>
                <w:rFonts w:ascii="Arial" w:cs="Arial" w:eastAsia="Arial" w:hAnsi="Arial"/>
                <w:sz w:val="18"/>
                <w:szCs w:val="18"/>
                <w:color w:val="auto"/>
              </w:rPr>
              <w:t>(149.5)</w:t>
            </w:r>
          </w:p>
        </w:tc>
        <w:tc>
          <w:tcPr>
            <w:tcW w:w="20" w:type="dxa"/>
            <w:vAlign w:val="bottom"/>
            <w:shd w:val="clear" w:color="auto" w:fill="D8D8D8"/>
          </w:tcPr>
          <w:p>
            <w:pPr>
              <w:spacing w:after="0"/>
              <w:rPr>
                <w:sz w:val="23"/>
                <w:szCs w:val="23"/>
                <w:color w:val="auto"/>
              </w:rPr>
            </w:pPr>
          </w:p>
        </w:tc>
        <w:tc>
          <w:tcPr>
            <w:tcW w:w="120" w:type="dxa"/>
            <w:vAlign w:val="bottom"/>
            <w:shd w:val="clear" w:color="auto" w:fill="D8D8D8"/>
          </w:tcPr>
          <w:p>
            <w:pPr>
              <w:spacing w:after="0"/>
              <w:rPr>
                <w:sz w:val="23"/>
                <w:szCs w:val="23"/>
                <w:color w:val="auto"/>
              </w:rPr>
            </w:pPr>
          </w:p>
        </w:tc>
        <w:tc>
          <w:tcPr>
            <w:tcW w:w="1160" w:type="dxa"/>
            <w:vAlign w:val="bottom"/>
            <w:shd w:val="clear" w:color="auto" w:fill="D8D8D8"/>
          </w:tcPr>
          <w:p>
            <w:pPr>
              <w:ind w:left="840"/>
              <w:spacing w:after="0"/>
              <w:rPr>
                <w:sz w:val="20"/>
                <w:szCs w:val="20"/>
                <w:color w:val="auto"/>
              </w:rPr>
            </w:pPr>
            <w:r>
              <w:rPr>
                <w:rFonts w:ascii="Arial" w:cs="Arial" w:eastAsia="Arial" w:hAnsi="Arial"/>
                <w:sz w:val="18"/>
                <w:szCs w:val="18"/>
                <w:color w:val="auto"/>
              </w:rPr>
              <w:t>—</w:t>
            </w:r>
          </w:p>
        </w:tc>
        <w:tc>
          <w:tcPr>
            <w:tcW w:w="280" w:type="dxa"/>
            <w:vAlign w:val="bottom"/>
            <w:shd w:val="clear" w:color="auto" w:fill="D8D8D8"/>
          </w:tcPr>
          <w:p>
            <w:pPr>
              <w:spacing w:after="0"/>
              <w:rPr>
                <w:sz w:val="23"/>
                <w:szCs w:val="23"/>
                <w:color w:val="auto"/>
              </w:rPr>
            </w:pPr>
          </w:p>
        </w:tc>
        <w:tc>
          <w:tcPr>
            <w:tcW w:w="1100" w:type="dxa"/>
            <w:vAlign w:val="bottom"/>
            <w:shd w:val="clear" w:color="auto" w:fill="D8D8D8"/>
          </w:tcPr>
          <w:p>
            <w:pPr>
              <w:jc w:val="right"/>
              <w:ind w:right="21"/>
              <w:spacing w:after="0"/>
              <w:rPr>
                <w:sz w:val="20"/>
                <w:szCs w:val="20"/>
                <w:color w:val="auto"/>
              </w:rPr>
            </w:pPr>
            <w:r>
              <w:rPr>
                <w:rFonts w:ascii="Arial" w:cs="Arial" w:eastAsia="Arial" w:hAnsi="Arial"/>
                <w:sz w:val="18"/>
                <w:szCs w:val="18"/>
                <w:color w:val="auto"/>
              </w:rPr>
              <w:t>(149.5)</w:t>
            </w:r>
          </w:p>
        </w:tc>
        <w:tc>
          <w:tcPr>
            <w:tcW w:w="220" w:type="dxa"/>
            <w:vAlign w:val="bottom"/>
            <w:shd w:val="clear" w:color="auto" w:fill="D8D8D8"/>
          </w:tcPr>
          <w:p>
            <w:pPr>
              <w:spacing w:after="0"/>
              <w:rPr>
                <w:sz w:val="23"/>
                <w:szCs w:val="23"/>
                <w:color w:val="auto"/>
              </w:rPr>
            </w:pPr>
          </w:p>
        </w:tc>
        <w:tc>
          <w:tcPr>
            <w:tcW w:w="1100" w:type="dxa"/>
            <w:vAlign w:val="bottom"/>
            <w:gridSpan w:val="2"/>
            <w:shd w:val="clear" w:color="auto" w:fill="D8D8D8"/>
          </w:tcPr>
          <w:p>
            <w:pPr>
              <w:jc w:val="right"/>
              <w:ind w:right="120"/>
              <w:spacing w:after="0"/>
              <w:rPr>
                <w:sz w:val="20"/>
                <w:szCs w:val="20"/>
                <w:color w:val="auto"/>
              </w:rPr>
            </w:pPr>
            <w:r>
              <w:rPr>
                <w:rFonts w:ascii="Arial" w:cs="Arial" w:eastAsia="Arial" w:hAnsi="Arial"/>
                <w:sz w:val="18"/>
                <w:szCs w:val="18"/>
                <w:color w:val="auto"/>
              </w:rPr>
              <w:t>—</w:t>
            </w:r>
          </w:p>
        </w:tc>
        <w:tc>
          <w:tcPr>
            <w:tcW w:w="400" w:type="dxa"/>
            <w:vAlign w:val="bottom"/>
            <w:shd w:val="clear" w:color="auto" w:fill="D8D8D8"/>
          </w:tcPr>
          <w:p>
            <w:pPr>
              <w:spacing w:after="0"/>
              <w:rPr>
                <w:sz w:val="23"/>
                <w:szCs w:val="23"/>
                <w:color w:val="auto"/>
              </w:rPr>
            </w:pPr>
          </w:p>
        </w:tc>
        <w:tc>
          <w:tcPr>
            <w:tcW w:w="960" w:type="dxa"/>
            <w:vAlign w:val="bottom"/>
            <w:shd w:val="clear" w:color="auto" w:fill="D8D8D8"/>
          </w:tcPr>
          <w:p>
            <w:pPr>
              <w:jc w:val="right"/>
              <w:spacing w:after="0"/>
              <w:rPr>
                <w:sz w:val="20"/>
                <w:szCs w:val="20"/>
                <w:color w:val="auto"/>
              </w:rPr>
            </w:pPr>
            <w:r>
              <w:rPr>
                <w:rFonts w:ascii="Arial" w:cs="Arial" w:eastAsia="Arial" w:hAnsi="Arial"/>
                <w:sz w:val="18"/>
                <w:szCs w:val="18"/>
                <w:color w:val="auto"/>
              </w:rPr>
              <w:t>(149.5)</w:t>
            </w: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4620" w:type="dxa"/>
            <w:vAlign w:val="bottom"/>
          </w:tcPr>
          <w:p>
            <w:pPr>
              <w:ind w:left="360"/>
              <w:spacing w:after="0"/>
              <w:rPr>
                <w:sz w:val="20"/>
                <w:szCs w:val="20"/>
                <w:color w:val="auto"/>
              </w:rPr>
            </w:pPr>
            <w:r>
              <w:rPr>
                <w:rFonts w:ascii="Arial" w:cs="Arial" w:eastAsia="Arial" w:hAnsi="Arial"/>
                <w:sz w:val="18"/>
                <w:szCs w:val="18"/>
                <w:color w:val="auto"/>
              </w:rPr>
              <w:t>Other noncurrent liabilities</w:t>
            </w:r>
          </w:p>
        </w:tc>
        <w:tc>
          <w:tcPr>
            <w:tcW w:w="300" w:type="dxa"/>
            <w:vAlign w:val="bottom"/>
          </w:tcPr>
          <w:p>
            <w:pPr>
              <w:spacing w:after="0"/>
              <w:rPr>
                <w:sz w:val="23"/>
                <w:szCs w:val="23"/>
                <w:color w:val="auto"/>
              </w:rPr>
            </w:pPr>
          </w:p>
        </w:tc>
        <w:tc>
          <w:tcPr>
            <w:tcW w:w="1100" w:type="dxa"/>
            <w:vAlign w:val="bottom"/>
          </w:tcPr>
          <w:p>
            <w:pPr>
              <w:jc w:val="right"/>
              <w:ind w:right="76"/>
              <w:spacing w:after="0"/>
              <w:rPr>
                <w:sz w:val="20"/>
                <w:szCs w:val="20"/>
                <w:color w:val="auto"/>
              </w:rPr>
            </w:pPr>
            <w:r>
              <w:rPr>
                <w:rFonts w:ascii="Arial" w:cs="Arial" w:eastAsia="Arial" w:hAnsi="Arial"/>
                <w:sz w:val="18"/>
                <w:szCs w:val="18"/>
                <w:color w:val="auto"/>
              </w:rPr>
              <w:t>(0.7)</w:t>
            </w: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tcPr>
          <w:p>
            <w:pPr>
              <w:ind w:left="8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100" w:type="dxa"/>
            <w:vAlign w:val="bottom"/>
          </w:tcPr>
          <w:p>
            <w:pPr>
              <w:jc w:val="right"/>
              <w:ind w:right="21"/>
              <w:spacing w:after="0"/>
              <w:rPr>
                <w:sz w:val="20"/>
                <w:szCs w:val="20"/>
                <w:color w:val="auto"/>
              </w:rPr>
            </w:pPr>
            <w:r>
              <w:rPr>
                <w:rFonts w:ascii="Arial" w:cs="Arial" w:eastAsia="Arial" w:hAnsi="Arial"/>
                <w:sz w:val="18"/>
                <w:szCs w:val="18"/>
                <w:color w:val="auto"/>
              </w:rPr>
              <w:t>(0.7)</w:t>
            </w:r>
          </w:p>
        </w:tc>
        <w:tc>
          <w:tcPr>
            <w:tcW w:w="220" w:type="dxa"/>
            <w:vAlign w:val="bottom"/>
          </w:tcPr>
          <w:p>
            <w:pPr>
              <w:spacing w:after="0"/>
              <w:rPr>
                <w:sz w:val="23"/>
                <w:szCs w:val="23"/>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1"/>
        </w:trPr>
        <w:tc>
          <w:tcPr>
            <w:tcW w:w="20" w:type="dxa"/>
            <w:vAlign w:val="bottom"/>
            <w:shd w:val="clear" w:color="auto" w:fill="D8D8D8"/>
          </w:tcPr>
          <w:p>
            <w:pPr>
              <w:spacing w:after="0"/>
              <w:rPr>
                <w:sz w:val="18"/>
                <w:szCs w:val="18"/>
                <w:color w:val="auto"/>
              </w:rPr>
            </w:pPr>
          </w:p>
        </w:tc>
        <w:tc>
          <w:tcPr>
            <w:tcW w:w="4620" w:type="dxa"/>
            <w:vAlign w:val="bottom"/>
            <w:shd w:val="clear" w:color="auto" w:fill="D8D8D8"/>
          </w:tcPr>
          <w:p>
            <w:pPr>
              <w:ind w:left="160"/>
              <w:spacing w:after="0"/>
              <w:rPr>
                <w:sz w:val="20"/>
                <w:szCs w:val="20"/>
                <w:color w:val="auto"/>
              </w:rPr>
            </w:pPr>
            <w:r>
              <w:rPr>
                <w:rFonts w:ascii="Arial" w:cs="Arial" w:eastAsia="Arial" w:hAnsi="Arial"/>
                <w:sz w:val="18"/>
                <w:szCs w:val="18"/>
                <w:color w:val="auto"/>
              </w:rPr>
              <w:t>Foreign exchange contracts not designated as hedging</w:t>
            </w:r>
          </w:p>
        </w:tc>
        <w:tc>
          <w:tcPr>
            <w:tcW w:w="300" w:type="dxa"/>
            <w:vAlign w:val="bottom"/>
            <w:shd w:val="clear" w:color="auto" w:fill="D8D8D8"/>
          </w:tcPr>
          <w:p>
            <w:pPr>
              <w:spacing w:after="0"/>
              <w:rPr>
                <w:sz w:val="18"/>
                <w:szCs w:val="18"/>
                <w:color w:val="auto"/>
              </w:rPr>
            </w:pPr>
          </w:p>
        </w:tc>
        <w:tc>
          <w:tcPr>
            <w:tcW w:w="1100" w:type="dxa"/>
            <w:vAlign w:val="bottom"/>
            <w:shd w:val="clear" w:color="auto" w:fill="D8D8D8"/>
          </w:tcPr>
          <w:p>
            <w:pPr>
              <w:spacing w:after="0"/>
              <w:rPr>
                <w:sz w:val="18"/>
                <w:szCs w:val="18"/>
                <w:color w:val="auto"/>
              </w:rPr>
            </w:pPr>
          </w:p>
        </w:tc>
        <w:tc>
          <w:tcPr>
            <w:tcW w:w="20" w:type="dxa"/>
            <w:vAlign w:val="bottom"/>
            <w:shd w:val="clear" w:color="auto" w:fill="D8D8D8"/>
          </w:tcPr>
          <w:p>
            <w:pPr>
              <w:spacing w:after="0"/>
              <w:rPr>
                <w:sz w:val="18"/>
                <w:szCs w:val="18"/>
                <w:color w:val="auto"/>
              </w:rPr>
            </w:pPr>
          </w:p>
        </w:tc>
        <w:tc>
          <w:tcPr>
            <w:tcW w:w="120" w:type="dxa"/>
            <w:vAlign w:val="bottom"/>
            <w:shd w:val="clear" w:color="auto" w:fill="D8D8D8"/>
          </w:tcPr>
          <w:p>
            <w:pPr>
              <w:spacing w:after="0"/>
              <w:rPr>
                <w:sz w:val="18"/>
                <w:szCs w:val="18"/>
                <w:color w:val="auto"/>
              </w:rPr>
            </w:pPr>
          </w:p>
        </w:tc>
        <w:tc>
          <w:tcPr>
            <w:tcW w:w="1160" w:type="dxa"/>
            <w:vAlign w:val="bottom"/>
            <w:shd w:val="clear" w:color="auto" w:fill="D8D8D8"/>
          </w:tcPr>
          <w:p>
            <w:pPr>
              <w:spacing w:after="0"/>
              <w:rPr>
                <w:sz w:val="18"/>
                <w:szCs w:val="18"/>
                <w:color w:val="auto"/>
              </w:rPr>
            </w:pPr>
          </w:p>
        </w:tc>
        <w:tc>
          <w:tcPr>
            <w:tcW w:w="280" w:type="dxa"/>
            <w:vAlign w:val="bottom"/>
            <w:shd w:val="clear" w:color="auto" w:fill="D8D8D8"/>
          </w:tcPr>
          <w:p>
            <w:pPr>
              <w:spacing w:after="0"/>
              <w:rPr>
                <w:sz w:val="18"/>
                <w:szCs w:val="18"/>
                <w:color w:val="auto"/>
              </w:rPr>
            </w:pPr>
          </w:p>
        </w:tc>
        <w:tc>
          <w:tcPr>
            <w:tcW w:w="1100" w:type="dxa"/>
            <w:vAlign w:val="bottom"/>
            <w:shd w:val="clear" w:color="auto" w:fill="D8D8D8"/>
          </w:tcPr>
          <w:p>
            <w:pPr>
              <w:spacing w:after="0"/>
              <w:rPr>
                <w:sz w:val="18"/>
                <w:szCs w:val="18"/>
                <w:color w:val="auto"/>
              </w:rPr>
            </w:pPr>
          </w:p>
        </w:tc>
        <w:tc>
          <w:tcPr>
            <w:tcW w:w="220" w:type="dxa"/>
            <w:vAlign w:val="bottom"/>
            <w:shd w:val="clear" w:color="auto" w:fill="D8D8D8"/>
          </w:tcPr>
          <w:p>
            <w:pPr>
              <w:spacing w:after="0"/>
              <w:rPr>
                <w:sz w:val="18"/>
                <w:szCs w:val="18"/>
                <w:color w:val="auto"/>
              </w:rPr>
            </w:pPr>
          </w:p>
        </w:tc>
        <w:tc>
          <w:tcPr>
            <w:tcW w:w="1080" w:type="dxa"/>
            <w:vAlign w:val="bottom"/>
            <w:shd w:val="clear" w:color="auto" w:fill="D8D8D8"/>
          </w:tcPr>
          <w:p>
            <w:pPr>
              <w:spacing w:after="0"/>
              <w:rPr>
                <w:sz w:val="18"/>
                <w:szCs w:val="18"/>
                <w:color w:val="auto"/>
              </w:rPr>
            </w:pPr>
          </w:p>
        </w:tc>
        <w:tc>
          <w:tcPr>
            <w:tcW w:w="20" w:type="dxa"/>
            <w:vAlign w:val="bottom"/>
            <w:shd w:val="clear" w:color="auto" w:fill="D8D8D8"/>
          </w:tcPr>
          <w:p>
            <w:pPr>
              <w:spacing w:after="0"/>
              <w:rPr>
                <w:sz w:val="18"/>
                <w:szCs w:val="18"/>
                <w:color w:val="auto"/>
              </w:rPr>
            </w:pPr>
          </w:p>
        </w:tc>
        <w:tc>
          <w:tcPr>
            <w:tcW w:w="400" w:type="dxa"/>
            <w:vAlign w:val="bottom"/>
            <w:shd w:val="clear" w:color="auto" w:fill="D8D8D8"/>
          </w:tcPr>
          <w:p>
            <w:pPr>
              <w:spacing w:after="0"/>
              <w:rPr>
                <w:sz w:val="18"/>
                <w:szCs w:val="18"/>
                <w:color w:val="auto"/>
              </w:rPr>
            </w:pPr>
          </w:p>
        </w:tc>
        <w:tc>
          <w:tcPr>
            <w:tcW w:w="960" w:type="dxa"/>
            <w:vAlign w:val="bottom"/>
            <w:shd w:val="clear" w:color="auto" w:fill="D8D8D8"/>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20" w:type="dxa"/>
            <w:vAlign w:val="bottom"/>
            <w:shd w:val="clear" w:color="auto" w:fill="D8D8D8"/>
          </w:tcPr>
          <w:p>
            <w:pPr>
              <w:spacing w:after="0"/>
              <w:rPr>
                <w:sz w:val="21"/>
                <w:szCs w:val="21"/>
                <w:color w:val="auto"/>
              </w:rPr>
            </w:pPr>
          </w:p>
        </w:tc>
        <w:tc>
          <w:tcPr>
            <w:tcW w:w="4620" w:type="dxa"/>
            <w:vAlign w:val="bottom"/>
            <w:shd w:val="clear" w:color="auto" w:fill="D8D8D8"/>
          </w:tcPr>
          <w:p>
            <w:pPr>
              <w:ind w:left="320"/>
              <w:spacing w:after="0"/>
              <w:rPr>
                <w:sz w:val="20"/>
                <w:szCs w:val="20"/>
                <w:color w:val="auto"/>
              </w:rPr>
            </w:pPr>
            <w:r>
              <w:rPr>
                <w:rFonts w:ascii="Arial" w:cs="Arial" w:eastAsia="Arial" w:hAnsi="Arial"/>
                <w:sz w:val="18"/>
                <w:szCs w:val="18"/>
                <w:color w:val="auto"/>
              </w:rPr>
              <w:t>instruments:</w:t>
            </w:r>
          </w:p>
        </w:tc>
        <w:tc>
          <w:tcPr>
            <w:tcW w:w="300" w:type="dxa"/>
            <w:vAlign w:val="bottom"/>
            <w:shd w:val="clear" w:color="auto" w:fill="D8D8D8"/>
          </w:tcPr>
          <w:p>
            <w:pPr>
              <w:spacing w:after="0"/>
              <w:rPr>
                <w:sz w:val="21"/>
                <w:szCs w:val="21"/>
                <w:color w:val="auto"/>
              </w:rPr>
            </w:pPr>
          </w:p>
        </w:tc>
        <w:tc>
          <w:tcPr>
            <w:tcW w:w="1100" w:type="dxa"/>
            <w:vAlign w:val="bottom"/>
            <w:shd w:val="clear" w:color="auto" w:fill="D8D8D8"/>
          </w:tcPr>
          <w:p>
            <w:pPr>
              <w:spacing w:after="0"/>
              <w:rPr>
                <w:sz w:val="21"/>
                <w:szCs w:val="21"/>
                <w:color w:val="auto"/>
              </w:rPr>
            </w:pPr>
          </w:p>
        </w:tc>
        <w:tc>
          <w:tcPr>
            <w:tcW w:w="20" w:type="dxa"/>
            <w:vAlign w:val="bottom"/>
            <w:shd w:val="clear" w:color="auto" w:fill="D8D8D8"/>
          </w:tcPr>
          <w:p>
            <w:pPr>
              <w:spacing w:after="0"/>
              <w:rPr>
                <w:sz w:val="21"/>
                <w:szCs w:val="21"/>
                <w:color w:val="auto"/>
              </w:rPr>
            </w:pPr>
          </w:p>
        </w:tc>
        <w:tc>
          <w:tcPr>
            <w:tcW w:w="120" w:type="dxa"/>
            <w:vAlign w:val="bottom"/>
            <w:shd w:val="clear" w:color="auto" w:fill="D8D8D8"/>
          </w:tcPr>
          <w:p>
            <w:pPr>
              <w:spacing w:after="0"/>
              <w:rPr>
                <w:sz w:val="21"/>
                <w:szCs w:val="21"/>
                <w:color w:val="auto"/>
              </w:rPr>
            </w:pPr>
          </w:p>
        </w:tc>
        <w:tc>
          <w:tcPr>
            <w:tcW w:w="1160" w:type="dxa"/>
            <w:vAlign w:val="bottom"/>
            <w:shd w:val="clear" w:color="auto" w:fill="D8D8D8"/>
          </w:tcPr>
          <w:p>
            <w:pPr>
              <w:spacing w:after="0"/>
              <w:rPr>
                <w:sz w:val="21"/>
                <w:szCs w:val="21"/>
                <w:color w:val="auto"/>
              </w:rPr>
            </w:pPr>
          </w:p>
        </w:tc>
        <w:tc>
          <w:tcPr>
            <w:tcW w:w="280" w:type="dxa"/>
            <w:vAlign w:val="bottom"/>
            <w:shd w:val="clear" w:color="auto" w:fill="D8D8D8"/>
          </w:tcPr>
          <w:p>
            <w:pPr>
              <w:spacing w:after="0"/>
              <w:rPr>
                <w:sz w:val="21"/>
                <w:szCs w:val="21"/>
                <w:color w:val="auto"/>
              </w:rPr>
            </w:pPr>
          </w:p>
        </w:tc>
        <w:tc>
          <w:tcPr>
            <w:tcW w:w="1100" w:type="dxa"/>
            <w:vAlign w:val="bottom"/>
            <w:shd w:val="clear" w:color="auto" w:fill="D8D8D8"/>
          </w:tcPr>
          <w:p>
            <w:pPr>
              <w:spacing w:after="0"/>
              <w:rPr>
                <w:sz w:val="21"/>
                <w:szCs w:val="21"/>
                <w:color w:val="auto"/>
              </w:rPr>
            </w:pPr>
          </w:p>
        </w:tc>
        <w:tc>
          <w:tcPr>
            <w:tcW w:w="220" w:type="dxa"/>
            <w:vAlign w:val="bottom"/>
            <w:shd w:val="clear" w:color="auto" w:fill="D8D8D8"/>
          </w:tcPr>
          <w:p>
            <w:pPr>
              <w:spacing w:after="0"/>
              <w:rPr>
                <w:sz w:val="21"/>
                <w:szCs w:val="21"/>
                <w:color w:val="auto"/>
              </w:rPr>
            </w:pPr>
          </w:p>
        </w:tc>
        <w:tc>
          <w:tcPr>
            <w:tcW w:w="1080" w:type="dxa"/>
            <w:vAlign w:val="bottom"/>
            <w:shd w:val="clear" w:color="auto" w:fill="D8D8D8"/>
          </w:tcPr>
          <w:p>
            <w:pPr>
              <w:spacing w:after="0"/>
              <w:rPr>
                <w:sz w:val="21"/>
                <w:szCs w:val="21"/>
                <w:color w:val="auto"/>
              </w:rPr>
            </w:pPr>
          </w:p>
        </w:tc>
        <w:tc>
          <w:tcPr>
            <w:tcW w:w="20" w:type="dxa"/>
            <w:vAlign w:val="bottom"/>
            <w:shd w:val="clear" w:color="auto" w:fill="D8D8D8"/>
          </w:tcPr>
          <w:p>
            <w:pPr>
              <w:spacing w:after="0"/>
              <w:rPr>
                <w:sz w:val="21"/>
                <w:szCs w:val="21"/>
                <w:color w:val="auto"/>
              </w:rPr>
            </w:pPr>
          </w:p>
        </w:tc>
        <w:tc>
          <w:tcPr>
            <w:tcW w:w="400" w:type="dxa"/>
            <w:vAlign w:val="bottom"/>
            <w:shd w:val="clear" w:color="auto" w:fill="D8D8D8"/>
          </w:tcPr>
          <w:p>
            <w:pPr>
              <w:spacing w:after="0"/>
              <w:rPr>
                <w:sz w:val="21"/>
                <w:szCs w:val="21"/>
                <w:color w:val="auto"/>
              </w:rPr>
            </w:pPr>
          </w:p>
        </w:tc>
        <w:tc>
          <w:tcPr>
            <w:tcW w:w="960" w:type="dxa"/>
            <w:vAlign w:val="bottom"/>
            <w:shd w:val="clear" w:color="auto" w:fill="D8D8D8"/>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4620" w:type="dxa"/>
            <w:vAlign w:val="bottom"/>
          </w:tcPr>
          <w:p>
            <w:pPr>
              <w:ind w:left="360"/>
              <w:spacing w:after="0"/>
              <w:rPr>
                <w:sz w:val="20"/>
                <w:szCs w:val="20"/>
                <w:color w:val="auto"/>
              </w:rPr>
            </w:pPr>
            <w:r>
              <w:rPr>
                <w:rFonts w:ascii="Arial" w:cs="Arial" w:eastAsia="Arial" w:hAnsi="Arial"/>
                <w:sz w:val="18"/>
                <w:szCs w:val="18"/>
                <w:color w:val="auto"/>
              </w:rPr>
              <w:t>Other receivables</w:t>
            </w:r>
          </w:p>
        </w:tc>
        <w:tc>
          <w:tcPr>
            <w:tcW w:w="300" w:type="dxa"/>
            <w:vAlign w:val="bottom"/>
          </w:tcPr>
          <w:p>
            <w:pPr>
              <w:spacing w:after="0"/>
              <w:rPr>
                <w:sz w:val="23"/>
                <w:szCs w:val="23"/>
                <w:color w:val="auto"/>
              </w:rPr>
            </w:pPr>
          </w:p>
        </w:tc>
        <w:tc>
          <w:tcPr>
            <w:tcW w:w="1100" w:type="dxa"/>
            <w:vAlign w:val="bottom"/>
          </w:tcPr>
          <w:p>
            <w:pPr>
              <w:jc w:val="right"/>
              <w:ind w:right="136"/>
              <w:spacing w:after="0"/>
              <w:rPr>
                <w:sz w:val="20"/>
                <w:szCs w:val="20"/>
                <w:color w:val="auto"/>
              </w:rPr>
            </w:pPr>
            <w:r>
              <w:rPr>
                <w:rFonts w:ascii="Arial" w:cs="Arial" w:eastAsia="Arial" w:hAnsi="Arial"/>
                <w:sz w:val="18"/>
                <w:szCs w:val="18"/>
                <w:color w:val="auto"/>
              </w:rPr>
              <w:t>9.1</w:t>
            </w: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tcPr>
          <w:p>
            <w:pPr>
              <w:ind w:left="8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100" w:type="dxa"/>
            <w:vAlign w:val="bottom"/>
          </w:tcPr>
          <w:p>
            <w:pPr>
              <w:jc w:val="right"/>
              <w:ind w:right="81"/>
              <w:spacing w:after="0"/>
              <w:rPr>
                <w:sz w:val="20"/>
                <w:szCs w:val="20"/>
                <w:color w:val="auto"/>
              </w:rPr>
            </w:pPr>
            <w:r>
              <w:rPr>
                <w:rFonts w:ascii="Arial" w:cs="Arial" w:eastAsia="Arial" w:hAnsi="Arial"/>
                <w:sz w:val="18"/>
                <w:szCs w:val="18"/>
                <w:color w:val="auto"/>
              </w:rPr>
              <w:t>9.1</w:t>
            </w:r>
          </w:p>
        </w:tc>
        <w:tc>
          <w:tcPr>
            <w:tcW w:w="220" w:type="dxa"/>
            <w:vAlign w:val="bottom"/>
          </w:tcPr>
          <w:p>
            <w:pPr>
              <w:spacing w:after="0"/>
              <w:rPr>
                <w:sz w:val="23"/>
                <w:szCs w:val="23"/>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3"/>
                <w:szCs w:val="23"/>
                <w:color w:val="auto"/>
              </w:rPr>
            </w:pPr>
          </w:p>
        </w:tc>
        <w:tc>
          <w:tcPr>
            <w:tcW w:w="960" w:type="dxa"/>
            <w:vAlign w:val="bottom"/>
          </w:tcPr>
          <w:p>
            <w:pPr>
              <w:jc w:val="right"/>
              <w:ind w:right="36"/>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75"/>
        </w:trPr>
        <w:tc>
          <w:tcPr>
            <w:tcW w:w="20" w:type="dxa"/>
            <w:vAlign w:val="bottom"/>
            <w:shd w:val="clear" w:color="auto" w:fill="D8D8D8"/>
          </w:tcPr>
          <w:p>
            <w:pPr>
              <w:spacing w:after="0"/>
              <w:rPr>
                <w:sz w:val="23"/>
                <w:szCs w:val="23"/>
                <w:color w:val="auto"/>
              </w:rPr>
            </w:pPr>
          </w:p>
        </w:tc>
        <w:tc>
          <w:tcPr>
            <w:tcW w:w="4620" w:type="dxa"/>
            <w:vAlign w:val="bottom"/>
            <w:shd w:val="clear" w:color="auto" w:fill="D8D8D8"/>
          </w:tcPr>
          <w:p>
            <w:pPr>
              <w:ind w:left="360"/>
              <w:spacing w:after="0"/>
              <w:rPr>
                <w:sz w:val="20"/>
                <w:szCs w:val="20"/>
                <w:color w:val="auto"/>
              </w:rPr>
            </w:pPr>
            <w:r>
              <w:rPr>
                <w:rFonts w:ascii="Arial" w:cs="Arial" w:eastAsia="Arial" w:hAnsi="Arial"/>
                <w:sz w:val="18"/>
                <w:szCs w:val="18"/>
                <w:color w:val="auto"/>
              </w:rPr>
              <w:t>Other current liabilities</w:t>
            </w:r>
          </w:p>
        </w:tc>
        <w:tc>
          <w:tcPr>
            <w:tcW w:w="300" w:type="dxa"/>
            <w:vAlign w:val="bottom"/>
            <w:shd w:val="clear" w:color="auto" w:fill="D8D8D8"/>
          </w:tcPr>
          <w:p>
            <w:pPr>
              <w:spacing w:after="0"/>
              <w:rPr>
                <w:sz w:val="23"/>
                <w:szCs w:val="23"/>
                <w:color w:val="auto"/>
              </w:rPr>
            </w:pPr>
          </w:p>
        </w:tc>
        <w:tc>
          <w:tcPr>
            <w:tcW w:w="1100" w:type="dxa"/>
            <w:vAlign w:val="bottom"/>
            <w:shd w:val="clear" w:color="auto" w:fill="D8D8D8"/>
          </w:tcPr>
          <w:p>
            <w:pPr>
              <w:jc w:val="right"/>
              <w:ind w:right="76"/>
              <w:spacing w:after="0"/>
              <w:rPr>
                <w:sz w:val="20"/>
                <w:szCs w:val="20"/>
                <w:color w:val="auto"/>
              </w:rPr>
            </w:pPr>
            <w:r>
              <w:rPr>
                <w:rFonts w:ascii="Arial" w:cs="Arial" w:eastAsia="Arial" w:hAnsi="Arial"/>
                <w:sz w:val="18"/>
                <w:szCs w:val="18"/>
                <w:color w:val="auto"/>
              </w:rPr>
              <w:t>(14.0)</w:t>
            </w:r>
          </w:p>
        </w:tc>
        <w:tc>
          <w:tcPr>
            <w:tcW w:w="20" w:type="dxa"/>
            <w:vAlign w:val="bottom"/>
            <w:shd w:val="clear" w:color="auto" w:fill="D8D8D8"/>
          </w:tcPr>
          <w:p>
            <w:pPr>
              <w:spacing w:after="0"/>
              <w:rPr>
                <w:sz w:val="23"/>
                <w:szCs w:val="23"/>
                <w:color w:val="auto"/>
              </w:rPr>
            </w:pPr>
          </w:p>
        </w:tc>
        <w:tc>
          <w:tcPr>
            <w:tcW w:w="120" w:type="dxa"/>
            <w:vAlign w:val="bottom"/>
            <w:shd w:val="clear" w:color="auto" w:fill="D8D8D8"/>
          </w:tcPr>
          <w:p>
            <w:pPr>
              <w:spacing w:after="0"/>
              <w:rPr>
                <w:sz w:val="23"/>
                <w:szCs w:val="23"/>
                <w:color w:val="auto"/>
              </w:rPr>
            </w:pPr>
          </w:p>
        </w:tc>
        <w:tc>
          <w:tcPr>
            <w:tcW w:w="1160" w:type="dxa"/>
            <w:vAlign w:val="bottom"/>
            <w:shd w:val="clear" w:color="auto" w:fill="D8D8D8"/>
          </w:tcPr>
          <w:p>
            <w:pPr>
              <w:ind w:left="840"/>
              <w:spacing w:after="0"/>
              <w:rPr>
                <w:sz w:val="20"/>
                <w:szCs w:val="20"/>
                <w:color w:val="auto"/>
              </w:rPr>
            </w:pPr>
            <w:r>
              <w:rPr>
                <w:rFonts w:ascii="Arial" w:cs="Arial" w:eastAsia="Arial" w:hAnsi="Arial"/>
                <w:sz w:val="18"/>
                <w:szCs w:val="18"/>
                <w:color w:val="auto"/>
              </w:rPr>
              <w:t>—</w:t>
            </w:r>
          </w:p>
        </w:tc>
        <w:tc>
          <w:tcPr>
            <w:tcW w:w="280" w:type="dxa"/>
            <w:vAlign w:val="bottom"/>
            <w:shd w:val="clear" w:color="auto" w:fill="D8D8D8"/>
          </w:tcPr>
          <w:p>
            <w:pPr>
              <w:spacing w:after="0"/>
              <w:rPr>
                <w:sz w:val="23"/>
                <w:szCs w:val="23"/>
                <w:color w:val="auto"/>
              </w:rPr>
            </w:pPr>
          </w:p>
        </w:tc>
        <w:tc>
          <w:tcPr>
            <w:tcW w:w="1100" w:type="dxa"/>
            <w:vAlign w:val="bottom"/>
            <w:shd w:val="clear" w:color="auto" w:fill="D8D8D8"/>
          </w:tcPr>
          <w:p>
            <w:pPr>
              <w:jc w:val="right"/>
              <w:ind w:right="21"/>
              <w:spacing w:after="0"/>
              <w:rPr>
                <w:sz w:val="20"/>
                <w:szCs w:val="20"/>
                <w:color w:val="auto"/>
              </w:rPr>
            </w:pPr>
            <w:r>
              <w:rPr>
                <w:rFonts w:ascii="Arial" w:cs="Arial" w:eastAsia="Arial" w:hAnsi="Arial"/>
                <w:sz w:val="18"/>
                <w:szCs w:val="18"/>
                <w:color w:val="auto"/>
              </w:rPr>
              <w:t>(14.0)</w:t>
            </w:r>
          </w:p>
        </w:tc>
        <w:tc>
          <w:tcPr>
            <w:tcW w:w="220" w:type="dxa"/>
            <w:vAlign w:val="bottom"/>
            <w:shd w:val="clear" w:color="auto" w:fill="D8D8D8"/>
          </w:tcPr>
          <w:p>
            <w:pPr>
              <w:spacing w:after="0"/>
              <w:rPr>
                <w:sz w:val="23"/>
                <w:szCs w:val="23"/>
                <w:color w:val="auto"/>
              </w:rPr>
            </w:pPr>
          </w:p>
        </w:tc>
        <w:tc>
          <w:tcPr>
            <w:tcW w:w="1100" w:type="dxa"/>
            <w:vAlign w:val="bottom"/>
            <w:gridSpan w:val="2"/>
            <w:shd w:val="clear" w:color="auto" w:fill="D8D8D8"/>
          </w:tcPr>
          <w:p>
            <w:pPr>
              <w:jc w:val="right"/>
              <w:ind w:right="120"/>
              <w:spacing w:after="0"/>
              <w:rPr>
                <w:sz w:val="20"/>
                <w:szCs w:val="20"/>
                <w:color w:val="auto"/>
              </w:rPr>
            </w:pPr>
            <w:r>
              <w:rPr>
                <w:rFonts w:ascii="Arial" w:cs="Arial" w:eastAsia="Arial" w:hAnsi="Arial"/>
                <w:sz w:val="18"/>
                <w:szCs w:val="18"/>
                <w:color w:val="auto"/>
              </w:rPr>
              <w:t>—</w:t>
            </w:r>
          </w:p>
        </w:tc>
        <w:tc>
          <w:tcPr>
            <w:tcW w:w="400" w:type="dxa"/>
            <w:vAlign w:val="bottom"/>
            <w:shd w:val="clear" w:color="auto" w:fill="D8D8D8"/>
          </w:tcPr>
          <w:p>
            <w:pPr>
              <w:spacing w:after="0"/>
              <w:rPr>
                <w:sz w:val="23"/>
                <w:szCs w:val="23"/>
                <w:color w:val="auto"/>
              </w:rPr>
            </w:pPr>
          </w:p>
        </w:tc>
        <w:tc>
          <w:tcPr>
            <w:tcW w:w="960" w:type="dxa"/>
            <w:vAlign w:val="bottom"/>
            <w:shd w:val="clear" w:color="auto" w:fill="D8D8D8"/>
          </w:tcPr>
          <w:p>
            <w:pPr>
              <w:jc w:val="right"/>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bl>
    <w:p>
      <w:pPr>
        <w:spacing w:after="0" w:line="82" w:lineRule="exact"/>
        <w:rPr>
          <w:sz w:val="20"/>
          <w:szCs w:val="20"/>
          <w:color w:val="auto"/>
        </w:rPr>
      </w:pPr>
    </w:p>
    <w:p>
      <w:pPr>
        <w:ind w:left="160" w:hanging="152"/>
        <w:spacing w:after="0"/>
        <w:tabs>
          <w:tab w:leader="none" w:pos="160" w:val="left"/>
        </w:tabs>
        <w:numPr>
          <w:ilvl w:val="0"/>
          <w:numId w:val="62"/>
        </w:numPr>
        <w:rPr>
          <w:rFonts w:ascii="Arial" w:cs="Arial" w:eastAsia="Arial" w:hAnsi="Arial"/>
          <w:sz w:val="18"/>
          <w:szCs w:val="18"/>
          <w:color w:val="auto"/>
          <w:vertAlign w:val="superscript"/>
        </w:rPr>
      </w:pPr>
      <w:r>
        <w:rPr>
          <w:rFonts w:ascii="Arial" w:cs="Arial" w:eastAsia="Arial" w:hAnsi="Arial"/>
          <w:sz w:val="14"/>
          <w:szCs w:val="14"/>
          <w:color w:val="auto"/>
        </w:rPr>
        <w:t>The contingent consideration liability relates to the Erbitux arrangement with BMS discussed in Note 4.</w:t>
      </w:r>
    </w:p>
    <w:p>
      <w:pPr>
        <w:spacing w:after="0" w:line="66"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Risk-management instruments above are disclosed on a gross basis. There are various rights of setoff associated with certain of the risk-management instruments above that are subject to an enforceable master netting arrangement or similar agreements. Although various rights of setoff and master netting arrangements or similar agreements may exist with the individual counterparties to the risk-management instruments above, individually, these financial rights are not material.</w:t>
      </w:r>
    </w:p>
    <w:p>
      <w:pPr>
        <w:spacing w:after="0" w:line="62" w:lineRule="exact"/>
        <w:rPr>
          <w:sz w:val="20"/>
          <w:szCs w:val="20"/>
          <w:color w:val="auto"/>
        </w:rPr>
      </w:pPr>
    </w:p>
    <w:p>
      <w:pPr>
        <w:ind w:right="400"/>
        <w:spacing w:after="0" w:line="271" w:lineRule="auto"/>
        <w:rPr>
          <w:sz w:val="20"/>
          <w:szCs w:val="20"/>
          <w:color w:val="auto"/>
        </w:rPr>
      </w:pPr>
      <w:r>
        <w:rPr>
          <w:rFonts w:ascii="Arial" w:cs="Arial" w:eastAsia="Arial" w:hAnsi="Arial"/>
          <w:sz w:val="18"/>
          <w:szCs w:val="18"/>
          <w:color w:val="auto"/>
        </w:rPr>
        <w:t>We determine our Level 1 and Level 2 fair value measurements based on a market approach using quoted market values, significant other observable inputs for identical or comparable assets or liabilities, or discounted cash flow analyses. The fair value of equity method investments and other investments is not readily available.</w:t>
      </w:r>
    </w:p>
    <w:p>
      <w:pPr>
        <w:spacing w:after="0" w:line="19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77</w:t>
      </w:r>
    </w:p>
    <w:p>
      <w:pPr>
        <w:sectPr>
          <w:pgSz w:w="11900" w:h="16838" w:orient="portrait"/>
          <w:cols w:equalWidth="0" w:num="1">
            <w:col w:w="11420"/>
          </w:cols>
          <w:pgMar w:left="240" w:top="926" w:right="239" w:bottom="1440" w:gutter="0" w:footer="0" w:header="0"/>
        </w:sectPr>
      </w:pPr>
    </w:p>
    <w:bookmarkStart w:id="77" w:name="page78"/>
    <w:bookmarkEnd w:id="77"/>
    <w:p>
      <w:pPr>
        <w:ind w:right="40"/>
        <w:spacing w:after="0" w:line="260" w:lineRule="auto"/>
        <w:rPr>
          <w:sz w:val="20"/>
          <w:szCs w:val="20"/>
          <w:color w:val="auto"/>
        </w:rPr>
      </w:pPr>
      <w:r>
        <w:rPr>
          <w:rFonts w:ascii="Arial" w:cs="Arial" w:eastAsia="Arial" w:hAnsi="Arial"/>
          <w:sz w:val="18"/>
          <w:szCs w:val="18"/>
          <w:color w:val="auto"/>
        </w:rPr>
        <w:t>The fair value of the Erbitux contingent consideration liability was estimated using a discounted cash flow analysis and Level 3 inputs, including projections representative of a market participant view for net sales in North America over the three-year period ending in September 2018 and an estimated discount rate. The amount to be paid is calculated as a tiered percentage of net sales (see Note 4) and will, therefore, vary directly with increases and decreases in net sales of Erbitux in North America. There is no cap on the amount that may be paid pursuant to this arrangement.</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the contractual maturities of our investments in debt securities measured at fair value as of December 31, 2015:</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6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Maturities by Period</w:t>
            </w: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r>
      <w:tr>
        <w:trPr>
          <w:trHeight w:val="168"/>
        </w:trPr>
        <w:tc>
          <w:tcPr>
            <w:tcW w:w="4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jc w:val="center"/>
              <w:ind w:right="104"/>
              <w:spacing w:after="0"/>
              <w:rPr>
                <w:sz w:val="20"/>
                <w:szCs w:val="20"/>
                <w:color w:val="auto"/>
              </w:rPr>
            </w:pPr>
            <w:r>
              <w:rPr>
                <w:rFonts w:ascii="Arial" w:cs="Arial" w:eastAsia="Arial" w:hAnsi="Arial"/>
                <w:sz w:val="14"/>
                <w:szCs w:val="14"/>
                <w:b w:val="1"/>
                <w:bCs w:val="1"/>
                <w:color w:val="auto"/>
              </w:rPr>
              <w:t>After 5 Years</w:t>
            </w: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2"/>
        </w:trPr>
        <w:tc>
          <w:tcPr>
            <w:tcW w:w="4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ind w:left="140"/>
              <w:spacing w:after="0"/>
              <w:rPr>
                <w:sz w:val="20"/>
                <w:szCs w:val="20"/>
                <w:color w:val="auto"/>
              </w:rPr>
            </w:pPr>
            <w:r>
              <w:rPr>
                <w:rFonts w:ascii="Arial" w:cs="Arial" w:eastAsia="Arial" w:hAnsi="Arial"/>
                <w:sz w:val="14"/>
                <w:szCs w:val="14"/>
                <w:b w:val="1"/>
                <w:bCs w:val="1"/>
                <w:color w:val="auto"/>
              </w:rPr>
              <w:t>Within</w:t>
            </w:r>
          </w:p>
        </w:tc>
        <w:tc>
          <w:tcPr>
            <w:tcW w:w="300" w:type="dxa"/>
            <w:vAlign w:val="bottom"/>
          </w:tcPr>
          <w:p>
            <w:pPr>
              <w:spacing w:after="0"/>
              <w:rPr>
                <w:sz w:val="14"/>
                <w:szCs w:val="14"/>
                <w:color w:val="auto"/>
              </w:rPr>
            </w:pPr>
          </w:p>
        </w:tc>
        <w:tc>
          <w:tcPr>
            <w:tcW w:w="1180" w:type="dxa"/>
            <w:vAlign w:val="bottom"/>
          </w:tcPr>
          <w:p>
            <w:pPr>
              <w:jc w:val="center"/>
              <w:ind w:right="179"/>
              <w:spacing w:after="0"/>
              <w:rPr>
                <w:sz w:val="20"/>
                <w:szCs w:val="20"/>
                <w:color w:val="auto"/>
              </w:rPr>
            </w:pPr>
            <w:r>
              <w:rPr>
                <w:rFonts w:ascii="Arial" w:cs="Arial" w:eastAsia="Arial" w:hAnsi="Arial"/>
                <w:sz w:val="14"/>
                <w:szCs w:val="14"/>
                <w:b w:val="1"/>
                <w:bCs w:val="1"/>
                <w:color w:val="auto"/>
              </w:rPr>
              <w:t>After 1 Year</w:t>
            </w:r>
          </w:p>
        </w:tc>
        <w:tc>
          <w:tcPr>
            <w:tcW w:w="180" w:type="dxa"/>
            <w:vAlign w:val="bottom"/>
          </w:tcPr>
          <w:p>
            <w:pPr>
              <w:spacing w:after="0"/>
              <w:rPr>
                <w:sz w:val="14"/>
                <w:szCs w:val="14"/>
                <w:color w:val="auto"/>
              </w:rPr>
            </w:pPr>
          </w:p>
        </w:tc>
        <w:tc>
          <w:tcPr>
            <w:tcW w:w="1100" w:type="dxa"/>
            <w:vAlign w:val="bottom"/>
          </w:tcPr>
          <w:p>
            <w:pPr>
              <w:jc w:val="center"/>
              <w:ind w:right="104"/>
              <w:spacing w:after="0"/>
              <w:rPr>
                <w:sz w:val="20"/>
                <w:szCs w:val="20"/>
                <w:color w:val="auto"/>
              </w:rPr>
            </w:pPr>
            <w:r>
              <w:rPr>
                <w:rFonts w:ascii="Arial" w:cs="Arial" w:eastAsia="Arial" w:hAnsi="Arial"/>
                <w:sz w:val="14"/>
                <w:szCs w:val="14"/>
                <w:b w:val="1"/>
                <w:bCs w:val="1"/>
                <w:color w:val="auto"/>
              </w:rPr>
              <w:t>Through 10</w:t>
            </w:r>
          </w:p>
        </w:tc>
        <w:tc>
          <w:tcPr>
            <w:tcW w:w="320" w:type="dxa"/>
            <w:vAlign w:val="bottom"/>
          </w:tcPr>
          <w:p>
            <w:pPr>
              <w:spacing w:after="0"/>
              <w:rPr>
                <w:sz w:val="14"/>
                <w:szCs w:val="14"/>
                <w:color w:val="auto"/>
              </w:rPr>
            </w:pPr>
          </w:p>
        </w:tc>
        <w:tc>
          <w:tcPr>
            <w:tcW w:w="1040" w:type="dxa"/>
            <w:vAlign w:val="bottom"/>
          </w:tcPr>
          <w:p>
            <w:pPr>
              <w:jc w:val="center"/>
              <w:ind w:right="142"/>
              <w:spacing w:after="0"/>
              <w:rPr>
                <w:sz w:val="20"/>
                <w:szCs w:val="20"/>
                <w:color w:val="auto"/>
              </w:rPr>
            </w:pPr>
            <w:r>
              <w:rPr>
                <w:rFonts w:ascii="Arial" w:cs="Arial" w:eastAsia="Arial" w:hAnsi="Arial"/>
                <w:sz w:val="14"/>
                <w:szCs w:val="14"/>
                <w:b w:val="1"/>
                <w:bCs w:val="1"/>
                <w:color w:val="auto"/>
              </w:rPr>
              <w:t>After</w:t>
            </w:r>
          </w:p>
        </w:tc>
      </w:tr>
      <w:tr>
        <w:trPr>
          <w:trHeight w:val="203"/>
        </w:trPr>
        <w:tc>
          <w:tcPr>
            <w:tcW w:w="46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Total</w:t>
            </w:r>
          </w:p>
        </w:tc>
        <w:tc>
          <w:tcPr>
            <w:tcW w:w="3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1 Year</w:t>
            </w:r>
          </w:p>
        </w:tc>
        <w:tc>
          <w:tcPr>
            <w:tcW w:w="14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Through 5 Years</w:t>
            </w: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104"/>
              <w:spacing w:after="0"/>
              <w:rPr>
                <w:sz w:val="20"/>
                <w:szCs w:val="20"/>
                <w:color w:val="auto"/>
              </w:rPr>
            </w:pPr>
            <w:r>
              <w:rPr>
                <w:rFonts w:ascii="Arial" w:cs="Arial" w:eastAsia="Arial" w:hAnsi="Arial"/>
                <w:sz w:val="14"/>
                <w:szCs w:val="14"/>
                <w:b w:val="1"/>
                <w:bCs w:val="1"/>
                <w:color w:val="auto"/>
              </w:rPr>
              <w:t>Years</w:t>
            </w: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142"/>
              <w:spacing w:after="0"/>
              <w:rPr>
                <w:sz w:val="20"/>
                <w:szCs w:val="20"/>
                <w:color w:val="auto"/>
              </w:rPr>
            </w:pPr>
            <w:r>
              <w:rPr>
                <w:rFonts w:ascii="Arial" w:cs="Arial" w:eastAsia="Arial" w:hAnsi="Arial"/>
                <w:sz w:val="14"/>
                <w:szCs w:val="14"/>
                <w:b w:val="1"/>
                <w:bCs w:val="1"/>
                <w:color w:val="auto"/>
              </w:rPr>
              <w:t>10 Years</w:t>
            </w:r>
          </w:p>
        </w:tc>
      </w:tr>
      <w:tr>
        <w:trPr>
          <w:trHeight w:val="265"/>
        </w:trPr>
        <w:tc>
          <w:tcPr>
            <w:tcW w:w="4680" w:type="dxa"/>
            <w:vAlign w:val="bottom"/>
            <w:shd w:val="clear" w:color="auto" w:fill="D8D8D8"/>
          </w:tcPr>
          <w:p>
            <w:pPr>
              <w:ind w:left="40"/>
              <w:spacing w:after="0"/>
              <w:rPr>
                <w:sz w:val="20"/>
                <w:szCs w:val="20"/>
                <w:color w:val="auto"/>
              </w:rPr>
            </w:pPr>
            <w:r>
              <w:rPr>
                <w:rFonts w:ascii="Arial" w:cs="Arial" w:eastAsia="Arial" w:hAnsi="Arial"/>
                <w:sz w:val="18"/>
                <w:szCs w:val="18"/>
                <w:color w:val="auto"/>
              </w:rPr>
              <w:t>Fair value of debt securities</w:t>
            </w:r>
          </w:p>
        </w:tc>
        <w:tc>
          <w:tcPr>
            <w:tcW w:w="300" w:type="dxa"/>
            <w:vAlign w:val="bottom"/>
            <w:shd w:val="clear" w:color="auto" w:fill="D8D8D8"/>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D8D8D8"/>
          </w:tcPr>
          <w:p>
            <w:pPr>
              <w:jc w:val="right"/>
              <w:ind w:right="59"/>
              <w:spacing w:after="0"/>
              <w:rPr>
                <w:sz w:val="20"/>
                <w:szCs w:val="20"/>
                <w:color w:val="auto"/>
              </w:rPr>
            </w:pPr>
            <w:r>
              <w:rPr>
                <w:rFonts w:ascii="Arial" w:cs="Arial" w:eastAsia="Arial" w:hAnsi="Arial"/>
                <w:sz w:val="18"/>
                <w:szCs w:val="18"/>
                <w:color w:val="auto"/>
              </w:rPr>
              <w:t>3,631.8</w:t>
            </w:r>
          </w:p>
        </w:tc>
        <w:tc>
          <w:tcPr>
            <w:tcW w:w="360" w:type="dxa"/>
            <w:vAlign w:val="bottom"/>
            <w:shd w:val="clear" w:color="auto" w:fill="D8D8D8"/>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shd w:val="clear" w:color="auto" w:fill="D8D8D8"/>
          </w:tcPr>
          <w:p>
            <w:pPr>
              <w:jc w:val="right"/>
              <w:ind w:right="2"/>
              <w:spacing w:after="0"/>
              <w:rPr>
                <w:sz w:val="20"/>
                <w:szCs w:val="20"/>
                <w:color w:val="auto"/>
              </w:rPr>
            </w:pPr>
            <w:r>
              <w:rPr>
                <w:rFonts w:ascii="Arial" w:cs="Arial" w:eastAsia="Arial" w:hAnsi="Arial"/>
                <w:sz w:val="18"/>
                <w:szCs w:val="18"/>
                <w:color w:val="auto"/>
              </w:rPr>
              <w:t>785.4</w:t>
            </w:r>
          </w:p>
        </w:tc>
        <w:tc>
          <w:tcPr>
            <w:tcW w:w="3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D8D8D8"/>
          </w:tcPr>
          <w:p>
            <w:pPr>
              <w:jc w:val="right"/>
              <w:ind w:right="119"/>
              <w:spacing w:after="0"/>
              <w:rPr>
                <w:sz w:val="20"/>
                <w:szCs w:val="20"/>
                <w:color w:val="auto"/>
              </w:rPr>
            </w:pPr>
            <w:r>
              <w:rPr>
                <w:rFonts w:ascii="Arial" w:cs="Arial" w:eastAsia="Arial" w:hAnsi="Arial"/>
                <w:sz w:val="18"/>
                <w:szCs w:val="18"/>
                <w:color w:val="auto"/>
              </w:rPr>
              <w:t>2,516.8</w:t>
            </w:r>
          </w:p>
        </w:tc>
        <w:tc>
          <w:tcPr>
            <w:tcW w:w="1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D8D8D8"/>
          </w:tcPr>
          <w:p>
            <w:pPr>
              <w:jc w:val="right"/>
              <w:ind w:right="44"/>
              <w:spacing w:after="0"/>
              <w:rPr>
                <w:sz w:val="20"/>
                <w:szCs w:val="20"/>
                <w:color w:val="auto"/>
              </w:rPr>
            </w:pPr>
            <w:r>
              <w:rPr>
                <w:rFonts w:ascii="Arial" w:cs="Arial" w:eastAsia="Arial" w:hAnsi="Arial"/>
                <w:sz w:val="18"/>
                <w:szCs w:val="18"/>
                <w:color w:val="auto"/>
              </w:rPr>
              <w:t>164.0</w:t>
            </w:r>
          </w:p>
        </w:tc>
        <w:tc>
          <w:tcPr>
            <w:tcW w:w="320" w:type="dxa"/>
            <w:vAlign w:val="bottom"/>
            <w:shd w:val="clear" w:color="auto" w:fill="D8D8D8"/>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D8D8D8"/>
          </w:tcPr>
          <w:p>
            <w:pPr>
              <w:jc w:val="right"/>
              <w:ind w:right="42"/>
              <w:spacing w:after="0"/>
              <w:rPr>
                <w:sz w:val="20"/>
                <w:szCs w:val="20"/>
                <w:color w:val="auto"/>
              </w:rPr>
            </w:pPr>
            <w:r>
              <w:rPr>
                <w:rFonts w:ascii="Arial" w:cs="Arial" w:eastAsia="Arial" w:hAnsi="Arial"/>
                <w:sz w:val="18"/>
                <w:szCs w:val="18"/>
                <w:color w:val="auto"/>
              </w:rPr>
              <w:t>165.6</w:t>
            </w:r>
          </w:p>
        </w:tc>
      </w:tr>
    </w:tbl>
    <w:p>
      <w:pPr>
        <w:spacing w:after="0" w:line="85" w:lineRule="exact"/>
        <w:rPr>
          <w:sz w:val="20"/>
          <w:szCs w:val="20"/>
          <w:color w:val="auto"/>
        </w:rPr>
      </w:pPr>
    </w:p>
    <w:p>
      <w:pPr>
        <w:jc w:val="both"/>
        <w:ind w:right="60"/>
        <w:spacing w:after="0" w:line="292" w:lineRule="auto"/>
        <w:rPr>
          <w:sz w:val="20"/>
          <w:szCs w:val="20"/>
          <w:color w:val="auto"/>
        </w:rPr>
      </w:pPr>
      <w:r>
        <w:rPr>
          <w:rFonts w:ascii="Arial" w:cs="Arial" w:eastAsia="Arial" w:hAnsi="Arial"/>
          <w:sz w:val="18"/>
          <w:szCs w:val="18"/>
          <w:color w:val="auto"/>
        </w:rPr>
        <w:t>A summary of the fair value of available-for-sale securities in an unrealized gain or loss position and the amount of unrealized gains and losses (pretax) in accumulated other comprehensive loss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380" w:type="dxa"/>
            <w:vAlign w:val="bottom"/>
            <w:tcBorders>
              <w:bottom w:val="single" w:sz="8" w:color="auto"/>
            </w:tcBorders>
          </w:tcPr>
          <w:p>
            <w:pPr>
              <w:spacing w:after="0"/>
              <w:rPr>
                <w:sz w:val="17"/>
                <w:szCs w:val="17"/>
                <w:color w:val="auto"/>
              </w:rPr>
            </w:pPr>
          </w:p>
        </w:tc>
        <w:tc>
          <w:tcPr>
            <w:tcW w:w="24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2015</w:t>
            </w:r>
          </w:p>
        </w:tc>
        <w:tc>
          <w:tcPr>
            <w:tcW w:w="4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2014</w:t>
            </w:r>
          </w:p>
        </w:tc>
      </w:tr>
      <w:tr>
        <w:trPr>
          <w:trHeight w:val="265"/>
        </w:trPr>
        <w:tc>
          <w:tcPr>
            <w:tcW w:w="6380" w:type="dxa"/>
            <w:vAlign w:val="bottom"/>
            <w:shd w:val="clear" w:color="auto" w:fill="D8D8D8"/>
          </w:tcPr>
          <w:p>
            <w:pPr>
              <w:ind w:left="40"/>
              <w:spacing w:after="0"/>
              <w:rPr>
                <w:sz w:val="20"/>
                <w:szCs w:val="20"/>
                <w:color w:val="auto"/>
              </w:rPr>
            </w:pPr>
            <w:r>
              <w:rPr>
                <w:rFonts w:ascii="Arial" w:cs="Arial" w:eastAsia="Arial" w:hAnsi="Arial"/>
                <w:sz w:val="18"/>
                <w:szCs w:val="18"/>
                <w:color w:val="auto"/>
              </w:rPr>
              <w:t>Unrealized gross gains</w:t>
            </w:r>
          </w:p>
        </w:tc>
        <w:tc>
          <w:tcPr>
            <w:tcW w:w="2480" w:type="dxa"/>
            <w:vAlign w:val="bottom"/>
            <w:shd w:val="clear" w:color="auto" w:fill="D8D8D8"/>
          </w:tcPr>
          <w:p>
            <w:pPr>
              <w:jc w:val="right"/>
              <w:ind w:right="110"/>
              <w:spacing w:after="0"/>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D8D8D8"/>
          </w:tcPr>
          <w:p>
            <w:pPr>
              <w:jc w:val="right"/>
              <w:ind w:right="34"/>
              <w:spacing w:after="0"/>
              <w:rPr>
                <w:sz w:val="20"/>
                <w:szCs w:val="20"/>
                <w:color w:val="auto"/>
              </w:rPr>
            </w:pPr>
            <w:r>
              <w:rPr>
                <w:rFonts w:ascii="Arial" w:cs="Arial" w:eastAsia="Arial" w:hAnsi="Arial"/>
                <w:sz w:val="18"/>
                <w:szCs w:val="18"/>
                <w:b w:val="1"/>
                <w:bCs w:val="1"/>
                <w:color w:val="auto"/>
              </w:rPr>
              <w:t>68.0</w:t>
            </w:r>
          </w:p>
        </w:tc>
        <w:tc>
          <w:tcPr>
            <w:tcW w:w="420" w:type="dxa"/>
            <w:vAlign w:val="bottom"/>
            <w:shd w:val="clear" w:color="auto" w:fill="D8D8D8"/>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D8D8D8"/>
          </w:tcPr>
          <w:p>
            <w:pPr>
              <w:jc w:val="right"/>
              <w:ind w:right="34"/>
              <w:spacing w:after="0"/>
              <w:rPr>
                <w:sz w:val="20"/>
                <w:szCs w:val="20"/>
                <w:color w:val="auto"/>
              </w:rPr>
            </w:pPr>
            <w:r>
              <w:rPr>
                <w:rFonts w:ascii="Arial" w:cs="Arial" w:eastAsia="Arial" w:hAnsi="Arial"/>
                <w:sz w:val="18"/>
                <w:szCs w:val="18"/>
                <w:color w:val="auto"/>
              </w:rPr>
              <w:t>171.9</w:t>
            </w:r>
          </w:p>
        </w:tc>
      </w:tr>
      <w:tr>
        <w:trPr>
          <w:trHeight w:val="269"/>
        </w:trPr>
        <w:tc>
          <w:tcPr>
            <w:tcW w:w="6380" w:type="dxa"/>
            <w:vAlign w:val="bottom"/>
          </w:tcPr>
          <w:p>
            <w:pPr>
              <w:ind w:left="40"/>
              <w:spacing w:after="0"/>
              <w:rPr>
                <w:sz w:val="20"/>
                <w:szCs w:val="20"/>
                <w:color w:val="auto"/>
              </w:rPr>
            </w:pPr>
            <w:r>
              <w:rPr>
                <w:rFonts w:ascii="Arial" w:cs="Arial" w:eastAsia="Arial" w:hAnsi="Arial"/>
                <w:sz w:val="18"/>
                <w:szCs w:val="18"/>
                <w:color w:val="auto"/>
              </w:rPr>
              <w:t>Unrealized gross losses</w:t>
            </w:r>
          </w:p>
        </w:tc>
        <w:tc>
          <w:tcPr>
            <w:tcW w:w="2480" w:type="dxa"/>
            <w:vAlign w:val="bottom"/>
          </w:tcPr>
          <w:p>
            <w:pPr>
              <w:spacing w:after="0"/>
              <w:rPr>
                <w:sz w:val="23"/>
                <w:szCs w:val="23"/>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b w:val="1"/>
                <w:bCs w:val="1"/>
                <w:color w:val="auto"/>
              </w:rPr>
              <w:t>52.5</w:t>
            </w:r>
          </w:p>
        </w:tc>
        <w:tc>
          <w:tcPr>
            <w:tcW w:w="420" w:type="dxa"/>
            <w:vAlign w:val="bottom"/>
          </w:tcPr>
          <w:p>
            <w:pPr>
              <w:spacing w:after="0"/>
              <w:rPr>
                <w:sz w:val="23"/>
                <w:szCs w:val="23"/>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18.3</w:t>
            </w:r>
          </w:p>
        </w:tc>
      </w:tr>
      <w:tr>
        <w:trPr>
          <w:trHeight w:val="271"/>
        </w:trPr>
        <w:tc>
          <w:tcPr>
            <w:tcW w:w="6380" w:type="dxa"/>
            <w:vAlign w:val="bottom"/>
            <w:shd w:val="clear" w:color="auto" w:fill="D8D8D8"/>
          </w:tcPr>
          <w:p>
            <w:pPr>
              <w:ind w:left="40"/>
              <w:spacing w:after="0"/>
              <w:rPr>
                <w:sz w:val="20"/>
                <w:szCs w:val="20"/>
                <w:color w:val="auto"/>
              </w:rPr>
            </w:pPr>
            <w:r>
              <w:rPr>
                <w:rFonts w:ascii="Arial" w:cs="Arial" w:eastAsia="Arial" w:hAnsi="Arial"/>
                <w:sz w:val="18"/>
                <w:szCs w:val="18"/>
                <w:color w:val="auto"/>
              </w:rPr>
              <w:t>Fair value of securities in an unrealized gain position</w:t>
            </w:r>
          </w:p>
        </w:tc>
        <w:tc>
          <w:tcPr>
            <w:tcW w:w="2480" w:type="dxa"/>
            <w:vAlign w:val="bottom"/>
            <w:shd w:val="clear" w:color="auto" w:fill="D8D8D8"/>
          </w:tcPr>
          <w:p>
            <w:pPr>
              <w:spacing w:after="0"/>
              <w:rPr>
                <w:sz w:val="23"/>
                <w:szCs w:val="23"/>
                <w:color w:val="auto"/>
              </w:rPr>
            </w:pPr>
          </w:p>
        </w:tc>
        <w:tc>
          <w:tcPr>
            <w:tcW w:w="1060" w:type="dxa"/>
            <w:vAlign w:val="bottom"/>
            <w:shd w:val="clear" w:color="auto" w:fill="D8D8D8"/>
          </w:tcPr>
          <w:p>
            <w:pPr>
              <w:jc w:val="right"/>
              <w:ind w:right="34"/>
              <w:spacing w:after="0"/>
              <w:rPr>
                <w:sz w:val="20"/>
                <w:szCs w:val="20"/>
                <w:color w:val="auto"/>
              </w:rPr>
            </w:pPr>
            <w:r>
              <w:rPr>
                <w:rFonts w:ascii="Arial" w:cs="Arial" w:eastAsia="Arial" w:hAnsi="Arial"/>
                <w:sz w:val="18"/>
                <w:szCs w:val="18"/>
                <w:b w:val="1"/>
                <w:bCs w:val="1"/>
                <w:color w:val="auto"/>
              </w:rPr>
              <w:t>764.5</w:t>
            </w:r>
          </w:p>
        </w:tc>
        <w:tc>
          <w:tcPr>
            <w:tcW w:w="420" w:type="dxa"/>
            <w:vAlign w:val="bottom"/>
            <w:shd w:val="clear" w:color="auto" w:fill="D8D8D8"/>
          </w:tcPr>
          <w:p>
            <w:pPr>
              <w:spacing w:after="0"/>
              <w:rPr>
                <w:sz w:val="23"/>
                <w:szCs w:val="23"/>
                <w:color w:val="auto"/>
              </w:rPr>
            </w:pPr>
          </w:p>
        </w:tc>
        <w:tc>
          <w:tcPr>
            <w:tcW w:w="1060" w:type="dxa"/>
            <w:vAlign w:val="bottom"/>
            <w:shd w:val="clear" w:color="auto" w:fill="D8D8D8"/>
          </w:tcPr>
          <w:p>
            <w:pPr>
              <w:jc w:val="right"/>
              <w:ind w:right="34"/>
              <w:spacing w:after="0"/>
              <w:rPr>
                <w:sz w:val="20"/>
                <w:szCs w:val="20"/>
                <w:color w:val="auto"/>
              </w:rPr>
            </w:pPr>
            <w:r>
              <w:rPr>
                <w:rFonts w:ascii="Arial" w:cs="Arial" w:eastAsia="Arial" w:hAnsi="Arial"/>
                <w:sz w:val="18"/>
                <w:szCs w:val="18"/>
                <w:color w:val="auto"/>
              </w:rPr>
              <w:t>1,778.8</w:t>
            </w:r>
          </w:p>
        </w:tc>
      </w:tr>
      <w:tr>
        <w:trPr>
          <w:trHeight w:val="269"/>
        </w:trPr>
        <w:tc>
          <w:tcPr>
            <w:tcW w:w="6380" w:type="dxa"/>
            <w:vAlign w:val="bottom"/>
          </w:tcPr>
          <w:p>
            <w:pPr>
              <w:ind w:left="40"/>
              <w:spacing w:after="0"/>
              <w:rPr>
                <w:sz w:val="20"/>
                <w:szCs w:val="20"/>
                <w:color w:val="auto"/>
              </w:rPr>
            </w:pPr>
            <w:r>
              <w:rPr>
                <w:rFonts w:ascii="Arial" w:cs="Arial" w:eastAsia="Arial" w:hAnsi="Arial"/>
                <w:sz w:val="18"/>
                <w:szCs w:val="18"/>
                <w:color w:val="auto"/>
              </w:rPr>
              <w:t>Fair value of securities in an unrealized loss position</w:t>
            </w:r>
          </w:p>
        </w:tc>
        <w:tc>
          <w:tcPr>
            <w:tcW w:w="2480" w:type="dxa"/>
            <w:vAlign w:val="bottom"/>
          </w:tcPr>
          <w:p>
            <w:pPr>
              <w:spacing w:after="0"/>
              <w:rPr>
                <w:sz w:val="23"/>
                <w:szCs w:val="23"/>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b w:val="1"/>
                <w:bCs w:val="1"/>
                <w:color w:val="auto"/>
              </w:rPr>
              <w:t>2,933.4</w:t>
            </w:r>
          </w:p>
        </w:tc>
        <w:tc>
          <w:tcPr>
            <w:tcW w:w="420" w:type="dxa"/>
            <w:vAlign w:val="bottom"/>
          </w:tcPr>
          <w:p>
            <w:pPr>
              <w:spacing w:after="0"/>
              <w:rPr>
                <w:sz w:val="23"/>
                <w:szCs w:val="23"/>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3,129.2</w:t>
            </w:r>
          </w:p>
        </w:tc>
      </w:tr>
    </w:tbl>
    <w:p>
      <w:pPr>
        <w:spacing w:after="0" w:line="87"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We periodically assess our investment securities for other-than-temporary impairment losses. Other-than-temporary impairment losses recognized during the year ended December 31, 2015 totaled $ 42.6 million and related primarily to our equity method and other investments. Other-than-temporary impairment losses recognized during the years ended December 31, 2014, and 2013 totaled $12.5 million and $11.3 million, respectively.</w:t>
      </w:r>
    </w:p>
    <w:p>
      <w:pPr>
        <w:spacing w:after="0" w:line="62"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color w:val="auto"/>
        </w:rPr>
        <w:t>For fixed-income securities, the amount of credit losses are determined by comparing the difference between the present value of future cash flows expected to be collected on these securities and the amortized cost. Factors considered in assessing the credit losses include the position in the capital structure, vintage and amount of collateral, delinquency rates, current credit support, and geographic concentration.</w:t>
      </w:r>
    </w:p>
    <w:p>
      <w:pPr>
        <w:spacing w:after="0" w:line="55" w:lineRule="exact"/>
        <w:rPr>
          <w:sz w:val="20"/>
          <w:szCs w:val="20"/>
          <w:color w:val="auto"/>
        </w:rPr>
      </w:pPr>
    </w:p>
    <w:p>
      <w:pPr>
        <w:ind w:right="360"/>
        <w:spacing w:after="0" w:line="271" w:lineRule="auto"/>
        <w:rPr>
          <w:sz w:val="20"/>
          <w:szCs w:val="20"/>
          <w:color w:val="auto"/>
        </w:rPr>
      </w:pPr>
      <w:r>
        <w:rPr>
          <w:rFonts w:ascii="Arial" w:cs="Arial" w:eastAsia="Arial" w:hAnsi="Arial"/>
          <w:sz w:val="18"/>
          <w:szCs w:val="18"/>
          <w:color w:val="auto"/>
        </w:rPr>
        <w:t>For equity securities, factors considered in assessing other-than-temporary impairment losses include the length of time and the extent to which the fair value has been less than cost, the financial condition and near term prospects of the issuer, our intent and ability to retain the securities for a period of time sufficient to allow for recovery in fair value, and general market conditions and industry specific factors.</w:t>
      </w:r>
    </w:p>
    <w:p>
      <w:pPr>
        <w:spacing w:after="0" w:line="55" w:lineRule="exact"/>
        <w:rPr>
          <w:sz w:val="20"/>
          <w:szCs w:val="20"/>
          <w:color w:val="auto"/>
        </w:rPr>
      </w:pPr>
    </w:p>
    <w:p>
      <w:pPr>
        <w:ind w:right="300"/>
        <w:spacing w:after="0" w:line="260" w:lineRule="auto"/>
        <w:rPr>
          <w:sz w:val="20"/>
          <w:szCs w:val="20"/>
          <w:color w:val="auto"/>
        </w:rPr>
      </w:pPr>
      <w:r>
        <w:rPr>
          <w:rFonts w:ascii="Arial" w:cs="Arial" w:eastAsia="Arial" w:hAnsi="Arial"/>
          <w:sz w:val="18"/>
          <w:szCs w:val="18"/>
          <w:color w:val="auto"/>
        </w:rPr>
        <w:t>As of December 31, 2015, the securities in an unrealized loss position include primarily fixed-rate debt securities of varying maturities. The value of fixed-income securities is sensitive to changes in the yield curve and other market conditions. Approximately 85 percent of the securities in a loss position are investment-grade debt securities. As of December 31, 2015, we do not intend to sell, and it is not more likely than not that we will be required to sell, the securities in a loss position before the market values recover or the underlying cash flows have been received, and there is no indication of default on interest rate or principal payments for any of our debt securities.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Activity related to our investment portfolio, substantially all of which related to available-for-sale securities, was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00" w:type="dxa"/>
            <w:vAlign w:val="bottom"/>
            <w:tcBorders>
              <w:bottom w:val="single" w:sz="8" w:color="auto"/>
            </w:tcBorders>
          </w:tcPr>
          <w:p>
            <w:pPr>
              <w:spacing w:after="0"/>
              <w:rPr>
                <w:sz w:val="17"/>
                <w:szCs w:val="17"/>
                <w:color w:val="auto"/>
              </w:rPr>
            </w:pPr>
          </w:p>
        </w:tc>
        <w:tc>
          <w:tcPr>
            <w:tcW w:w="26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2015</w:t>
            </w:r>
          </w:p>
        </w:tc>
        <w:tc>
          <w:tcPr>
            <w:tcW w:w="4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2014</w:t>
            </w:r>
          </w:p>
        </w:tc>
        <w:tc>
          <w:tcPr>
            <w:tcW w:w="4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2013</w:t>
            </w:r>
          </w:p>
        </w:tc>
      </w:tr>
      <w:tr>
        <w:trPr>
          <w:trHeight w:val="265"/>
        </w:trPr>
        <w:tc>
          <w:tcPr>
            <w:tcW w:w="4800" w:type="dxa"/>
            <w:vAlign w:val="bottom"/>
            <w:shd w:val="clear" w:color="auto" w:fill="D8D8D8"/>
          </w:tcPr>
          <w:p>
            <w:pPr>
              <w:ind w:left="40"/>
              <w:spacing w:after="0"/>
              <w:rPr>
                <w:sz w:val="20"/>
                <w:szCs w:val="20"/>
                <w:color w:val="auto"/>
              </w:rPr>
            </w:pPr>
            <w:r>
              <w:rPr>
                <w:rFonts w:ascii="Arial" w:cs="Arial" w:eastAsia="Arial" w:hAnsi="Arial"/>
                <w:sz w:val="18"/>
                <w:szCs w:val="18"/>
                <w:color w:val="auto"/>
              </w:rPr>
              <w:t>Proceeds from sales</w:t>
            </w:r>
          </w:p>
        </w:tc>
        <w:tc>
          <w:tcPr>
            <w:tcW w:w="2600" w:type="dxa"/>
            <w:vAlign w:val="bottom"/>
            <w:shd w:val="clear" w:color="auto" w:fill="D8D8D8"/>
          </w:tcPr>
          <w:p>
            <w:pPr>
              <w:jc w:val="right"/>
              <w:ind w:right="110"/>
              <w:spacing w:after="0"/>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D8D8D8"/>
          </w:tcPr>
          <w:p>
            <w:pPr>
              <w:jc w:val="right"/>
              <w:ind w:right="34"/>
              <w:spacing w:after="0"/>
              <w:rPr>
                <w:sz w:val="20"/>
                <w:szCs w:val="20"/>
                <w:color w:val="auto"/>
              </w:rPr>
            </w:pPr>
            <w:r>
              <w:rPr>
                <w:rFonts w:ascii="Arial" w:cs="Arial" w:eastAsia="Arial" w:hAnsi="Arial"/>
                <w:sz w:val="18"/>
                <w:szCs w:val="18"/>
                <w:b w:val="1"/>
                <w:bCs w:val="1"/>
                <w:color w:val="auto"/>
              </w:rPr>
              <w:t>4,733.3</w:t>
            </w:r>
          </w:p>
        </w:tc>
        <w:tc>
          <w:tcPr>
            <w:tcW w:w="420" w:type="dxa"/>
            <w:vAlign w:val="bottom"/>
            <w:shd w:val="clear" w:color="auto" w:fill="D8D8D8"/>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D8D8D8"/>
          </w:tcPr>
          <w:p>
            <w:pPr>
              <w:jc w:val="right"/>
              <w:ind w:right="34"/>
              <w:spacing w:after="0"/>
              <w:rPr>
                <w:sz w:val="20"/>
                <w:szCs w:val="20"/>
                <w:color w:val="auto"/>
              </w:rPr>
            </w:pPr>
            <w:r>
              <w:rPr>
                <w:rFonts w:ascii="Arial" w:cs="Arial" w:eastAsia="Arial" w:hAnsi="Arial"/>
                <w:sz w:val="18"/>
                <w:szCs w:val="18"/>
                <w:color w:val="auto"/>
              </w:rPr>
              <w:t>14,609.5</w:t>
            </w:r>
          </w:p>
        </w:tc>
        <w:tc>
          <w:tcPr>
            <w:tcW w:w="440" w:type="dxa"/>
            <w:vAlign w:val="bottom"/>
            <w:shd w:val="clear" w:color="auto" w:fill="D8D8D8"/>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D8D8D8"/>
          </w:tcPr>
          <w:p>
            <w:pPr>
              <w:jc w:val="right"/>
              <w:ind w:right="14"/>
              <w:spacing w:after="0"/>
              <w:rPr>
                <w:sz w:val="20"/>
                <w:szCs w:val="20"/>
                <w:color w:val="auto"/>
              </w:rPr>
            </w:pPr>
            <w:r>
              <w:rPr>
                <w:rFonts w:ascii="Arial" w:cs="Arial" w:eastAsia="Arial" w:hAnsi="Arial"/>
                <w:sz w:val="18"/>
                <w:szCs w:val="18"/>
                <w:color w:val="auto"/>
              </w:rPr>
              <w:t>13,753.5</w:t>
            </w:r>
          </w:p>
        </w:tc>
      </w:tr>
      <w:tr>
        <w:trPr>
          <w:trHeight w:val="269"/>
        </w:trPr>
        <w:tc>
          <w:tcPr>
            <w:tcW w:w="4800" w:type="dxa"/>
            <w:vAlign w:val="bottom"/>
          </w:tcPr>
          <w:p>
            <w:pPr>
              <w:ind w:left="40"/>
              <w:spacing w:after="0"/>
              <w:rPr>
                <w:sz w:val="20"/>
                <w:szCs w:val="20"/>
                <w:color w:val="auto"/>
              </w:rPr>
            </w:pPr>
            <w:r>
              <w:rPr>
                <w:rFonts w:ascii="Arial" w:cs="Arial" w:eastAsia="Arial" w:hAnsi="Arial"/>
                <w:sz w:val="18"/>
                <w:szCs w:val="18"/>
                <w:color w:val="auto"/>
              </w:rPr>
              <w:t>Realized gross gains on sales</w:t>
            </w:r>
          </w:p>
        </w:tc>
        <w:tc>
          <w:tcPr>
            <w:tcW w:w="2600" w:type="dxa"/>
            <w:vAlign w:val="bottom"/>
          </w:tcPr>
          <w:p>
            <w:pPr>
              <w:spacing w:after="0"/>
              <w:rPr>
                <w:sz w:val="23"/>
                <w:szCs w:val="23"/>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b w:val="1"/>
                <w:bCs w:val="1"/>
                <w:color w:val="auto"/>
              </w:rPr>
              <w:t>255.1</w:t>
            </w:r>
          </w:p>
        </w:tc>
        <w:tc>
          <w:tcPr>
            <w:tcW w:w="420" w:type="dxa"/>
            <w:vAlign w:val="bottom"/>
          </w:tcPr>
          <w:p>
            <w:pPr>
              <w:spacing w:after="0"/>
              <w:rPr>
                <w:sz w:val="23"/>
                <w:szCs w:val="23"/>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353.5</w:t>
            </w:r>
          </w:p>
        </w:tc>
        <w:tc>
          <w:tcPr>
            <w:tcW w:w="440" w:type="dxa"/>
            <w:vAlign w:val="bottom"/>
          </w:tcPr>
          <w:p>
            <w:pPr>
              <w:spacing w:after="0"/>
              <w:rPr>
                <w:sz w:val="23"/>
                <w:szCs w:val="23"/>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49.5</w:t>
            </w:r>
          </w:p>
        </w:tc>
      </w:tr>
      <w:tr>
        <w:trPr>
          <w:trHeight w:val="271"/>
        </w:trPr>
        <w:tc>
          <w:tcPr>
            <w:tcW w:w="4800" w:type="dxa"/>
            <w:vAlign w:val="bottom"/>
            <w:shd w:val="clear" w:color="auto" w:fill="D8D8D8"/>
          </w:tcPr>
          <w:p>
            <w:pPr>
              <w:ind w:left="40"/>
              <w:spacing w:after="0"/>
              <w:rPr>
                <w:sz w:val="20"/>
                <w:szCs w:val="20"/>
                <w:color w:val="auto"/>
              </w:rPr>
            </w:pPr>
            <w:r>
              <w:rPr>
                <w:rFonts w:ascii="Arial" w:cs="Arial" w:eastAsia="Arial" w:hAnsi="Arial"/>
                <w:sz w:val="18"/>
                <w:szCs w:val="18"/>
                <w:color w:val="auto"/>
              </w:rPr>
              <w:t>Realized gross losses on sales</w:t>
            </w:r>
          </w:p>
        </w:tc>
        <w:tc>
          <w:tcPr>
            <w:tcW w:w="2600" w:type="dxa"/>
            <w:vAlign w:val="bottom"/>
            <w:shd w:val="clear" w:color="auto" w:fill="D8D8D8"/>
          </w:tcPr>
          <w:p>
            <w:pPr>
              <w:spacing w:after="0"/>
              <w:rPr>
                <w:sz w:val="23"/>
                <w:szCs w:val="23"/>
                <w:color w:val="auto"/>
              </w:rPr>
            </w:pPr>
          </w:p>
        </w:tc>
        <w:tc>
          <w:tcPr>
            <w:tcW w:w="1060" w:type="dxa"/>
            <w:vAlign w:val="bottom"/>
            <w:shd w:val="clear" w:color="auto" w:fill="D8D8D8"/>
          </w:tcPr>
          <w:p>
            <w:pPr>
              <w:jc w:val="right"/>
              <w:ind w:right="34"/>
              <w:spacing w:after="0"/>
              <w:rPr>
                <w:sz w:val="20"/>
                <w:szCs w:val="20"/>
                <w:color w:val="auto"/>
              </w:rPr>
            </w:pPr>
            <w:r>
              <w:rPr>
                <w:rFonts w:ascii="Arial" w:cs="Arial" w:eastAsia="Arial" w:hAnsi="Arial"/>
                <w:sz w:val="18"/>
                <w:szCs w:val="18"/>
                <w:b w:val="1"/>
                <w:bCs w:val="1"/>
                <w:color w:val="auto"/>
              </w:rPr>
              <w:t>10.3</w:t>
            </w:r>
          </w:p>
        </w:tc>
        <w:tc>
          <w:tcPr>
            <w:tcW w:w="420" w:type="dxa"/>
            <w:vAlign w:val="bottom"/>
            <w:shd w:val="clear" w:color="auto" w:fill="D8D8D8"/>
          </w:tcPr>
          <w:p>
            <w:pPr>
              <w:spacing w:after="0"/>
              <w:rPr>
                <w:sz w:val="23"/>
                <w:szCs w:val="23"/>
                <w:color w:val="auto"/>
              </w:rPr>
            </w:pPr>
          </w:p>
        </w:tc>
        <w:tc>
          <w:tcPr>
            <w:tcW w:w="1060" w:type="dxa"/>
            <w:vAlign w:val="bottom"/>
            <w:shd w:val="clear" w:color="auto" w:fill="D8D8D8"/>
          </w:tcPr>
          <w:p>
            <w:pPr>
              <w:jc w:val="right"/>
              <w:ind w:right="34"/>
              <w:spacing w:after="0"/>
              <w:rPr>
                <w:sz w:val="20"/>
                <w:szCs w:val="20"/>
                <w:color w:val="auto"/>
              </w:rPr>
            </w:pPr>
            <w:r>
              <w:rPr>
                <w:rFonts w:ascii="Arial" w:cs="Arial" w:eastAsia="Arial" w:hAnsi="Arial"/>
                <w:sz w:val="18"/>
                <w:szCs w:val="18"/>
                <w:color w:val="auto"/>
              </w:rPr>
              <w:t>29.4</w:t>
            </w:r>
          </w:p>
        </w:tc>
        <w:tc>
          <w:tcPr>
            <w:tcW w:w="440" w:type="dxa"/>
            <w:vAlign w:val="bottom"/>
            <w:shd w:val="clear" w:color="auto" w:fill="D8D8D8"/>
          </w:tcPr>
          <w:p>
            <w:pPr>
              <w:spacing w:after="0"/>
              <w:rPr>
                <w:sz w:val="23"/>
                <w:szCs w:val="23"/>
                <w:color w:val="auto"/>
              </w:rPr>
            </w:pPr>
          </w:p>
        </w:tc>
        <w:tc>
          <w:tcPr>
            <w:tcW w:w="1040" w:type="dxa"/>
            <w:vAlign w:val="bottom"/>
            <w:shd w:val="clear" w:color="auto" w:fill="D8D8D8"/>
          </w:tcPr>
          <w:p>
            <w:pPr>
              <w:jc w:val="right"/>
              <w:ind w:right="14"/>
              <w:spacing w:after="0"/>
              <w:rPr>
                <w:sz w:val="20"/>
                <w:szCs w:val="20"/>
                <w:color w:val="auto"/>
              </w:rPr>
            </w:pPr>
            <w:r>
              <w:rPr>
                <w:rFonts w:ascii="Arial" w:cs="Arial" w:eastAsia="Arial" w:hAnsi="Arial"/>
                <w:sz w:val="18"/>
                <w:szCs w:val="18"/>
                <w:color w:val="auto"/>
              </w:rPr>
              <w:t>15.4</w:t>
            </w:r>
          </w:p>
        </w:tc>
      </w:tr>
    </w:tbl>
    <w:p>
      <w:pPr>
        <w:spacing w:after="0" w:line="85" w:lineRule="exact"/>
        <w:rPr>
          <w:sz w:val="20"/>
          <w:szCs w:val="20"/>
          <w:color w:val="auto"/>
        </w:rPr>
      </w:pPr>
    </w:p>
    <w:p>
      <w:pPr>
        <w:ind w:right="360"/>
        <w:spacing w:after="0" w:line="292" w:lineRule="auto"/>
        <w:rPr>
          <w:sz w:val="20"/>
          <w:szCs w:val="20"/>
          <w:color w:val="auto"/>
        </w:rPr>
      </w:pPr>
      <w:r>
        <w:rPr>
          <w:rFonts w:ascii="Arial" w:cs="Arial" w:eastAsia="Arial" w:hAnsi="Arial"/>
          <w:sz w:val="18"/>
          <w:szCs w:val="18"/>
          <w:color w:val="auto"/>
        </w:rPr>
        <w:t>Realized gains and losses on sales of investments are computed based upon specific identification of the initial cost adjusted for any other-than-temporary declines in fair value that were recorded in earnings.</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78</w:t>
      </w:r>
    </w:p>
    <w:p>
      <w:pPr>
        <w:sectPr>
          <w:pgSz w:w="11900" w:h="16838" w:orient="portrait"/>
          <w:cols w:equalWidth="0" w:num="1">
            <w:col w:w="11420"/>
          </w:cols>
          <w:pgMar w:left="240" w:top="684" w:right="23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color w:val="CC0000"/>
        </w:rPr>
        <w:t>Note 8: Goodwill and Other Intangibles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Goodwill by segment at December 31 was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56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2015</w:t>
            </w:r>
          </w:p>
        </w:tc>
        <w:tc>
          <w:tcPr>
            <w:tcW w:w="4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2014</w:t>
            </w:r>
          </w:p>
        </w:tc>
      </w:tr>
      <w:tr>
        <w:trPr>
          <w:trHeight w:val="265"/>
        </w:trPr>
        <w:tc>
          <w:tcPr>
            <w:tcW w:w="8560" w:type="dxa"/>
            <w:vAlign w:val="bottom"/>
            <w:shd w:val="clear" w:color="auto" w:fill="D8D8D8"/>
          </w:tcPr>
          <w:p>
            <w:pPr>
              <w:ind w:left="40"/>
              <w:spacing w:after="0"/>
              <w:rPr>
                <w:sz w:val="20"/>
                <w:szCs w:val="20"/>
                <w:color w:val="auto"/>
              </w:rPr>
            </w:pPr>
            <w:r>
              <w:rPr>
                <w:rFonts w:ascii="Arial" w:cs="Arial" w:eastAsia="Arial" w:hAnsi="Arial"/>
                <w:sz w:val="18"/>
                <w:szCs w:val="18"/>
                <w:color w:val="auto"/>
              </w:rPr>
              <w:t>Human pharmaceutical products</w:t>
            </w:r>
          </w:p>
        </w:tc>
        <w:tc>
          <w:tcPr>
            <w:tcW w:w="320" w:type="dxa"/>
            <w:vAlign w:val="bottom"/>
            <w:shd w:val="clear" w:color="auto" w:fill="D8D8D8"/>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60" w:type="dxa"/>
            <w:vAlign w:val="bottom"/>
            <w:shd w:val="clear" w:color="auto" w:fill="D8D8D8"/>
          </w:tcPr>
          <w:p>
            <w:pPr>
              <w:jc w:val="right"/>
              <w:ind w:right="34"/>
              <w:spacing w:after="0"/>
              <w:rPr>
                <w:sz w:val="20"/>
                <w:szCs w:val="20"/>
                <w:color w:val="auto"/>
              </w:rPr>
            </w:pPr>
            <w:r>
              <w:rPr>
                <w:rFonts w:ascii="Arial" w:cs="Arial" w:eastAsia="Arial" w:hAnsi="Arial"/>
                <w:sz w:val="18"/>
                <w:szCs w:val="18"/>
                <w:b w:val="1"/>
                <w:bCs w:val="1"/>
                <w:color w:val="auto"/>
              </w:rPr>
              <w:t>1,366.5</w:t>
            </w:r>
          </w:p>
        </w:tc>
        <w:tc>
          <w:tcPr>
            <w:tcW w:w="440" w:type="dxa"/>
            <w:vAlign w:val="bottom"/>
            <w:shd w:val="clear" w:color="auto" w:fill="D8D8D8"/>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D8D8D8"/>
          </w:tcPr>
          <w:p>
            <w:pPr>
              <w:jc w:val="right"/>
              <w:ind w:right="14"/>
              <w:spacing w:after="0"/>
              <w:rPr>
                <w:sz w:val="20"/>
                <w:szCs w:val="20"/>
                <w:color w:val="auto"/>
              </w:rPr>
            </w:pPr>
            <w:r>
              <w:rPr>
                <w:rFonts w:ascii="Arial" w:cs="Arial" w:eastAsia="Arial" w:hAnsi="Arial"/>
                <w:sz w:val="18"/>
                <w:szCs w:val="18"/>
                <w:color w:val="auto"/>
              </w:rPr>
              <w:t>1,359.4</w:t>
            </w:r>
          </w:p>
        </w:tc>
      </w:tr>
      <w:tr>
        <w:trPr>
          <w:trHeight w:val="269"/>
        </w:trPr>
        <w:tc>
          <w:tcPr>
            <w:tcW w:w="8560" w:type="dxa"/>
            <w:vAlign w:val="bottom"/>
            <w:tcBorders>
              <w:bottom w:val="single" w:sz="8" w:color="D8D8D8"/>
            </w:tcBorders>
          </w:tcPr>
          <w:p>
            <w:pPr>
              <w:ind w:left="40"/>
              <w:spacing w:after="0"/>
              <w:rPr>
                <w:sz w:val="20"/>
                <w:szCs w:val="20"/>
                <w:color w:val="auto"/>
              </w:rPr>
            </w:pPr>
            <w:r>
              <w:rPr>
                <w:rFonts w:ascii="Arial" w:cs="Arial" w:eastAsia="Arial" w:hAnsi="Arial"/>
                <w:sz w:val="18"/>
                <w:szCs w:val="18"/>
                <w:color w:val="auto"/>
              </w:rPr>
              <w:t>Animal health</w:t>
            </w:r>
          </w:p>
        </w:tc>
        <w:tc>
          <w:tcPr>
            <w:tcW w:w="3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2,673.4</w:t>
            </w:r>
          </w:p>
        </w:tc>
        <w:tc>
          <w:tcPr>
            <w:tcW w:w="44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398.7</w:t>
            </w:r>
          </w:p>
        </w:tc>
      </w:tr>
      <w:tr>
        <w:trPr>
          <w:trHeight w:val="271"/>
        </w:trPr>
        <w:tc>
          <w:tcPr>
            <w:tcW w:w="8560" w:type="dxa"/>
            <w:vAlign w:val="bottom"/>
            <w:tcBorders>
              <w:bottom w:val="single" w:sz="8" w:color="D8D8D8"/>
            </w:tcBorders>
            <w:shd w:val="clear" w:color="auto" w:fill="D8D8D8"/>
          </w:tcPr>
          <w:p>
            <w:pPr>
              <w:ind w:left="40"/>
              <w:spacing w:after="0"/>
              <w:rPr>
                <w:sz w:val="20"/>
                <w:szCs w:val="20"/>
                <w:color w:val="auto"/>
              </w:rPr>
            </w:pPr>
            <w:r>
              <w:rPr>
                <w:rFonts w:ascii="Arial" w:cs="Arial" w:eastAsia="Arial" w:hAnsi="Arial"/>
                <w:sz w:val="18"/>
                <w:szCs w:val="18"/>
                <w:color w:val="auto"/>
              </w:rPr>
              <w:t>Total goodwill</w:t>
            </w:r>
          </w:p>
        </w:tc>
        <w:tc>
          <w:tcPr>
            <w:tcW w:w="320" w:type="dxa"/>
            <w:vAlign w:val="bottom"/>
            <w:tcBorders>
              <w:bottom w:val="single" w:sz="8" w:color="auto"/>
            </w:tcBorders>
            <w:shd w:val="clear" w:color="auto" w:fill="D8D8D8"/>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shd w:val="clear" w:color="auto" w:fill="D8D8D8"/>
          </w:tcPr>
          <w:p>
            <w:pPr>
              <w:jc w:val="right"/>
              <w:ind w:right="34"/>
              <w:spacing w:after="0"/>
              <w:rPr>
                <w:sz w:val="20"/>
                <w:szCs w:val="20"/>
                <w:color w:val="auto"/>
              </w:rPr>
            </w:pPr>
            <w:r>
              <w:rPr>
                <w:rFonts w:ascii="Arial" w:cs="Arial" w:eastAsia="Arial" w:hAnsi="Arial"/>
                <w:sz w:val="18"/>
                <w:szCs w:val="18"/>
                <w:b w:val="1"/>
                <w:bCs w:val="1"/>
                <w:color w:val="auto"/>
              </w:rPr>
              <w:t>4,039.9</w:t>
            </w:r>
          </w:p>
        </w:tc>
        <w:tc>
          <w:tcPr>
            <w:tcW w:w="440" w:type="dxa"/>
            <w:vAlign w:val="bottom"/>
            <w:tcBorders>
              <w:bottom w:val="single" w:sz="8" w:color="auto"/>
            </w:tcBorders>
            <w:shd w:val="clear" w:color="auto" w:fill="D8D8D8"/>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D8D8D8"/>
          </w:tcPr>
          <w:p>
            <w:pPr>
              <w:jc w:val="right"/>
              <w:ind w:right="14"/>
              <w:spacing w:after="0"/>
              <w:rPr>
                <w:sz w:val="20"/>
                <w:szCs w:val="20"/>
                <w:color w:val="auto"/>
              </w:rPr>
            </w:pPr>
            <w:r>
              <w:rPr>
                <w:rFonts w:ascii="Arial" w:cs="Arial" w:eastAsia="Arial" w:hAnsi="Arial"/>
                <w:sz w:val="18"/>
                <w:szCs w:val="18"/>
                <w:color w:val="auto"/>
              </w:rPr>
              <w:t>1,758.1</w:t>
            </w:r>
          </w:p>
        </w:tc>
      </w:tr>
    </w:tbl>
    <w:p>
      <w:pPr>
        <w:spacing w:after="0" w:line="85"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Goodwill results from excess consideration in a business combination over the fair value of identifiable net assets acquired. Goodwill is not amortized but is reviewed for impairment at least annually and when impairment indicators are present. When required, a comparison of implied fair value to the carrying amount of goodwill is performed to determine the amount of any impairment. The increase in goodwill for the animal health segment in 2015 is a result of the acquisition of Novartis AH (Note 3).</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No impairments occurred with respect to the carrying value of goodwill for the years ended December 31, 2015, 2014, and 2013.</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Intangibles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intangible assets other than goodwill at December 31 were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6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rPr>
              <w:t>2015</w:t>
            </w: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rPr>
              <w:t>2014</w:t>
            </w: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2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jc w:val="center"/>
              <w:ind w:right="177"/>
              <w:spacing w:after="0"/>
              <w:rPr>
                <w:sz w:val="20"/>
                <w:szCs w:val="20"/>
                <w:color w:val="auto"/>
              </w:rPr>
            </w:pPr>
            <w:r>
              <w:rPr>
                <w:rFonts w:ascii="Arial" w:cs="Arial" w:eastAsia="Arial" w:hAnsi="Arial"/>
                <w:sz w:val="14"/>
                <w:szCs w:val="14"/>
                <w:b w:val="1"/>
                <w:bCs w:val="1"/>
                <w:color w:val="auto"/>
              </w:rPr>
              <w:t>Carrying</w:t>
            </w:r>
          </w:p>
        </w:tc>
        <w:tc>
          <w:tcPr>
            <w:tcW w:w="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Carrying</w:t>
            </w:r>
          </w:p>
        </w:tc>
        <w:tc>
          <w:tcPr>
            <w:tcW w:w="220" w:type="dxa"/>
            <w:vAlign w:val="bottom"/>
          </w:tcPr>
          <w:p>
            <w:pPr>
              <w:spacing w:after="0"/>
              <w:rPr>
                <w:sz w:val="14"/>
                <w:szCs w:val="14"/>
                <w:color w:val="auto"/>
              </w:rPr>
            </w:pPr>
          </w:p>
        </w:tc>
        <w:tc>
          <w:tcPr>
            <w:tcW w:w="1160" w:type="dxa"/>
            <w:vAlign w:val="bottom"/>
          </w:tcPr>
          <w:p>
            <w:pPr>
              <w:jc w:val="center"/>
              <w:ind w:right="157"/>
              <w:spacing w:after="0"/>
              <w:rPr>
                <w:sz w:val="20"/>
                <w:szCs w:val="20"/>
                <w:color w:val="auto"/>
              </w:rPr>
            </w:pPr>
            <w:r>
              <w:rPr>
                <w:rFonts w:ascii="Arial" w:cs="Arial" w:eastAsia="Arial" w:hAnsi="Arial"/>
                <w:sz w:val="14"/>
                <w:szCs w:val="14"/>
                <w:b w:val="1"/>
                <w:bCs w:val="1"/>
                <w:color w:val="auto"/>
              </w:rPr>
              <w:t>Carrying</w:t>
            </w:r>
          </w:p>
        </w:tc>
        <w:tc>
          <w:tcPr>
            <w:tcW w:w="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jc w:val="center"/>
              <w:ind w:right="157"/>
              <w:spacing w:after="0"/>
              <w:rPr>
                <w:sz w:val="20"/>
                <w:szCs w:val="20"/>
                <w:color w:val="auto"/>
              </w:rPr>
            </w:pPr>
            <w:r>
              <w:rPr>
                <w:rFonts w:ascii="Arial" w:cs="Arial" w:eastAsia="Arial" w:hAnsi="Arial"/>
                <w:sz w:val="14"/>
                <w:szCs w:val="14"/>
                <w:b w:val="1"/>
                <w:bCs w:val="1"/>
                <w:color w:val="auto"/>
              </w:rPr>
              <w:t>Carrying</w:t>
            </w:r>
          </w:p>
        </w:tc>
        <w:tc>
          <w:tcPr>
            <w:tcW w:w="0" w:type="dxa"/>
            <w:vAlign w:val="bottom"/>
          </w:tcPr>
          <w:p>
            <w:pPr>
              <w:spacing w:after="0"/>
              <w:rPr>
                <w:sz w:val="1"/>
                <w:szCs w:val="1"/>
                <w:color w:val="auto"/>
              </w:rPr>
            </w:pPr>
          </w:p>
        </w:tc>
      </w:tr>
      <w:tr>
        <w:trPr>
          <w:trHeight w:val="162"/>
        </w:trPr>
        <w:tc>
          <w:tcPr>
            <w:tcW w:w="2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jc w:val="center"/>
              <w:ind w:right="177"/>
              <w:spacing w:after="0"/>
              <w:rPr>
                <w:sz w:val="20"/>
                <w:szCs w:val="20"/>
                <w:color w:val="auto"/>
              </w:rPr>
            </w:pPr>
            <w:r>
              <w:rPr>
                <w:rFonts w:ascii="Arial" w:cs="Arial" w:eastAsia="Arial" w:hAnsi="Arial"/>
                <w:sz w:val="14"/>
                <w:szCs w:val="14"/>
                <w:b w:val="1"/>
                <w:bCs w:val="1"/>
                <w:color w:val="auto"/>
              </w:rPr>
              <w:t>Amount—</w:t>
            </w:r>
          </w:p>
        </w:tc>
        <w:tc>
          <w:tcPr>
            <w:tcW w:w="280" w:type="dxa"/>
            <w:vAlign w:val="bottom"/>
          </w:tcPr>
          <w:p>
            <w:pPr>
              <w:spacing w:after="0"/>
              <w:rPr>
                <w:sz w:val="14"/>
                <w:szCs w:val="14"/>
                <w:color w:val="auto"/>
              </w:rPr>
            </w:pPr>
          </w:p>
        </w:tc>
        <w:tc>
          <w:tcPr>
            <w:tcW w:w="1240" w:type="dxa"/>
            <w:vAlign w:val="bottom"/>
          </w:tcPr>
          <w:p>
            <w:pPr>
              <w:jc w:val="center"/>
              <w:ind w:right="137"/>
              <w:spacing w:after="0"/>
              <w:rPr>
                <w:sz w:val="20"/>
                <w:szCs w:val="20"/>
                <w:color w:val="auto"/>
              </w:rPr>
            </w:pPr>
            <w:r>
              <w:rPr>
                <w:rFonts w:ascii="Arial" w:cs="Arial" w:eastAsia="Arial" w:hAnsi="Arial"/>
                <w:sz w:val="14"/>
                <w:szCs w:val="14"/>
                <w:b w:val="1"/>
                <w:bCs w:val="1"/>
                <w:color w:val="auto"/>
              </w:rPr>
              <w:t>Accumulated</w:t>
            </w:r>
          </w:p>
        </w:tc>
        <w:tc>
          <w:tcPr>
            <w:tcW w:w="300" w:type="dxa"/>
            <w:vAlign w:val="bottom"/>
          </w:tcPr>
          <w:p>
            <w:pPr>
              <w:spacing w:after="0"/>
              <w:rPr>
                <w:sz w:val="14"/>
                <w:szCs w:val="14"/>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4"/>
                <w:szCs w:val="14"/>
                <w:color w:val="auto"/>
              </w:rPr>
            </w:pPr>
          </w:p>
        </w:tc>
        <w:tc>
          <w:tcPr>
            <w:tcW w:w="1160" w:type="dxa"/>
            <w:vAlign w:val="bottom"/>
          </w:tcPr>
          <w:p>
            <w:pPr>
              <w:jc w:val="center"/>
              <w:ind w:right="157"/>
              <w:spacing w:after="0"/>
              <w:rPr>
                <w:sz w:val="20"/>
                <w:szCs w:val="20"/>
                <w:color w:val="auto"/>
              </w:rPr>
            </w:pPr>
            <w:r>
              <w:rPr>
                <w:rFonts w:ascii="Arial" w:cs="Arial" w:eastAsia="Arial" w:hAnsi="Arial"/>
                <w:sz w:val="14"/>
                <w:szCs w:val="14"/>
                <w:b w:val="1"/>
                <w:bCs w:val="1"/>
                <w:color w:val="auto"/>
              </w:rPr>
              <w:t>Amount—</w:t>
            </w:r>
          </w:p>
        </w:tc>
        <w:tc>
          <w:tcPr>
            <w:tcW w:w="280" w:type="dxa"/>
            <w:vAlign w:val="bottom"/>
          </w:tcPr>
          <w:p>
            <w:pPr>
              <w:spacing w:after="0"/>
              <w:rPr>
                <w:sz w:val="14"/>
                <w:szCs w:val="14"/>
                <w:color w:val="auto"/>
              </w:rPr>
            </w:pPr>
          </w:p>
        </w:tc>
        <w:tc>
          <w:tcPr>
            <w:tcW w:w="1240" w:type="dxa"/>
            <w:vAlign w:val="bottom"/>
          </w:tcPr>
          <w:p>
            <w:pPr>
              <w:jc w:val="center"/>
              <w:ind w:right="137"/>
              <w:spacing w:after="0"/>
              <w:rPr>
                <w:sz w:val="20"/>
                <w:szCs w:val="20"/>
                <w:color w:val="auto"/>
              </w:rPr>
            </w:pPr>
            <w:r>
              <w:rPr>
                <w:rFonts w:ascii="Arial" w:cs="Arial" w:eastAsia="Arial" w:hAnsi="Arial"/>
                <w:sz w:val="14"/>
                <w:szCs w:val="14"/>
                <w:b w:val="1"/>
                <w:bCs w:val="1"/>
                <w:color w:val="auto"/>
              </w:rPr>
              <w:t>Accumulated</w:t>
            </w:r>
          </w:p>
        </w:tc>
        <w:tc>
          <w:tcPr>
            <w:tcW w:w="300" w:type="dxa"/>
            <w:vAlign w:val="bottom"/>
          </w:tcPr>
          <w:p>
            <w:pPr>
              <w:spacing w:after="0"/>
              <w:rPr>
                <w:sz w:val="14"/>
                <w:szCs w:val="14"/>
                <w:color w:val="auto"/>
              </w:rPr>
            </w:pPr>
          </w:p>
        </w:tc>
        <w:tc>
          <w:tcPr>
            <w:tcW w:w="1140" w:type="dxa"/>
            <w:vAlign w:val="bottom"/>
          </w:tcPr>
          <w:p>
            <w:pPr>
              <w:jc w:val="center"/>
              <w:ind w:right="157"/>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03"/>
        </w:trPr>
        <w:tc>
          <w:tcPr>
            <w:tcW w:w="26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Description</w:t>
            </w:r>
          </w:p>
        </w:tc>
        <w:tc>
          <w:tcPr>
            <w:tcW w:w="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rPr>
              <w:t>Gross</w:t>
            </w:r>
          </w:p>
        </w:tc>
        <w:tc>
          <w:tcPr>
            <w:tcW w:w="2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rPr>
              <w:t>Amortization</w:t>
            </w:r>
          </w:p>
        </w:tc>
        <w:tc>
          <w:tcPr>
            <w:tcW w:w="3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rPr>
              <w:t>Net</w:t>
            </w:r>
          </w:p>
        </w:tc>
        <w:tc>
          <w:tcPr>
            <w:tcW w:w="2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w w:val="98"/>
              </w:rPr>
              <w:t>Gross</w:t>
            </w:r>
          </w:p>
        </w:tc>
        <w:tc>
          <w:tcPr>
            <w:tcW w:w="2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rPr>
              <w:t>Amortization</w:t>
            </w: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245"/>
        </w:trPr>
        <w:tc>
          <w:tcPr>
            <w:tcW w:w="2620" w:type="dxa"/>
            <w:vAlign w:val="bottom"/>
            <w:tcBorders>
              <w:bottom w:val="single" w:sz="8" w:color="D8D8D8"/>
            </w:tcBorders>
            <w:shd w:val="clear" w:color="auto" w:fill="D8D8D8"/>
          </w:tcPr>
          <w:p>
            <w:pPr>
              <w:ind w:left="40"/>
              <w:spacing w:after="0"/>
              <w:rPr>
                <w:sz w:val="20"/>
                <w:szCs w:val="20"/>
                <w:color w:val="auto"/>
              </w:rPr>
            </w:pPr>
            <w:r>
              <w:rPr>
                <w:rFonts w:ascii="Arial" w:cs="Arial" w:eastAsia="Arial" w:hAnsi="Arial"/>
                <w:sz w:val="18"/>
                <w:szCs w:val="18"/>
                <w:color w:val="auto"/>
              </w:rPr>
              <w:t>Finite-lived intangible assets:</w:t>
            </w:r>
          </w:p>
        </w:tc>
        <w:tc>
          <w:tcPr>
            <w:tcW w:w="240" w:type="dxa"/>
            <w:vAlign w:val="bottom"/>
            <w:tcBorders>
              <w:bottom w:val="single" w:sz="8" w:color="D8D8D8"/>
            </w:tcBorders>
            <w:shd w:val="clear" w:color="auto" w:fill="D8D8D8"/>
          </w:tcPr>
          <w:p>
            <w:pPr>
              <w:spacing w:after="0"/>
              <w:rPr>
                <w:sz w:val="21"/>
                <w:szCs w:val="21"/>
                <w:color w:val="auto"/>
              </w:rPr>
            </w:pPr>
          </w:p>
        </w:tc>
        <w:tc>
          <w:tcPr>
            <w:tcW w:w="1140" w:type="dxa"/>
            <w:vAlign w:val="bottom"/>
            <w:tcBorders>
              <w:bottom w:val="single" w:sz="8" w:color="D8D8D8"/>
            </w:tcBorders>
            <w:shd w:val="clear" w:color="auto" w:fill="D8D8D8"/>
          </w:tcPr>
          <w:p>
            <w:pPr>
              <w:spacing w:after="0"/>
              <w:rPr>
                <w:sz w:val="21"/>
                <w:szCs w:val="21"/>
                <w:color w:val="auto"/>
              </w:rPr>
            </w:pPr>
          </w:p>
        </w:tc>
        <w:tc>
          <w:tcPr>
            <w:tcW w:w="280" w:type="dxa"/>
            <w:vAlign w:val="bottom"/>
            <w:tcBorders>
              <w:bottom w:val="single" w:sz="8" w:color="D8D8D8"/>
            </w:tcBorders>
            <w:shd w:val="clear" w:color="auto" w:fill="D8D8D8"/>
          </w:tcPr>
          <w:p>
            <w:pPr>
              <w:spacing w:after="0"/>
              <w:rPr>
                <w:sz w:val="21"/>
                <w:szCs w:val="21"/>
                <w:color w:val="auto"/>
              </w:rPr>
            </w:pPr>
          </w:p>
        </w:tc>
        <w:tc>
          <w:tcPr>
            <w:tcW w:w="1240" w:type="dxa"/>
            <w:vAlign w:val="bottom"/>
            <w:tcBorders>
              <w:bottom w:val="single" w:sz="8" w:color="D8D8D8"/>
            </w:tcBorders>
            <w:shd w:val="clear" w:color="auto" w:fill="D8D8D8"/>
          </w:tcPr>
          <w:p>
            <w:pPr>
              <w:spacing w:after="0"/>
              <w:rPr>
                <w:sz w:val="21"/>
                <w:szCs w:val="21"/>
                <w:color w:val="auto"/>
              </w:rPr>
            </w:pPr>
          </w:p>
        </w:tc>
        <w:tc>
          <w:tcPr>
            <w:tcW w:w="300" w:type="dxa"/>
            <w:vAlign w:val="bottom"/>
            <w:tcBorders>
              <w:bottom w:val="single" w:sz="8" w:color="D8D8D8"/>
            </w:tcBorders>
            <w:shd w:val="clear" w:color="auto" w:fill="D8D8D8"/>
          </w:tcPr>
          <w:p>
            <w:pPr>
              <w:spacing w:after="0"/>
              <w:rPr>
                <w:sz w:val="21"/>
                <w:szCs w:val="21"/>
                <w:color w:val="auto"/>
              </w:rPr>
            </w:pPr>
          </w:p>
        </w:tc>
        <w:tc>
          <w:tcPr>
            <w:tcW w:w="1140" w:type="dxa"/>
            <w:vAlign w:val="bottom"/>
            <w:tcBorders>
              <w:bottom w:val="single" w:sz="8" w:color="D8D8D8"/>
            </w:tcBorders>
            <w:shd w:val="clear" w:color="auto" w:fill="D8D8D8"/>
          </w:tcPr>
          <w:p>
            <w:pPr>
              <w:spacing w:after="0"/>
              <w:rPr>
                <w:sz w:val="21"/>
                <w:szCs w:val="21"/>
                <w:color w:val="auto"/>
              </w:rPr>
            </w:pPr>
          </w:p>
        </w:tc>
        <w:tc>
          <w:tcPr>
            <w:tcW w:w="120" w:type="dxa"/>
            <w:vAlign w:val="bottom"/>
            <w:tcBorders>
              <w:bottom w:val="single" w:sz="8" w:color="D8D8D8"/>
            </w:tcBorders>
            <w:shd w:val="clear" w:color="auto" w:fill="D8D8D8"/>
          </w:tcPr>
          <w:p>
            <w:pPr>
              <w:spacing w:after="0"/>
              <w:rPr>
                <w:sz w:val="21"/>
                <w:szCs w:val="21"/>
                <w:color w:val="auto"/>
              </w:rPr>
            </w:pPr>
          </w:p>
        </w:tc>
        <w:tc>
          <w:tcPr>
            <w:tcW w:w="220" w:type="dxa"/>
            <w:vAlign w:val="bottom"/>
            <w:tcBorders>
              <w:bottom w:val="single" w:sz="8" w:color="D8D8D8"/>
            </w:tcBorders>
            <w:shd w:val="clear" w:color="auto" w:fill="D8D8D8"/>
          </w:tcPr>
          <w:p>
            <w:pPr>
              <w:spacing w:after="0"/>
              <w:rPr>
                <w:sz w:val="21"/>
                <w:szCs w:val="21"/>
                <w:color w:val="auto"/>
              </w:rPr>
            </w:pPr>
          </w:p>
        </w:tc>
        <w:tc>
          <w:tcPr>
            <w:tcW w:w="1160" w:type="dxa"/>
            <w:vAlign w:val="bottom"/>
            <w:tcBorders>
              <w:bottom w:val="single" w:sz="8" w:color="D8D8D8"/>
            </w:tcBorders>
            <w:shd w:val="clear" w:color="auto" w:fill="D8D8D8"/>
          </w:tcPr>
          <w:p>
            <w:pPr>
              <w:spacing w:after="0"/>
              <w:rPr>
                <w:sz w:val="21"/>
                <w:szCs w:val="21"/>
                <w:color w:val="auto"/>
              </w:rPr>
            </w:pPr>
          </w:p>
        </w:tc>
        <w:tc>
          <w:tcPr>
            <w:tcW w:w="280" w:type="dxa"/>
            <w:vAlign w:val="bottom"/>
            <w:tcBorders>
              <w:bottom w:val="single" w:sz="8" w:color="D8D8D8"/>
            </w:tcBorders>
            <w:shd w:val="clear" w:color="auto" w:fill="D8D8D8"/>
          </w:tcPr>
          <w:p>
            <w:pPr>
              <w:spacing w:after="0"/>
              <w:rPr>
                <w:sz w:val="21"/>
                <w:szCs w:val="21"/>
                <w:color w:val="auto"/>
              </w:rPr>
            </w:pPr>
          </w:p>
        </w:tc>
        <w:tc>
          <w:tcPr>
            <w:tcW w:w="1240" w:type="dxa"/>
            <w:vAlign w:val="bottom"/>
            <w:tcBorders>
              <w:bottom w:val="single" w:sz="8" w:color="D8D8D8"/>
            </w:tcBorders>
            <w:shd w:val="clear" w:color="auto" w:fill="D8D8D8"/>
          </w:tcPr>
          <w:p>
            <w:pPr>
              <w:spacing w:after="0"/>
              <w:rPr>
                <w:sz w:val="21"/>
                <w:szCs w:val="21"/>
                <w:color w:val="auto"/>
              </w:rPr>
            </w:pPr>
          </w:p>
        </w:tc>
        <w:tc>
          <w:tcPr>
            <w:tcW w:w="300" w:type="dxa"/>
            <w:vAlign w:val="bottom"/>
            <w:tcBorders>
              <w:bottom w:val="single" w:sz="8" w:color="D8D8D8"/>
            </w:tcBorders>
            <w:shd w:val="clear" w:color="auto" w:fill="D8D8D8"/>
          </w:tcPr>
          <w:p>
            <w:pPr>
              <w:spacing w:after="0"/>
              <w:rPr>
                <w:sz w:val="21"/>
                <w:szCs w:val="21"/>
                <w:color w:val="auto"/>
              </w:rPr>
            </w:pPr>
          </w:p>
        </w:tc>
        <w:tc>
          <w:tcPr>
            <w:tcW w:w="1140" w:type="dxa"/>
            <w:vAlign w:val="bottom"/>
            <w:tcBorders>
              <w:bottom w:val="single" w:sz="8" w:color="D8D8D8"/>
            </w:tcBorders>
            <w:shd w:val="clear" w:color="auto" w:fill="D8D8D8"/>
          </w:tcPr>
          <w:p>
            <w:pPr>
              <w:spacing w:after="0"/>
              <w:rPr>
                <w:sz w:val="21"/>
                <w:szCs w:val="21"/>
                <w:color w:val="auto"/>
              </w:rPr>
            </w:pPr>
          </w:p>
        </w:tc>
        <w:tc>
          <w:tcPr>
            <w:tcW w:w="0" w:type="dxa"/>
            <w:vAlign w:val="bottom"/>
          </w:tcPr>
          <w:p>
            <w:pPr>
              <w:spacing w:after="0"/>
              <w:rPr>
                <w:sz w:val="1"/>
                <w:szCs w:val="1"/>
                <w:color w:val="auto"/>
              </w:rPr>
            </w:pPr>
          </w:p>
        </w:tc>
      </w:tr>
      <w:tr>
        <w:trPr>
          <w:trHeight w:val="269"/>
        </w:trPr>
        <w:tc>
          <w:tcPr>
            <w:tcW w:w="2620" w:type="dxa"/>
            <w:vAlign w:val="bottom"/>
          </w:tcPr>
          <w:p>
            <w:pPr>
              <w:ind w:left="180"/>
              <w:spacing w:after="0"/>
              <w:rPr>
                <w:sz w:val="20"/>
                <w:szCs w:val="20"/>
                <w:color w:val="auto"/>
              </w:rPr>
            </w:pPr>
            <w:r>
              <w:rPr>
                <w:rFonts w:ascii="Arial" w:cs="Arial" w:eastAsia="Arial" w:hAnsi="Arial"/>
                <w:sz w:val="18"/>
                <w:szCs w:val="18"/>
                <w:color w:val="auto"/>
              </w:rPr>
              <w:t>Marketed products</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Pr>
          <w:p>
            <w:pPr>
              <w:jc w:val="right"/>
              <w:ind w:right="37"/>
              <w:spacing w:after="0"/>
              <w:rPr>
                <w:sz w:val="20"/>
                <w:szCs w:val="20"/>
                <w:color w:val="auto"/>
              </w:rPr>
            </w:pPr>
            <w:r>
              <w:rPr>
                <w:rFonts w:ascii="Arial" w:cs="Arial" w:eastAsia="Arial" w:hAnsi="Arial"/>
                <w:sz w:val="18"/>
                <w:szCs w:val="18"/>
                <w:b w:val="1"/>
                <w:bCs w:val="1"/>
                <w:color w:val="auto"/>
              </w:rPr>
              <w:t>7,528.0</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40" w:type="dxa"/>
            <w:vAlign w:val="bottom"/>
          </w:tcPr>
          <w:p>
            <w:pPr>
              <w:jc w:val="right"/>
              <w:ind w:right="17"/>
              <w:spacing w:after="0"/>
              <w:rPr>
                <w:sz w:val="20"/>
                <w:szCs w:val="20"/>
                <w:color w:val="auto"/>
              </w:rPr>
            </w:pPr>
            <w:r>
              <w:rPr>
                <w:rFonts w:ascii="Arial" w:cs="Arial" w:eastAsia="Arial" w:hAnsi="Arial"/>
                <w:sz w:val="18"/>
                <w:szCs w:val="18"/>
                <w:b w:val="1"/>
                <w:bCs w:val="1"/>
                <w:color w:val="auto"/>
              </w:rPr>
              <w:t>(2,706.4)</w:t>
            </w:r>
          </w:p>
        </w:tc>
        <w:tc>
          <w:tcPr>
            <w:tcW w:w="30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ind w:right="17"/>
              <w:spacing w:after="0"/>
              <w:rPr>
                <w:sz w:val="20"/>
                <w:szCs w:val="20"/>
                <w:color w:val="auto"/>
              </w:rPr>
            </w:pPr>
            <w:r>
              <w:rPr>
                <w:rFonts w:ascii="Arial" w:cs="Arial" w:eastAsia="Arial" w:hAnsi="Arial"/>
                <w:sz w:val="18"/>
                <w:szCs w:val="18"/>
                <w:b w:val="1"/>
                <w:bCs w:val="1"/>
                <w:color w:val="auto"/>
              </w:rPr>
              <w:t>4,821.6</w:t>
            </w:r>
          </w:p>
        </w:tc>
        <w:tc>
          <w:tcPr>
            <w:tcW w:w="12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7"/>
              <w:spacing w:after="0"/>
              <w:rPr>
                <w:sz w:val="20"/>
                <w:szCs w:val="20"/>
                <w:color w:val="auto"/>
              </w:rPr>
            </w:pPr>
            <w:r>
              <w:rPr>
                <w:rFonts w:ascii="Arial" w:cs="Arial" w:eastAsia="Arial" w:hAnsi="Arial"/>
                <w:sz w:val="18"/>
                <w:szCs w:val="18"/>
                <w:color w:val="auto"/>
              </w:rPr>
              <w:t>5,684.3</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7"/>
              <w:spacing w:after="0"/>
              <w:rPr>
                <w:sz w:val="20"/>
                <w:szCs w:val="20"/>
                <w:color w:val="auto"/>
              </w:rPr>
            </w:pPr>
            <w:r>
              <w:rPr>
                <w:rFonts w:ascii="Arial" w:cs="Arial" w:eastAsia="Arial" w:hAnsi="Arial"/>
                <w:sz w:val="18"/>
                <w:szCs w:val="18"/>
                <w:color w:val="auto"/>
              </w:rPr>
              <w:t>(2,915.6)</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7"/>
              <w:spacing w:after="0"/>
              <w:rPr>
                <w:sz w:val="20"/>
                <w:szCs w:val="20"/>
                <w:color w:val="auto"/>
              </w:rPr>
            </w:pPr>
            <w:r>
              <w:rPr>
                <w:rFonts w:ascii="Arial" w:cs="Arial" w:eastAsia="Arial" w:hAnsi="Arial"/>
                <w:sz w:val="18"/>
                <w:szCs w:val="18"/>
                <w:color w:val="auto"/>
              </w:rPr>
              <w:t>2,768.7</w:t>
            </w:r>
          </w:p>
        </w:tc>
        <w:tc>
          <w:tcPr>
            <w:tcW w:w="0" w:type="dxa"/>
            <w:vAlign w:val="bottom"/>
          </w:tcPr>
          <w:p>
            <w:pPr>
              <w:spacing w:after="0"/>
              <w:rPr>
                <w:sz w:val="1"/>
                <w:szCs w:val="1"/>
                <w:color w:val="auto"/>
              </w:rPr>
            </w:pPr>
          </w:p>
        </w:tc>
      </w:tr>
      <w:tr>
        <w:trPr>
          <w:trHeight w:val="271"/>
        </w:trPr>
        <w:tc>
          <w:tcPr>
            <w:tcW w:w="2620" w:type="dxa"/>
            <w:vAlign w:val="bottom"/>
            <w:shd w:val="clear" w:color="auto" w:fill="D8D8D8"/>
          </w:tcPr>
          <w:p>
            <w:pPr>
              <w:ind w:left="18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shd w:val="clear" w:color="auto" w:fill="D8D8D8"/>
          </w:tcPr>
          <w:p>
            <w:pPr>
              <w:spacing w:after="0"/>
              <w:rPr>
                <w:sz w:val="23"/>
                <w:szCs w:val="23"/>
                <w:color w:val="auto"/>
              </w:rPr>
            </w:pPr>
          </w:p>
        </w:tc>
        <w:tc>
          <w:tcPr>
            <w:tcW w:w="1140" w:type="dxa"/>
            <w:vAlign w:val="bottom"/>
            <w:tcBorders>
              <w:bottom w:val="single" w:sz="8" w:color="auto"/>
            </w:tcBorders>
            <w:shd w:val="clear" w:color="auto" w:fill="D8D8D8"/>
          </w:tcPr>
          <w:p>
            <w:pPr>
              <w:jc w:val="right"/>
              <w:ind w:right="37"/>
              <w:spacing w:after="0"/>
              <w:rPr>
                <w:sz w:val="20"/>
                <w:szCs w:val="20"/>
                <w:color w:val="auto"/>
              </w:rPr>
            </w:pPr>
            <w:r>
              <w:rPr>
                <w:rFonts w:ascii="Arial" w:cs="Arial" w:eastAsia="Arial" w:hAnsi="Arial"/>
                <w:sz w:val="18"/>
                <w:szCs w:val="18"/>
                <w:b w:val="1"/>
                <w:bCs w:val="1"/>
                <w:color w:val="auto"/>
              </w:rPr>
              <w:t>151.1</w:t>
            </w:r>
          </w:p>
        </w:tc>
        <w:tc>
          <w:tcPr>
            <w:tcW w:w="280" w:type="dxa"/>
            <w:vAlign w:val="bottom"/>
            <w:tcBorders>
              <w:bottom w:val="single" w:sz="8" w:color="auto"/>
            </w:tcBorders>
            <w:shd w:val="clear" w:color="auto" w:fill="D8D8D8"/>
          </w:tcPr>
          <w:p>
            <w:pPr>
              <w:spacing w:after="0"/>
              <w:rPr>
                <w:sz w:val="23"/>
                <w:szCs w:val="23"/>
                <w:color w:val="auto"/>
              </w:rPr>
            </w:pPr>
          </w:p>
        </w:tc>
        <w:tc>
          <w:tcPr>
            <w:tcW w:w="1240" w:type="dxa"/>
            <w:vAlign w:val="bottom"/>
            <w:tcBorders>
              <w:bottom w:val="single" w:sz="8" w:color="auto"/>
            </w:tcBorders>
            <w:shd w:val="clear" w:color="auto" w:fill="D8D8D8"/>
          </w:tcPr>
          <w:p>
            <w:pPr>
              <w:jc w:val="right"/>
              <w:ind w:right="17"/>
              <w:spacing w:after="0"/>
              <w:rPr>
                <w:sz w:val="20"/>
                <w:szCs w:val="20"/>
                <w:color w:val="auto"/>
              </w:rPr>
            </w:pPr>
            <w:r>
              <w:rPr>
                <w:rFonts w:ascii="Arial" w:cs="Arial" w:eastAsia="Arial" w:hAnsi="Arial"/>
                <w:sz w:val="18"/>
                <w:szCs w:val="18"/>
                <w:b w:val="1"/>
                <w:bCs w:val="1"/>
                <w:color w:val="auto"/>
              </w:rPr>
              <w:t>(115.5)</w:t>
            </w:r>
          </w:p>
        </w:tc>
        <w:tc>
          <w:tcPr>
            <w:tcW w:w="300" w:type="dxa"/>
            <w:vAlign w:val="bottom"/>
            <w:tcBorders>
              <w:bottom w:val="single" w:sz="8" w:color="auto"/>
            </w:tcBorders>
            <w:shd w:val="clear" w:color="auto" w:fill="D8D8D8"/>
          </w:tcPr>
          <w:p>
            <w:pPr>
              <w:spacing w:after="0"/>
              <w:rPr>
                <w:sz w:val="23"/>
                <w:szCs w:val="23"/>
                <w:color w:val="auto"/>
              </w:rPr>
            </w:pPr>
          </w:p>
        </w:tc>
        <w:tc>
          <w:tcPr>
            <w:tcW w:w="1140" w:type="dxa"/>
            <w:vAlign w:val="bottom"/>
            <w:tcBorders>
              <w:bottom w:val="single" w:sz="8" w:color="auto"/>
            </w:tcBorders>
            <w:shd w:val="clear" w:color="auto" w:fill="D8D8D8"/>
          </w:tcPr>
          <w:p>
            <w:pPr>
              <w:jc w:val="right"/>
              <w:ind w:right="17"/>
              <w:spacing w:after="0"/>
              <w:rPr>
                <w:sz w:val="20"/>
                <w:szCs w:val="20"/>
                <w:color w:val="auto"/>
              </w:rPr>
            </w:pPr>
            <w:r>
              <w:rPr>
                <w:rFonts w:ascii="Arial" w:cs="Arial" w:eastAsia="Arial" w:hAnsi="Arial"/>
                <w:sz w:val="18"/>
                <w:szCs w:val="18"/>
                <w:b w:val="1"/>
                <w:bCs w:val="1"/>
                <w:color w:val="auto"/>
              </w:rPr>
              <w:t>35.6</w:t>
            </w:r>
          </w:p>
        </w:tc>
        <w:tc>
          <w:tcPr>
            <w:tcW w:w="120" w:type="dxa"/>
            <w:vAlign w:val="bottom"/>
            <w:tcBorders>
              <w:bottom w:val="single" w:sz="8" w:color="auto"/>
            </w:tcBorders>
            <w:shd w:val="clear" w:color="auto" w:fill="D8D8D8"/>
          </w:tcPr>
          <w:p>
            <w:pPr>
              <w:spacing w:after="0"/>
              <w:rPr>
                <w:sz w:val="23"/>
                <w:szCs w:val="23"/>
                <w:color w:val="auto"/>
              </w:rPr>
            </w:pPr>
          </w:p>
        </w:tc>
        <w:tc>
          <w:tcPr>
            <w:tcW w:w="220" w:type="dxa"/>
            <w:vAlign w:val="bottom"/>
            <w:tcBorders>
              <w:bottom w:val="single" w:sz="8" w:color="auto"/>
            </w:tcBorders>
            <w:shd w:val="clear" w:color="auto" w:fill="D8D8D8"/>
          </w:tcPr>
          <w:p>
            <w:pPr>
              <w:spacing w:after="0"/>
              <w:rPr>
                <w:sz w:val="23"/>
                <w:szCs w:val="23"/>
                <w:color w:val="auto"/>
              </w:rPr>
            </w:pPr>
          </w:p>
        </w:tc>
        <w:tc>
          <w:tcPr>
            <w:tcW w:w="1160" w:type="dxa"/>
            <w:vAlign w:val="bottom"/>
            <w:tcBorders>
              <w:bottom w:val="single" w:sz="8" w:color="auto"/>
            </w:tcBorders>
            <w:shd w:val="clear" w:color="auto" w:fill="D8D8D8"/>
          </w:tcPr>
          <w:p>
            <w:pPr>
              <w:jc w:val="right"/>
              <w:ind w:right="37"/>
              <w:spacing w:after="0"/>
              <w:rPr>
                <w:sz w:val="20"/>
                <w:szCs w:val="20"/>
                <w:color w:val="auto"/>
              </w:rPr>
            </w:pPr>
            <w:r>
              <w:rPr>
                <w:rFonts w:ascii="Arial" w:cs="Arial" w:eastAsia="Arial" w:hAnsi="Arial"/>
                <w:sz w:val="18"/>
                <w:szCs w:val="18"/>
                <w:color w:val="auto"/>
              </w:rPr>
              <w:t>149.3</w:t>
            </w:r>
          </w:p>
        </w:tc>
        <w:tc>
          <w:tcPr>
            <w:tcW w:w="280" w:type="dxa"/>
            <w:vAlign w:val="bottom"/>
            <w:tcBorders>
              <w:bottom w:val="single" w:sz="8" w:color="auto"/>
            </w:tcBorders>
            <w:shd w:val="clear" w:color="auto" w:fill="D8D8D8"/>
          </w:tcPr>
          <w:p>
            <w:pPr>
              <w:spacing w:after="0"/>
              <w:rPr>
                <w:sz w:val="23"/>
                <w:szCs w:val="23"/>
                <w:color w:val="auto"/>
              </w:rPr>
            </w:pPr>
          </w:p>
        </w:tc>
        <w:tc>
          <w:tcPr>
            <w:tcW w:w="1240" w:type="dxa"/>
            <w:vAlign w:val="bottom"/>
            <w:tcBorders>
              <w:bottom w:val="single" w:sz="8" w:color="auto"/>
            </w:tcBorders>
            <w:shd w:val="clear" w:color="auto" w:fill="D8D8D8"/>
          </w:tcPr>
          <w:p>
            <w:pPr>
              <w:jc w:val="right"/>
              <w:ind w:right="17"/>
              <w:spacing w:after="0"/>
              <w:rPr>
                <w:sz w:val="20"/>
                <w:szCs w:val="20"/>
                <w:color w:val="auto"/>
              </w:rPr>
            </w:pPr>
            <w:r>
              <w:rPr>
                <w:rFonts w:ascii="Arial" w:cs="Arial" w:eastAsia="Arial" w:hAnsi="Arial"/>
                <w:sz w:val="18"/>
                <w:szCs w:val="18"/>
                <w:color w:val="auto"/>
              </w:rPr>
              <w:t>(45.2)</w:t>
            </w:r>
          </w:p>
        </w:tc>
        <w:tc>
          <w:tcPr>
            <w:tcW w:w="300" w:type="dxa"/>
            <w:vAlign w:val="bottom"/>
            <w:tcBorders>
              <w:bottom w:val="single" w:sz="8" w:color="auto"/>
            </w:tcBorders>
            <w:shd w:val="clear" w:color="auto" w:fill="D8D8D8"/>
          </w:tcPr>
          <w:p>
            <w:pPr>
              <w:spacing w:after="0"/>
              <w:rPr>
                <w:sz w:val="23"/>
                <w:szCs w:val="23"/>
                <w:color w:val="auto"/>
              </w:rPr>
            </w:pPr>
          </w:p>
        </w:tc>
        <w:tc>
          <w:tcPr>
            <w:tcW w:w="1140" w:type="dxa"/>
            <w:vAlign w:val="bottom"/>
            <w:tcBorders>
              <w:bottom w:val="single" w:sz="8" w:color="auto"/>
            </w:tcBorders>
            <w:shd w:val="clear" w:color="auto" w:fill="D8D8D8"/>
          </w:tcPr>
          <w:p>
            <w:pPr>
              <w:jc w:val="right"/>
              <w:ind w:right="17"/>
              <w:spacing w:after="0"/>
              <w:rPr>
                <w:sz w:val="20"/>
                <w:szCs w:val="20"/>
                <w:color w:val="auto"/>
              </w:rPr>
            </w:pPr>
            <w:r>
              <w:rPr>
                <w:rFonts w:ascii="Arial" w:cs="Arial" w:eastAsia="Arial" w:hAnsi="Arial"/>
                <w:sz w:val="18"/>
                <w:szCs w:val="18"/>
                <w:color w:val="auto"/>
              </w:rPr>
              <w:t>104.1</w:t>
            </w:r>
          </w:p>
        </w:tc>
        <w:tc>
          <w:tcPr>
            <w:tcW w:w="0" w:type="dxa"/>
            <w:vAlign w:val="bottom"/>
          </w:tcPr>
          <w:p>
            <w:pPr>
              <w:spacing w:after="0"/>
              <w:rPr>
                <w:sz w:val="1"/>
                <w:szCs w:val="1"/>
                <w:color w:val="auto"/>
              </w:rPr>
            </w:pPr>
          </w:p>
        </w:tc>
      </w:tr>
      <w:tr>
        <w:trPr>
          <w:trHeight w:val="187"/>
        </w:trPr>
        <w:tc>
          <w:tcPr>
            <w:tcW w:w="2620" w:type="dxa"/>
            <w:vAlign w:val="bottom"/>
          </w:tcPr>
          <w:p>
            <w:pPr>
              <w:ind w:left="280"/>
              <w:spacing w:after="0" w:line="187" w:lineRule="exact"/>
              <w:rPr>
                <w:sz w:val="20"/>
                <w:szCs w:val="20"/>
                <w:color w:val="auto"/>
              </w:rPr>
            </w:pPr>
            <w:r>
              <w:rPr>
                <w:rFonts w:ascii="Arial" w:cs="Arial" w:eastAsia="Arial" w:hAnsi="Arial"/>
                <w:sz w:val="18"/>
                <w:szCs w:val="18"/>
                <w:color w:val="auto"/>
              </w:rPr>
              <w:t>Total finite-lived intangible</w:t>
            </w:r>
          </w:p>
        </w:tc>
        <w:tc>
          <w:tcPr>
            <w:tcW w:w="240" w:type="dxa"/>
            <w:vAlign w:val="bottom"/>
          </w:tcPr>
          <w:p>
            <w:pPr>
              <w:spacing w:after="0"/>
              <w:rPr>
                <w:sz w:val="16"/>
                <w:szCs w:val="16"/>
                <w:color w:val="auto"/>
              </w:rPr>
            </w:pPr>
          </w:p>
        </w:tc>
        <w:tc>
          <w:tcPr>
            <w:tcW w:w="1140" w:type="dxa"/>
            <w:vAlign w:val="bottom"/>
            <w:vMerge w:val="restart"/>
          </w:tcPr>
          <w:p>
            <w:pPr>
              <w:jc w:val="right"/>
              <w:ind w:right="37"/>
              <w:spacing w:after="0"/>
              <w:rPr>
                <w:sz w:val="20"/>
                <w:szCs w:val="20"/>
                <w:color w:val="auto"/>
              </w:rPr>
            </w:pPr>
            <w:r>
              <w:rPr>
                <w:rFonts w:ascii="Arial" w:cs="Arial" w:eastAsia="Arial" w:hAnsi="Arial"/>
                <w:sz w:val="18"/>
                <w:szCs w:val="18"/>
                <w:b w:val="1"/>
                <w:bCs w:val="1"/>
                <w:color w:val="auto"/>
              </w:rPr>
              <w:t>7,679.1</w:t>
            </w:r>
          </w:p>
        </w:tc>
        <w:tc>
          <w:tcPr>
            <w:tcW w:w="280" w:type="dxa"/>
            <w:vAlign w:val="bottom"/>
          </w:tcPr>
          <w:p>
            <w:pPr>
              <w:spacing w:after="0"/>
              <w:rPr>
                <w:sz w:val="16"/>
                <w:szCs w:val="16"/>
                <w:color w:val="auto"/>
              </w:rPr>
            </w:pPr>
          </w:p>
        </w:tc>
        <w:tc>
          <w:tcPr>
            <w:tcW w:w="1240" w:type="dxa"/>
            <w:vAlign w:val="bottom"/>
            <w:vMerge w:val="restart"/>
          </w:tcPr>
          <w:p>
            <w:pPr>
              <w:jc w:val="right"/>
              <w:ind w:right="17"/>
              <w:spacing w:after="0"/>
              <w:rPr>
                <w:sz w:val="20"/>
                <w:szCs w:val="20"/>
                <w:color w:val="auto"/>
              </w:rPr>
            </w:pPr>
            <w:r>
              <w:rPr>
                <w:rFonts w:ascii="Arial" w:cs="Arial" w:eastAsia="Arial" w:hAnsi="Arial"/>
                <w:sz w:val="18"/>
                <w:szCs w:val="18"/>
                <w:b w:val="1"/>
                <w:bCs w:val="1"/>
                <w:color w:val="auto"/>
              </w:rPr>
              <w:t>(2,821.9)</w:t>
            </w:r>
          </w:p>
        </w:tc>
        <w:tc>
          <w:tcPr>
            <w:tcW w:w="300" w:type="dxa"/>
            <w:vAlign w:val="bottom"/>
          </w:tcPr>
          <w:p>
            <w:pPr>
              <w:spacing w:after="0"/>
              <w:rPr>
                <w:sz w:val="16"/>
                <w:szCs w:val="16"/>
                <w:color w:val="auto"/>
              </w:rPr>
            </w:pPr>
          </w:p>
        </w:tc>
        <w:tc>
          <w:tcPr>
            <w:tcW w:w="1140" w:type="dxa"/>
            <w:vAlign w:val="bottom"/>
            <w:vMerge w:val="restart"/>
          </w:tcPr>
          <w:p>
            <w:pPr>
              <w:jc w:val="right"/>
              <w:ind w:right="17"/>
              <w:spacing w:after="0"/>
              <w:rPr>
                <w:sz w:val="20"/>
                <w:szCs w:val="20"/>
                <w:color w:val="auto"/>
              </w:rPr>
            </w:pPr>
            <w:r>
              <w:rPr>
                <w:rFonts w:ascii="Arial" w:cs="Arial" w:eastAsia="Arial" w:hAnsi="Arial"/>
                <w:sz w:val="18"/>
                <w:szCs w:val="18"/>
                <w:b w:val="1"/>
                <w:bCs w:val="1"/>
                <w:color w:val="auto"/>
              </w:rPr>
              <w:t>4,857.2</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2"/>
        </w:trPr>
        <w:tc>
          <w:tcPr>
            <w:tcW w:w="2620" w:type="dxa"/>
            <w:vAlign w:val="bottom"/>
          </w:tcPr>
          <w:p>
            <w:pPr>
              <w:ind w:left="440"/>
              <w:spacing w:after="0"/>
              <w:rPr>
                <w:sz w:val="20"/>
                <w:szCs w:val="20"/>
                <w:color w:val="auto"/>
              </w:rPr>
            </w:pPr>
            <w:r>
              <w:rPr>
                <w:rFonts w:ascii="Arial" w:cs="Arial" w:eastAsia="Arial" w:hAnsi="Arial"/>
                <w:sz w:val="18"/>
                <w:szCs w:val="18"/>
                <w:color w:val="auto"/>
              </w:rPr>
              <w:t>assets</w:t>
            </w:r>
          </w:p>
        </w:tc>
        <w:tc>
          <w:tcPr>
            <w:tcW w:w="240" w:type="dxa"/>
            <w:vAlign w:val="bottom"/>
          </w:tcPr>
          <w:p>
            <w:pPr>
              <w:spacing w:after="0"/>
              <w:rPr>
                <w:sz w:val="21"/>
                <w:szCs w:val="21"/>
                <w:color w:val="auto"/>
              </w:rPr>
            </w:pPr>
          </w:p>
        </w:tc>
        <w:tc>
          <w:tcPr>
            <w:tcW w:w="1140" w:type="dxa"/>
            <w:vAlign w:val="bottom"/>
            <w:vMerge w:val="continue"/>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vMerge w:val="continue"/>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37"/>
              <w:spacing w:after="0"/>
              <w:rPr>
                <w:sz w:val="20"/>
                <w:szCs w:val="20"/>
                <w:color w:val="auto"/>
              </w:rPr>
            </w:pPr>
            <w:r>
              <w:rPr>
                <w:rFonts w:ascii="Arial" w:cs="Arial" w:eastAsia="Arial" w:hAnsi="Arial"/>
                <w:sz w:val="18"/>
                <w:szCs w:val="18"/>
                <w:color w:val="auto"/>
              </w:rPr>
              <w:t>5,833.6</w:t>
            </w:r>
          </w:p>
        </w:tc>
        <w:tc>
          <w:tcPr>
            <w:tcW w:w="280" w:type="dxa"/>
            <w:vAlign w:val="bottom"/>
          </w:tcPr>
          <w:p>
            <w:pPr>
              <w:spacing w:after="0"/>
              <w:rPr>
                <w:sz w:val="21"/>
                <w:szCs w:val="21"/>
                <w:color w:val="auto"/>
              </w:rPr>
            </w:pPr>
          </w:p>
        </w:tc>
        <w:tc>
          <w:tcPr>
            <w:tcW w:w="1240" w:type="dxa"/>
            <w:vAlign w:val="bottom"/>
          </w:tcPr>
          <w:p>
            <w:pPr>
              <w:jc w:val="right"/>
              <w:ind w:right="17"/>
              <w:spacing w:after="0"/>
              <w:rPr>
                <w:sz w:val="20"/>
                <w:szCs w:val="20"/>
                <w:color w:val="auto"/>
              </w:rPr>
            </w:pPr>
            <w:r>
              <w:rPr>
                <w:rFonts w:ascii="Arial" w:cs="Arial" w:eastAsia="Arial" w:hAnsi="Arial"/>
                <w:sz w:val="18"/>
                <w:szCs w:val="18"/>
                <w:color w:val="auto"/>
              </w:rPr>
              <w:t>(2,960.8)</w:t>
            </w:r>
          </w:p>
        </w:tc>
        <w:tc>
          <w:tcPr>
            <w:tcW w:w="300" w:type="dxa"/>
            <w:vAlign w:val="bottom"/>
          </w:tcPr>
          <w:p>
            <w:pPr>
              <w:spacing w:after="0"/>
              <w:rPr>
                <w:sz w:val="21"/>
                <w:szCs w:val="21"/>
                <w:color w:val="auto"/>
              </w:rPr>
            </w:pPr>
          </w:p>
        </w:tc>
        <w:tc>
          <w:tcPr>
            <w:tcW w:w="1140" w:type="dxa"/>
            <w:vAlign w:val="bottom"/>
          </w:tcPr>
          <w:p>
            <w:pPr>
              <w:jc w:val="right"/>
              <w:ind w:right="17"/>
              <w:spacing w:after="0"/>
              <w:rPr>
                <w:sz w:val="20"/>
                <w:szCs w:val="20"/>
                <w:color w:val="auto"/>
              </w:rPr>
            </w:pPr>
            <w:r>
              <w:rPr>
                <w:rFonts w:ascii="Arial" w:cs="Arial" w:eastAsia="Arial" w:hAnsi="Arial"/>
                <w:sz w:val="18"/>
                <w:szCs w:val="18"/>
                <w:color w:val="auto"/>
              </w:rPr>
              <w:t>2,872.8</w:t>
            </w:r>
          </w:p>
        </w:tc>
        <w:tc>
          <w:tcPr>
            <w:tcW w:w="0" w:type="dxa"/>
            <w:vAlign w:val="bottom"/>
          </w:tcPr>
          <w:p>
            <w:pPr>
              <w:spacing w:after="0"/>
              <w:rPr>
                <w:sz w:val="1"/>
                <w:szCs w:val="1"/>
                <w:color w:val="auto"/>
              </w:rPr>
            </w:pPr>
          </w:p>
        </w:tc>
      </w:tr>
      <w:tr>
        <w:trPr>
          <w:trHeight w:val="207"/>
        </w:trPr>
        <w:tc>
          <w:tcPr>
            <w:tcW w:w="2620" w:type="dxa"/>
            <w:vAlign w:val="bottom"/>
            <w:shd w:val="clear" w:color="auto" w:fill="D8D8D8"/>
          </w:tcPr>
          <w:p>
            <w:pPr>
              <w:ind w:left="40"/>
              <w:spacing w:after="0"/>
              <w:rPr>
                <w:sz w:val="20"/>
                <w:szCs w:val="20"/>
                <w:color w:val="auto"/>
              </w:rPr>
            </w:pPr>
            <w:r>
              <w:rPr>
                <w:rFonts w:ascii="Arial" w:cs="Arial" w:eastAsia="Arial" w:hAnsi="Arial"/>
                <w:sz w:val="18"/>
                <w:szCs w:val="18"/>
                <w:color w:val="auto"/>
              </w:rPr>
              <w:t>Indefinite-lived intangible</w:t>
            </w:r>
          </w:p>
        </w:tc>
        <w:tc>
          <w:tcPr>
            <w:tcW w:w="240" w:type="dxa"/>
            <w:vAlign w:val="bottom"/>
            <w:shd w:val="clear" w:color="auto" w:fill="D8D8D8"/>
          </w:tcPr>
          <w:p>
            <w:pPr>
              <w:spacing w:after="0"/>
              <w:rPr>
                <w:sz w:val="18"/>
                <w:szCs w:val="18"/>
                <w:color w:val="auto"/>
              </w:rPr>
            </w:pPr>
          </w:p>
        </w:tc>
        <w:tc>
          <w:tcPr>
            <w:tcW w:w="1140" w:type="dxa"/>
            <w:vAlign w:val="bottom"/>
            <w:shd w:val="clear" w:color="auto" w:fill="D8D8D8"/>
          </w:tcPr>
          <w:p>
            <w:pPr>
              <w:spacing w:after="0"/>
              <w:rPr>
                <w:sz w:val="18"/>
                <w:szCs w:val="18"/>
                <w:color w:val="auto"/>
              </w:rPr>
            </w:pPr>
          </w:p>
        </w:tc>
        <w:tc>
          <w:tcPr>
            <w:tcW w:w="280" w:type="dxa"/>
            <w:vAlign w:val="bottom"/>
            <w:shd w:val="clear" w:color="auto" w:fill="D8D8D8"/>
          </w:tcPr>
          <w:p>
            <w:pPr>
              <w:spacing w:after="0"/>
              <w:rPr>
                <w:sz w:val="18"/>
                <w:szCs w:val="18"/>
                <w:color w:val="auto"/>
              </w:rPr>
            </w:pPr>
          </w:p>
        </w:tc>
        <w:tc>
          <w:tcPr>
            <w:tcW w:w="1240" w:type="dxa"/>
            <w:vAlign w:val="bottom"/>
            <w:shd w:val="clear" w:color="auto" w:fill="D8D8D8"/>
          </w:tcPr>
          <w:p>
            <w:pPr>
              <w:spacing w:after="0"/>
              <w:rPr>
                <w:sz w:val="18"/>
                <w:szCs w:val="18"/>
                <w:color w:val="auto"/>
              </w:rPr>
            </w:pPr>
          </w:p>
        </w:tc>
        <w:tc>
          <w:tcPr>
            <w:tcW w:w="300" w:type="dxa"/>
            <w:vAlign w:val="bottom"/>
            <w:shd w:val="clear" w:color="auto" w:fill="D8D8D8"/>
          </w:tcPr>
          <w:p>
            <w:pPr>
              <w:spacing w:after="0"/>
              <w:rPr>
                <w:sz w:val="18"/>
                <w:szCs w:val="18"/>
                <w:color w:val="auto"/>
              </w:rPr>
            </w:pPr>
          </w:p>
        </w:tc>
        <w:tc>
          <w:tcPr>
            <w:tcW w:w="1140" w:type="dxa"/>
            <w:vAlign w:val="bottom"/>
            <w:shd w:val="clear" w:color="auto" w:fill="D8D8D8"/>
          </w:tcPr>
          <w:p>
            <w:pPr>
              <w:spacing w:after="0"/>
              <w:rPr>
                <w:sz w:val="18"/>
                <w:szCs w:val="18"/>
                <w:color w:val="auto"/>
              </w:rPr>
            </w:pPr>
          </w:p>
        </w:tc>
        <w:tc>
          <w:tcPr>
            <w:tcW w:w="120" w:type="dxa"/>
            <w:vAlign w:val="bottom"/>
            <w:shd w:val="clear" w:color="auto" w:fill="D8D8D8"/>
          </w:tcPr>
          <w:p>
            <w:pPr>
              <w:spacing w:after="0"/>
              <w:rPr>
                <w:sz w:val="18"/>
                <w:szCs w:val="18"/>
                <w:color w:val="auto"/>
              </w:rPr>
            </w:pPr>
          </w:p>
        </w:tc>
        <w:tc>
          <w:tcPr>
            <w:tcW w:w="220" w:type="dxa"/>
            <w:vAlign w:val="bottom"/>
            <w:shd w:val="clear" w:color="auto" w:fill="D8D8D8"/>
          </w:tcPr>
          <w:p>
            <w:pPr>
              <w:spacing w:after="0"/>
              <w:rPr>
                <w:sz w:val="18"/>
                <w:szCs w:val="18"/>
                <w:color w:val="auto"/>
              </w:rPr>
            </w:pPr>
          </w:p>
        </w:tc>
        <w:tc>
          <w:tcPr>
            <w:tcW w:w="1160" w:type="dxa"/>
            <w:vAlign w:val="bottom"/>
            <w:shd w:val="clear" w:color="auto" w:fill="D8D8D8"/>
          </w:tcPr>
          <w:p>
            <w:pPr>
              <w:spacing w:after="0"/>
              <w:rPr>
                <w:sz w:val="18"/>
                <w:szCs w:val="18"/>
                <w:color w:val="auto"/>
              </w:rPr>
            </w:pPr>
          </w:p>
        </w:tc>
        <w:tc>
          <w:tcPr>
            <w:tcW w:w="280" w:type="dxa"/>
            <w:vAlign w:val="bottom"/>
            <w:shd w:val="clear" w:color="auto" w:fill="D8D8D8"/>
          </w:tcPr>
          <w:p>
            <w:pPr>
              <w:spacing w:after="0"/>
              <w:rPr>
                <w:sz w:val="18"/>
                <w:szCs w:val="18"/>
                <w:color w:val="auto"/>
              </w:rPr>
            </w:pPr>
          </w:p>
        </w:tc>
        <w:tc>
          <w:tcPr>
            <w:tcW w:w="1240" w:type="dxa"/>
            <w:vAlign w:val="bottom"/>
            <w:shd w:val="clear" w:color="auto" w:fill="D8D8D8"/>
          </w:tcPr>
          <w:p>
            <w:pPr>
              <w:spacing w:after="0"/>
              <w:rPr>
                <w:sz w:val="18"/>
                <w:szCs w:val="18"/>
                <w:color w:val="auto"/>
              </w:rPr>
            </w:pPr>
          </w:p>
        </w:tc>
        <w:tc>
          <w:tcPr>
            <w:tcW w:w="300" w:type="dxa"/>
            <w:vAlign w:val="bottom"/>
            <w:shd w:val="clear" w:color="auto" w:fill="D8D8D8"/>
          </w:tcPr>
          <w:p>
            <w:pPr>
              <w:spacing w:after="0"/>
              <w:rPr>
                <w:sz w:val="18"/>
                <w:szCs w:val="18"/>
                <w:color w:val="auto"/>
              </w:rPr>
            </w:pPr>
          </w:p>
        </w:tc>
        <w:tc>
          <w:tcPr>
            <w:tcW w:w="1140" w:type="dxa"/>
            <w:vAlign w:val="bottom"/>
            <w:shd w:val="clear" w:color="auto" w:fill="D8D8D8"/>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2620" w:type="dxa"/>
            <w:vAlign w:val="bottom"/>
            <w:shd w:val="clear" w:color="auto" w:fill="D8D8D8"/>
          </w:tcPr>
          <w:p>
            <w:pPr>
              <w:ind w:left="200"/>
              <w:spacing w:after="0"/>
              <w:rPr>
                <w:sz w:val="20"/>
                <w:szCs w:val="20"/>
                <w:color w:val="auto"/>
              </w:rPr>
            </w:pPr>
            <w:r>
              <w:rPr>
                <w:rFonts w:ascii="Arial" w:cs="Arial" w:eastAsia="Arial" w:hAnsi="Arial"/>
                <w:sz w:val="18"/>
                <w:szCs w:val="18"/>
                <w:color w:val="auto"/>
              </w:rPr>
              <w:t>assets:</w:t>
            </w:r>
          </w:p>
        </w:tc>
        <w:tc>
          <w:tcPr>
            <w:tcW w:w="240" w:type="dxa"/>
            <w:vAlign w:val="bottom"/>
            <w:shd w:val="clear" w:color="auto" w:fill="D8D8D8"/>
          </w:tcPr>
          <w:p>
            <w:pPr>
              <w:spacing w:after="0"/>
              <w:rPr>
                <w:sz w:val="21"/>
                <w:szCs w:val="21"/>
                <w:color w:val="auto"/>
              </w:rPr>
            </w:pPr>
          </w:p>
        </w:tc>
        <w:tc>
          <w:tcPr>
            <w:tcW w:w="1140" w:type="dxa"/>
            <w:vAlign w:val="bottom"/>
            <w:shd w:val="clear" w:color="auto" w:fill="D8D8D8"/>
          </w:tcPr>
          <w:p>
            <w:pPr>
              <w:spacing w:after="0"/>
              <w:rPr>
                <w:sz w:val="21"/>
                <w:szCs w:val="21"/>
                <w:color w:val="auto"/>
              </w:rPr>
            </w:pPr>
          </w:p>
        </w:tc>
        <w:tc>
          <w:tcPr>
            <w:tcW w:w="280" w:type="dxa"/>
            <w:vAlign w:val="bottom"/>
            <w:shd w:val="clear" w:color="auto" w:fill="D8D8D8"/>
          </w:tcPr>
          <w:p>
            <w:pPr>
              <w:spacing w:after="0"/>
              <w:rPr>
                <w:sz w:val="21"/>
                <w:szCs w:val="21"/>
                <w:color w:val="auto"/>
              </w:rPr>
            </w:pPr>
          </w:p>
        </w:tc>
        <w:tc>
          <w:tcPr>
            <w:tcW w:w="1240" w:type="dxa"/>
            <w:vAlign w:val="bottom"/>
            <w:shd w:val="clear" w:color="auto" w:fill="D8D8D8"/>
          </w:tcPr>
          <w:p>
            <w:pPr>
              <w:spacing w:after="0"/>
              <w:rPr>
                <w:sz w:val="21"/>
                <w:szCs w:val="21"/>
                <w:color w:val="auto"/>
              </w:rPr>
            </w:pPr>
          </w:p>
        </w:tc>
        <w:tc>
          <w:tcPr>
            <w:tcW w:w="300" w:type="dxa"/>
            <w:vAlign w:val="bottom"/>
            <w:shd w:val="clear" w:color="auto" w:fill="D8D8D8"/>
          </w:tcPr>
          <w:p>
            <w:pPr>
              <w:spacing w:after="0"/>
              <w:rPr>
                <w:sz w:val="21"/>
                <w:szCs w:val="21"/>
                <w:color w:val="auto"/>
              </w:rPr>
            </w:pPr>
          </w:p>
        </w:tc>
        <w:tc>
          <w:tcPr>
            <w:tcW w:w="1140" w:type="dxa"/>
            <w:vAlign w:val="bottom"/>
            <w:shd w:val="clear" w:color="auto" w:fill="D8D8D8"/>
          </w:tcPr>
          <w:p>
            <w:pPr>
              <w:spacing w:after="0"/>
              <w:rPr>
                <w:sz w:val="21"/>
                <w:szCs w:val="21"/>
                <w:color w:val="auto"/>
              </w:rPr>
            </w:pPr>
          </w:p>
        </w:tc>
        <w:tc>
          <w:tcPr>
            <w:tcW w:w="120" w:type="dxa"/>
            <w:vAlign w:val="bottom"/>
            <w:shd w:val="clear" w:color="auto" w:fill="D8D8D8"/>
          </w:tcPr>
          <w:p>
            <w:pPr>
              <w:spacing w:after="0"/>
              <w:rPr>
                <w:sz w:val="21"/>
                <w:szCs w:val="21"/>
                <w:color w:val="auto"/>
              </w:rPr>
            </w:pPr>
          </w:p>
        </w:tc>
        <w:tc>
          <w:tcPr>
            <w:tcW w:w="220" w:type="dxa"/>
            <w:vAlign w:val="bottom"/>
            <w:shd w:val="clear" w:color="auto" w:fill="D8D8D8"/>
          </w:tcPr>
          <w:p>
            <w:pPr>
              <w:spacing w:after="0"/>
              <w:rPr>
                <w:sz w:val="21"/>
                <w:szCs w:val="21"/>
                <w:color w:val="auto"/>
              </w:rPr>
            </w:pPr>
          </w:p>
        </w:tc>
        <w:tc>
          <w:tcPr>
            <w:tcW w:w="1160" w:type="dxa"/>
            <w:vAlign w:val="bottom"/>
            <w:shd w:val="clear" w:color="auto" w:fill="D8D8D8"/>
          </w:tcPr>
          <w:p>
            <w:pPr>
              <w:spacing w:after="0"/>
              <w:rPr>
                <w:sz w:val="21"/>
                <w:szCs w:val="21"/>
                <w:color w:val="auto"/>
              </w:rPr>
            </w:pPr>
          </w:p>
        </w:tc>
        <w:tc>
          <w:tcPr>
            <w:tcW w:w="280" w:type="dxa"/>
            <w:vAlign w:val="bottom"/>
            <w:shd w:val="clear" w:color="auto" w:fill="D8D8D8"/>
          </w:tcPr>
          <w:p>
            <w:pPr>
              <w:spacing w:after="0"/>
              <w:rPr>
                <w:sz w:val="21"/>
                <w:szCs w:val="21"/>
                <w:color w:val="auto"/>
              </w:rPr>
            </w:pPr>
          </w:p>
        </w:tc>
        <w:tc>
          <w:tcPr>
            <w:tcW w:w="1240" w:type="dxa"/>
            <w:vAlign w:val="bottom"/>
            <w:shd w:val="clear" w:color="auto" w:fill="D8D8D8"/>
          </w:tcPr>
          <w:p>
            <w:pPr>
              <w:spacing w:after="0"/>
              <w:rPr>
                <w:sz w:val="21"/>
                <w:szCs w:val="21"/>
                <w:color w:val="auto"/>
              </w:rPr>
            </w:pPr>
          </w:p>
        </w:tc>
        <w:tc>
          <w:tcPr>
            <w:tcW w:w="300" w:type="dxa"/>
            <w:vAlign w:val="bottom"/>
            <w:shd w:val="clear" w:color="auto" w:fill="D8D8D8"/>
          </w:tcPr>
          <w:p>
            <w:pPr>
              <w:spacing w:after="0"/>
              <w:rPr>
                <w:sz w:val="21"/>
                <w:szCs w:val="21"/>
                <w:color w:val="auto"/>
              </w:rPr>
            </w:pPr>
          </w:p>
        </w:tc>
        <w:tc>
          <w:tcPr>
            <w:tcW w:w="1140" w:type="dxa"/>
            <w:vAlign w:val="bottom"/>
            <w:shd w:val="clear" w:color="auto" w:fill="D8D8D8"/>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2620" w:type="dxa"/>
            <w:vAlign w:val="bottom"/>
          </w:tcPr>
          <w:p>
            <w:pPr>
              <w:ind w:left="180"/>
              <w:spacing w:after="0"/>
              <w:rPr>
                <w:sz w:val="20"/>
                <w:szCs w:val="20"/>
                <w:color w:val="auto"/>
              </w:rPr>
            </w:pPr>
            <w:r>
              <w:rPr>
                <w:rFonts w:ascii="Arial" w:cs="Arial" w:eastAsia="Arial" w:hAnsi="Arial"/>
                <w:sz w:val="18"/>
                <w:szCs w:val="18"/>
                <w:color w:val="auto"/>
              </w:rPr>
              <w:t>Acquired in-process research</w:t>
            </w:r>
          </w:p>
        </w:tc>
        <w:tc>
          <w:tcPr>
            <w:tcW w:w="240" w:type="dxa"/>
            <w:vAlign w:val="bottom"/>
          </w:tcPr>
          <w:p>
            <w:pPr>
              <w:spacing w:after="0"/>
              <w:rPr>
                <w:sz w:val="17"/>
                <w:szCs w:val="17"/>
                <w:color w:val="auto"/>
              </w:rPr>
            </w:pPr>
          </w:p>
        </w:tc>
        <w:tc>
          <w:tcPr>
            <w:tcW w:w="1140" w:type="dxa"/>
            <w:vAlign w:val="bottom"/>
            <w:vMerge w:val="restart"/>
          </w:tcPr>
          <w:p>
            <w:pPr>
              <w:jc w:val="right"/>
              <w:ind w:right="37"/>
              <w:spacing w:after="0"/>
              <w:rPr>
                <w:sz w:val="20"/>
                <w:szCs w:val="20"/>
                <w:color w:val="auto"/>
              </w:rPr>
            </w:pPr>
            <w:r>
              <w:rPr>
                <w:rFonts w:ascii="Arial" w:cs="Arial" w:eastAsia="Arial" w:hAnsi="Arial"/>
                <w:sz w:val="18"/>
                <w:szCs w:val="18"/>
                <w:b w:val="1"/>
                <w:bCs w:val="1"/>
                <w:color w:val="auto"/>
              </w:rPr>
              <w:t>177.6</w:t>
            </w:r>
          </w:p>
        </w:tc>
        <w:tc>
          <w:tcPr>
            <w:tcW w:w="280" w:type="dxa"/>
            <w:vAlign w:val="bottom"/>
          </w:tcPr>
          <w:p>
            <w:pPr>
              <w:spacing w:after="0"/>
              <w:rPr>
                <w:sz w:val="17"/>
                <w:szCs w:val="17"/>
                <w:color w:val="auto"/>
              </w:rPr>
            </w:pPr>
          </w:p>
        </w:tc>
        <w:tc>
          <w:tcPr>
            <w:tcW w:w="1240" w:type="dxa"/>
            <w:vAlign w:val="bottom"/>
            <w:vMerge w:val="restart"/>
          </w:tcPr>
          <w:p>
            <w:pPr>
              <w:jc w:val="right"/>
              <w:ind w:right="77"/>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7"/>
                <w:szCs w:val="17"/>
                <w:color w:val="auto"/>
              </w:rPr>
            </w:pPr>
          </w:p>
        </w:tc>
        <w:tc>
          <w:tcPr>
            <w:tcW w:w="1140" w:type="dxa"/>
            <w:vAlign w:val="bottom"/>
            <w:vMerge w:val="restart"/>
          </w:tcPr>
          <w:p>
            <w:pPr>
              <w:jc w:val="right"/>
              <w:ind w:right="17"/>
              <w:spacing w:after="0"/>
              <w:rPr>
                <w:sz w:val="20"/>
                <w:szCs w:val="20"/>
                <w:color w:val="auto"/>
              </w:rPr>
            </w:pPr>
            <w:r>
              <w:rPr>
                <w:rFonts w:ascii="Arial" w:cs="Arial" w:eastAsia="Arial" w:hAnsi="Arial"/>
                <w:sz w:val="18"/>
                <w:szCs w:val="18"/>
                <w:b w:val="1"/>
                <w:bCs w:val="1"/>
                <w:color w:val="auto"/>
              </w:rPr>
              <w:t>177.6</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2620" w:type="dxa"/>
            <w:vAlign w:val="bottom"/>
            <w:tcBorders>
              <w:bottom w:val="single" w:sz="8" w:color="D8D8D8"/>
            </w:tcBorders>
          </w:tcPr>
          <w:p>
            <w:pPr>
              <w:ind w:left="340"/>
              <w:spacing w:after="0"/>
              <w:rPr>
                <w:sz w:val="20"/>
                <w:szCs w:val="20"/>
                <w:color w:val="auto"/>
              </w:rPr>
            </w:pPr>
            <w:r>
              <w:rPr>
                <w:rFonts w:ascii="Arial" w:cs="Arial" w:eastAsia="Arial" w:hAnsi="Arial"/>
                <w:sz w:val="18"/>
                <w:szCs w:val="18"/>
                <w:color w:val="auto"/>
              </w:rPr>
              <w:t>and development</w:t>
            </w:r>
          </w:p>
        </w:tc>
        <w:tc>
          <w:tcPr>
            <w:tcW w:w="2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vMerge w:val="continue"/>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vMerge w:val="continue"/>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vMerge w:val="continue"/>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11.4</w:t>
            </w:r>
          </w:p>
        </w:tc>
        <w:tc>
          <w:tcPr>
            <w:tcW w:w="2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77"/>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58"/>
        </w:trPr>
        <w:tc>
          <w:tcPr>
            <w:tcW w:w="2620" w:type="dxa"/>
            <w:vAlign w:val="bottom"/>
            <w:tcBorders>
              <w:bottom w:val="single" w:sz="8" w:color="D8D8D8"/>
            </w:tcBorders>
            <w:shd w:val="clear" w:color="auto" w:fill="D8D8D8"/>
          </w:tcPr>
          <w:p>
            <w:pPr>
              <w:ind w:left="280"/>
              <w:spacing w:after="0"/>
              <w:rPr>
                <w:sz w:val="20"/>
                <w:szCs w:val="20"/>
                <w:color w:val="auto"/>
              </w:rPr>
            </w:pPr>
            <w:r>
              <w:rPr>
                <w:rFonts w:ascii="Arial" w:cs="Arial" w:eastAsia="Arial" w:hAnsi="Arial"/>
                <w:sz w:val="18"/>
                <w:szCs w:val="18"/>
                <w:color w:val="auto"/>
              </w:rPr>
              <w:t>Other intangibles</w:t>
            </w:r>
          </w:p>
        </w:tc>
        <w:tc>
          <w:tcPr>
            <w:tcW w:w="240" w:type="dxa"/>
            <w:vAlign w:val="bottom"/>
            <w:tcBorders>
              <w:bottom w:val="single" w:sz="8" w:color="auto"/>
            </w:tcBorders>
            <w:shd w:val="clear" w:color="auto" w:fill="D8D8D8"/>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shd w:val="clear" w:color="auto" w:fill="D8D8D8"/>
          </w:tcPr>
          <w:p>
            <w:pPr>
              <w:jc w:val="right"/>
              <w:ind w:right="37"/>
              <w:spacing w:after="0"/>
              <w:rPr>
                <w:sz w:val="20"/>
                <w:szCs w:val="20"/>
                <w:color w:val="auto"/>
              </w:rPr>
            </w:pPr>
            <w:r>
              <w:rPr>
                <w:rFonts w:ascii="Arial" w:cs="Arial" w:eastAsia="Arial" w:hAnsi="Arial"/>
                <w:sz w:val="18"/>
                <w:szCs w:val="18"/>
                <w:b w:val="1"/>
                <w:bCs w:val="1"/>
                <w:color w:val="auto"/>
              </w:rPr>
              <w:t>7,856.7</w:t>
            </w:r>
          </w:p>
        </w:tc>
        <w:tc>
          <w:tcPr>
            <w:tcW w:w="28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b w:val="1"/>
                <w:bCs w:val="1"/>
                <w:color w:val="auto"/>
              </w:rPr>
              <w:t>$</w:t>
            </w:r>
          </w:p>
        </w:tc>
        <w:tc>
          <w:tcPr>
            <w:tcW w:w="1240" w:type="dxa"/>
            <w:vAlign w:val="bottom"/>
            <w:tcBorders>
              <w:bottom w:val="single" w:sz="8" w:color="auto"/>
            </w:tcBorders>
            <w:shd w:val="clear" w:color="auto" w:fill="D8D8D8"/>
          </w:tcPr>
          <w:p>
            <w:pPr>
              <w:jc w:val="right"/>
              <w:ind w:right="17"/>
              <w:spacing w:after="0"/>
              <w:rPr>
                <w:sz w:val="20"/>
                <w:szCs w:val="20"/>
                <w:color w:val="auto"/>
              </w:rPr>
            </w:pPr>
            <w:r>
              <w:rPr>
                <w:rFonts w:ascii="Arial" w:cs="Arial" w:eastAsia="Arial" w:hAnsi="Arial"/>
                <w:sz w:val="18"/>
                <w:szCs w:val="18"/>
                <w:b w:val="1"/>
                <w:bCs w:val="1"/>
                <w:color w:val="auto"/>
              </w:rPr>
              <w:t>(2,821.9)</w:t>
            </w:r>
          </w:p>
        </w:tc>
        <w:tc>
          <w:tcPr>
            <w:tcW w:w="300" w:type="dxa"/>
            <w:vAlign w:val="bottom"/>
            <w:tcBorders>
              <w:bottom w:val="single" w:sz="8" w:color="auto"/>
            </w:tcBorders>
            <w:shd w:val="clear" w:color="auto" w:fill="D8D8D8"/>
          </w:tcPr>
          <w:p>
            <w:pPr>
              <w:jc w:val="right"/>
              <w:ind w:right="10"/>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auto"/>
            </w:tcBorders>
            <w:shd w:val="clear" w:color="auto" w:fill="D8D8D8"/>
          </w:tcPr>
          <w:p>
            <w:pPr>
              <w:jc w:val="right"/>
              <w:ind w:right="17"/>
              <w:spacing w:after="0"/>
              <w:rPr>
                <w:sz w:val="20"/>
                <w:szCs w:val="20"/>
                <w:color w:val="auto"/>
              </w:rPr>
            </w:pPr>
            <w:r>
              <w:rPr>
                <w:rFonts w:ascii="Arial" w:cs="Arial" w:eastAsia="Arial" w:hAnsi="Arial"/>
                <w:sz w:val="18"/>
                <w:szCs w:val="18"/>
                <w:b w:val="1"/>
                <w:bCs w:val="1"/>
                <w:color w:val="auto"/>
              </w:rPr>
              <w:t>5,034.8</w:t>
            </w:r>
          </w:p>
        </w:tc>
        <w:tc>
          <w:tcPr>
            <w:tcW w:w="120" w:type="dxa"/>
            <w:vAlign w:val="bottom"/>
            <w:tcBorders>
              <w:bottom w:val="single" w:sz="8" w:color="auto"/>
            </w:tcBorders>
            <w:shd w:val="clear" w:color="auto" w:fill="D8D8D8"/>
          </w:tcPr>
          <w:p>
            <w:pPr>
              <w:spacing w:after="0"/>
              <w:rPr>
                <w:sz w:val="22"/>
                <w:szCs w:val="22"/>
                <w:color w:val="auto"/>
              </w:rPr>
            </w:pPr>
          </w:p>
        </w:tc>
        <w:tc>
          <w:tcPr>
            <w:tcW w:w="220" w:type="dxa"/>
            <w:vAlign w:val="bottom"/>
            <w:tcBorders>
              <w:bottom w:val="single" w:sz="8" w:color="auto"/>
            </w:tcBorders>
            <w:shd w:val="clear" w:color="auto" w:fill="D8D8D8"/>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D8D8D8"/>
          </w:tcPr>
          <w:p>
            <w:pPr>
              <w:jc w:val="right"/>
              <w:ind w:right="37"/>
              <w:spacing w:after="0"/>
              <w:rPr>
                <w:sz w:val="20"/>
                <w:szCs w:val="20"/>
                <w:color w:val="auto"/>
              </w:rPr>
            </w:pPr>
            <w:r>
              <w:rPr>
                <w:rFonts w:ascii="Arial" w:cs="Arial" w:eastAsia="Arial" w:hAnsi="Arial"/>
                <w:sz w:val="18"/>
                <w:szCs w:val="18"/>
                <w:color w:val="auto"/>
              </w:rPr>
              <w:t>5,845.0</w:t>
            </w:r>
          </w:p>
        </w:tc>
        <w:tc>
          <w:tcPr>
            <w:tcW w:w="28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D8D8D8"/>
          </w:tcPr>
          <w:p>
            <w:pPr>
              <w:jc w:val="right"/>
              <w:ind w:right="17"/>
              <w:spacing w:after="0"/>
              <w:rPr>
                <w:sz w:val="20"/>
                <w:szCs w:val="20"/>
                <w:color w:val="auto"/>
              </w:rPr>
            </w:pPr>
            <w:r>
              <w:rPr>
                <w:rFonts w:ascii="Arial" w:cs="Arial" w:eastAsia="Arial" w:hAnsi="Arial"/>
                <w:sz w:val="18"/>
                <w:szCs w:val="18"/>
                <w:color w:val="auto"/>
              </w:rPr>
              <w:t>(2,960.8)</w:t>
            </w:r>
          </w:p>
        </w:tc>
        <w:tc>
          <w:tcPr>
            <w:tcW w:w="300" w:type="dxa"/>
            <w:vAlign w:val="bottom"/>
            <w:tcBorders>
              <w:bottom w:val="single" w:sz="8" w:color="auto"/>
            </w:tcBorders>
            <w:shd w:val="clear" w:color="auto" w:fill="D8D8D8"/>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D8D8D8"/>
          </w:tcPr>
          <w:p>
            <w:pPr>
              <w:jc w:val="right"/>
              <w:ind w:right="17"/>
              <w:spacing w:after="0"/>
              <w:rPr>
                <w:sz w:val="20"/>
                <w:szCs w:val="20"/>
                <w:color w:val="auto"/>
              </w:rPr>
            </w:pPr>
            <w:r>
              <w:rPr>
                <w:rFonts w:ascii="Arial" w:cs="Arial" w:eastAsia="Arial" w:hAnsi="Arial"/>
                <w:sz w:val="18"/>
                <w:szCs w:val="18"/>
                <w:color w:val="auto"/>
              </w:rPr>
              <w:t>2,884.2</w:t>
            </w:r>
          </w:p>
        </w:tc>
        <w:tc>
          <w:tcPr>
            <w:tcW w:w="0" w:type="dxa"/>
            <w:vAlign w:val="bottom"/>
          </w:tcPr>
          <w:p>
            <w:pPr>
              <w:spacing w:after="0"/>
              <w:rPr>
                <w:sz w:val="1"/>
                <w:szCs w:val="1"/>
                <w:color w:val="auto"/>
              </w:rPr>
            </w:pPr>
          </w:p>
        </w:tc>
      </w:tr>
    </w:tbl>
    <w:p>
      <w:pPr>
        <w:spacing w:after="0" w:line="85" w:lineRule="exact"/>
        <w:rPr>
          <w:sz w:val="20"/>
          <w:szCs w:val="20"/>
          <w:color w:val="auto"/>
        </w:rPr>
      </w:pPr>
    </w:p>
    <w:p>
      <w:pPr>
        <w:ind w:right="440"/>
        <w:spacing w:after="0" w:line="271" w:lineRule="auto"/>
        <w:rPr>
          <w:sz w:val="20"/>
          <w:szCs w:val="20"/>
          <w:color w:val="auto"/>
        </w:rPr>
      </w:pPr>
      <w:r>
        <w:rPr>
          <w:rFonts w:ascii="Arial" w:cs="Arial" w:eastAsia="Arial" w:hAnsi="Arial"/>
          <w:sz w:val="18"/>
          <w:szCs w:val="18"/>
          <w:color w:val="auto"/>
        </w:rPr>
        <w:t>Marketed products consist of the amortized cost of the rights to assets acquired in business combinations and approved for marketing in a significant global jurisdiction (U.S., Europe, and Japan) and capitalized milestone payments. For transactions other than a business combination, we capitalize milestone payments incurred at or after the product has obtained regulatory approval for marketing.</w:t>
      </w:r>
    </w:p>
    <w:p>
      <w:pPr>
        <w:spacing w:after="0" w:line="55" w:lineRule="exact"/>
        <w:rPr>
          <w:sz w:val="20"/>
          <w:szCs w:val="20"/>
          <w:color w:val="auto"/>
        </w:rPr>
      </w:pPr>
    </w:p>
    <w:p>
      <w:pPr>
        <w:ind w:right="660"/>
        <w:spacing w:after="0" w:line="292" w:lineRule="auto"/>
        <w:rPr>
          <w:sz w:val="20"/>
          <w:szCs w:val="20"/>
          <w:color w:val="auto"/>
        </w:rPr>
      </w:pPr>
      <w:r>
        <w:rPr>
          <w:rFonts w:ascii="Arial" w:cs="Arial" w:eastAsia="Arial" w:hAnsi="Arial"/>
          <w:sz w:val="18"/>
          <w:szCs w:val="18"/>
          <w:color w:val="auto"/>
        </w:rPr>
        <w:t>Other finite-lived intangibles consist primarily of the amortized cost of licensed platform technologies that have alternative future uses in research and development, manufacturing technologies, and customer relationships from business combinations.</w:t>
      </w:r>
    </w:p>
    <w:p>
      <w:pPr>
        <w:spacing w:after="0" w:line="37"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Acquired IPR&amp;D consists of the related costs capitalized, adjusted for subsequent impairments, if any. The costs of acquired IPR&amp;D projects acquired directly in a transaction other than a business combination are capitalized if the projects have an alternative future use; otherwise, they are expensed immediately. The fair values of acquired IPR&amp;D projects acquired in business combinations are capitalized as other intangible assets.</w:t>
      </w:r>
    </w:p>
    <w:p>
      <w:pPr>
        <w:spacing w:after="0" w:line="19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79</w:t>
      </w:r>
    </w:p>
    <w:p>
      <w:pPr>
        <w:sectPr>
          <w:pgSz w:w="11900" w:h="16838" w:orient="portrait"/>
          <w:cols w:equalWidth="0" w:num="1">
            <w:col w:w="11420"/>
          </w:cols>
          <w:pgMar w:left="240" w:top="574" w:right="239" w:bottom="1440" w:gutter="0" w:footer="0" w:header="0"/>
        </w:sectPr>
      </w:pPr>
    </w:p>
    <w:bookmarkStart w:id="79" w:name="page80"/>
    <w:bookmarkEnd w:id="79"/>
    <w:p>
      <w:pPr>
        <w:spacing w:after="0" w:line="257" w:lineRule="auto"/>
        <w:rPr>
          <w:sz w:val="20"/>
          <w:szCs w:val="20"/>
          <w:color w:val="auto"/>
        </w:rPr>
      </w:pPr>
      <w:r>
        <w:rPr>
          <w:rFonts w:ascii="Arial" w:cs="Arial" w:eastAsia="Arial" w:hAnsi="Arial"/>
          <w:sz w:val="18"/>
          <w:szCs w:val="18"/>
          <w:color w:val="auto"/>
        </w:rPr>
        <w:t>Several methods may be used to determine the estimated fair value of other intangibles acquired in a business combination. We utilize the “income method,” which is a Level 3 fair value measurement and applies a probability weighting that considers the risk of development and commercialization to the estimated future net cash flows that are derived from projected revenues and estimated costs. These projections are based on factors such as relevant market size, patent protection, historical pricing of similar products, and expected industry trends. The estimated future net cash flows are then discounted to the present value using an appropriate discount rate. This analysis is performed for each asset independently. The acquired IPR&amp;D assets are treated as indefinite-lived intangible assets until completion or abandonment of the projects, at which time the assets are tested for impairment and amortized over the remaining useful life or written off, as appropriate.</w:t>
      </w:r>
    </w:p>
    <w:p>
      <w:pPr>
        <w:spacing w:after="0" w:line="69"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See Note 3 for further discussion of intangible assets acquired in recent business combinations and Note 4 for additional discussion of recent capitalized milestone payments. The increases in marketed products and acquired IPR&amp;D assets in 2015 are primarily due to the acquisition of Novartis AH and the transfer of the Erbitux commercialization rights discussed in Notes 3 and 4, respectively.</w:t>
      </w:r>
    </w:p>
    <w:p>
      <w:pPr>
        <w:spacing w:after="0" w:line="55" w:lineRule="exact"/>
        <w:rPr>
          <w:sz w:val="20"/>
          <w:szCs w:val="20"/>
          <w:color w:val="auto"/>
        </w:rPr>
      </w:pPr>
    </w:p>
    <w:p>
      <w:pPr>
        <w:ind w:right="40"/>
        <w:spacing w:after="0" w:line="260" w:lineRule="auto"/>
        <w:rPr>
          <w:sz w:val="20"/>
          <w:szCs w:val="20"/>
          <w:color w:val="auto"/>
        </w:rPr>
      </w:pPr>
      <w:r>
        <w:rPr>
          <w:rFonts w:ascii="Arial" w:cs="Arial" w:eastAsia="Arial" w:hAnsi="Arial"/>
          <w:sz w:val="18"/>
          <w:szCs w:val="18"/>
          <w:color w:val="auto"/>
        </w:rPr>
        <w:t>Other indefinite-lived intangible assets are reviewed for impairment at least annually and when impairment indicators are present. When required, a comparison of fair value to the carrying amount of assets is performed to determine the amount of any impairment. When determining the fair value of indefinite-lived acquired IPR&amp;D assets for impairment testing purposes, we utilize the "income method" discussed above. Finite-lived intangible assets are reviewed for impairment when an indicator of impairment is present. No material impairments occurred with respect to the carrying value of other intangible assets for the years ended December 31, 2015, 2014 and 2013.</w:t>
      </w:r>
    </w:p>
    <w:p>
      <w:pPr>
        <w:spacing w:after="0" w:line="67" w:lineRule="exact"/>
        <w:rPr>
          <w:sz w:val="20"/>
          <w:szCs w:val="20"/>
          <w:color w:val="auto"/>
        </w:rPr>
      </w:pPr>
    </w:p>
    <w:p>
      <w:pPr>
        <w:ind w:right="860"/>
        <w:spacing w:after="0" w:line="292" w:lineRule="auto"/>
        <w:rPr>
          <w:sz w:val="20"/>
          <w:szCs w:val="20"/>
          <w:color w:val="auto"/>
        </w:rPr>
      </w:pPr>
      <w:r>
        <w:rPr>
          <w:rFonts w:ascii="Arial" w:cs="Arial" w:eastAsia="Arial" w:hAnsi="Arial"/>
          <w:sz w:val="18"/>
          <w:szCs w:val="18"/>
          <w:color w:val="auto"/>
        </w:rPr>
        <w:t>Intangible assets with finite lives are capitalized and are amortized over their estimated useful lives, ranging from 3 to 20 years. As of December 31, 2015, the remaining weighted-average amortization period for finite-lived intangible assets is approximately 12 years.</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color w:val="auto"/>
        </w:rPr>
        <w:t>Amortization expense related to finite-lived intangible assets was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440" w:type="dxa"/>
            <w:vAlign w:val="bottom"/>
            <w:tcBorders>
              <w:bottom w:val="single" w:sz="8" w:color="auto"/>
            </w:tcBorders>
          </w:tcPr>
          <w:p>
            <w:pPr>
              <w:spacing w:after="0"/>
              <w:rPr>
                <w:sz w:val="17"/>
                <w:szCs w:val="17"/>
                <w:color w:val="auto"/>
              </w:rPr>
            </w:pPr>
          </w:p>
        </w:tc>
        <w:tc>
          <w:tcPr>
            <w:tcW w:w="29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2015</w:t>
            </w:r>
          </w:p>
        </w:tc>
        <w:tc>
          <w:tcPr>
            <w:tcW w:w="4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2014</w:t>
            </w:r>
          </w:p>
        </w:tc>
        <w:tc>
          <w:tcPr>
            <w:tcW w:w="4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2013</w:t>
            </w:r>
          </w:p>
        </w:tc>
      </w:tr>
      <w:tr>
        <w:trPr>
          <w:trHeight w:val="265"/>
        </w:trPr>
        <w:tc>
          <w:tcPr>
            <w:tcW w:w="4440" w:type="dxa"/>
            <w:vAlign w:val="bottom"/>
            <w:shd w:val="clear" w:color="auto" w:fill="D8D8D8"/>
          </w:tcPr>
          <w:p>
            <w:pPr>
              <w:ind w:left="40"/>
              <w:spacing w:after="0"/>
              <w:rPr>
                <w:sz w:val="20"/>
                <w:szCs w:val="20"/>
                <w:color w:val="auto"/>
              </w:rPr>
            </w:pPr>
            <w:r>
              <w:rPr>
                <w:rFonts w:ascii="Arial" w:cs="Arial" w:eastAsia="Arial" w:hAnsi="Arial"/>
                <w:sz w:val="18"/>
                <w:szCs w:val="18"/>
                <w:color w:val="auto"/>
              </w:rPr>
              <w:t>Amortization expense</w:t>
            </w:r>
          </w:p>
        </w:tc>
        <w:tc>
          <w:tcPr>
            <w:tcW w:w="2960" w:type="dxa"/>
            <w:vAlign w:val="bottom"/>
            <w:shd w:val="clear" w:color="auto" w:fill="D8D8D8"/>
          </w:tcPr>
          <w:p>
            <w:pPr>
              <w:jc w:val="right"/>
              <w:ind w:right="110"/>
              <w:spacing w:after="0"/>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D8D8D8"/>
          </w:tcPr>
          <w:p>
            <w:pPr>
              <w:jc w:val="right"/>
              <w:ind w:right="39"/>
              <w:spacing w:after="0"/>
              <w:rPr>
                <w:sz w:val="20"/>
                <w:szCs w:val="20"/>
                <w:color w:val="auto"/>
              </w:rPr>
            </w:pPr>
            <w:r>
              <w:rPr>
                <w:rFonts w:ascii="Arial" w:cs="Arial" w:eastAsia="Arial" w:hAnsi="Arial"/>
                <w:sz w:val="18"/>
                <w:szCs w:val="18"/>
                <w:b w:val="1"/>
                <w:bCs w:val="1"/>
                <w:color w:val="auto"/>
              </w:rPr>
              <w:t>631.8</w:t>
            </w:r>
          </w:p>
        </w:tc>
        <w:tc>
          <w:tcPr>
            <w:tcW w:w="420" w:type="dxa"/>
            <w:vAlign w:val="bottom"/>
            <w:shd w:val="clear" w:color="auto" w:fill="D8D8D8"/>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D8D8D8"/>
          </w:tcPr>
          <w:p>
            <w:pPr>
              <w:jc w:val="right"/>
              <w:ind w:right="39"/>
              <w:spacing w:after="0"/>
              <w:rPr>
                <w:sz w:val="20"/>
                <w:szCs w:val="20"/>
                <w:color w:val="auto"/>
              </w:rPr>
            </w:pPr>
            <w:r>
              <w:rPr>
                <w:rFonts w:ascii="Arial" w:cs="Arial" w:eastAsia="Arial" w:hAnsi="Arial"/>
                <w:sz w:val="18"/>
                <w:szCs w:val="18"/>
                <w:color w:val="auto"/>
              </w:rPr>
              <w:t>535.9</w:t>
            </w:r>
          </w:p>
        </w:tc>
        <w:tc>
          <w:tcPr>
            <w:tcW w:w="440" w:type="dxa"/>
            <w:vAlign w:val="bottom"/>
            <w:shd w:val="clear" w:color="auto" w:fill="D8D8D8"/>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D8D8D8"/>
          </w:tcPr>
          <w:p>
            <w:pPr>
              <w:jc w:val="right"/>
              <w:ind w:right="19"/>
              <w:spacing w:after="0"/>
              <w:rPr>
                <w:sz w:val="20"/>
                <w:szCs w:val="20"/>
                <w:color w:val="auto"/>
              </w:rPr>
            </w:pPr>
            <w:r>
              <w:rPr>
                <w:rFonts w:ascii="Arial" w:cs="Arial" w:eastAsia="Arial" w:hAnsi="Arial"/>
                <w:sz w:val="18"/>
                <w:szCs w:val="18"/>
                <w:color w:val="auto"/>
              </w:rPr>
              <w:t>555.0</w:t>
            </w:r>
          </w:p>
        </w:tc>
      </w:tr>
    </w:tbl>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The estimated amortization expense associated with our current finite-lived intangible assets for each of the next five years is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20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2016</w:t>
            </w:r>
          </w:p>
        </w:tc>
        <w:tc>
          <w:tcPr>
            <w:tcW w:w="3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2017</w:t>
            </w:r>
          </w:p>
        </w:tc>
        <w:tc>
          <w:tcPr>
            <w:tcW w:w="3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2018</w:t>
            </w:r>
          </w:p>
        </w:tc>
        <w:tc>
          <w:tcPr>
            <w:tcW w:w="3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2019</w:t>
            </w:r>
          </w:p>
        </w:tc>
        <w:tc>
          <w:tcPr>
            <w:tcW w:w="3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2020</w:t>
            </w:r>
          </w:p>
        </w:tc>
      </w:tr>
      <w:tr>
        <w:trPr>
          <w:trHeight w:val="265"/>
        </w:trPr>
        <w:tc>
          <w:tcPr>
            <w:tcW w:w="4200" w:type="dxa"/>
            <w:vAlign w:val="bottom"/>
            <w:shd w:val="clear" w:color="auto" w:fill="D8D8D8"/>
          </w:tcPr>
          <w:p>
            <w:pPr>
              <w:ind w:left="40"/>
              <w:spacing w:after="0"/>
              <w:rPr>
                <w:sz w:val="20"/>
                <w:szCs w:val="20"/>
                <w:color w:val="auto"/>
              </w:rPr>
            </w:pPr>
            <w:r>
              <w:rPr>
                <w:rFonts w:ascii="Arial" w:cs="Arial" w:eastAsia="Arial" w:hAnsi="Arial"/>
                <w:sz w:val="18"/>
                <w:szCs w:val="18"/>
                <w:color w:val="auto"/>
              </w:rPr>
              <w:t>Estimated amortization expense</w:t>
            </w:r>
          </w:p>
        </w:tc>
        <w:tc>
          <w:tcPr>
            <w:tcW w:w="1840" w:type="dxa"/>
            <w:vAlign w:val="bottom"/>
            <w:shd w:val="clear" w:color="auto" w:fill="D8D8D8"/>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shd w:val="clear" w:color="auto" w:fill="D8D8D8"/>
          </w:tcPr>
          <w:p>
            <w:pPr>
              <w:jc w:val="right"/>
              <w:ind w:right="39"/>
              <w:spacing w:after="0"/>
              <w:rPr>
                <w:sz w:val="20"/>
                <w:szCs w:val="20"/>
                <w:color w:val="auto"/>
              </w:rPr>
            </w:pPr>
            <w:r>
              <w:rPr>
                <w:rFonts w:ascii="Arial" w:cs="Arial" w:eastAsia="Arial" w:hAnsi="Arial"/>
                <w:sz w:val="18"/>
                <w:szCs w:val="18"/>
                <w:color w:val="auto"/>
              </w:rPr>
              <w:t>674.7</w:t>
            </w:r>
          </w:p>
        </w:tc>
        <w:tc>
          <w:tcPr>
            <w:tcW w:w="340" w:type="dxa"/>
            <w:vAlign w:val="bottom"/>
            <w:shd w:val="clear" w:color="auto" w:fill="D8D8D8"/>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shd w:val="clear" w:color="auto" w:fill="D8D8D8"/>
          </w:tcPr>
          <w:p>
            <w:pPr>
              <w:jc w:val="right"/>
              <w:ind w:right="39"/>
              <w:spacing w:after="0"/>
              <w:rPr>
                <w:sz w:val="20"/>
                <w:szCs w:val="20"/>
                <w:color w:val="auto"/>
              </w:rPr>
            </w:pPr>
            <w:r>
              <w:rPr>
                <w:rFonts w:ascii="Arial" w:cs="Arial" w:eastAsia="Arial" w:hAnsi="Arial"/>
                <w:sz w:val="18"/>
                <w:szCs w:val="18"/>
                <w:color w:val="auto"/>
              </w:rPr>
              <w:t>641.8</w:t>
            </w:r>
          </w:p>
        </w:tc>
        <w:tc>
          <w:tcPr>
            <w:tcW w:w="340" w:type="dxa"/>
            <w:vAlign w:val="bottom"/>
            <w:shd w:val="clear" w:color="auto" w:fill="D8D8D8"/>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shd w:val="clear" w:color="auto" w:fill="D8D8D8"/>
          </w:tcPr>
          <w:p>
            <w:pPr>
              <w:jc w:val="right"/>
              <w:ind w:right="39"/>
              <w:spacing w:after="0"/>
              <w:rPr>
                <w:sz w:val="20"/>
                <w:szCs w:val="20"/>
                <w:color w:val="auto"/>
              </w:rPr>
            </w:pPr>
            <w:r>
              <w:rPr>
                <w:rFonts w:ascii="Arial" w:cs="Arial" w:eastAsia="Arial" w:hAnsi="Arial"/>
                <w:sz w:val="18"/>
                <w:szCs w:val="18"/>
                <w:color w:val="auto"/>
              </w:rPr>
              <w:t>480.4</w:t>
            </w:r>
          </w:p>
        </w:tc>
        <w:tc>
          <w:tcPr>
            <w:tcW w:w="340" w:type="dxa"/>
            <w:vAlign w:val="bottom"/>
            <w:shd w:val="clear" w:color="auto" w:fill="D8D8D8"/>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shd w:val="clear" w:color="auto" w:fill="D8D8D8"/>
          </w:tcPr>
          <w:p>
            <w:pPr>
              <w:jc w:val="right"/>
              <w:ind w:right="39"/>
              <w:spacing w:after="0"/>
              <w:rPr>
                <w:sz w:val="20"/>
                <w:szCs w:val="20"/>
                <w:color w:val="auto"/>
              </w:rPr>
            </w:pPr>
            <w:r>
              <w:rPr>
                <w:rFonts w:ascii="Arial" w:cs="Arial" w:eastAsia="Arial" w:hAnsi="Arial"/>
                <w:sz w:val="18"/>
                <w:szCs w:val="18"/>
                <w:color w:val="auto"/>
              </w:rPr>
              <w:t>302.7</w:t>
            </w:r>
          </w:p>
        </w:tc>
        <w:tc>
          <w:tcPr>
            <w:tcW w:w="340" w:type="dxa"/>
            <w:vAlign w:val="bottom"/>
            <w:shd w:val="clear" w:color="auto" w:fill="D8D8D8"/>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shd w:val="clear" w:color="auto" w:fill="D8D8D8"/>
          </w:tcPr>
          <w:p>
            <w:pPr>
              <w:jc w:val="right"/>
              <w:ind w:right="19"/>
              <w:spacing w:after="0"/>
              <w:rPr>
                <w:sz w:val="20"/>
                <w:szCs w:val="20"/>
                <w:color w:val="auto"/>
              </w:rPr>
            </w:pPr>
            <w:r>
              <w:rPr>
                <w:rFonts w:ascii="Arial" w:cs="Arial" w:eastAsia="Arial" w:hAnsi="Arial"/>
                <w:sz w:val="18"/>
                <w:szCs w:val="18"/>
                <w:color w:val="auto"/>
              </w:rPr>
              <w:t>301.4</w:t>
            </w:r>
          </w:p>
        </w:tc>
      </w:tr>
    </w:tbl>
    <w:p>
      <w:pPr>
        <w:spacing w:after="0" w:line="85" w:lineRule="exact"/>
        <w:rPr>
          <w:sz w:val="20"/>
          <w:szCs w:val="20"/>
          <w:color w:val="auto"/>
        </w:rPr>
      </w:pPr>
    </w:p>
    <w:p>
      <w:pPr>
        <w:ind w:right="140"/>
        <w:spacing w:after="0" w:line="292" w:lineRule="auto"/>
        <w:rPr>
          <w:sz w:val="20"/>
          <w:szCs w:val="20"/>
          <w:color w:val="auto"/>
        </w:rPr>
      </w:pPr>
      <w:r>
        <w:rPr>
          <w:rFonts w:ascii="Arial" w:cs="Arial" w:eastAsia="Arial" w:hAnsi="Arial"/>
          <w:sz w:val="18"/>
          <w:szCs w:val="18"/>
          <w:color w:val="auto"/>
        </w:rPr>
        <w:t>Amortization expense is included in either cost of sales, marketing, selling, and administrative or research and development depending on the nature of the intangible asset being amortized.</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80</w:t>
      </w:r>
    </w:p>
    <w:p>
      <w:pPr>
        <w:sectPr>
          <w:pgSz w:w="11900" w:h="16838" w:orient="portrait"/>
          <w:cols w:equalWidth="0" w:num="1">
            <w:col w:w="11420"/>
          </w:cols>
          <w:pgMar w:left="240" w:top="684" w:right="23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color w:val="CC0000"/>
        </w:rPr>
        <w:t>Note 9: Property and Equipment</w:t>
      </w:r>
    </w:p>
    <w:p>
      <w:pPr>
        <w:spacing w:after="0" w:line="173"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color w:val="auto"/>
        </w:rPr>
        <w:t>Property and equipment is stated on the basis of cost. Provisions for depreciation of buildings and equipment are computed generally by the straight-line method at rates based on their estimated useful lives (12 to 50 years for buildings and 3 to 25 years for equipment). We review the carrying value of long-lived assets for potential impairment on a periodic basis and whenever events or changes in circumstances indicate the carrying value of an asset may not be recoverable. Impairment is determined by comparing projected undiscounted cash flows to be generated by the asset to its carrying value. If an impairment is identified, a loss is recorded equal to the excess of the asset’s net book value over its fair value, and the cost basis is adjusted.</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property and equipment consisted of the following:</w:t>
      </w:r>
    </w:p>
    <w:p>
      <w:pPr>
        <w:spacing w:after="0" w:line="233" w:lineRule="exact"/>
        <w:rPr>
          <w:sz w:val="20"/>
          <w:szCs w:val="20"/>
          <w:color w:val="auto"/>
        </w:rPr>
      </w:pPr>
    </w:p>
    <w:p>
      <w:pPr>
        <w:ind w:left="8900"/>
        <w:spacing w:after="0"/>
        <w:tabs>
          <w:tab w:leader="none" w:pos="10480" w:val="left"/>
        </w:tabs>
        <w:rPr>
          <w:sz w:val="20"/>
          <w:szCs w:val="20"/>
          <w:color w:val="auto"/>
        </w:rPr>
      </w:pPr>
      <w:r>
        <w:rPr>
          <w:rFonts w:ascii="Arial" w:cs="Arial" w:eastAsia="Arial" w:hAnsi="Arial"/>
          <w:sz w:val="14"/>
          <w:szCs w:val="14"/>
          <w:b w:val="1"/>
          <w:bCs w:val="1"/>
          <w:color w:val="auto"/>
        </w:rPr>
        <w:t>2015</w:t>
      </w:r>
      <w:r>
        <w:rPr>
          <w:sz w:val="20"/>
          <w:szCs w:val="20"/>
          <w:color w:val="auto"/>
        </w:rPr>
        <w:tab/>
      </w:r>
      <w:r>
        <w:rPr>
          <w:rFonts w:ascii="Arial" w:cs="Arial" w:eastAsia="Arial" w:hAnsi="Arial"/>
          <w:sz w:val="14"/>
          <w:szCs w:val="14"/>
          <w:b w:val="1"/>
          <w:bCs w:val="1"/>
          <w:color w:val="auto"/>
        </w:rPr>
        <w:t>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7229475" cy="1803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29475" cy="180340"/>
                    </a:xfrm>
                    <a:prstGeom prst="rect">
                      <a:avLst/>
                    </a:prstGeom>
                    <a:noFill/>
                  </pic:spPr>
                </pic:pic>
              </a:graphicData>
            </a:graphic>
          </wp:anchor>
        </w:drawing>
      </w:r>
    </w:p>
    <w:p>
      <w:pPr>
        <w:sectPr>
          <w:pgSz w:w="11900" w:h="16838" w:orient="portrait"/>
          <w:cols w:equalWidth="0" w:num="1">
            <w:col w:w="11420"/>
          </w:cols>
          <w:pgMar w:left="240" w:top="574" w:right="239" w:bottom="1440" w:gutter="0" w:footer="0" w:header="0"/>
        </w:sectPr>
      </w:pPr>
    </w:p>
    <w:p>
      <w:pPr>
        <w:spacing w:after="0" w:line="61" w:lineRule="exact"/>
        <w:rPr>
          <w:sz w:val="20"/>
          <w:szCs w:val="20"/>
          <w:color w:val="auto"/>
        </w:rPr>
      </w:pPr>
    </w:p>
    <w:p>
      <w:pPr>
        <w:ind w:left="40"/>
        <w:spacing w:after="0"/>
        <w:rPr>
          <w:sz w:val="20"/>
          <w:szCs w:val="20"/>
          <w:color w:val="auto"/>
        </w:rPr>
      </w:pPr>
      <w:r>
        <w:rPr>
          <w:rFonts w:ascii="Arial" w:cs="Arial" w:eastAsia="Arial" w:hAnsi="Arial"/>
          <w:sz w:val="18"/>
          <w:szCs w:val="18"/>
          <w:color w:val="auto"/>
        </w:rPr>
        <w:t>Land</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Buildings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Equipment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Construction in progress</w:t>
      </w:r>
    </w:p>
    <w:p>
      <w:pPr>
        <w:spacing w:after="0" w:line="347" w:lineRule="exact"/>
        <w:rPr>
          <w:sz w:val="20"/>
          <w:szCs w:val="20"/>
          <w:color w:val="auto"/>
        </w:rPr>
      </w:pPr>
    </w:p>
    <w:p>
      <w:pPr>
        <w:ind w:left="40"/>
        <w:spacing w:after="0"/>
        <w:rPr>
          <w:sz w:val="20"/>
          <w:szCs w:val="20"/>
          <w:color w:val="auto"/>
        </w:rPr>
      </w:pPr>
      <w:r>
        <w:rPr>
          <w:rFonts w:ascii="Arial" w:cs="Arial" w:eastAsia="Arial" w:hAnsi="Arial"/>
          <w:sz w:val="17"/>
          <w:szCs w:val="17"/>
          <w:color w:val="auto"/>
        </w:rPr>
        <w:t>Less accumulated depreciation</w:t>
      </w:r>
    </w:p>
    <w:p>
      <w:pPr>
        <w:spacing w:after="0" w:line="75"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Property and equipment, net</w:t>
      </w:r>
    </w:p>
    <w:p>
      <w:pPr>
        <w:spacing w:after="0" w:line="20" w:lineRule="exact"/>
        <w:rPr>
          <w:sz w:val="20"/>
          <w:szCs w:val="20"/>
          <w:color w:val="auto"/>
        </w:rPr>
      </w:pPr>
      <w:r>
        <w:rPr>
          <w:sz w:val="20"/>
          <w:szCs w:val="20"/>
          <w:color w:val="auto"/>
        </w:rPr>
        <w:br w:type="column"/>
      </w:r>
    </w:p>
    <w:p>
      <w:pPr>
        <w:spacing w:after="0" w:line="52" w:lineRule="exact"/>
        <w:rPr>
          <w:sz w:val="20"/>
          <w:szCs w:val="20"/>
          <w:color w:val="auto"/>
        </w:rPr>
      </w:pPr>
    </w:p>
    <w:p>
      <w:pPr>
        <w:spacing w:after="0"/>
        <w:tabs>
          <w:tab w:leader="none" w:pos="760" w:val="left"/>
          <w:tab w:leader="none" w:pos="1580" w:val="left"/>
          <w:tab w:leader="none" w:pos="2360" w:val="left"/>
        </w:tabs>
        <w:rPr>
          <w:sz w:val="20"/>
          <w:szCs w:val="20"/>
          <w:color w:val="auto"/>
        </w:rPr>
      </w:pP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220.6</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205.2</w:t>
      </w:r>
    </w:p>
    <w:p>
      <w:pPr>
        <w:spacing w:after="0" w:line="63" w:lineRule="exact"/>
        <w:rPr>
          <w:sz w:val="20"/>
          <w:szCs w:val="20"/>
          <w:color w:val="auto"/>
        </w:rPr>
      </w:pPr>
    </w:p>
    <w:p>
      <w:pPr>
        <w:ind w:left="620"/>
        <w:spacing w:after="0"/>
        <w:tabs>
          <w:tab w:leader="none" w:pos="2200" w:val="left"/>
        </w:tabs>
        <w:rPr>
          <w:sz w:val="20"/>
          <w:szCs w:val="20"/>
          <w:color w:val="auto"/>
        </w:rPr>
      </w:pPr>
      <w:r>
        <w:rPr>
          <w:rFonts w:ascii="Arial" w:cs="Arial" w:eastAsia="Arial" w:hAnsi="Arial"/>
          <w:sz w:val="18"/>
          <w:szCs w:val="18"/>
          <w:b w:val="1"/>
          <w:bCs w:val="1"/>
          <w:color w:val="auto"/>
        </w:rPr>
        <w:t>6,786.5</w:t>
      </w:r>
      <w:r>
        <w:rPr>
          <w:sz w:val="20"/>
          <w:szCs w:val="20"/>
          <w:color w:val="auto"/>
        </w:rPr>
        <w:tab/>
      </w:r>
      <w:r>
        <w:rPr>
          <w:rFonts w:ascii="Arial" w:cs="Arial" w:eastAsia="Arial" w:hAnsi="Arial"/>
          <w:sz w:val="17"/>
          <w:szCs w:val="17"/>
          <w:color w:val="auto"/>
        </w:rPr>
        <w:t>6,516.2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-5290185</wp:posOffset>
            </wp:positionH>
            <wp:positionV relativeFrom="paragraph">
              <wp:posOffset>29845</wp:posOffset>
            </wp:positionV>
            <wp:extent cx="7229475" cy="1714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43" w:lineRule="exact"/>
        <w:rPr>
          <w:sz w:val="20"/>
          <w:szCs w:val="20"/>
          <w:color w:val="auto"/>
        </w:rPr>
      </w:pPr>
    </w:p>
    <w:p>
      <w:pPr>
        <w:ind w:left="620"/>
        <w:spacing w:after="0"/>
        <w:tabs>
          <w:tab w:leader="none" w:pos="2200" w:val="left"/>
        </w:tabs>
        <w:rPr>
          <w:sz w:val="20"/>
          <w:szCs w:val="20"/>
          <w:color w:val="auto"/>
        </w:rPr>
      </w:pPr>
      <w:r>
        <w:rPr>
          <w:rFonts w:ascii="Arial" w:cs="Arial" w:eastAsia="Arial" w:hAnsi="Arial"/>
          <w:sz w:val="18"/>
          <w:szCs w:val="18"/>
          <w:b w:val="1"/>
          <w:bCs w:val="1"/>
          <w:color w:val="auto"/>
        </w:rPr>
        <w:t>7,988.5</w:t>
      </w:r>
      <w:r>
        <w:rPr>
          <w:sz w:val="20"/>
          <w:szCs w:val="20"/>
          <w:color w:val="auto"/>
        </w:rPr>
        <w:tab/>
      </w:r>
      <w:r>
        <w:rPr>
          <w:rFonts w:ascii="Arial" w:cs="Arial" w:eastAsia="Arial" w:hAnsi="Arial"/>
          <w:sz w:val="17"/>
          <w:szCs w:val="17"/>
          <w:color w:val="auto"/>
        </w:rPr>
        <w:t>7,609.7</w:t>
      </w:r>
    </w:p>
    <w:p>
      <w:pPr>
        <w:spacing w:after="0" w:line="63" w:lineRule="exact"/>
        <w:rPr>
          <w:sz w:val="20"/>
          <w:szCs w:val="20"/>
          <w:color w:val="auto"/>
        </w:rPr>
      </w:pPr>
    </w:p>
    <w:p>
      <w:pPr>
        <w:ind w:left="620"/>
        <w:spacing w:after="0"/>
        <w:tabs>
          <w:tab w:leader="none" w:pos="2200" w:val="left"/>
        </w:tabs>
        <w:rPr>
          <w:sz w:val="20"/>
          <w:szCs w:val="20"/>
          <w:color w:val="auto"/>
        </w:rPr>
      </w:pPr>
      <w:r>
        <w:rPr>
          <w:rFonts w:ascii="Arial" w:cs="Arial" w:eastAsia="Arial" w:hAnsi="Arial"/>
          <w:sz w:val="18"/>
          <w:szCs w:val="18"/>
          <w:b w:val="1"/>
          <w:bCs w:val="1"/>
          <w:color w:val="auto"/>
        </w:rPr>
        <w:t>1,665.3</w:t>
      </w:r>
      <w:r>
        <w:rPr>
          <w:sz w:val="20"/>
          <w:szCs w:val="20"/>
          <w:color w:val="auto"/>
        </w:rPr>
        <w:tab/>
      </w:r>
      <w:r>
        <w:rPr>
          <w:rFonts w:ascii="Arial" w:cs="Arial" w:eastAsia="Arial" w:hAnsi="Arial"/>
          <w:sz w:val="17"/>
          <w:szCs w:val="17"/>
          <w:color w:val="auto"/>
        </w:rPr>
        <w:t>1,698.2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-5290185</wp:posOffset>
            </wp:positionH>
            <wp:positionV relativeFrom="paragraph">
              <wp:posOffset>29845</wp:posOffset>
            </wp:positionV>
            <wp:extent cx="7229475" cy="1803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29475" cy="180340"/>
                    </a:xfrm>
                    <a:prstGeom prst="rect">
                      <a:avLst/>
                    </a:prstGeom>
                    <a:noFill/>
                  </pic:spPr>
                </pic:pic>
              </a:graphicData>
            </a:graphic>
          </wp:anchor>
        </w:drawing>
      </w:r>
    </w:p>
    <w:p>
      <w:pPr>
        <w:spacing w:after="0" w:line="57" w:lineRule="exact"/>
        <w:rPr>
          <w:sz w:val="20"/>
          <w:szCs w:val="20"/>
          <w:color w:val="auto"/>
        </w:rPr>
      </w:pPr>
    </w:p>
    <w:p>
      <w:pPr>
        <w:ind w:left="520"/>
        <w:spacing w:after="0"/>
        <w:tabs>
          <w:tab w:leader="none" w:pos="2100" w:val="left"/>
        </w:tabs>
        <w:rPr>
          <w:sz w:val="20"/>
          <w:szCs w:val="20"/>
          <w:color w:val="auto"/>
        </w:rPr>
      </w:pPr>
      <w:r>
        <w:rPr>
          <w:rFonts w:ascii="Arial" w:cs="Arial" w:eastAsia="Arial" w:hAnsi="Arial"/>
          <w:sz w:val="18"/>
          <w:szCs w:val="18"/>
          <w:b w:val="1"/>
          <w:bCs w:val="1"/>
          <w:color w:val="auto"/>
        </w:rPr>
        <w:t>16,660.9</w:t>
      </w:r>
      <w:r>
        <w:rPr>
          <w:sz w:val="20"/>
          <w:szCs w:val="20"/>
          <w:color w:val="auto"/>
        </w:rPr>
        <w:tab/>
      </w:r>
      <w:r>
        <w:rPr>
          <w:rFonts w:ascii="Arial" w:cs="Arial" w:eastAsia="Arial" w:hAnsi="Arial"/>
          <w:sz w:val="17"/>
          <w:szCs w:val="17"/>
          <w:color w:val="auto"/>
        </w:rPr>
        <w:t>16,029.3</w:t>
      </w:r>
    </w:p>
    <w:p>
      <w:pPr>
        <w:spacing w:after="0" w:line="63" w:lineRule="exact"/>
        <w:rPr>
          <w:sz w:val="20"/>
          <w:szCs w:val="20"/>
          <w:color w:val="auto"/>
        </w:rPr>
      </w:pPr>
    </w:p>
    <w:p>
      <w:pPr>
        <w:jc w:val="right"/>
        <w:ind w:right="200"/>
        <w:spacing w:after="0"/>
        <w:tabs>
          <w:tab w:leader="none" w:pos="700" w:val="left"/>
        </w:tabs>
        <w:rPr>
          <w:sz w:val="20"/>
          <w:szCs w:val="20"/>
          <w:color w:val="auto"/>
        </w:rPr>
      </w:pPr>
      <w:r>
        <w:rPr>
          <w:rFonts w:ascii="Arial" w:cs="Arial" w:eastAsia="Arial" w:hAnsi="Arial"/>
          <w:sz w:val="18"/>
          <w:szCs w:val="18"/>
          <w:b w:val="1"/>
          <w:bCs w:val="1"/>
          <w:color w:val="auto"/>
        </w:rPr>
        <w:t>(8,607.4)</w:t>
      </w:r>
      <w:r>
        <w:rPr>
          <w:sz w:val="20"/>
          <w:szCs w:val="20"/>
          <w:color w:val="auto"/>
        </w:rPr>
        <w:tab/>
      </w:r>
      <w:r>
        <w:rPr>
          <w:rFonts w:ascii="Arial" w:cs="Arial" w:eastAsia="Arial" w:hAnsi="Arial"/>
          <w:sz w:val="17"/>
          <w:szCs w:val="17"/>
          <w:color w:val="auto"/>
        </w:rPr>
        <w:t>(8,065.4)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-5290185</wp:posOffset>
            </wp:positionH>
            <wp:positionV relativeFrom="paragraph">
              <wp:posOffset>29845</wp:posOffset>
            </wp:positionV>
            <wp:extent cx="7229475" cy="1974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29475" cy="197485"/>
                    </a:xfrm>
                    <a:prstGeom prst="rect">
                      <a:avLst/>
                    </a:prstGeom>
                    <a:noFill/>
                  </pic:spPr>
                </pic:pic>
              </a:graphicData>
            </a:graphic>
          </wp:anchor>
        </w:drawing>
      </w:r>
    </w:p>
    <w:p>
      <w:pPr>
        <w:spacing w:after="0" w:line="57" w:lineRule="exact"/>
        <w:rPr>
          <w:sz w:val="20"/>
          <w:szCs w:val="20"/>
          <w:color w:val="auto"/>
        </w:rPr>
      </w:pPr>
    </w:p>
    <w:p>
      <w:pPr>
        <w:spacing w:after="0"/>
        <w:tabs>
          <w:tab w:leader="none" w:pos="600" w:val="left"/>
          <w:tab w:leader="none" w:pos="1580" w:val="left"/>
          <w:tab w:leader="none" w:pos="2200" w:val="left"/>
        </w:tabs>
        <w:rPr>
          <w:sz w:val="20"/>
          <w:szCs w:val="20"/>
          <w:color w:val="auto"/>
        </w:rPr>
      </w:pP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8,053.5</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7,963.9</w:t>
      </w:r>
    </w:p>
    <w:p>
      <w:pPr>
        <w:spacing w:after="0" w:line="160" w:lineRule="exact"/>
        <w:rPr>
          <w:sz w:val="20"/>
          <w:szCs w:val="20"/>
          <w:color w:val="auto"/>
        </w:rPr>
      </w:pPr>
    </w:p>
    <w:p>
      <w:pPr>
        <w:sectPr>
          <w:pgSz w:w="11900" w:h="16838" w:orient="portrait"/>
          <w:cols w:equalWidth="0" w:num="2">
            <w:col w:w="7620" w:space="720"/>
            <w:col w:w="3080"/>
          </w:cols>
          <w:pgMar w:left="240" w:top="574" w:right="239" w:bottom="1440" w:gutter="0" w:footer="0" w:header="0"/>
          <w:type w:val="continuous"/>
        </w:sectPr>
      </w:pPr>
    </w:p>
    <w:p>
      <w:pPr>
        <w:ind w:right="220"/>
        <w:spacing w:after="0" w:line="292" w:lineRule="auto"/>
        <w:rPr>
          <w:sz w:val="20"/>
          <w:szCs w:val="20"/>
          <w:color w:val="auto"/>
        </w:rPr>
      </w:pPr>
      <w:r>
        <w:rPr>
          <w:rFonts w:ascii="Arial" w:cs="Arial" w:eastAsia="Arial" w:hAnsi="Arial"/>
          <w:sz w:val="18"/>
          <w:szCs w:val="18"/>
          <w:color w:val="auto"/>
        </w:rPr>
        <w:t>Depreciation expense related to property and equipment and rental expense for all leases, including contingent rentals (not material), was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440" w:type="dxa"/>
            <w:vAlign w:val="bottom"/>
            <w:tcBorders>
              <w:bottom w:val="single" w:sz="8" w:color="auto"/>
            </w:tcBorders>
          </w:tcPr>
          <w:p>
            <w:pPr>
              <w:spacing w:after="0"/>
              <w:rPr>
                <w:sz w:val="17"/>
                <w:szCs w:val="17"/>
                <w:color w:val="auto"/>
              </w:rPr>
            </w:pPr>
          </w:p>
        </w:tc>
        <w:tc>
          <w:tcPr>
            <w:tcW w:w="29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2015</w:t>
            </w:r>
          </w:p>
        </w:tc>
        <w:tc>
          <w:tcPr>
            <w:tcW w:w="4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2014</w:t>
            </w:r>
          </w:p>
        </w:tc>
        <w:tc>
          <w:tcPr>
            <w:tcW w:w="4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2013</w:t>
            </w:r>
          </w:p>
        </w:tc>
      </w:tr>
      <w:tr>
        <w:trPr>
          <w:trHeight w:val="265"/>
        </w:trPr>
        <w:tc>
          <w:tcPr>
            <w:tcW w:w="4440" w:type="dxa"/>
            <w:vAlign w:val="bottom"/>
            <w:shd w:val="clear" w:color="auto" w:fill="D8D8D8"/>
          </w:tcPr>
          <w:p>
            <w:pPr>
              <w:ind w:left="40"/>
              <w:spacing w:after="0"/>
              <w:rPr>
                <w:sz w:val="20"/>
                <w:szCs w:val="20"/>
                <w:color w:val="auto"/>
              </w:rPr>
            </w:pPr>
            <w:r>
              <w:rPr>
                <w:rFonts w:ascii="Arial" w:cs="Arial" w:eastAsia="Arial" w:hAnsi="Arial"/>
                <w:sz w:val="18"/>
                <w:szCs w:val="18"/>
                <w:color w:val="auto"/>
              </w:rPr>
              <w:t>Depreciation expense</w:t>
            </w:r>
          </w:p>
        </w:tc>
        <w:tc>
          <w:tcPr>
            <w:tcW w:w="2960" w:type="dxa"/>
            <w:vAlign w:val="bottom"/>
            <w:shd w:val="clear" w:color="auto" w:fill="D8D8D8"/>
          </w:tcPr>
          <w:p>
            <w:pPr>
              <w:jc w:val="right"/>
              <w:ind w:right="110"/>
              <w:spacing w:after="0"/>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D8D8D8"/>
          </w:tcPr>
          <w:p>
            <w:pPr>
              <w:jc w:val="right"/>
              <w:ind w:right="36"/>
              <w:spacing w:after="0"/>
              <w:rPr>
                <w:sz w:val="20"/>
                <w:szCs w:val="20"/>
                <w:color w:val="auto"/>
              </w:rPr>
            </w:pPr>
            <w:r>
              <w:rPr>
                <w:rFonts w:ascii="Arial" w:cs="Arial" w:eastAsia="Arial" w:hAnsi="Arial"/>
                <w:sz w:val="18"/>
                <w:szCs w:val="18"/>
                <w:b w:val="1"/>
                <w:bCs w:val="1"/>
                <w:color w:val="auto"/>
              </w:rPr>
              <w:t>717.6</w:t>
            </w:r>
          </w:p>
        </w:tc>
        <w:tc>
          <w:tcPr>
            <w:tcW w:w="420" w:type="dxa"/>
            <w:vAlign w:val="bottom"/>
            <w:shd w:val="clear" w:color="auto" w:fill="D8D8D8"/>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D8D8D8"/>
          </w:tcPr>
          <w:p>
            <w:pPr>
              <w:jc w:val="right"/>
              <w:ind w:right="36"/>
              <w:spacing w:after="0"/>
              <w:rPr>
                <w:sz w:val="20"/>
                <w:szCs w:val="20"/>
                <w:color w:val="auto"/>
              </w:rPr>
            </w:pPr>
            <w:r>
              <w:rPr>
                <w:rFonts w:ascii="Arial" w:cs="Arial" w:eastAsia="Arial" w:hAnsi="Arial"/>
                <w:sz w:val="18"/>
                <w:szCs w:val="18"/>
                <w:color w:val="auto"/>
              </w:rPr>
              <w:t>759.1</w:t>
            </w:r>
          </w:p>
        </w:tc>
        <w:tc>
          <w:tcPr>
            <w:tcW w:w="440" w:type="dxa"/>
            <w:vAlign w:val="bottom"/>
            <w:shd w:val="clear" w:color="auto" w:fill="D8D8D8"/>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D8D8D8"/>
          </w:tcPr>
          <w:p>
            <w:pPr>
              <w:jc w:val="right"/>
              <w:ind w:right="16"/>
              <w:spacing w:after="0"/>
              <w:rPr>
                <w:sz w:val="20"/>
                <w:szCs w:val="20"/>
                <w:color w:val="auto"/>
              </w:rPr>
            </w:pPr>
            <w:r>
              <w:rPr>
                <w:rFonts w:ascii="Arial" w:cs="Arial" w:eastAsia="Arial" w:hAnsi="Arial"/>
                <w:sz w:val="18"/>
                <w:szCs w:val="18"/>
                <w:color w:val="auto"/>
              </w:rPr>
              <w:t>774.8</w:t>
            </w:r>
          </w:p>
        </w:tc>
      </w:tr>
      <w:tr>
        <w:trPr>
          <w:trHeight w:val="269"/>
        </w:trPr>
        <w:tc>
          <w:tcPr>
            <w:tcW w:w="4440" w:type="dxa"/>
            <w:vAlign w:val="bottom"/>
          </w:tcPr>
          <w:p>
            <w:pPr>
              <w:ind w:left="40"/>
              <w:spacing w:after="0"/>
              <w:rPr>
                <w:sz w:val="20"/>
                <w:szCs w:val="20"/>
                <w:color w:val="auto"/>
              </w:rPr>
            </w:pPr>
            <w:r>
              <w:rPr>
                <w:rFonts w:ascii="Arial" w:cs="Arial" w:eastAsia="Arial" w:hAnsi="Arial"/>
                <w:sz w:val="18"/>
                <w:szCs w:val="18"/>
                <w:color w:val="auto"/>
              </w:rPr>
              <w:t>Rental expense</w:t>
            </w:r>
          </w:p>
        </w:tc>
        <w:tc>
          <w:tcPr>
            <w:tcW w:w="2960" w:type="dxa"/>
            <w:vAlign w:val="bottom"/>
          </w:tcPr>
          <w:p>
            <w:pPr>
              <w:spacing w:after="0"/>
              <w:rPr>
                <w:sz w:val="23"/>
                <w:szCs w:val="23"/>
                <w:color w:val="auto"/>
              </w:rPr>
            </w:pPr>
          </w:p>
        </w:tc>
        <w:tc>
          <w:tcPr>
            <w:tcW w:w="1060" w:type="dxa"/>
            <w:vAlign w:val="bottom"/>
          </w:tcPr>
          <w:p>
            <w:pPr>
              <w:jc w:val="right"/>
              <w:ind w:right="36"/>
              <w:spacing w:after="0"/>
              <w:rPr>
                <w:sz w:val="20"/>
                <w:szCs w:val="20"/>
                <w:color w:val="auto"/>
              </w:rPr>
            </w:pPr>
            <w:r>
              <w:rPr>
                <w:rFonts w:ascii="Arial" w:cs="Arial" w:eastAsia="Arial" w:hAnsi="Arial"/>
                <w:sz w:val="18"/>
                <w:szCs w:val="18"/>
                <w:b w:val="1"/>
                <w:bCs w:val="1"/>
                <w:color w:val="auto"/>
              </w:rPr>
              <w:t>225.7</w:t>
            </w:r>
          </w:p>
        </w:tc>
        <w:tc>
          <w:tcPr>
            <w:tcW w:w="420" w:type="dxa"/>
            <w:vAlign w:val="bottom"/>
          </w:tcPr>
          <w:p>
            <w:pPr>
              <w:spacing w:after="0"/>
              <w:rPr>
                <w:sz w:val="23"/>
                <w:szCs w:val="23"/>
                <w:color w:val="auto"/>
              </w:rPr>
            </w:pPr>
          </w:p>
        </w:tc>
        <w:tc>
          <w:tcPr>
            <w:tcW w:w="1060" w:type="dxa"/>
            <w:vAlign w:val="bottom"/>
          </w:tcPr>
          <w:p>
            <w:pPr>
              <w:jc w:val="right"/>
              <w:ind w:right="36"/>
              <w:spacing w:after="0"/>
              <w:rPr>
                <w:sz w:val="20"/>
                <w:szCs w:val="20"/>
                <w:color w:val="auto"/>
              </w:rPr>
            </w:pPr>
            <w:r>
              <w:rPr>
                <w:rFonts w:ascii="Arial" w:cs="Arial" w:eastAsia="Arial" w:hAnsi="Arial"/>
                <w:sz w:val="18"/>
                <w:szCs w:val="18"/>
                <w:color w:val="auto"/>
              </w:rPr>
              <w:t>227.3</w:t>
            </w:r>
          </w:p>
        </w:tc>
        <w:tc>
          <w:tcPr>
            <w:tcW w:w="440" w:type="dxa"/>
            <w:vAlign w:val="bottom"/>
          </w:tcPr>
          <w:p>
            <w:pPr>
              <w:spacing w:after="0"/>
              <w:rPr>
                <w:sz w:val="23"/>
                <w:szCs w:val="23"/>
                <w:color w:val="auto"/>
              </w:rPr>
            </w:pP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227.2</w:t>
            </w:r>
          </w:p>
        </w:tc>
      </w:tr>
    </w:tbl>
    <w:p>
      <w:pPr>
        <w:spacing w:after="0" w:line="87" w:lineRule="exact"/>
        <w:rPr>
          <w:sz w:val="20"/>
          <w:szCs w:val="20"/>
          <w:color w:val="auto"/>
        </w:rPr>
      </w:pPr>
    </w:p>
    <w:p>
      <w:pPr>
        <w:spacing w:after="0"/>
        <w:rPr>
          <w:sz w:val="20"/>
          <w:szCs w:val="20"/>
          <w:color w:val="auto"/>
        </w:rPr>
      </w:pPr>
      <w:r>
        <w:rPr>
          <w:rFonts w:ascii="Arial" w:cs="Arial" w:eastAsia="Arial" w:hAnsi="Arial"/>
          <w:sz w:val="18"/>
          <w:szCs w:val="18"/>
          <w:color w:val="auto"/>
        </w:rPr>
        <w:t>Capitalized interest costs were not material for the years ended December 31, 2015, 2014, and 2013.</w:t>
      </w:r>
    </w:p>
    <w:p>
      <w:pPr>
        <w:spacing w:after="0" w:line="117" w:lineRule="exact"/>
        <w:rPr>
          <w:sz w:val="20"/>
          <w:szCs w:val="20"/>
          <w:color w:val="auto"/>
        </w:rPr>
      </w:pPr>
    </w:p>
    <w:p>
      <w:pPr>
        <w:ind w:right="80"/>
        <w:spacing w:after="0" w:line="292" w:lineRule="auto"/>
        <w:rPr>
          <w:sz w:val="20"/>
          <w:szCs w:val="20"/>
          <w:color w:val="auto"/>
        </w:rPr>
      </w:pPr>
      <w:r>
        <w:rPr>
          <w:rFonts w:ascii="Arial" w:cs="Arial" w:eastAsia="Arial" w:hAnsi="Arial"/>
          <w:sz w:val="18"/>
          <w:szCs w:val="18"/>
          <w:color w:val="auto"/>
        </w:rPr>
        <w:t>Assets under capital leases included in property and equipment, net on the consolidated balance sheets, capital lease obligations entered into, and future minimum rental commitments are not material.</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Note 10: Borrowings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Debt at December 31 consisted of the following:</w:t>
      </w:r>
    </w:p>
    <w:p>
      <w:pPr>
        <w:spacing w:after="0" w:line="233" w:lineRule="exact"/>
        <w:rPr>
          <w:sz w:val="20"/>
          <w:szCs w:val="20"/>
          <w:color w:val="auto"/>
        </w:rPr>
      </w:pPr>
    </w:p>
    <w:p>
      <w:pPr>
        <w:ind w:left="9060"/>
        <w:spacing w:after="0"/>
        <w:tabs>
          <w:tab w:leader="none" w:pos="10520" w:val="left"/>
        </w:tabs>
        <w:rPr>
          <w:sz w:val="20"/>
          <w:szCs w:val="20"/>
          <w:color w:val="auto"/>
        </w:rPr>
      </w:pPr>
      <w:r>
        <w:rPr>
          <w:rFonts w:ascii="Arial" w:cs="Arial" w:eastAsia="Arial" w:hAnsi="Arial"/>
          <w:sz w:val="14"/>
          <w:szCs w:val="14"/>
          <w:b w:val="1"/>
          <w:bCs w:val="1"/>
          <w:color w:val="auto"/>
        </w:rPr>
        <w:t>2015</w:t>
      </w:r>
      <w:r>
        <w:rPr>
          <w:sz w:val="20"/>
          <w:szCs w:val="20"/>
          <w:color w:val="auto"/>
        </w:rPr>
        <w:tab/>
      </w:r>
      <w:r>
        <w:rPr>
          <w:rFonts w:ascii="Arial" w:cs="Arial" w:eastAsia="Arial" w:hAnsi="Arial"/>
          <w:sz w:val="14"/>
          <w:szCs w:val="14"/>
          <w:b w:val="1"/>
          <w:bCs w:val="1"/>
          <w:color w:val="auto"/>
        </w:rPr>
        <w:t>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7229475" cy="1803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29475" cy="180340"/>
                    </a:xfrm>
                    <a:prstGeom prst="rect">
                      <a:avLst/>
                    </a:prstGeom>
                    <a:noFill/>
                  </pic:spPr>
                </pic:pic>
              </a:graphicData>
            </a:graphic>
          </wp:anchor>
        </w:drawing>
      </w:r>
    </w:p>
    <w:p>
      <w:pPr>
        <w:sectPr>
          <w:pgSz w:w="11900" w:h="16838" w:orient="portrait"/>
          <w:cols w:equalWidth="0" w:num="1">
            <w:col w:w="11420"/>
          </w:cols>
          <w:pgMar w:left="240" w:top="574" w:right="239" w:bottom="1440" w:gutter="0" w:footer="0" w:header="0"/>
          <w:type w:val="continuous"/>
        </w:sectPr>
      </w:pPr>
    </w:p>
    <w:p>
      <w:pPr>
        <w:spacing w:after="0" w:line="61" w:lineRule="exact"/>
        <w:rPr>
          <w:sz w:val="20"/>
          <w:szCs w:val="20"/>
          <w:color w:val="auto"/>
        </w:rPr>
      </w:pPr>
    </w:p>
    <w:p>
      <w:pPr>
        <w:ind w:left="40"/>
        <w:spacing w:after="0"/>
        <w:rPr>
          <w:sz w:val="20"/>
          <w:szCs w:val="20"/>
          <w:color w:val="auto"/>
        </w:rPr>
      </w:pPr>
      <w:r>
        <w:rPr>
          <w:rFonts w:ascii="Arial" w:cs="Arial" w:eastAsia="Arial" w:hAnsi="Arial"/>
          <w:sz w:val="18"/>
          <w:szCs w:val="18"/>
          <w:color w:val="auto"/>
        </w:rPr>
        <w:t>Short-term commercial paper borrowings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7"/>
          <w:szCs w:val="17"/>
          <w:color w:val="auto"/>
        </w:rPr>
        <w:t>1.00 to 7.13 percent long-term notes (due 2017-2045)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44450</wp:posOffset>
            </wp:positionV>
            <wp:extent cx="7229475" cy="1714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55" w:lineRule="exact"/>
        <w:rPr>
          <w:sz w:val="20"/>
          <w:szCs w:val="20"/>
          <w:color w:val="auto"/>
        </w:rPr>
      </w:pPr>
    </w:p>
    <w:p>
      <w:pPr>
        <w:ind w:left="40"/>
        <w:spacing w:after="0"/>
        <w:rPr>
          <w:sz w:val="20"/>
          <w:szCs w:val="20"/>
          <w:color w:val="auto"/>
        </w:rPr>
      </w:pPr>
      <w:r>
        <w:rPr>
          <w:rFonts w:ascii="Arial" w:cs="Arial" w:eastAsia="Arial" w:hAnsi="Arial"/>
          <w:sz w:val="18"/>
          <w:szCs w:val="18"/>
          <w:color w:val="auto"/>
        </w:rPr>
        <w:t>Other long-term debt, including capitalized leases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Unamortized debt issuance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29475" cy="1714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Fair value adjustment on hedged long-term notes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229475" cy="1714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Less current portion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Long-term debt</w:t>
      </w:r>
    </w:p>
    <w:p>
      <w:pPr>
        <w:spacing w:after="0" w:line="20" w:lineRule="exact"/>
        <w:rPr>
          <w:sz w:val="20"/>
          <w:szCs w:val="20"/>
          <w:color w:val="auto"/>
        </w:rPr>
      </w:pPr>
      <w:r>
        <w:rPr>
          <w:sz w:val="20"/>
          <w:szCs w:val="20"/>
          <w:color w:val="auto"/>
        </w:rPr>
        <w:br w:type="column"/>
      </w:r>
    </w:p>
    <w:p>
      <w:pPr>
        <w:spacing w:after="0" w:line="52" w:lineRule="exact"/>
        <w:rPr>
          <w:sz w:val="20"/>
          <w:szCs w:val="20"/>
          <w:color w:val="auto"/>
        </w:rPr>
      </w:pPr>
    </w:p>
    <w:p>
      <w:pPr>
        <w:spacing w:after="0"/>
        <w:tabs>
          <w:tab w:leader="none" w:pos="1040" w:val="left"/>
          <w:tab w:leader="none" w:pos="1460" w:val="left"/>
          <w:tab w:leader="none" w:pos="2100" w:val="left"/>
        </w:tabs>
        <w:rPr>
          <w:sz w:val="20"/>
          <w:szCs w:val="20"/>
          <w:color w:val="auto"/>
        </w:rPr>
      </w:pP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2,680.6</w:t>
      </w:r>
    </w:p>
    <w:p>
      <w:pPr>
        <w:spacing w:after="0" w:line="63" w:lineRule="exact"/>
        <w:rPr>
          <w:sz w:val="20"/>
          <w:szCs w:val="20"/>
          <w:color w:val="auto"/>
        </w:rPr>
      </w:pPr>
    </w:p>
    <w:p>
      <w:pPr>
        <w:ind w:left="640"/>
        <w:spacing w:after="0"/>
        <w:tabs>
          <w:tab w:leader="none" w:pos="2100" w:val="left"/>
        </w:tabs>
        <w:rPr>
          <w:sz w:val="20"/>
          <w:szCs w:val="20"/>
          <w:color w:val="auto"/>
        </w:rPr>
      </w:pPr>
      <w:r>
        <w:rPr>
          <w:rFonts w:ascii="Arial" w:cs="Arial" w:eastAsia="Arial" w:hAnsi="Arial"/>
          <w:sz w:val="18"/>
          <w:szCs w:val="18"/>
          <w:b w:val="1"/>
          <w:bCs w:val="1"/>
          <w:color w:val="auto"/>
        </w:rPr>
        <w:t>7,700.1</w:t>
      </w:r>
      <w:r>
        <w:rPr>
          <w:sz w:val="20"/>
          <w:szCs w:val="20"/>
          <w:color w:val="auto"/>
        </w:rPr>
        <w:tab/>
      </w:r>
      <w:r>
        <w:rPr>
          <w:rFonts w:ascii="Arial" w:cs="Arial" w:eastAsia="Arial" w:hAnsi="Arial"/>
          <w:sz w:val="17"/>
          <w:szCs w:val="17"/>
          <w:color w:val="auto"/>
        </w:rPr>
        <w:t>4,872.8</w:t>
      </w:r>
    </w:p>
    <w:p>
      <w:pPr>
        <w:spacing w:after="0" w:line="63" w:lineRule="exact"/>
        <w:rPr>
          <w:sz w:val="20"/>
          <w:szCs w:val="20"/>
          <w:color w:val="auto"/>
        </w:rPr>
      </w:pPr>
    </w:p>
    <w:p>
      <w:pPr>
        <w:ind w:left="880"/>
        <w:spacing w:after="0"/>
        <w:tabs>
          <w:tab w:leader="none" w:pos="2360" w:val="left"/>
        </w:tabs>
        <w:rPr>
          <w:sz w:val="20"/>
          <w:szCs w:val="20"/>
          <w:color w:val="auto"/>
        </w:rPr>
      </w:pPr>
      <w:r>
        <w:rPr>
          <w:rFonts w:ascii="Arial" w:cs="Arial" w:eastAsia="Arial" w:hAnsi="Arial"/>
          <w:sz w:val="18"/>
          <w:szCs w:val="18"/>
          <w:b w:val="1"/>
          <w:bCs w:val="1"/>
          <w:color w:val="auto"/>
        </w:rPr>
        <w:t>23.1</w:t>
      </w:r>
      <w:r>
        <w:rPr>
          <w:sz w:val="20"/>
          <w:szCs w:val="20"/>
          <w:color w:val="auto"/>
        </w:rPr>
        <w:tab/>
      </w:r>
      <w:r>
        <w:rPr>
          <w:rFonts w:ascii="Arial" w:cs="Arial" w:eastAsia="Arial" w:hAnsi="Arial"/>
          <w:sz w:val="17"/>
          <w:szCs w:val="17"/>
          <w:color w:val="auto"/>
        </w:rPr>
        <w:t>33.1</w:t>
      </w:r>
    </w:p>
    <w:p>
      <w:pPr>
        <w:spacing w:after="0" w:line="63" w:lineRule="exact"/>
        <w:rPr>
          <w:sz w:val="20"/>
          <w:szCs w:val="20"/>
          <w:color w:val="auto"/>
        </w:rPr>
      </w:pPr>
    </w:p>
    <w:p>
      <w:pPr>
        <w:jc w:val="right"/>
        <w:ind w:right="80"/>
        <w:spacing w:after="0"/>
        <w:tabs>
          <w:tab w:leader="none" w:pos="440" w:val="left"/>
        </w:tabs>
        <w:rPr>
          <w:sz w:val="20"/>
          <w:szCs w:val="20"/>
          <w:color w:val="auto"/>
        </w:rPr>
      </w:pPr>
      <w:r>
        <w:rPr>
          <w:rFonts w:ascii="Arial" w:cs="Arial" w:eastAsia="Arial" w:hAnsi="Arial"/>
          <w:sz w:val="18"/>
          <w:szCs w:val="18"/>
          <w:b w:val="1"/>
          <w:bCs w:val="1"/>
          <w:color w:val="auto"/>
        </w:rPr>
        <w:t>(37.1)</w:t>
      </w:r>
      <w:r>
        <w:rPr>
          <w:sz w:val="20"/>
          <w:szCs w:val="20"/>
          <w:color w:val="auto"/>
        </w:rPr>
        <w:tab/>
      </w:r>
      <w:r>
        <w:rPr>
          <w:rFonts w:ascii="Arial" w:cs="Arial" w:eastAsia="Arial" w:hAnsi="Arial"/>
          <w:sz w:val="17"/>
          <w:szCs w:val="17"/>
          <w:color w:val="auto"/>
        </w:rPr>
        <w:t>(20.4)</w:t>
      </w:r>
    </w:p>
    <w:p>
      <w:pPr>
        <w:spacing w:after="0" w:line="63" w:lineRule="exact"/>
        <w:rPr>
          <w:sz w:val="20"/>
          <w:szCs w:val="20"/>
          <w:color w:val="auto"/>
        </w:rPr>
      </w:pPr>
    </w:p>
    <w:p>
      <w:pPr>
        <w:ind w:left="780"/>
        <w:spacing w:after="0"/>
        <w:tabs>
          <w:tab w:leader="none" w:pos="2260" w:val="left"/>
        </w:tabs>
        <w:rPr>
          <w:sz w:val="20"/>
          <w:szCs w:val="20"/>
          <w:color w:val="auto"/>
        </w:rPr>
      </w:pPr>
      <w:r>
        <w:rPr>
          <w:rFonts w:ascii="Arial" w:cs="Arial" w:eastAsia="Arial" w:hAnsi="Arial"/>
          <w:sz w:val="18"/>
          <w:szCs w:val="18"/>
          <w:b w:val="1"/>
          <w:bCs w:val="1"/>
          <w:color w:val="auto"/>
        </w:rPr>
        <w:t>292.4</w:t>
      </w:r>
      <w:r>
        <w:rPr>
          <w:sz w:val="20"/>
          <w:szCs w:val="20"/>
          <w:color w:val="auto"/>
        </w:rPr>
        <w:tab/>
      </w:r>
      <w:r>
        <w:rPr>
          <w:rFonts w:ascii="Arial" w:cs="Arial" w:eastAsia="Arial" w:hAnsi="Arial"/>
          <w:sz w:val="17"/>
          <w:szCs w:val="17"/>
          <w:color w:val="auto"/>
        </w:rPr>
        <w:t>455.4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29845</wp:posOffset>
            </wp:positionV>
            <wp:extent cx="181800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57" w:lineRule="exact"/>
        <w:rPr>
          <w:sz w:val="20"/>
          <w:szCs w:val="20"/>
          <w:color w:val="auto"/>
        </w:rPr>
      </w:pPr>
    </w:p>
    <w:p>
      <w:pPr>
        <w:ind w:left="640"/>
        <w:spacing w:after="0"/>
        <w:tabs>
          <w:tab w:leader="none" w:pos="2100" w:val="left"/>
        </w:tabs>
        <w:rPr>
          <w:sz w:val="20"/>
          <w:szCs w:val="20"/>
          <w:color w:val="auto"/>
        </w:rPr>
      </w:pPr>
      <w:r>
        <w:rPr>
          <w:rFonts w:ascii="Arial" w:cs="Arial" w:eastAsia="Arial" w:hAnsi="Arial"/>
          <w:sz w:val="18"/>
          <w:szCs w:val="18"/>
          <w:b w:val="1"/>
          <w:bCs w:val="1"/>
          <w:color w:val="auto"/>
        </w:rPr>
        <w:t>7,978.5</w:t>
      </w:r>
      <w:r>
        <w:rPr>
          <w:sz w:val="20"/>
          <w:szCs w:val="20"/>
          <w:color w:val="auto"/>
        </w:rPr>
        <w:tab/>
      </w:r>
      <w:r>
        <w:rPr>
          <w:rFonts w:ascii="Arial" w:cs="Arial" w:eastAsia="Arial" w:hAnsi="Arial"/>
          <w:sz w:val="17"/>
          <w:szCs w:val="17"/>
          <w:color w:val="auto"/>
        </w:rPr>
        <w:t>8,021.5</w:t>
      </w:r>
    </w:p>
    <w:p>
      <w:pPr>
        <w:spacing w:after="0" w:line="63" w:lineRule="exact"/>
        <w:rPr>
          <w:sz w:val="20"/>
          <w:szCs w:val="20"/>
          <w:color w:val="auto"/>
        </w:rPr>
      </w:pPr>
    </w:p>
    <w:p>
      <w:pPr>
        <w:jc w:val="right"/>
        <w:ind w:right="80"/>
        <w:spacing w:after="0"/>
        <w:tabs>
          <w:tab w:leader="none" w:pos="700" w:val="left"/>
        </w:tabs>
        <w:rPr>
          <w:sz w:val="20"/>
          <w:szCs w:val="20"/>
          <w:color w:val="auto"/>
        </w:rPr>
      </w:pPr>
      <w:r>
        <w:rPr>
          <w:rFonts w:ascii="Arial" w:cs="Arial" w:eastAsia="Arial" w:hAnsi="Arial"/>
          <w:sz w:val="18"/>
          <w:szCs w:val="18"/>
          <w:b w:val="1"/>
          <w:bCs w:val="1"/>
          <w:color w:val="auto"/>
        </w:rPr>
        <w:t>(6.1)</w:t>
      </w:r>
      <w:r>
        <w:rPr>
          <w:sz w:val="20"/>
          <w:szCs w:val="20"/>
          <w:color w:val="auto"/>
        </w:rPr>
        <w:tab/>
      </w:r>
      <w:r>
        <w:rPr>
          <w:rFonts w:ascii="Arial" w:cs="Arial" w:eastAsia="Arial" w:hAnsi="Arial"/>
          <w:sz w:val="17"/>
          <w:szCs w:val="17"/>
          <w:color w:val="auto"/>
        </w:rPr>
        <w:t>(2,688.7)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29845</wp:posOffset>
            </wp:positionV>
            <wp:extent cx="181800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57" w:lineRule="exact"/>
        <w:rPr>
          <w:sz w:val="20"/>
          <w:szCs w:val="20"/>
          <w:color w:val="auto"/>
        </w:rPr>
      </w:pPr>
    </w:p>
    <w:p>
      <w:pPr>
        <w:spacing w:after="0"/>
        <w:tabs>
          <w:tab w:leader="none" w:pos="620" w:val="left"/>
          <w:tab w:leader="none" w:pos="1460" w:val="left"/>
          <w:tab w:leader="none" w:pos="2100" w:val="left"/>
        </w:tabs>
        <w:rPr>
          <w:sz w:val="20"/>
          <w:szCs w:val="20"/>
          <w:color w:val="auto"/>
        </w:rPr>
      </w:pP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7,972.4</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5,332.8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29845</wp:posOffset>
            </wp:positionV>
            <wp:extent cx="181800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818005" cy="17145"/>
                    </a:xfrm>
                    <a:prstGeom prst="rect">
                      <a:avLst/>
                    </a:prstGeom>
                    <a:noFill/>
                  </pic:spPr>
                </pic:pic>
              </a:graphicData>
            </a:graphic>
          </wp:anchor>
        </w:drawing>
      </w:r>
    </w:p>
    <w:p>
      <w:pPr>
        <w:spacing w:after="0" w:line="160" w:lineRule="exact"/>
        <w:rPr>
          <w:sz w:val="20"/>
          <w:szCs w:val="20"/>
          <w:color w:val="auto"/>
        </w:rPr>
      </w:pPr>
    </w:p>
    <w:p>
      <w:pPr>
        <w:sectPr>
          <w:pgSz w:w="11900" w:h="16838" w:orient="portrait"/>
          <w:cols w:equalWidth="0" w:num="2">
            <w:col w:w="7840" w:space="720"/>
            <w:col w:w="2860"/>
          </w:cols>
          <w:pgMar w:left="240" w:top="574" w:right="239" w:bottom="1440" w:gutter="0" w:footer="0" w:header="0"/>
          <w:type w:val="continuous"/>
        </w:sectPr>
      </w:pPr>
    </w:p>
    <w:p>
      <w:pPr>
        <w:ind w:right="400"/>
        <w:spacing w:after="0" w:line="292" w:lineRule="auto"/>
        <w:rPr>
          <w:sz w:val="20"/>
          <w:szCs w:val="20"/>
          <w:color w:val="auto"/>
        </w:rPr>
      </w:pPr>
      <w:r>
        <w:rPr>
          <w:rFonts w:ascii="Arial" w:cs="Arial" w:eastAsia="Arial" w:hAnsi="Arial"/>
          <w:sz w:val="18"/>
          <w:szCs w:val="18"/>
          <w:color w:val="auto"/>
        </w:rPr>
        <w:t>There were no outstanding borrowings under our commercial paper program at December 31, 2015. We had $2.68 billion in outstanding borrowings under our commercial paper program at December 31, 2014, with a weighted-average effective borrowing rate of 0.18 percent.</w:t>
      </w:r>
    </w:p>
    <w:p>
      <w:pPr>
        <w:spacing w:after="0" w:line="37" w:lineRule="exact"/>
        <w:rPr>
          <w:sz w:val="20"/>
          <w:szCs w:val="20"/>
          <w:color w:val="auto"/>
        </w:rPr>
      </w:pPr>
    </w:p>
    <w:p>
      <w:pPr>
        <w:ind w:right="300"/>
        <w:spacing w:after="0" w:line="260" w:lineRule="auto"/>
        <w:rPr>
          <w:sz w:val="20"/>
          <w:szCs w:val="20"/>
          <w:color w:val="auto"/>
        </w:rPr>
      </w:pPr>
      <w:r>
        <w:rPr>
          <w:rFonts w:ascii="Arial" w:cs="Arial" w:eastAsia="Arial" w:hAnsi="Arial"/>
          <w:sz w:val="18"/>
          <w:szCs w:val="18"/>
          <w:color w:val="auto"/>
        </w:rPr>
        <w:t>At December 31, 2015, we had a total of $1.30 billion of unused committed bank credit facilities, which consisted primarily of a $1.20 billion credit facility that expires in August 2020 and is available to support our commercial paper program. During the year ended December 31, 2015, our $2.00 billion 364-day credit facility expired unused and was not renewed. There were no amounts outstanding under the revolving credit facilities during the years ended December 31, 2015 and 2014. Compensating balances and commitment fees are not material, and there are no conditions that are probable of occurring under which the lines may be withdrawn.</w:t>
      </w:r>
    </w:p>
    <w:p>
      <w:pPr>
        <w:spacing w:after="0" w:line="67" w:lineRule="exact"/>
        <w:rPr>
          <w:sz w:val="20"/>
          <w:szCs w:val="20"/>
          <w:color w:val="auto"/>
        </w:rPr>
      </w:pPr>
    </w:p>
    <w:p>
      <w:pPr>
        <w:spacing w:after="0" w:line="292" w:lineRule="auto"/>
        <w:rPr>
          <w:sz w:val="20"/>
          <w:szCs w:val="20"/>
          <w:color w:val="auto"/>
        </w:rPr>
      </w:pPr>
      <w:r>
        <w:rPr>
          <w:rFonts w:ascii="Arial" w:cs="Arial" w:eastAsia="Arial" w:hAnsi="Arial"/>
          <w:sz w:val="18"/>
          <w:szCs w:val="18"/>
          <w:color w:val="auto"/>
        </w:rPr>
        <w:t>In March 2015, we issued $600.0 million of 1.25 percent fixed-rate notes due March 1, 2018, $800.0 million of 2.75 percent fixed-rate notes due June 1, 2025, and $800.0 million of 3.70 percent fixed-rate notes</w:t>
      </w:r>
    </w:p>
    <w:p>
      <w:pPr>
        <w:spacing w:after="0" w:line="17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81</w:t>
      </w:r>
    </w:p>
    <w:p>
      <w:pPr>
        <w:sectPr>
          <w:pgSz w:w="11900" w:h="16838" w:orient="portrait"/>
          <w:cols w:equalWidth="0" w:num="1">
            <w:col w:w="11420"/>
          </w:cols>
          <w:pgMar w:left="240" w:top="574" w:right="239" w:bottom="1440" w:gutter="0" w:footer="0" w:header="0"/>
          <w:type w:val="continuous"/>
        </w:sectPr>
      </w:pPr>
    </w:p>
    <w:bookmarkStart w:id="81" w:name="page82"/>
    <w:bookmarkEnd w:id="81"/>
    <w:p>
      <w:pPr>
        <w:ind w:right="940"/>
        <w:spacing w:after="0" w:line="292" w:lineRule="auto"/>
        <w:rPr>
          <w:sz w:val="20"/>
          <w:szCs w:val="20"/>
          <w:color w:val="auto"/>
        </w:rPr>
      </w:pPr>
      <w:r>
        <w:rPr>
          <w:rFonts w:ascii="Arial" w:cs="Arial" w:eastAsia="Arial" w:hAnsi="Arial"/>
          <w:sz w:val="18"/>
          <w:szCs w:val="18"/>
          <w:color w:val="auto"/>
        </w:rPr>
        <w:t>due March 1, 2045 with interest to be paid semi-annually. The proceeds from the issuance of the notes were used primarily to repay outstanding commercial paper issued in connection with our January 2015 acquisition of Novartis AH.</w:t>
      </w:r>
    </w:p>
    <w:p>
      <w:pPr>
        <w:spacing w:after="0" w:line="3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June 2015, we issued euro-denominated notes consisting of €600.0 million of 1.00 percent fixed-rate notes due June 2, 2022, €750.0 million of 1.63 percent fixed-rate notes due June 2, 2026, and € 750.0 million of 2.13 percent fixed-rate notes due June 3, 2030 with interest to be paid annually. The net cash proceeds of the offering of $ 2.27 billion were used primarily to purchase and redeem certain higher interest rate U.S. dollar-denominated notes and to repay outstanding commercial paper. We paid $1.95 billion to purchase and redeem notes with an aggregate principal amount of $1.65 billion and a net carrying value of $1.78 billion in June 2015, resulting in a pretax debt extinguishment loss of $166.7 million, which was included in other–net, (income) expense in our consolidated statement of operations during the year ended December 31, 2015.</w:t>
      </w:r>
    </w:p>
    <w:p>
      <w:pPr>
        <w:spacing w:after="0" w:line="69" w:lineRule="exact"/>
        <w:rPr>
          <w:sz w:val="20"/>
          <w:szCs w:val="20"/>
          <w:color w:val="auto"/>
        </w:rPr>
      </w:pPr>
    </w:p>
    <w:p>
      <w:pPr>
        <w:jc w:val="both"/>
        <w:ind w:right="340"/>
        <w:spacing w:after="0" w:line="271" w:lineRule="auto"/>
        <w:rPr>
          <w:sz w:val="20"/>
          <w:szCs w:val="20"/>
          <w:color w:val="auto"/>
        </w:rPr>
      </w:pPr>
      <w:r>
        <w:rPr>
          <w:rFonts w:ascii="Arial" w:cs="Arial" w:eastAsia="Arial" w:hAnsi="Arial"/>
          <w:sz w:val="18"/>
          <w:szCs w:val="18"/>
          <w:color w:val="auto"/>
        </w:rPr>
        <w:t>In February 2014, we issued $ 600.0 million of 1.95 percent and $400.0 million of 4.65 percent fixed-rate notes with interest to be paid semi-annually and maturity dates of March 15, 2019, and June 15, 2044, respectively. Current maturities of long-term notes of $1.00 billion were repaid in March 2014.</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color w:val="auto"/>
        </w:rPr>
        <w:t>The aggregate amounts of maturities on long-term debt for the next five years are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40" w:type="dxa"/>
            <w:vAlign w:val="bottom"/>
            <w:tcBorders>
              <w:bottom w:val="single" w:sz="8" w:color="auto"/>
            </w:tcBorders>
          </w:tcPr>
          <w:p>
            <w:pPr>
              <w:spacing w:after="0"/>
              <w:rPr>
                <w:sz w:val="17"/>
                <w:szCs w:val="17"/>
                <w:color w:val="auto"/>
              </w:rPr>
            </w:pPr>
          </w:p>
        </w:tc>
        <w:tc>
          <w:tcPr>
            <w:tcW w:w="2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38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2017</w:t>
            </w:r>
          </w:p>
        </w:tc>
        <w:tc>
          <w:tcPr>
            <w:tcW w:w="3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2018</w:t>
            </w:r>
          </w:p>
        </w:tc>
        <w:tc>
          <w:tcPr>
            <w:tcW w:w="3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2019</w:t>
            </w:r>
          </w:p>
        </w:tc>
        <w:tc>
          <w:tcPr>
            <w:tcW w:w="3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2020</w:t>
            </w:r>
          </w:p>
        </w:tc>
      </w:tr>
      <w:tr>
        <w:trPr>
          <w:trHeight w:val="265"/>
        </w:trPr>
        <w:tc>
          <w:tcPr>
            <w:tcW w:w="4040" w:type="dxa"/>
            <w:vAlign w:val="bottom"/>
            <w:shd w:val="clear" w:color="auto" w:fill="D8D8D8"/>
          </w:tcPr>
          <w:p>
            <w:pPr>
              <w:ind w:left="40"/>
              <w:spacing w:after="0"/>
              <w:rPr>
                <w:sz w:val="20"/>
                <w:szCs w:val="20"/>
                <w:color w:val="auto"/>
              </w:rPr>
            </w:pPr>
            <w:r>
              <w:rPr>
                <w:rFonts w:ascii="Arial" w:cs="Arial" w:eastAsia="Arial" w:hAnsi="Arial"/>
                <w:sz w:val="18"/>
                <w:szCs w:val="18"/>
                <w:color w:val="auto"/>
              </w:rPr>
              <w:t>Maturities on long-term debt</w:t>
            </w:r>
          </w:p>
        </w:tc>
        <w:tc>
          <w:tcPr>
            <w:tcW w:w="2420" w:type="dxa"/>
            <w:vAlign w:val="bottom"/>
            <w:shd w:val="clear" w:color="auto" w:fill="D8D8D8"/>
          </w:tcPr>
          <w:p>
            <w:pPr>
              <w:jc w:val="right"/>
              <w:ind w:right="459"/>
              <w:spacing w:after="0"/>
              <w:rPr>
                <w:sz w:val="20"/>
                <w:szCs w:val="20"/>
                <w:color w:val="auto"/>
              </w:rPr>
            </w:pPr>
            <w:r>
              <w:rPr>
                <w:rFonts w:ascii="Arial" w:cs="Arial" w:eastAsia="Arial" w:hAnsi="Arial"/>
                <w:sz w:val="18"/>
                <w:szCs w:val="18"/>
                <w:color w:val="auto"/>
              </w:rPr>
              <w:t>$</w:t>
            </w:r>
          </w:p>
        </w:tc>
        <w:tc>
          <w:tcPr>
            <w:tcW w:w="380" w:type="dxa"/>
            <w:vAlign w:val="bottom"/>
            <w:shd w:val="clear" w:color="auto" w:fill="D8D8D8"/>
          </w:tcPr>
          <w:p>
            <w:pPr>
              <w:jc w:val="right"/>
              <w:ind w:right="30"/>
              <w:spacing w:after="0"/>
              <w:rPr>
                <w:sz w:val="20"/>
                <w:szCs w:val="20"/>
                <w:color w:val="auto"/>
              </w:rPr>
            </w:pPr>
            <w:r>
              <w:rPr>
                <w:rFonts w:ascii="Arial" w:cs="Arial" w:eastAsia="Arial" w:hAnsi="Arial"/>
                <w:sz w:val="18"/>
                <w:szCs w:val="18"/>
                <w:color w:val="auto"/>
                <w:w w:val="95"/>
              </w:rPr>
              <w:t>6.1</w:t>
            </w:r>
          </w:p>
        </w:tc>
        <w:tc>
          <w:tcPr>
            <w:tcW w:w="340" w:type="dxa"/>
            <w:vAlign w:val="bottom"/>
            <w:shd w:val="clear" w:color="auto" w:fill="D8D8D8"/>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shd w:val="clear" w:color="auto" w:fill="D8D8D8"/>
          </w:tcPr>
          <w:p>
            <w:pPr>
              <w:jc w:val="right"/>
              <w:ind w:right="39"/>
              <w:spacing w:after="0"/>
              <w:rPr>
                <w:sz w:val="20"/>
                <w:szCs w:val="20"/>
                <w:color w:val="auto"/>
              </w:rPr>
            </w:pPr>
            <w:r>
              <w:rPr>
                <w:rFonts w:ascii="Arial" w:cs="Arial" w:eastAsia="Arial" w:hAnsi="Arial"/>
                <w:sz w:val="18"/>
                <w:szCs w:val="18"/>
                <w:color w:val="auto"/>
              </w:rPr>
              <w:t>635.2</w:t>
            </w:r>
          </w:p>
        </w:tc>
        <w:tc>
          <w:tcPr>
            <w:tcW w:w="340" w:type="dxa"/>
            <w:vAlign w:val="bottom"/>
            <w:shd w:val="clear" w:color="auto" w:fill="D8D8D8"/>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shd w:val="clear" w:color="auto" w:fill="D8D8D8"/>
          </w:tcPr>
          <w:p>
            <w:pPr>
              <w:jc w:val="right"/>
              <w:ind w:right="39"/>
              <w:spacing w:after="0"/>
              <w:rPr>
                <w:sz w:val="20"/>
                <w:szCs w:val="20"/>
                <w:color w:val="auto"/>
              </w:rPr>
            </w:pPr>
            <w:r>
              <w:rPr>
                <w:rFonts w:ascii="Arial" w:cs="Arial" w:eastAsia="Arial" w:hAnsi="Arial"/>
                <w:sz w:val="18"/>
                <w:szCs w:val="18"/>
                <w:color w:val="auto"/>
              </w:rPr>
              <w:t>803.2</w:t>
            </w:r>
          </w:p>
        </w:tc>
        <w:tc>
          <w:tcPr>
            <w:tcW w:w="340" w:type="dxa"/>
            <w:vAlign w:val="bottom"/>
            <w:shd w:val="clear" w:color="auto" w:fill="D8D8D8"/>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shd w:val="clear" w:color="auto" w:fill="D8D8D8"/>
          </w:tcPr>
          <w:p>
            <w:pPr>
              <w:jc w:val="right"/>
              <w:ind w:right="39"/>
              <w:spacing w:after="0"/>
              <w:rPr>
                <w:sz w:val="20"/>
                <w:szCs w:val="20"/>
                <w:color w:val="auto"/>
              </w:rPr>
            </w:pPr>
            <w:r>
              <w:rPr>
                <w:rFonts w:ascii="Arial" w:cs="Arial" w:eastAsia="Arial" w:hAnsi="Arial"/>
                <w:sz w:val="18"/>
                <w:szCs w:val="18"/>
                <w:color w:val="auto"/>
              </w:rPr>
              <w:t>601.8</w:t>
            </w:r>
          </w:p>
        </w:tc>
        <w:tc>
          <w:tcPr>
            <w:tcW w:w="340" w:type="dxa"/>
            <w:vAlign w:val="bottom"/>
            <w:shd w:val="clear" w:color="auto" w:fill="D8D8D8"/>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shd w:val="clear" w:color="auto" w:fill="D8D8D8"/>
          </w:tcPr>
          <w:p>
            <w:pPr>
              <w:jc w:val="right"/>
              <w:ind w:right="19"/>
              <w:spacing w:after="0"/>
              <w:rPr>
                <w:sz w:val="20"/>
                <w:szCs w:val="20"/>
                <w:color w:val="auto"/>
              </w:rPr>
            </w:pPr>
            <w:r>
              <w:rPr>
                <w:rFonts w:ascii="Arial" w:cs="Arial" w:eastAsia="Arial" w:hAnsi="Arial"/>
                <w:sz w:val="18"/>
                <w:szCs w:val="18"/>
                <w:color w:val="auto"/>
              </w:rPr>
              <w:t>0.6</w:t>
            </w:r>
          </w:p>
        </w:tc>
      </w:tr>
    </w:tbl>
    <w:p>
      <w:pPr>
        <w:spacing w:after="0" w:line="85"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color w:val="auto"/>
        </w:rPr>
        <w:t>We have converted approximately 40 percent of our long-term fixed-rate notes to floating rates through the use of interest rate swaps. The weighted-average effective borrowing rates based on long-term debt obligations and interest rates at December 31, 2015 and 2014, including the effects of interest rate swaps for hedged debt obligations, were 2.67 percent and 3.69 percent, respectively.</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color w:val="auto"/>
        </w:rPr>
        <w:t>The aggregate amount of cash payments for interest on borrowings, net of capitalized interest, are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24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2015</w:t>
            </w:r>
          </w:p>
        </w:tc>
        <w:tc>
          <w:tcPr>
            <w:tcW w:w="4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2014</w:t>
            </w:r>
          </w:p>
        </w:tc>
        <w:tc>
          <w:tcPr>
            <w:tcW w:w="4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2013</w:t>
            </w:r>
          </w:p>
        </w:tc>
      </w:tr>
      <w:tr>
        <w:trPr>
          <w:trHeight w:val="265"/>
        </w:trPr>
        <w:tc>
          <w:tcPr>
            <w:tcW w:w="5240" w:type="dxa"/>
            <w:vAlign w:val="bottom"/>
            <w:shd w:val="clear" w:color="auto" w:fill="D8D8D8"/>
          </w:tcPr>
          <w:p>
            <w:pPr>
              <w:ind w:left="40"/>
              <w:spacing w:after="0"/>
              <w:rPr>
                <w:sz w:val="20"/>
                <w:szCs w:val="20"/>
                <w:color w:val="auto"/>
              </w:rPr>
            </w:pPr>
            <w:r>
              <w:rPr>
                <w:rFonts w:ascii="Arial" w:cs="Arial" w:eastAsia="Arial" w:hAnsi="Arial"/>
                <w:sz w:val="18"/>
                <w:szCs w:val="18"/>
                <w:color w:val="auto"/>
              </w:rPr>
              <w:t>Cash payments for interest on borrowings</w:t>
            </w:r>
          </w:p>
        </w:tc>
        <w:tc>
          <w:tcPr>
            <w:tcW w:w="2160" w:type="dxa"/>
            <w:vAlign w:val="bottom"/>
            <w:shd w:val="clear" w:color="auto" w:fill="D8D8D8"/>
          </w:tcPr>
          <w:p>
            <w:pPr>
              <w:jc w:val="right"/>
              <w:ind w:right="110"/>
              <w:spacing w:after="0"/>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D8D8D8"/>
          </w:tcPr>
          <w:p>
            <w:pPr>
              <w:jc w:val="right"/>
              <w:ind w:right="39"/>
              <w:spacing w:after="0"/>
              <w:rPr>
                <w:sz w:val="20"/>
                <w:szCs w:val="20"/>
                <w:color w:val="auto"/>
              </w:rPr>
            </w:pPr>
            <w:r>
              <w:rPr>
                <w:rFonts w:ascii="Arial" w:cs="Arial" w:eastAsia="Arial" w:hAnsi="Arial"/>
                <w:sz w:val="18"/>
                <w:szCs w:val="18"/>
                <w:b w:val="1"/>
                <w:bCs w:val="1"/>
                <w:color w:val="auto"/>
              </w:rPr>
              <w:t>129.6</w:t>
            </w:r>
          </w:p>
        </w:tc>
        <w:tc>
          <w:tcPr>
            <w:tcW w:w="420" w:type="dxa"/>
            <w:vAlign w:val="bottom"/>
            <w:shd w:val="clear" w:color="auto" w:fill="D8D8D8"/>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D8D8D8"/>
          </w:tcPr>
          <w:p>
            <w:pPr>
              <w:jc w:val="right"/>
              <w:ind w:right="39"/>
              <w:spacing w:after="0"/>
              <w:rPr>
                <w:sz w:val="20"/>
                <w:szCs w:val="20"/>
                <w:color w:val="auto"/>
              </w:rPr>
            </w:pPr>
            <w:r>
              <w:rPr>
                <w:rFonts w:ascii="Arial" w:cs="Arial" w:eastAsia="Arial" w:hAnsi="Arial"/>
                <w:sz w:val="18"/>
                <w:szCs w:val="18"/>
                <w:color w:val="auto"/>
              </w:rPr>
              <w:t>140.4</w:t>
            </w:r>
          </w:p>
        </w:tc>
        <w:tc>
          <w:tcPr>
            <w:tcW w:w="440" w:type="dxa"/>
            <w:vAlign w:val="bottom"/>
            <w:shd w:val="clear" w:color="auto" w:fill="D8D8D8"/>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D8D8D8"/>
          </w:tcPr>
          <w:p>
            <w:pPr>
              <w:jc w:val="right"/>
              <w:ind w:right="19"/>
              <w:spacing w:after="0"/>
              <w:rPr>
                <w:sz w:val="20"/>
                <w:szCs w:val="20"/>
                <w:color w:val="auto"/>
              </w:rPr>
            </w:pPr>
            <w:r>
              <w:rPr>
                <w:rFonts w:ascii="Arial" w:cs="Arial" w:eastAsia="Arial" w:hAnsi="Arial"/>
                <w:sz w:val="18"/>
                <w:szCs w:val="18"/>
                <w:color w:val="auto"/>
              </w:rPr>
              <w:t>139.7</w:t>
            </w:r>
          </w:p>
        </w:tc>
      </w:tr>
    </w:tbl>
    <w:p>
      <w:pPr>
        <w:spacing w:after="0" w:line="8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In accordance with the requirements of derivatives and hedging guidance, the portion of our fixed-rate debt obligations that is hedged as a fair value hedge, is reflected in the consolidated balance sheets as an amount equal to the sum of the debt’s carrying value plus the fair value adjustment representing changes in fair value of the hedged debt attributable to movements in market interest rates subsequent to the inception of the hedge.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Note 11: Stock-Based Compensation</w:t>
      </w:r>
    </w:p>
    <w:p>
      <w:pPr>
        <w:spacing w:after="0" w:line="173" w:lineRule="exact"/>
        <w:rPr>
          <w:sz w:val="20"/>
          <w:szCs w:val="20"/>
          <w:color w:val="auto"/>
        </w:rPr>
      </w:pPr>
    </w:p>
    <w:p>
      <w:pPr>
        <w:ind w:right="180"/>
        <w:spacing w:after="0" w:line="260" w:lineRule="auto"/>
        <w:rPr>
          <w:sz w:val="20"/>
          <w:szCs w:val="20"/>
          <w:color w:val="auto"/>
        </w:rPr>
      </w:pPr>
      <w:r>
        <w:rPr>
          <w:rFonts w:ascii="Arial" w:cs="Arial" w:eastAsia="Arial" w:hAnsi="Arial"/>
          <w:sz w:val="18"/>
          <w:szCs w:val="18"/>
          <w:color w:val="auto"/>
        </w:rPr>
        <w:t>Our stock-based compensation expense consists of performance awards (PAs), shareholder value awards (SVAs), and restricted stock units (RSUs). We recognize the fair value of stock-based compensation as expense over the requisite service period of the individual grantees, which generally equals the vesting period. We provide newly issued shares of our common stock and treasury stock to satisfy the issuance of PA, SVA, and RSU shares. We classify tax benefits resulting from tax deductions in excess of the compensation cost recognized for stock-based compensation as a financing cash flow in the consolidated statements of cash flows.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Stock-based compensation expense and the related tax benefits were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020" w:type="dxa"/>
            <w:vAlign w:val="bottom"/>
            <w:tcBorders>
              <w:bottom w:val="single" w:sz="8" w:color="auto"/>
            </w:tcBorders>
          </w:tcPr>
          <w:p>
            <w:pPr>
              <w:spacing w:after="0"/>
              <w:rPr>
                <w:sz w:val="17"/>
                <w:szCs w:val="17"/>
                <w:color w:val="auto"/>
              </w:rPr>
            </w:pPr>
          </w:p>
        </w:tc>
        <w:tc>
          <w:tcPr>
            <w:tcW w:w="23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2015</w:t>
            </w:r>
          </w:p>
        </w:tc>
        <w:tc>
          <w:tcPr>
            <w:tcW w:w="4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2014</w:t>
            </w:r>
          </w:p>
        </w:tc>
        <w:tc>
          <w:tcPr>
            <w:tcW w:w="4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2013</w:t>
            </w:r>
          </w:p>
        </w:tc>
      </w:tr>
      <w:tr>
        <w:trPr>
          <w:trHeight w:val="265"/>
        </w:trPr>
        <w:tc>
          <w:tcPr>
            <w:tcW w:w="5020" w:type="dxa"/>
            <w:vAlign w:val="bottom"/>
            <w:shd w:val="clear" w:color="auto" w:fill="D8D8D8"/>
          </w:tcPr>
          <w:p>
            <w:pPr>
              <w:ind w:left="40"/>
              <w:spacing w:after="0"/>
              <w:rPr>
                <w:sz w:val="20"/>
                <w:szCs w:val="20"/>
                <w:color w:val="auto"/>
              </w:rPr>
            </w:pPr>
            <w:r>
              <w:rPr>
                <w:rFonts w:ascii="Arial" w:cs="Arial" w:eastAsia="Arial" w:hAnsi="Arial"/>
                <w:sz w:val="18"/>
                <w:szCs w:val="18"/>
                <w:color w:val="auto"/>
              </w:rPr>
              <w:t>Stock-based compensation expense</w:t>
            </w:r>
          </w:p>
        </w:tc>
        <w:tc>
          <w:tcPr>
            <w:tcW w:w="2380" w:type="dxa"/>
            <w:vAlign w:val="bottom"/>
            <w:shd w:val="clear" w:color="auto" w:fill="D8D8D8"/>
          </w:tcPr>
          <w:p>
            <w:pPr>
              <w:jc w:val="right"/>
              <w:ind w:right="110"/>
              <w:spacing w:after="0"/>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D8D8D8"/>
          </w:tcPr>
          <w:p>
            <w:pPr>
              <w:jc w:val="right"/>
              <w:ind w:right="36"/>
              <w:spacing w:after="0"/>
              <w:rPr>
                <w:sz w:val="20"/>
                <w:szCs w:val="20"/>
                <w:color w:val="auto"/>
              </w:rPr>
            </w:pPr>
            <w:r>
              <w:rPr>
                <w:rFonts w:ascii="Arial" w:cs="Arial" w:eastAsia="Arial" w:hAnsi="Arial"/>
                <w:sz w:val="18"/>
                <w:szCs w:val="18"/>
                <w:b w:val="1"/>
                <w:bCs w:val="1"/>
                <w:color w:val="auto"/>
              </w:rPr>
              <w:t>217.8</w:t>
            </w:r>
          </w:p>
        </w:tc>
        <w:tc>
          <w:tcPr>
            <w:tcW w:w="420" w:type="dxa"/>
            <w:vAlign w:val="bottom"/>
            <w:shd w:val="clear" w:color="auto" w:fill="D8D8D8"/>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D8D8D8"/>
          </w:tcPr>
          <w:p>
            <w:pPr>
              <w:jc w:val="right"/>
              <w:ind w:right="36"/>
              <w:spacing w:after="0"/>
              <w:rPr>
                <w:sz w:val="20"/>
                <w:szCs w:val="20"/>
                <w:color w:val="auto"/>
              </w:rPr>
            </w:pPr>
            <w:r>
              <w:rPr>
                <w:rFonts w:ascii="Arial" w:cs="Arial" w:eastAsia="Arial" w:hAnsi="Arial"/>
                <w:sz w:val="18"/>
                <w:szCs w:val="18"/>
                <w:color w:val="auto"/>
              </w:rPr>
              <w:t>156.0</w:t>
            </w:r>
          </w:p>
        </w:tc>
        <w:tc>
          <w:tcPr>
            <w:tcW w:w="440" w:type="dxa"/>
            <w:vAlign w:val="bottom"/>
            <w:shd w:val="clear" w:color="auto" w:fill="D8D8D8"/>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D8D8D8"/>
          </w:tcPr>
          <w:p>
            <w:pPr>
              <w:jc w:val="right"/>
              <w:ind w:right="16"/>
              <w:spacing w:after="0"/>
              <w:rPr>
                <w:sz w:val="20"/>
                <w:szCs w:val="20"/>
                <w:color w:val="auto"/>
              </w:rPr>
            </w:pPr>
            <w:r>
              <w:rPr>
                <w:rFonts w:ascii="Arial" w:cs="Arial" w:eastAsia="Arial" w:hAnsi="Arial"/>
                <w:sz w:val="18"/>
                <w:szCs w:val="18"/>
                <w:color w:val="auto"/>
              </w:rPr>
              <w:t>144.9</w:t>
            </w:r>
          </w:p>
        </w:tc>
      </w:tr>
      <w:tr>
        <w:trPr>
          <w:trHeight w:val="269"/>
        </w:trPr>
        <w:tc>
          <w:tcPr>
            <w:tcW w:w="5020" w:type="dxa"/>
            <w:vAlign w:val="bottom"/>
          </w:tcPr>
          <w:p>
            <w:pPr>
              <w:ind w:left="40"/>
              <w:spacing w:after="0"/>
              <w:rPr>
                <w:sz w:val="20"/>
                <w:szCs w:val="20"/>
                <w:color w:val="auto"/>
              </w:rPr>
            </w:pPr>
            <w:r>
              <w:rPr>
                <w:rFonts w:ascii="Arial" w:cs="Arial" w:eastAsia="Arial" w:hAnsi="Arial"/>
                <w:sz w:val="18"/>
                <w:szCs w:val="18"/>
                <w:color w:val="auto"/>
              </w:rPr>
              <w:t>Tax benefit</w:t>
            </w:r>
          </w:p>
        </w:tc>
        <w:tc>
          <w:tcPr>
            <w:tcW w:w="2380" w:type="dxa"/>
            <w:vAlign w:val="bottom"/>
          </w:tcPr>
          <w:p>
            <w:pPr>
              <w:spacing w:after="0"/>
              <w:rPr>
                <w:sz w:val="23"/>
                <w:szCs w:val="23"/>
                <w:color w:val="auto"/>
              </w:rPr>
            </w:pPr>
          </w:p>
        </w:tc>
        <w:tc>
          <w:tcPr>
            <w:tcW w:w="1060" w:type="dxa"/>
            <w:vAlign w:val="bottom"/>
          </w:tcPr>
          <w:p>
            <w:pPr>
              <w:jc w:val="right"/>
              <w:ind w:right="36"/>
              <w:spacing w:after="0"/>
              <w:rPr>
                <w:sz w:val="20"/>
                <w:szCs w:val="20"/>
                <w:color w:val="auto"/>
              </w:rPr>
            </w:pPr>
            <w:r>
              <w:rPr>
                <w:rFonts w:ascii="Arial" w:cs="Arial" w:eastAsia="Arial" w:hAnsi="Arial"/>
                <w:sz w:val="18"/>
                <w:szCs w:val="18"/>
                <w:b w:val="1"/>
                <w:bCs w:val="1"/>
                <w:color w:val="auto"/>
              </w:rPr>
              <w:t>76.2</w:t>
            </w:r>
          </w:p>
        </w:tc>
        <w:tc>
          <w:tcPr>
            <w:tcW w:w="420" w:type="dxa"/>
            <w:vAlign w:val="bottom"/>
          </w:tcPr>
          <w:p>
            <w:pPr>
              <w:spacing w:after="0"/>
              <w:rPr>
                <w:sz w:val="23"/>
                <w:szCs w:val="23"/>
                <w:color w:val="auto"/>
              </w:rPr>
            </w:pPr>
          </w:p>
        </w:tc>
        <w:tc>
          <w:tcPr>
            <w:tcW w:w="1060" w:type="dxa"/>
            <w:vAlign w:val="bottom"/>
          </w:tcPr>
          <w:p>
            <w:pPr>
              <w:jc w:val="right"/>
              <w:ind w:right="36"/>
              <w:spacing w:after="0"/>
              <w:rPr>
                <w:sz w:val="20"/>
                <w:szCs w:val="20"/>
                <w:color w:val="auto"/>
              </w:rPr>
            </w:pPr>
            <w:r>
              <w:rPr>
                <w:rFonts w:ascii="Arial" w:cs="Arial" w:eastAsia="Arial" w:hAnsi="Arial"/>
                <w:sz w:val="18"/>
                <w:szCs w:val="18"/>
                <w:color w:val="auto"/>
              </w:rPr>
              <w:t>54.6</w:t>
            </w:r>
          </w:p>
        </w:tc>
        <w:tc>
          <w:tcPr>
            <w:tcW w:w="440" w:type="dxa"/>
            <w:vAlign w:val="bottom"/>
          </w:tcPr>
          <w:p>
            <w:pPr>
              <w:spacing w:after="0"/>
              <w:rPr>
                <w:sz w:val="23"/>
                <w:szCs w:val="23"/>
                <w:color w:val="auto"/>
              </w:rPr>
            </w:pP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50.7</w:t>
            </w:r>
          </w:p>
        </w:tc>
      </w:tr>
    </w:tbl>
    <w:p>
      <w:pPr>
        <w:spacing w:after="0" w:line="87" w:lineRule="exact"/>
        <w:rPr>
          <w:sz w:val="20"/>
          <w:szCs w:val="20"/>
          <w:color w:val="auto"/>
        </w:rPr>
      </w:pPr>
    </w:p>
    <w:p>
      <w:pPr>
        <w:ind w:right="160"/>
        <w:spacing w:after="0" w:line="292" w:lineRule="auto"/>
        <w:rPr>
          <w:sz w:val="20"/>
          <w:szCs w:val="20"/>
          <w:color w:val="auto"/>
        </w:rPr>
      </w:pPr>
      <w:r>
        <w:rPr>
          <w:rFonts w:ascii="Arial" w:cs="Arial" w:eastAsia="Arial" w:hAnsi="Arial"/>
          <w:sz w:val="18"/>
          <w:szCs w:val="18"/>
          <w:color w:val="auto"/>
        </w:rPr>
        <w:t>At December 31, 2015, additional stock-based compensation awards may be granted under the 2002 Lilly Stock Plan for not more than 100.6 million shares.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82</w:t>
      </w:r>
    </w:p>
    <w:p>
      <w:pPr>
        <w:sectPr>
          <w:pgSz w:w="11900" w:h="16838" w:orient="portrait"/>
          <w:cols w:equalWidth="0" w:num="1">
            <w:col w:w="11420"/>
          </w:cols>
          <w:pgMar w:left="240" w:top="684" w:right="239" w:bottom="1440" w:gutter="0" w:footer="0" w:header="0"/>
        </w:sectPr>
      </w:pPr>
    </w:p>
    <w:bookmarkStart w:id="82" w:name="page83"/>
    <w:bookmarkEnd w:id="82"/>
    <w:p>
      <w:pPr>
        <w:spacing w:after="0"/>
        <w:rPr>
          <w:sz w:val="20"/>
          <w:szCs w:val="20"/>
          <w:color w:val="auto"/>
        </w:rPr>
      </w:pPr>
      <w:r>
        <w:rPr>
          <w:rFonts w:ascii="Arial" w:cs="Arial" w:eastAsia="Arial" w:hAnsi="Arial"/>
          <w:sz w:val="18"/>
          <w:szCs w:val="18"/>
          <w:b w:val="1"/>
          <w:bCs w:val="1"/>
          <w:color w:val="auto"/>
        </w:rPr>
        <w:t>Performance Award Program</w:t>
      </w:r>
    </w:p>
    <w:p>
      <w:pPr>
        <w:spacing w:after="0" w:line="11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PAs are granted to officers and management and are payable in shares of our common stock. The number of PA shares actually issued, if any, varies depending on the achievement of certain pre-established earnings-per-share targets over a two-year period. PA shares are accounted for at fair value based upon the closing stock price on the date of grant and fully vest at the end of the measurement period. The fair values of PAs granted for the years ended December 31, 2015, 2014, and 2013 were $70.34, $ 48.81, and $50.19, respectively. The number of shares ultimately issued for the PA program is dependent upon the earnings achieved during the vesting period. Pursuant to this program, approximately 0.5 million shares, 0.7 million shares, and 0.7 million shares were issued during the years ended December 31, 2015, 2014, and 2013, respectively. Approximately 0.5 million shares are expected to be issued in 2016. As of December 31, 2015, the total remaining unrecognized compensation cost related to nonvested PAs was $69.5 million, which will be amortized over the weighted-average remaining requisite service period of 12 months.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Value Award Program</w:t>
      </w:r>
    </w:p>
    <w:p>
      <w:pPr>
        <w:spacing w:after="0" w:line="119"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SVAs are granted to officers and management and are payable in shares of our common stock. The number of shares actually issued, if any, varies depending on our stock price at the end of the three-year vesting period compared to pre-established target stock prices. We measure the fair value of the SVA unit on the grant date using a Monte Carlo simulation model. The model utilizes multiple input variables that determine the probability of satisfying the market condition stipulated in the award grant and calculates the fair value of the award. Expected volatilities utilized in the model are based on implied volatilities from traded options on our stock, historical volatility of our stock price, and other factors. Similarly, the dividend yield is based on historical experience and our estimate of future dividend yields. The risk-free interest rate is derived from the U.S. Treasury yield curve in effect at the time of grant. The weighted-average fair values of the SVA units granted during the years ended December 31, 2015, 2014, and 2013 were $54.81, $41.97, and $45.17, respectively, determined using the following assumptions: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5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(Percents)</w:t>
            </w:r>
          </w:p>
        </w:tc>
        <w:tc>
          <w:tcPr>
            <w:tcW w:w="3800" w:type="dxa"/>
            <w:vAlign w:val="bottom"/>
            <w:tcBorders>
              <w:bottom w:val="single" w:sz="8" w:color="auto"/>
            </w:tcBorders>
          </w:tcPr>
          <w:p>
            <w:pPr>
              <w:jc w:val="right"/>
              <w:ind w:right="754"/>
              <w:spacing w:after="0"/>
              <w:rPr>
                <w:sz w:val="20"/>
                <w:szCs w:val="20"/>
                <w:color w:val="auto"/>
              </w:rPr>
            </w:pPr>
            <w:r>
              <w:rPr>
                <w:rFonts w:ascii="Arial" w:cs="Arial" w:eastAsia="Arial" w:hAnsi="Arial"/>
                <w:sz w:val="14"/>
                <w:szCs w:val="14"/>
                <w:b w:val="1"/>
                <w:bCs w:val="1"/>
                <w:color w:val="auto"/>
              </w:rPr>
              <w:t>2015</w:t>
            </w:r>
          </w:p>
        </w:tc>
        <w:tc>
          <w:tcPr>
            <w:tcW w:w="1640" w:type="dxa"/>
            <w:vAlign w:val="bottom"/>
            <w:tcBorders>
              <w:bottom w:val="single" w:sz="8" w:color="auto"/>
            </w:tcBorders>
          </w:tcPr>
          <w:p>
            <w:pPr>
              <w:jc w:val="right"/>
              <w:ind w:right="754"/>
              <w:spacing w:after="0"/>
              <w:rPr>
                <w:sz w:val="20"/>
                <w:szCs w:val="20"/>
                <w:color w:val="auto"/>
              </w:rPr>
            </w:pPr>
            <w:r>
              <w:rPr>
                <w:rFonts w:ascii="Arial" w:cs="Arial" w:eastAsia="Arial" w:hAnsi="Arial"/>
                <w:sz w:val="14"/>
                <w:szCs w:val="14"/>
                <w:b w:val="1"/>
                <w:bCs w:val="1"/>
                <w:color w:val="auto"/>
              </w:rPr>
              <w:t>2014</w:t>
            </w:r>
          </w:p>
        </w:tc>
        <w:tc>
          <w:tcPr>
            <w:tcW w:w="14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2013</w:t>
            </w:r>
          </w:p>
        </w:tc>
      </w:tr>
      <w:tr>
        <w:trPr>
          <w:trHeight w:val="265"/>
        </w:trPr>
        <w:tc>
          <w:tcPr>
            <w:tcW w:w="4560" w:type="dxa"/>
            <w:vAlign w:val="bottom"/>
            <w:shd w:val="clear" w:color="auto" w:fill="D8D8D8"/>
          </w:tcPr>
          <w:p>
            <w:pPr>
              <w:ind w:left="40"/>
              <w:spacing w:after="0"/>
              <w:rPr>
                <w:sz w:val="20"/>
                <w:szCs w:val="20"/>
                <w:color w:val="auto"/>
              </w:rPr>
            </w:pPr>
            <w:r>
              <w:rPr>
                <w:rFonts w:ascii="Arial" w:cs="Arial" w:eastAsia="Arial" w:hAnsi="Arial"/>
                <w:sz w:val="18"/>
                <w:szCs w:val="18"/>
                <w:color w:val="auto"/>
              </w:rPr>
              <w:t>Expected dividend yield</w:t>
            </w:r>
          </w:p>
        </w:tc>
        <w:tc>
          <w:tcPr>
            <w:tcW w:w="3800" w:type="dxa"/>
            <w:vAlign w:val="bottom"/>
            <w:shd w:val="clear" w:color="auto" w:fill="D8D8D8"/>
          </w:tcPr>
          <w:p>
            <w:pPr>
              <w:jc w:val="right"/>
              <w:ind w:right="174"/>
              <w:spacing w:after="0"/>
              <w:rPr>
                <w:sz w:val="20"/>
                <w:szCs w:val="20"/>
                <w:color w:val="auto"/>
              </w:rPr>
            </w:pPr>
            <w:r>
              <w:rPr>
                <w:rFonts w:ascii="Arial" w:cs="Arial" w:eastAsia="Arial" w:hAnsi="Arial"/>
                <w:sz w:val="18"/>
                <w:szCs w:val="18"/>
                <w:b w:val="1"/>
                <w:bCs w:val="1"/>
                <w:color w:val="auto"/>
              </w:rPr>
              <w:t>2.50%</w:t>
            </w:r>
          </w:p>
        </w:tc>
        <w:tc>
          <w:tcPr>
            <w:tcW w:w="1640" w:type="dxa"/>
            <w:vAlign w:val="bottom"/>
            <w:shd w:val="clear" w:color="auto" w:fill="D8D8D8"/>
          </w:tcPr>
          <w:p>
            <w:pPr>
              <w:jc w:val="right"/>
              <w:ind w:right="174"/>
              <w:spacing w:after="0"/>
              <w:rPr>
                <w:sz w:val="20"/>
                <w:szCs w:val="20"/>
                <w:color w:val="auto"/>
              </w:rPr>
            </w:pPr>
            <w:r>
              <w:rPr>
                <w:rFonts w:ascii="Arial" w:cs="Arial" w:eastAsia="Arial" w:hAnsi="Arial"/>
                <w:sz w:val="18"/>
                <w:szCs w:val="18"/>
                <w:color w:val="auto"/>
              </w:rPr>
              <w:t>3.50%</w:t>
            </w:r>
          </w:p>
        </w:tc>
        <w:tc>
          <w:tcPr>
            <w:tcW w:w="1420" w:type="dxa"/>
            <w:vAlign w:val="bottom"/>
            <w:shd w:val="clear" w:color="auto" w:fill="D8D8D8"/>
          </w:tcPr>
          <w:p>
            <w:pPr>
              <w:jc w:val="right"/>
              <w:spacing w:after="0"/>
              <w:rPr>
                <w:sz w:val="20"/>
                <w:szCs w:val="20"/>
                <w:color w:val="auto"/>
              </w:rPr>
            </w:pPr>
            <w:r>
              <w:rPr>
                <w:rFonts w:ascii="Arial" w:cs="Arial" w:eastAsia="Arial" w:hAnsi="Arial"/>
                <w:sz w:val="18"/>
                <w:szCs w:val="18"/>
                <w:color w:val="auto"/>
              </w:rPr>
              <w:t>3.50%</w:t>
            </w:r>
          </w:p>
        </w:tc>
      </w:tr>
      <w:tr>
        <w:trPr>
          <w:trHeight w:val="269"/>
        </w:trPr>
        <w:tc>
          <w:tcPr>
            <w:tcW w:w="4560" w:type="dxa"/>
            <w:vAlign w:val="bottom"/>
          </w:tcPr>
          <w:p>
            <w:pPr>
              <w:ind w:left="40"/>
              <w:spacing w:after="0"/>
              <w:rPr>
                <w:sz w:val="20"/>
                <w:szCs w:val="20"/>
                <w:color w:val="auto"/>
              </w:rPr>
            </w:pPr>
            <w:r>
              <w:rPr>
                <w:rFonts w:ascii="Arial" w:cs="Arial" w:eastAsia="Arial" w:hAnsi="Arial"/>
                <w:sz w:val="18"/>
                <w:szCs w:val="18"/>
                <w:color w:val="auto"/>
              </w:rPr>
              <w:t>Risk-free interest rate</w:t>
            </w:r>
          </w:p>
        </w:tc>
        <w:tc>
          <w:tcPr>
            <w:tcW w:w="3800" w:type="dxa"/>
            <w:vAlign w:val="bottom"/>
          </w:tcPr>
          <w:p>
            <w:pPr>
              <w:jc w:val="right"/>
              <w:ind w:right="334"/>
              <w:spacing w:after="0"/>
              <w:rPr>
                <w:sz w:val="20"/>
                <w:szCs w:val="20"/>
                <w:color w:val="auto"/>
              </w:rPr>
            </w:pPr>
            <w:r>
              <w:rPr>
                <w:rFonts w:ascii="Arial" w:cs="Arial" w:eastAsia="Arial" w:hAnsi="Arial"/>
                <w:sz w:val="18"/>
                <w:szCs w:val="18"/>
                <w:b w:val="1"/>
                <w:bCs w:val="1"/>
                <w:color w:val="auto"/>
              </w:rPr>
              <w:t>0.79</w:t>
            </w:r>
          </w:p>
        </w:tc>
        <w:tc>
          <w:tcPr>
            <w:tcW w:w="1640" w:type="dxa"/>
            <w:vAlign w:val="bottom"/>
          </w:tcPr>
          <w:p>
            <w:pPr>
              <w:jc w:val="right"/>
              <w:ind w:right="334"/>
              <w:spacing w:after="0"/>
              <w:rPr>
                <w:sz w:val="20"/>
                <w:szCs w:val="20"/>
                <w:color w:val="auto"/>
              </w:rPr>
            </w:pPr>
            <w:r>
              <w:rPr>
                <w:rFonts w:ascii="Arial" w:cs="Arial" w:eastAsia="Arial" w:hAnsi="Arial"/>
                <w:sz w:val="18"/>
                <w:szCs w:val="18"/>
                <w:color w:val="auto"/>
              </w:rPr>
              <w:t>.08-.71</w:t>
            </w:r>
          </w:p>
        </w:tc>
        <w:tc>
          <w:tcPr>
            <w:tcW w:w="1420" w:type="dxa"/>
            <w:vAlign w:val="bottom"/>
          </w:tcPr>
          <w:p>
            <w:pPr>
              <w:jc w:val="right"/>
              <w:ind w:right="94"/>
              <w:spacing w:after="0"/>
              <w:rPr>
                <w:sz w:val="20"/>
                <w:szCs w:val="20"/>
                <w:color w:val="auto"/>
              </w:rPr>
            </w:pPr>
            <w:r>
              <w:rPr>
                <w:rFonts w:ascii="Arial" w:cs="Arial" w:eastAsia="Arial" w:hAnsi="Arial"/>
                <w:sz w:val="18"/>
                <w:szCs w:val="18"/>
                <w:color w:val="auto"/>
              </w:rPr>
              <w:t>.08-.43</w:t>
            </w:r>
          </w:p>
        </w:tc>
      </w:tr>
      <w:tr>
        <w:trPr>
          <w:trHeight w:val="271"/>
        </w:trPr>
        <w:tc>
          <w:tcPr>
            <w:tcW w:w="4560" w:type="dxa"/>
            <w:vAlign w:val="bottom"/>
            <w:shd w:val="clear" w:color="auto" w:fill="D8D8D8"/>
          </w:tcPr>
          <w:p>
            <w:pPr>
              <w:ind w:left="40"/>
              <w:spacing w:after="0"/>
              <w:rPr>
                <w:sz w:val="20"/>
                <w:szCs w:val="20"/>
                <w:color w:val="auto"/>
              </w:rPr>
            </w:pPr>
            <w:r>
              <w:rPr>
                <w:rFonts w:ascii="Arial" w:cs="Arial" w:eastAsia="Arial" w:hAnsi="Arial"/>
                <w:sz w:val="18"/>
                <w:szCs w:val="18"/>
                <w:color w:val="auto"/>
              </w:rPr>
              <w:t>Volatility</w:t>
            </w:r>
          </w:p>
        </w:tc>
        <w:tc>
          <w:tcPr>
            <w:tcW w:w="3800" w:type="dxa"/>
            <w:vAlign w:val="bottom"/>
            <w:shd w:val="clear" w:color="auto" w:fill="D8D8D8"/>
          </w:tcPr>
          <w:p>
            <w:pPr>
              <w:jc w:val="right"/>
              <w:ind w:right="334"/>
              <w:spacing w:after="0"/>
              <w:rPr>
                <w:sz w:val="20"/>
                <w:szCs w:val="20"/>
                <w:color w:val="auto"/>
              </w:rPr>
            </w:pPr>
            <w:r>
              <w:rPr>
                <w:rFonts w:ascii="Arial" w:cs="Arial" w:eastAsia="Arial" w:hAnsi="Arial"/>
                <w:sz w:val="18"/>
                <w:szCs w:val="18"/>
                <w:b w:val="1"/>
                <w:bCs w:val="1"/>
                <w:color w:val="auto"/>
              </w:rPr>
              <w:t>20.37</w:t>
            </w:r>
          </w:p>
        </w:tc>
        <w:tc>
          <w:tcPr>
            <w:tcW w:w="1640" w:type="dxa"/>
            <w:vAlign w:val="bottom"/>
            <w:shd w:val="clear" w:color="auto" w:fill="D8D8D8"/>
          </w:tcPr>
          <w:p>
            <w:pPr>
              <w:jc w:val="right"/>
              <w:ind w:right="334"/>
              <w:spacing w:after="0"/>
              <w:rPr>
                <w:sz w:val="20"/>
                <w:szCs w:val="20"/>
                <w:color w:val="auto"/>
              </w:rPr>
            </w:pPr>
            <w:r>
              <w:rPr>
                <w:rFonts w:ascii="Arial" w:cs="Arial" w:eastAsia="Arial" w:hAnsi="Arial"/>
                <w:sz w:val="18"/>
                <w:szCs w:val="18"/>
                <w:color w:val="auto"/>
              </w:rPr>
              <w:t>18.87-21.56</w:t>
            </w:r>
          </w:p>
        </w:tc>
        <w:tc>
          <w:tcPr>
            <w:tcW w:w="1420" w:type="dxa"/>
            <w:vAlign w:val="bottom"/>
            <w:shd w:val="clear" w:color="auto" w:fill="D8D8D8"/>
          </w:tcPr>
          <w:p>
            <w:pPr>
              <w:jc w:val="right"/>
              <w:ind w:right="94"/>
              <w:spacing w:after="0"/>
              <w:rPr>
                <w:sz w:val="20"/>
                <w:szCs w:val="20"/>
                <w:color w:val="auto"/>
              </w:rPr>
            </w:pPr>
            <w:r>
              <w:rPr>
                <w:rFonts w:ascii="Arial" w:cs="Arial" w:eastAsia="Arial" w:hAnsi="Arial"/>
                <w:sz w:val="18"/>
                <w:szCs w:val="18"/>
                <w:color w:val="auto"/>
              </w:rPr>
              <w:t>18.95-22.37</w:t>
            </w:r>
          </w:p>
        </w:tc>
      </w:tr>
    </w:tbl>
    <w:p>
      <w:pPr>
        <w:spacing w:after="0" w:line="85"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Pursuant to this program, approximately 1.4 million shares, 1.4 million shares, and 1.5 million shares were issued during the years ended December 31, 2015, 2014, and 2013, respectively. Approximately 1.0 million shares are expected to be issued in 2016. As of December 31, 2015, the total remaining unrecognized compensation cost related to nonvested SVAs was $59.9 million, which will be amortized over the weighted-average remaining requisite service period of 20 months.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Units</w:t>
      </w:r>
    </w:p>
    <w:p>
      <w:pPr>
        <w:spacing w:after="0" w:line="119"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RSUs are granted to certain employees and are payable in shares of our common stock. RSU shares are accounted for at fair value based upon the closing stock price on the date of grant. The corresponding expense is amortized over the vesting period, typically three years. The fair values of RSU awards granted during the years ended December 31, 2015, 2014, and 2013 were $71.69, $52.72, and $ 54.10, respectively. The number of shares ultimately issued for the RSU program remains constant with the exception of forfeitures. Pursuant to this program, 0.9 million, 1.2 million, and 1.1 million shares were granted and approximately 0.9 million, 0.9 million, and 0.8 million shares were issued during the years ended December 31, 2015, 2014, and 2013, respectively. Approximately 0.6 million shares are expected to be issued in 2016. As of December 31, 2015, the total remaining unrecognized compensation cost related to nonvested RSUs was $103.0 million, which will be amortized over the weighted-average remaining requisite service period of 24 months.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Note 12: Shareholders' Equity</w:t>
      </w:r>
    </w:p>
    <w:p>
      <w:pPr>
        <w:spacing w:after="0" w:line="119" w:lineRule="exact"/>
        <w:rPr>
          <w:sz w:val="20"/>
          <w:szCs w:val="20"/>
          <w:color w:val="auto"/>
        </w:rPr>
      </w:pPr>
    </w:p>
    <w:p>
      <w:pPr>
        <w:ind w:right="340"/>
        <w:spacing w:after="0" w:line="294" w:lineRule="auto"/>
        <w:rPr>
          <w:sz w:val="20"/>
          <w:szCs w:val="20"/>
          <w:color w:val="auto"/>
        </w:rPr>
      </w:pPr>
      <w:r>
        <w:rPr>
          <w:rFonts w:ascii="Arial" w:cs="Arial" w:eastAsia="Arial" w:hAnsi="Arial"/>
          <w:sz w:val="17"/>
          <w:szCs w:val="17"/>
          <w:color w:val="auto"/>
        </w:rPr>
        <w:t>During 2015, 2014, and 2013, we repurchased $749.5 million, $ 800.0 million and $500.0 million, respectively, of shares associated with our $5.00 billion share repurchase program announced in 2013. As of December 31, 2015, there were $2.95 billion of shares remaining in that program. During 2013, we repurchased $1.10 billion of shares, completing our $1.50 billion share repurchase program announced in 2012.</w:t>
      </w:r>
    </w:p>
    <w:p>
      <w:pPr>
        <w:spacing w:after="0" w:line="17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83</w:t>
      </w:r>
    </w:p>
    <w:p>
      <w:pPr>
        <w:sectPr>
          <w:pgSz w:w="11900" w:h="16838" w:orient="portrait"/>
          <w:cols w:equalWidth="0" w:num="1">
            <w:col w:w="11420"/>
          </w:cols>
          <w:pgMar w:left="240" w:top="736" w:right="239" w:bottom="1440" w:gutter="0" w:footer="0" w:header="0"/>
        </w:sectPr>
      </w:pPr>
    </w:p>
    <w:bookmarkStart w:id="83" w:name="page84"/>
    <w:bookmarkEnd w:id="83"/>
    <w:p>
      <w:pPr>
        <w:spacing w:after="0"/>
        <w:rPr>
          <w:sz w:val="20"/>
          <w:szCs w:val="20"/>
          <w:color w:val="auto"/>
        </w:rPr>
      </w:pPr>
      <w:r>
        <w:rPr>
          <w:rFonts w:ascii="Arial" w:cs="Arial" w:eastAsia="Arial" w:hAnsi="Arial"/>
          <w:sz w:val="18"/>
          <w:szCs w:val="18"/>
          <w:color w:val="auto"/>
        </w:rPr>
        <w:t>We have 5.0 million authorized shares of preferred stock. As of December 31, 2015 and 2014, no preferred stock has been issued.</w:t>
      </w:r>
    </w:p>
    <w:p>
      <w:pPr>
        <w:spacing w:after="0" w:line="117" w:lineRule="exact"/>
        <w:rPr>
          <w:sz w:val="20"/>
          <w:szCs w:val="20"/>
          <w:color w:val="auto"/>
        </w:rPr>
      </w:pPr>
    </w:p>
    <w:p>
      <w:pPr>
        <w:ind w:right="80"/>
        <w:spacing w:after="0" w:line="260" w:lineRule="auto"/>
        <w:rPr>
          <w:sz w:val="20"/>
          <w:szCs w:val="20"/>
          <w:color w:val="auto"/>
        </w:rPr>
      </w:pPr>
      <w:r>
        <w:rPr>
          <w:rFonts w:ascii="Arial" w:cs="Arial" w:eastAsia="Arial" w:hAnsi="Arial"/>
          <w:sz w:val="18"/>
          <w:szCs w:val="18"/>
          <w:color w:val="auto"/>
        </w:rPr>
        <w:t>We have an employee benefit trust that held 50.0 million shares of our common stock at both December 31, 2015 and 2014, to provide a source of funds to assist us in meeting our obligations under various employee benefit plans. The cost basis of the shares held in the trust was $3.01 billion at both December 31, 2015 and 2014, and is shown as a reduction in shareholders’ equity. Any dividend transactions between us and the trust are eliminated. Stock held by the trust is not considered outstanding in the computation of EPS. The assets of the trust were not used to fund any of our obligations under these employee benefit plans during the years ended December 31, 2015, 2014, and 2013.</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Note 13: Income Taxes</w:t>
      </w:r>
    </w:p>
    <w:p>
      <w:pPr>
        <w:spacing w:after="0" w:line="173"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Deferred taxes are recognized for the future tax effects of temporary differences between financial and income tax reporting based on enacted tax laws and rates. Federal income taxes are provided on the portion of the income of foreign subsidiaries that is expected to be remitted to the U.S. and be taxable. When foreign earnings are expected to be indefinitely reinvested outside the U.S., no accrual for U.S. income taxes is provided.</w:t>
      </w:r>
    </w:p>
    <w:p>
      <w:pPr>
        <w:spacing w:after="0" w:line="62"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We recognize the tax benefit from an uncertain tax position only if it is more likely than not that the tax position will be sustained on examination by the taxing authorities, based on the technical merits of the position. The tax benefits recognized in the financial statements from such a position are measured based on the largest benefit that has a greater than 50 percent likelihood of being realized upon ultimate resolution.</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color w:val="auto"/>
        </w:rPr>
        <w:t>Following is the composition of income tax expense:</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0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2015</w:t>
            </w:r>
          </w:p>
        </w:tc>
        <w:tc>
          <w:tcPr>
            <w:tcW w:w="3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2014</w:t>
            </w:r>
          </w:p>
        </w:tc>
        <w:tc>
          <w:tcPr>
            <w:tcW w:w="4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2013</w:t>
            </w:r>
          </w:p>
        </w:tc>
      </w:tr>
      <w:tr>
        <w:trPr>
          <w:trHeight w:val="245"/>
        </w:trPr>
        <w:tc>
          <w:tcPr>
            <w:tcW w:w="7080" w:type="dxa"/>
            <w:vAlign w:val="bottom"/>
            <w:tcBorders>
              <w:bottom w:val="single" w:sz="8" w:color="D8D8D8"/>
            </w:tcBorders>
            <w:shd w:val="clear" w:color="auto" w:fill="D8D8D8"/>
          </w:tcPr>
          <w:p>
            <w:pPr>
              <w:ind w:left="40"/>
              <w:spacing w:after="0"/>
              <w:rPr>
                <w:sz w:val="20"/>
                <w:szCs w:val="20"/>
                <w:color w:val="auto"/>
              </w:rPr>
            </w:pPr>
            <w:r>
              <w:rPr>
                <w:rFonts w:ascii="Arial" w:cs="Arial" w:eastAsia="Arial" w:hAnsi="Arial"/>
                <w:sz w:val="18"/>
                <w:szCs w:val="18"/>
                <w:color w:val="auto"/>
              </w:rPr>
              <w:t>Current:</w:t>
            </w:r>
          </w:p>
        </w:tc>
        <w:tc>
          <w:tcPr>
            <w:tcW w:w="320" w:type="dxa"/>
            <w:vAlign w:val="bottom"/>
            <w:tcBorders>
              <w:bottom w:val="single" w:sz="8" w:color="D8D8D8"/>
            </w:tcBorders>
            <w:shd w:val="clear" w:color="auto" w:fill="D8D8D8"/>
          </w:tcPr>
          <w:p>
            <w:pPr>
              <w:spacing w:after="0"/>
              <w:rPr>
                <w:sz w:val="21"/>
                <w:szCs w:val="21"/>
                <w:color w:val="auto"/>
              </w:rPr>
            </w:pPr>
          </w:p>
        </w:tc>
        <w:tc>
          <w:tcPr>
            <w:tcW w:w="1100" w:type="dxa"/>
            <w:vAlign w:val="bottom"/>
            <w:tcBorders>
              <w:bottom w:val="single" w:sz="8" w:color="D8D8D8"/>
            </w:tcBorders>
            <w:shd w:val="clear" w:color="auto" w:fill="D8D8D8"/>
          </w:tcPr>
          <w:p>
            <w:pPr>
              <w:spacing w:after="0"/>
              <w:rPr>
                <w:sz w:val="21"/>
                <w:szCs w:val="21"/>
                <w:color w:val="auto"/>
              </w:rPr>
            </w:pPr>
          </w:p>
        </w:tc>
        <w:tc>
          <w:tcPr>
            <w:tcW w:w="380" w:type="dxa"/>
            <w:vAlign w:val="bottom"/>
            <w:tcBorders>
              <w:bottom w:val="single" w:sz="8" w:color="D8D8D8"/>
            </w:tcBorders>
            <w:shd w:val="clear" w:color="auto" w:fill="D8D8D8"/>
          </w:tcPr>
          <w:p>
            <w:pPr>
              <w:spacing w:after="0"/>
              <w:rPr>
                <w:sz w:val="21"/>
                <w:szCs w:val="21"/>
                <w:color w:val="auto"/>
              </w:rPr>
            </w:pPr>
          </w:p>
        </w:tc>
        <w:tc>
          <w:tcPr>
            <w:tcW w:w="1100" w:type="dxa"/>
            <w:vAlign w:val="bottom"/>
            <w:tcBorders>
              <w:bottom w:val="single" w:sz="8" w:color="D8D8D8"/>
            </w:tcBorders>
            <w:shd w:val="clear" w:color="auto" w:fill="D8D8D8"/>
          </w:tcPr>
          <w:p>
            <w:pPr>
              <w:spacing w:after="0"/>
              <w:rPr>
                <w:sz w:val="21"/>
                <w:szCs w:val="21"/>
                <w:color w:val="auto"/>
              </w:rPr>
            </w:pPr>
          </w:p>
        </w:tc>
        <w:tc>
          <w:tcPr>
            <w:tcW w:w="400" w:type="dxa"/>
            <w:vAlign w:val="bottom"/>
            <w:tcBorders>
              <w:bottom w:val="single" w:sz="8" w:color="D8D8D8"/>
            </w:tcBorders>
            <w:shd w:val="clear" w:color="auto" w:fill="D8D8D8"/>
          </w:tcPr>
          <w:p>
            <w:pPr>
              <w:spacing w:after="0"/>
              <w:rPr>
                <w:sz w:val="21"/>
                <w:szCs w:val="21"/>
                <w:color w:val="auto"/>
              </w:rPr>
            </w:pPr>
          </w:p>
        </w:tc>
        <w:tc>
          <w:tcPr>
            <w:tcW w:w="1040" w:type="dxa"/>
            <w:vAlign w:val="bottom"/>
            <w:tcBorders>
              <w:bottom w:val="single" w:sz="8" w:color="D8D8D8"/>
            </w:tcBorders>
            <w:shd w:val="clear" w:color="auto" w:fill="D8D8D8"/>
          </w:tcPr>
          <w:p>
            <w:pPr>
              <w:spacing w:after="0"/>
              <w:rPr>
                <w:sz w:val="21"/>
                <w:szCs w:val="21"/>
                <w:color w:val="auto"/>
              </w:rPr>
            </w:pPr>
          </w:p>
        </w:tc>
      </w:tr>
      <w:tr>
        <w:trPr>
          <w:trHeight w:val="269"/>
        </w:trPr>
        <w:tc>
          <w:tcPr>
            <w:tcW w:w="7080" w:type="dxa"/>
            <w:vAlign w:val="bottom"/>
          </w:tcPr>
          <w:p>
            <w:pPr>
              <w:ind w:left="180"/>
              <w:spacing w:after="0"/>
              <w:rPr>
                <w:sz w:val="20"/>
                <w:szCs w:val="20"/>
                <w:color w:val="auto"/>
              </w:rPr>
            </w:pPr>
            <w:r>
              <w:rPr>
                <w:rFonts w:ascii="Arial" w:cs="Arial" w:eastAsia="Arial" w:hAnsi="Arial"/>
                <w:sz w:val="18"/>
                <w:szCs w:val="18"/>
                <w:color w:val="auto"/>
              </w:rPr>
              <w:t>Federal</w:t>
            </w: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Pr>
          <w:p>
            <w:pPr>
              <w:jc w:val="right"/>
              <w:ind w:right="72"/>
              <w:spacing w:after="0"/>
              <w:rPr>
                <w:sz w:val="20"/>
                <w:szCs w:val="20"/>
                <w:color w:val="auto"/>
              </w:rPr>
            </w:pPr>
            <w:r>
              <w:rPr>
                <w:rFonts w:ascii="Arial" w:cs="Arial" w:eastAsia="Arial" w:hAnsi="Arial"/>
                <w:sz w:val="18"/>
                <w:szCs w:val="18"/>
                <w:b w:val="1"/>
                <w:bCs w:val="1"/>
                <w:color w:val="auto"/>
              </w:rPr>
              <w:t>660.5</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168.9</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259.1</w:t>
            </w:r>
          </w:p>
        </w:tc>
      </w:tr>
      <w:tr>
        <w:trPr>
          <w:trHeight w:val="271"/>
        </w:trPr>
        <w:tc>
          <w:tcPr>
            <w:tcW w:w="7080" w:type="dxa"/>
            <w:vAlign w:val="bottom"/>
            <w:shd w:val="clear" w:color="auto" w:fill="D8D8D8"/>
          </w:tcPr>
          <w:p>
            <w:pPr>
              <w:ind w:left="180"/>
              <w:spacing w:after="0"/>
              <w:rPr>
                <w:sz w:val="20"/>
                <w:szCs w:val="20"/>
                <w:color w:val="auto"/>
              </w:rPr>
            </w:pPr>
            <w:r>
              <w:rPr>
                <w:rFonts w:ascii="Arial" w:cs="Arial" w:eastAsia="Arial" w:hAnsi="Arial"/>
                <w:sz w:val="18"/>
                <w:szCs w:val="18"/>
                <w:color w:val="auto"/>
              </w:rPr>
              <w:t>Foreign</w:t>
            </w:r>
          </w:p>
        </w:tc>
        <w:tc>
          <w:tcPr>
            <w:tcW w:w="320" w:type="dxa"/>
            <w:vAlign w:val="bottom"/>
            <w:shd w:val="clear" w:color="auto" w:fill="D8D8D8"/>
          </w:tcPr>
          <w:p>
            <w:pPr>
              <w:spacing w:after="0"/>
              <w:rPr>
                <w:sz w:val="23"/>
                <w:szCs w:val="23"/>
                <w:color w:val="auto"/>
              </w:rPr>
            </w:pPr>
          </w:p>
        </w:tc>
        <w:tc>
          <w:tcPr>
            <w:tcW w:w="1100" w:type="dxa"/>
            <w:vAlign w:val="bottom"/>
            <w:shd w:val="clear" w:color="auto" w:fill="D8D8D8"/>
          </w:tcPr>
          <w:p>
            <w:pPr>
              <w:jc w:val="right"/>
              <w:ind w:right="72"/>
              <w:spacing w:after="0"/>
              <w:rPr>
                <w:sz w:val="20"/>
                <w:szCs w:val="20"/>
                <w:color w:val="auto"/>
              </w:rPr>
            </w:pPr>
            <w:r>
              <w:rPr>
                <w:rFonts w:ascii="Arial" w:cs="Arial" w:eastAsia="Arial" w:hAnsi="Arial"/>
                <w:sz w:val="18"/>
                <w:szCs w:val="18"/>
                <w:b w:val="1"/>
                <w:bCs w:val="1"/>
                <w:color w:val="auto"/>
              </w:rPr>
              <w:t>422.0</w:t>
            </w:r>
          </w:p>
        </w:tc>
        <w:tc>
          <w:tcPr>
            <w:tcW w:w="380" w:type="dxa"/>
            <w:vAlign w:val="bottom"/>
            <w:shd w:val="clear" w:color="auto" w:fill="D8D8D8"/>
          </w:tcPr>
          <w:p>
            <w:pPr>
              <w:spacing w:after="0"/>
              <w:rPr>
                <w:sz w:val="23"/>
                <w:szCs w:val="23"/>
                <w:color w:val="auto"/>
              </w:rPr>
            </w:pPr>
          </w:p>
        </w:tc>
        <w:tc>
          <w:tcPr>
            <w:tcW w:w="1100" w:type="dxa"/>
            <w:vAlign w:val="bottom"/>
            <w:shd w:val="clear" w:color="auto" w:fill="D8D8D8"/>
          </w:tcPr>
          <w:p>
            <w:pPr>
              <w:jc w:val="right"/>
              <w:ind w:right="72"/>
              <w:spacing w:after="0"/>
              <w:rPr>
                <w:sz w:val="20"/>
                <w:szCs w:val="20"/>
                <w:color w:val="auto"/>
              </w:rPr>
            </w:pPr>
            <w:r>
              <w:rPr>
                <w:rFonts w:ascii="Arial" w:cs="Arial" w:eastAsia="Arial" w:hAnsi="Arial"/>
                <w:sz w:val="18"/>
                <w:szCs w:val="18"/>
                <w:color w:val="auto"/>
              </w:rPr>
              <w:t>406.2</w:t>
            </w:r>
          </w:p>
        </w:tc>
        <w:tc>
          <w:tcPr>
            <w:tcW w:w="400" w:type="dxa"/>
            <w:vAlign w:val="bottom"/>
            <w:shd w:val="clear" w:color="auto" w:fill="D8D8D8"/>
          </w:tcPr>
          <w:p>
            <w:pPr>
              <w:spacing w:after="0"/>
              <w:rPr>
                <w:sz w:val="23"/>
                <w:szCs w:val="23"/>
                <w:color w:val="auto"/>
              </w:rPr>
            </w:pPr>
          </w:p>
        </w:tc>
        <w:tc>
          <w:tcPr>
            <w:tcW w:w="1040" w:type="dxa"/>
            <w:vAlign w:val="bottom"/>
            <w:shd w:val="clear" w:color="auto" w:fill="D8D8D8"/>
          </w:tcPr>
          <w:p>
            <w:pPr>
              <w:jc w:val="right"/>
              <w:ind w:right="12"/>
              <w:spacing w:after="0"/>
              <w:rPr>
                <w:sz w:val="20"/>
                <w:szCs w:val="20"/>
                <w:color w:val="auto"/>
              </w:rPr>
            </w:pPr>
            <w:r>
              <w:rPr>
                <w:rFonts w:ascii="Arial" w:cs="Arial" w:eastAsia="Arial" w:hAnsi="Arial"/>
                <w:sz w:val="18"/>
                <w:szCs w:val="18"/>
                <w:color w:val="auto"/>
              </w:rPr>
              <w:t>553.2</w:t>
            </w:r>
          </w:p>
        </w:tc>
      </w:tr>
      <w:tr>
        <w:trPr>
          <w:trHeight w:val="269"/>
        </w:trPr>
        <w:tc>
          <w:tcPr>
            <w:tcW w:w="7080" w:type="dxa"/>
            <w:vAlign w:val="bottom"/>
            <w:tcBorders>
              <w:bottom w:val="single" w:sz="8" w:color="D8D8D8"/>
            </w:tcBorders>
          </w:tcPr>
          <w:p>
            <w:pPr>
              <w:ind w:left="180"/>
              <w:spacing w:after="0"/>
              <w:rPr>
                <w:sz w:val="20"/>
                <w:szCs w:val="20"/>
                <w:color w:val="auto"/>
              </w:rPr>
            </w:pPr>
            <w:r>
              <w:rPr>
                <w:rFonts w:ascii="Arial" w:cs="Arial" w:eastAsia="Arial" w:hAnsi="Arial"/>
                <w:sz w:val="18"/>
                <w:szCs w:val="18"/>
                <w:color w:val="auto"/>
              </w:rPr>
              <w:t>State</w:t>
            </w:r>
          </w:p>
        </w:tc>
        <w:tc>
          <w:tcPr>
            <w:tcW w:w="32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47.5</w:t>
            </w:r>
          </w:p>
        </w:tc>
        <w:tc>
          <w:tcPr>
            <w:tcW w:w="38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(2.1)</w:t>
            </w:r>
          </w:p>
        </w:tc>
        <w:tc>
          <w:tcPr>
            <w:tcW w:w="4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126.3</w:t>
            </w:r>
          </w:p>
        </w:tc>
      </w:tr>
      <w:tr>
        <w:trPr>
          <w:trHeight w:val="264"/>
        </w:trPr>
        <w:tc>
          <w:tcPr>
            <w:tcW w:w="7080" w:type="dxa"/>
            <w:vAlign w:val="bottom"/>
            <w:shd w:val="clear" w:color="auto" w:fill="D8D8D8"/>
          </w:tcPr>
          <w:p>
            <w:pPr>
              <w:ind w:left="380"/>
              <w:spacing w:after="0"/>
              <w:rPr>
                <w:sz w:val="20"/>
                <w:szCs w:val="20"/>
                <w:color w:val="auto"/>
              </w:rPr>
            </w:pPr>
            <w:r>
              <w:rPr>
                <w:rFonts w:ascii="Arial" w:cs="Arial" w:eastAsia="Arial" w:hAnsi="Arial"/>
                <w:sz w:val="18"/>
                <w:szCs w:val="18"/>
                <w:color w:val="auto"/>
              </w:rPr>
              <w:t>Total current tax expense</w:t>
            </w:r>
          </w:p>
        </w:tc>
        <w:tc>
          <w:tcPr>
            <w:tcW w:w="320" w:type="dxa"/>
            <w:vAlign w:val="bottom"/>
            <w:shd w:val="clear" w:color="auto" w:fill="D8D8D8"/>
          </w:tcPr>
          <w:p>
            <w:pPr>
              <w:spacing w:after="0"/>
              <w:rPr>
                <w:sz w:val="22"/>
                <w:szCs w:val="22"/>
                <w:color w:val="auto"/>
              </w:rPr>
            </w:pPr>
          </w:p>
        </w:tc>
        <w:tc>
          <w:tcPr>
            <w:tcW w:w="1100" w:type="dxa"/>
            <w:vAlign w:val="bottom"/>
            <w:shd w:val="clear" w:color="auto" w:fill="D8D8D8"/>
          </w:tcPr>
          <w:p>
            <w:pPr>
              <w:jc w:val="right"/>
              <w:ind w:right="72"/>
              <w:spacing w:after="0"/>
              <w:rPr>
                <w:sz w:val="20"/>
                <w:szCs w:val="20"/>
                <w:color w:val="auto"/>
              </w:rPr>
            </w:pPr>
            <w:r>
              <w:rPr>
                <w:rFonts w:ascii="Arial" w:cs="Arial" w:eastAsia="Arial" w:hAnsi="Arial"/>
                <w:sz w:val="18"/>
                <w:szCs w:val="18"/>
                <w:b w:val="1"/>
                <w:bCs w:val="1"/>
                <w:color w:val="auto"/>
              </w:rPr>
              <w:t>1,130.0</w:t>
            </w:r>
          </w:p>
        </w:tc>
        <w:tc>
          <w:tcPr>
            <w:tcW w:w="380" w:type="dxa"/>
            <w:vAlign w:val="bottom"/>
            <w:shd w:val="clear" w:color="auto" w:fill="D8D8D8"/>
          </w:tcPr>
          <w:p>
            <w:pPr>
              <w:spacing w:after="0"/>
              <w:rPr>
                <w:sz w:val="22"/>
                <w:szCs w:val="22"/>
                <w:color w:val="auto"/>
              </w:rPr>
            </w:pPr>
          </w:p>
        </w:tc>
        <w:tc>
          <w:tcPr>
            <w:tcW w:w="1100" w:type="dxa"/>
            <w:vAlign w:val="bottom"/>
            <w:shd w:val="clear" w:color="auto" w:fill="D8D8D8"/>
          </w:tcPr>
          <w:p>
            <w:pPr>
              <w:jc w:val="right"/>
              <w:ind w:right="72"/>
              <w:spacing w:after="0"/>
              <w:rPr>
                <w:sz w:val="20"/>
                <w:szCs w:val="20"/>
                <w:color w:val="auto"/>
              </w:rPr>
            </w:pPr>
            <w:r>
              <w:rPr>
                <w:rFonts w:ascii="Arial" w:cs="Arial" w:eastAsia="Arial" w:hAnsi="Arial"/>
                <w:sz w:val="18"/>
                <w:szCs w:val="18"/>
                <w:color w:val="auto"/>
              </w:rPr>
              <w:t>573.0</w:t>
            </w:r>
          </w:p>
        </w:tc>
        <w:tc>
          <w:tcPr>
            <w:tcW w:w="400" w:type="dxa"/>
            <w:vAlign w:val="bottom"/>
            <w:shd w:val="clear" w:color="auto" w:fill="D8D8D8"/>
          </w:tcPr>
          <w:p>
            <w:pPr>
              <w:spacing w:after="0"/>
              <w:rPr>
                <w:sz w:val="22"/>
                <w:szCs w:val="22"/>
                <w:color w:val="auto"/>
              </w:rPr>
            </w:pPr>
          </w:p>
        </w:tc>
        <w:tc>
          <w:tcPr>
            <w:tcW w:w="1040" w:type="dxa"/>
            <w:vAlign w:val="bottom"/>
            <w:shd w:val="clear" w:color="auto" w:fill="D8D8D8"/>
          </w:tcPr>
          <w:p>
            <w:pPr>
              <w:jc w:val="right"/>
              <w:ind w:right="12"/>
              <w:spacing w:after="0"/>
              <w:rPr>
                <w:sz w:val="20"/>
                <w:szCs w:val="20"/>
                <w:color w:val="auto"/>
              </w:rPr>
            </w:pPr>
            <w:r>
              <w:rPr>
                <w:rFonts w:ascii="Arial" w:cs="Arial" w:eastAsia="Arial" w:hAnsi="Arial"/>
                <w:sz w:val="18"/>
                <w:szCs w:val="18"/>
                <w:color w:val="auto"/>
              </w:rPr>
              <w:t>938.6</w:t>
            </w:r>
          </w:p>
        </w:tc>
      </w:tr>
      <w:tr>
        <w:trPr>
          <w:trHeight w:val="247"/>
        </w:trPr>
        <w:tc>
          <w:tcPr>
            <w:tcW w:w="7080" w:type="dxa"/>
            <w:vAlign w:val="bottom"/>
          </w:tcPr>
          <w:p>
            <w:pPr>
              <w:ind w:left="40"/>
              <w:spacing w:after="0"/>
              <w:rPr>
                <w:sz w:val="20"/>
                <w:szCs w:val="20"/>
                <w:color w:val="auto"/>
              </w:rPr>
            </w:pPr>
            <w:r>
              <w:rPr>
                <w:rFonts w:ascii="Arial" w:cs="Arial" w:eastAsia="Arial" w:hAnsi="Arial"/>
                <w:sz w:val="18"/>
                <w:szCs w:val="18"/>
                <w:color w:val="auto"/>
              </w:rPr>
              <w:t>Deferred:</w:t>
            </w: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3"/>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080" w:type="dxa"/>
            <w:vAlign w:val="bottom"/>
            <w:shd w:val="clear" w:color="auto" w:fill="D8D8D8"/>
          </w:tcPr>
          <w:p>
            <w:pPr>
              <w:ind w:left="180"/>
              <w:spacing w:after="0"/>
              <w:rPr>
                <w:sz w:val="20"/>
                <w:szCs w:val="20"/>
                <w:color w:val="auto"/>
              </w:rPr>
            </w:pPr>
            <w:r>
              <w:rPr>
                <w:rFonts w:ascii="Arial" w:cs="Arial" w:eastAsia="Arial" w:hAnsi="Arial"/>
                <w:sz w:val="18"/>
                <w:szCs w:val="18"/>
                <w:color w:val="auto"/>
              </w:rPr>
              <w:t>Federal</w:t>
            </w:r>
          </w:p>
        </w:tc>
        <w:tc>
          <w:tcPr>
            <w:tcW w:w="320" w:type="dxa"/>
            <w:vAlign w:val="bottom"/>
            <w:shd w:val="clear" w:color="auto" w:fill="D8D8D8"/>
          </w:tcPr>
          <w:p>
            <w:pPr>
              <w:spacing w:after="0"/>
              <w:rPr>
                <w:sz w:val="23"/>
                <w:szCs w:val="23"/>
                <w:color w:val="auto"/>
              </w:rPr>
            </w:pPr>
          </w:p>
        </w:tc>
        <w:tc>
          <w:tcPr>
            <w:tcW w:w="1100" w:type="dxa"/>
            <w:vAlign w:val="bottom"/>
            <w:shd w:val="clear" w:color="auto" w:fill="D8D8D8"/>
          </w:tcPr>
          <w:p>
            <w:pPr>
              <w:jc w:val="right"/>
              <w:ind w:right="12"/>
              <w:spacing w:after="0"/>
              <w:rPr>
                <w:sz w:val="20"/>
                <w:szCs w:val="20"/>
                <w:color w:val="auto"/>
              </w:rPr>
            </w:pPr>
            <w:r>
              <w:rPr>
                <w:rFonts w:ascii="Arial" w:cs="Arial" w:eastAsia="Arial" w:hAnsi="Arial"/>
                <w:sz w:val="18"/>
                <w:szCs w:val="18"/>
                <w:b w:val="1"/>
                <w:bCs w:val="1"/>
                <w:color w:val="auto"/>
              </w:rPr>
              <w:t>(689.6)</w:t>
            </w:r>
          </w:p>
        </w:tc>
        <w:tc>
          <w:tcPr>
            <w:tcW w:w="380" w:type="dxa"/>
            <w:vAlign w:val="bottom"/>
            <w:shd w:val="clear" w:color="auto" w:fill="D8D8D8"/>
          </w:tcPr>
          <w:p>
            <w:pPr>
              <w:spacing w:after="0"/>
              <w:rPr>
                <w:sz w:val="23"/>
                <w:szCs w:val="23"/>
                <w:color w:val="auto"/>
              </w:rPr>
            </w:pPr>
          </w:p>
        </w:tc>
        <w:tc>
          <w:tcPr>
            <w:tcW w:w="1100" w:type="dxa"/>
            <w:vAlign w:val="bottom"/>
            <w:shd w:val="clear" w:color="auto" w:fill="D8D8D8"/>
          </w:tcPr>
          <w:p>
            <w:pPr>
              <w:jc w:val="right"/>
              <w:ind w:right="12"/>
              <w:spacing w:after="0"/>
              <w:rPr>
                <w:sz w:val="20"/>
                <w:szCs w:val="20"/>
                <w:color w:val="auto"/>
              </w:rPr>
            </w:pPr>
            <w:r>
              <w:rPr>
                <w:rFonts w:ascii="Arial" w:cs="Arial" w:eastAsia="Arial" w:hAnsi="Arial"/>
                <w:sz w:val="18"/>
                <w:szCs w:val="18"/>
                <w:color w:val="auto"/>
              </w:rPr>
              <w:t>(83.3)</w:t>
            </w:r>
          </w:p>
        </w:tc>
        <w:tc>
          <w:tcPr>
            <w:tcW w:w="400" w:type="dxa"/>
            <w:vAlign w:val="bottom"/>
            <w:shd w:val="clear" w:color="auto" w:fill="D8D8D8"/>
          </w:tcPr>
          <w:p>
            <w:pPr>
              <w:spacing w:after="0"/>
              <w:rPr>
                <w:sz w:val="23"/>
                <w:szCs w:val="23"/>
                <w:color w:val="auto"/>
              </w:rPr>
            </w:pPr>
          </w:p>
        </w:tc>
        <w:tc>
          <w:tcPr>
            <w:tcW w:w="1040" w:type="dxa"/>
            <w:vAlign w:val="bottom"/>
            <w:shd w:val="clear" w:color="auto" w:fill="D8D8D8"/>
          </w:tcPr>
          <w:p>
            <w:pPr>
              <w:jc w:val="right"/>
              <w:ind w:right="12"/>
              <w:spacing w:after="0"/>
              <w:rPr>
                <w:sz w:val="20"/>
                <w:szCs w:val="20"/>
                <w:color w:val="auto"/>
              </w:rPr>
            </w:pPr>
            <w:r>
              <w:rPr>
                <w:rFonts w:ascii="Arial" w:cs="Arial" w:eastAsia="Arial" w:hAnsi="Arial"/>
                <w:sz w:val="18"/>
                <w:szCs w:val="18"/>
                <w:color w:val="auto"/>
              </w:rPr>
              <w:t>297.0</w:t>
            </w:r>
          </w:p>
        </w:tc>
      </w:tr>
      <w:tr>
        <w:trPr>
          <w:trHeight w:val="269"/>
        </w:trPr>
        <w:tc>
          <w:tcPr>
            <w:tcW w:w="7080" w:type="dxa"/>
            <w:vAlign w:val="bottom"/>
          </w:tcPr>
          <w:p>
            <w:pPr>
              <w:ind w:left="180"/>
              <w:spacing w:after="0"/>
              <w:rPr>
                <w:sz w:val="20"/>
                <w:szCs w:val="20"/>
                <w:color w:val="auto"/>
              </w:rPr>
            </w:pPr>
            <w:r>
              <w:rPr>
                <w:rFonts w:ascii="Arial" w:cs="Arial" w:eastAsia="Arial" w:hAnsi="Arial"/>
                <w:sz w:val="18"/>
                <w:szCs w:val="18"/>
                <w:color w:val="auto"/>
              </w:rPr>
              <w:t>Foreign</w:t>
            </w:r>
          </w:p>
        </w:tc>
        <w:tc>
          <w:tcPr>
            <w:tcW w:w="320" w:type="dxa"/>
            <w:vAlign w:val="bottom"/>
          </w:tcPr>
          <w:p>
            <w:pPr>
              <w:spacing w:after="0"/>
              <w:rPr>
                <w:sz w:val="23"/>
                <w:szCs w:val="23"/>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b w:val="1"/>
                <w:bCs w:val="1"/>
                <w:color w:val="auto"/>
              </w:rPr>
              <w:t>(66.0)</w:t>
            </w:r>
          </w:p>
        </w:tc>
        <w:tc>
          <w:tcPr>
            <w:tcW w:w="380" w:type="dxa"/>
            <w:vAlign w:val="bottom"/>
          </w:tcPr>
          <w:p>
            <w:pPr>
              <w:spacing w:after="0"/>
              <w:rPr>
                <w:sz w:val="23"/>
                <w:szCs w:val="23"/>
                <w:color w:val="auto"/>
              </w:rPr>
            </w:pP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120.2</w:t>
            </w:r>
          </w:p>
        </w:tc>
        <w:tc>
          <w:tcPr>
            <w:tcW w:w="4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(28.2)</w:t>
            </w:r>
          </w:p>
        </w:tc>
      </w:tr>
      <w:tr>
        <w:trPr>
          <w:trHeight w:val="271"/>
        </w:trPr>
        <w:tc>
          <w:tcPr>
            <w:tcW w:w="7080" w:type="dxa"/>
            <w:vAlign w:val="bottom"/>
            <w:shd w:val="clear" w:color="auto" w:fill="D8D8D8"/>
          </w:tcPr>
          <w:p>
            <w:pPr>
              <w:ind w:left="180"/>
              <w:spacing w:after="0"/>
              <w:rPr>
                <w:sz w:val="20"/>
                <w:szCs w:val="20"/>
                <w:color w:val="auto"/>
              </w:rPr>
            </w:pPr>
            <w:r>
              <w:rPr>
                <w:rFonts w:ascii="Arial" w:cs="Arial" w:eastAsia="Arial" w:hAnsi="Arial"/>
                <w:sz w:val="18"/>
                <w:szCs w:val="18"/>
                <w:color w:val="auto"/>
              </w:rPr>
              <w:t>State</w:t>
            </w:r>
          </w:p>
        </w:tc>
        <w:tc>
          <w:tcPr>
            <w:tcW w:w="320" w:type="dxa"/>
            <w:vAlign w:val="bottom"/>
            <w:tcBorders>
              <w:bottom w:val="single" w:sz="8" w:color="auto"/>
            </w:tcBorders>
            <w:shd w:val="clear" w:color="auto" w:fill="D8D8D8"/>
          </w:tcPr>
          <w:p>
            <w:pPr>
              <w:spacing w:after="0"/>
              <w:rPr>
                <w:sz w:val="23"/>
                <w:szCs w:val="23"/>
                <w:color w:val="auto"/>
              </w:rPr>
            </w:pPr>
          </w:p>
        </w:tc>
        <w:tc>
          <w:tcPr>
            <w:tcW w:w="1100" w:type="dxa"/>
            <w:vAlign w:val="bottom"/>
            <w:tcBorders>
              <w:bottom w:val="single" w:sz="8" w:color="auto"/>
            </w:tcBorders>
            <w:shd w:val="clear" w:color="auto" w:fill="D8D8D8"/>
          </w:tcPr>
          <w:p>
            <w:pPr>
              <w:jc w:val="right"/>
              <w:ind w:right="72"/>
              <w:spacing w:after="0"/>
              <w:rPr>
                <w:sz w:val="20"/>
                <w:szCs w:val="20"/>
                <w:color w:val="auto"/>
              </w:rPr>
            </w:pPr>
            <w:r>
              <w:rPr>
                <w:rFonts w:ascii="Arial" w:cs="Arial" w:eastAsia="Arial" w:hAnsi="Arial"/>
                <w:sz w:val="18"/>
                <w:szCs w:val="18"/>
                <w:b w:val="1"/>
                <w:bCs w:val="1"/>
                <w:color w:val="auto"/>
              </w:rPr>
              <w:t>7.2</w:t>
            </w:r>
          </w:p>
        </w:tc>
        <w:tc>
          <w:tcPr>
            <w:tcW w:w="380" w:type="dxa"/>
            <w:vAlign w:val="bottom"/>
            <w:tcBorders>
              <w:bottom w:val="single" w:sz="8" w:color="auto"/>
            </w:tcBorders>
            <w:shd w:val="clear" w:color="auto" w:fill="D8D8D8"/>
          </w:tcPr>
          <w:p>
            <w:pPr>
              <w:spacing w:after="0"/>
              <w:rPr>
                <w:sz w:val="23"/>
                <w:szCs w:val="23"/>
                <w:color w:val="auto"/>
              </w:rPr>
            </w:pPr>
          </w:p>
        </w:tc>
        <w:tc>
          <w:tcPr>
            <w:tcW w:w="1100" w:type="dxa"/>
            <w:vAlign w:val="bottom"/>
            <w:tcBorders>
              <w:bottom w:val="single" w:sz="8" w:color="auto"/>
            </w:tcBorders>
            <w:shd w:val="clear" w:color="auto" w:fill="D8D8D8"/>
          </w:tcPr>
          <w:p>
            <w:pPr>
              <w:jc w:val="right"/>
              <w:ind w:right="12"/>
              <w:spacing w:after="0"/>
              <w:rPr>
                <w:sz w:val="20"/>
                <w:szCs w:val="20"/>
                <w:color w:val="auto"/>
              </w:rPr>
            </w:pPr>
            <w:r>
              <w:rPr>
                <w:rFonts w:ascii="Arial" w:cs="Arial" w:eastAsia="Arial" w:hAnsi="Arial"/>
                <w:sz w:val="18"/>
                <w:szCs w:val="18"/>
                <w:color w:val="auto"/>
              </w:rPr>
              <w:t>(0.1)</w:t>
            </w:r>
          </w:p>
        </w:tc>
        <w:tc>
          <w:tcPr>
            <w:tcW w:w="400" w:type="dxa"/>
            <w:vAlign w:val="bottom"/>
            <w:tcBorders>
              <w:bottom w:val="single" w:sz="8" w:color="auto"/>
            </w:tcBorders>
            <w:shd w:val="clear" w:color="auto" w:fill="D8D8D8"/>
          </w:tcPr>
          <w:p>
            <w:pPr>
              <w:spacing w:after="0"/>
              <w:rPr>
                <w:sz w:val="23"/>
                <w:szCs w:val="23"/>
                <w:color w:val="auto"/>
              </w:rPr>
            </w:pPr>
          </w:p>
        </w:tc>
        <w:tc>
          <w:tcPr>
            <w:tcW w:w="104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(2.9)</w:t>
            </w:r>
          </w:p>
        </w:tc>
      </w:tr>
      <w:tr>
        <w:trPr>
          <w:trHeight w:val="263"/>
        </w:trPr>
        <w:tc>
          <w:tcPr>
            <w:tcW w:w="7080" w:type="dxa"/>
            <w:vAlign w:val="bottom"/>
            <w:tcBorders>
              <w:bottom w:val="single" w:sz="8" w:color="D8D8D8"/>
            </w:tcBorders>
          </w:tcPr>
          <w:p>
            <w:pPr>
              <w:ind w:left="380"/>
              <w:spacing w:after="0"/>
              <w:rPr>
                <w:sz w:val="20"/>
                <w:szCs w:val="20"/>
                <w:color w:val="auto"/>
              </w:rPr>
            </w:pPr>
            <w:r>
              <w:rPr>
                <w:rFonts w:ascii="Arial" w:cs="Arial" w:eastAsia="Arial" w:hAnsi="Arial"/>
                <w:sz w:val="18"/>
                <w:szCs w:val="18"/>
                <w:color w:val="auto"/>
              </w:rPr>
              <w:t>Total deferred tax (benefit) expense</w:t>
            </w: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(748.4)</w:t>
            </w:r>
          </w:p>
        </w:tc>
        <w:tc>
          <w:tcPr>
            <w:tcW w:w="3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36.8</w:t>
            </w:r>
          </w:p>
        </w:tc>
        <w:tc>
          <w:tcPr>
            <w:tcW w:w="4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265.9</w:t>
            </w:r>
          </w:p>
        </w:tc>
      </w:tr>
      <w:tr>
        <w:trPr>
          <w:trHeight w:val="284"/>
        </w:trPr>
        <w:tc>
          <w:tcPr>
            <w:tcW w:w="7080" w:type="dxa"/>
            <w:vAlign w:val="bottom"/>
            <w:tcBorders>
              <w:bottom w:val="single" w:sz="8" w:color="D8D8D8"/>
            </w:tcBorders>
            <w:shd w:val="clear" w:color="auto" w:fill="D8D8D8"/>
          </w:tcPr>
          <w:p>
            <w:pPr>
              <w:ind w:left="40"/>
              <w:spacing w:after="0"/>
              <w:rPr>
                <w:sz w:val="20"/>
                <w:szCs w:val="20"/>
                <w:color w:val="auto"/>
              </w:rPr>
            </w:pPr>
            <w:r>
              <w:rPr>
                <w:rFonts w:ascii="Arial" w:cs="Arial" w:eastAsia="Arial" w:hAnsi="Arial"/>
                <w:sz w:val="18"/>
                <w:szCs w:val="18"/>
                <w:color w:val="auto"/>
              </w:rPr>
              <w:t>Income taxes</w:t>
            </w:r>
          </w:p>
        </w:tc>
        <w:tc>
          <w:tcPr>
            <w:tcW w:w="320" w:type="dxa"/>
            <w:vAlign w:val="bottom"/>
            <w:tcBorders>
              <w:bottom w:val="single" w:sz="8" w:color="auto"/>
            </w:tcBorders>
            <w:shd w:val="clear" w:color="auto" w:fill="D8D8D8"/>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D8D8D8"/>
          </w:tcPr>
          <w:p>
            <w:pPr>
              <w:jc w:val="right"/>
              <w:ind w:right="72"/>
              <w:spacing w:after="0"/>
              <w:rPr>
                <w:sz w:val="20"/>
                <w:szCs w:val="20"/>
                <w:color w:val="auto"/>
              </w:rPr>
            </w:pPr>
            <w:r>
              <w:rPr>
                <w:rFonts w:ascii="Arial" w:cs="Arial" w:eastAsia="Arial" w:hAnsi="Arial"/>
                <w:sz w:val="18"/>
                <w:szCs w:val="18"/>
                <w:b w:val="1"/>
                <w:bCs w:val="1"/>
                <w:color w:val="auto"/>
              </w:rPr>
              <w:t>381.6</w:t>
            </w:r>
          </w:p>
        </w:tc>
        <w:tc>
          <w:tcPr>
            <w:tcW w:w="380" w:type="dxa"/>
            <w:vAlign w:val="bottom"/>
            <w:tcBorders>
              <w:bottom w:val="single" w:sz="8" w:color="auto"/>
            </w:tcBorders>
            <w:shd w:val="clear" w:color="auto" w:fill="D8D8D8"/>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D8D8D8"/>
          </w:tcPr>
          <w:p>
            <w:pPr>
              <w:jc w:val="right"/>
              <w:ind w:right="72"/>
              <w:spacing w:after="0"/>
              <w:rPr>
                <w:sz w:val="20"/>
                <w:szCs w:val="20"/>
                <w:color w:val="auto"/>
              </w:rPr>
            </w:pPr>
            <w:r>
              <w:rPr>
                <w:rFonts w:ascii="Arial" w:cs="Arial" w:eastAsia="Arial" w:hAnsi="Arial"/>
                <w:sz w:val="18"/>
                <w:szCs w:val="18"/>
                <w:color w:val="auto"/>
              </w:rPr>
              <w:t>609.8</w:t>
            </w:r>
          </w:p>
        </w:tc>
        <w:tc>
          <w:tcPr>
            <w:tcW w:w="400" w:type="dxa"/>
            <w:vAlign w:val="bottom"/>
            <w:tcBorders>
              <w:bottom w:val="single" w:sz="8" w:color="auto"/>
            </w:tcBorders>
            <w:shd w:val="clear" w:color="auto" w:fill="D8D8D8"/>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D8D8D8"/>
          </w:tcPr>
          <w:p>
            <w:pPr>
              <w:jc w:val="right"/>
              <w:ind w:right="12"/>
              <w:spacing w:after="0"/>
              <w:rPr>
                <w:sz w:val="20"/>
                <w:szCs w:val="20"/>
                <w:color w:val="auto"/>
              </w:rPr>
            </w:pPr>
            <w:r>
              <w:rPr>
                <w:rFonts w:ascii="Arial" w:cs="Arial" w:eastAsia="Arial" w:hAnsi="Arial"/>
                <w:sz w:val="18"/>
                <w:szCs w:val="18"/>
                <w:color w:val="auto"/>
              </w:rPr>
              <w:t>1,204.5</w:t>
            </w:r>
          </w:p>
        </w:tc>
      </w:tr>
      <w:tr>
        <w:trPr>
          <w:trHeight w:val="447"/>
        </w:trPr>
        <w:tc>
          <w:tcPr>
            <w:tcW w:w="70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84</w:t>
            </w: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1420"/>
          </w:cols>
          <w:pgMar w:left="240" w:top="684" w:right="239" w:bottom="1440" w:gutter="0" w:footer="0" w:header="0"/>
        </w:sectPr>
      </w:pPr>
    </w:p>
    <w:bookmarkStart w:id="84" w:name="page85"/>
    <w:bookmarkEnd w:id="84"/>
    <w:p>
      <w:pPr>
        <w:spacing w:after="0"/>
        <w:rPr>
          <w:sz w:val="20"/>
          <w:szCs w:val="20"/>
          <w:color w:val="auto"/>
        </w:rPr>
      </w:pPr>
      <w:r>
        <w:rPr>
          <w:rFonts w:ascii="Arial" w:cs="Arial" w:eastAsia="Arial" w:hAnsi="Arial"/>
          <w:sz w:val="18"/>
          <w:szCs w:val="18"/>
          <w:color w:val="auto"/>
        </w:rPr>
        <w:t>Significant components of our deferred tax assets and liabilities as of December 31 are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5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2015</w:t>
            </w:r>
          </w:p>
        </w:tc>
        <w:tc>
          <w:tcPr>
            <w:tcW w:w="4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2014</w:t>
            </w:r>
          </w:p>
        </w:tc>
      </w:tr>
      <w:tr>
        <w:trPr>
          <w:trHeight w:val="245"/>
        </w:trPr>
        <w:tc>
          <w:tcPr>
            <w:tcW w:w="8520" w:type="dxa"/>
            <w:vAlign w:val="bottom"/>
            <w:tcBorders>
              <w:bottom w:val="single" w:sz="8" w:color="D8D8D8"/>
            </w:tcBorders>
            <w:shd w:val="clear" w:color="auto" w:fill="D8D8D8"/>
          </w:tcPr>
          <w:p>
            <w:pPr>
              <w:ind w:left="40"/>
              <w:spacing w:after="0"/>
              <w:rPr>
                <w:sz w:val="20"/>
                <w:szCs w:val="20"/>
                <w:color w:val="auto"/>
              </w:rPr>
            </w:pPr>
            <w:r>
              <w:rPr>
                <w:rFonts w:ascii="Arial" w:cs="Arial" w:eastAsia="Arial" w:hAnsi="Arial"/>
                <w:sz w:val="18"/>
                <w:szCs w:val="18"/>
                <w:color w:val="auto"/>
              </w:rPr>
              <w:t>Deferred tax assets:</w:t>
            </w:r>
          </w:p>
        </w:tc>
        <w:tc>
          <w:tcPr>
            <w:tcW w:w="340" w:type="dxa"/>
            <w:vAlign w:val="bottom"/>
            <w:tcBorders>
              <w:bottom w:val="single" w:sz="8" w:color="D8D8D8"/>
            </w:tcBorders>
            <w:shd w:val="clear" w:color="auto" w:fill="D8D8D8"/>
          </w:tcPr>
          <w:p>
            <w:pPr>
              <w:spacing w:after="0"/>
              <w:rPr>
                <w:sz w:val="21"/>
                <w:szCs w:val="21"/>
                <w:color w:val="auto"/>
              </w:rPr>
            </w:pPr>
          </w:p>
        </w:tc>
        <w:tc>
          <w:tcPr>
            <w:tcW w:w="1040" w:type="dxa"/>
            <w:vAlign w:val="bottom"/>
            <w:tcBorders>
              <w:bottom w:val="single" w:sz="8" w:color="D8D8D8"/>
            </w:tcBorders>
            <w:shd w:val="clear" w:color="auto" w:fill="D8D8D8"/>
          </w:tcPr>
          <w:p>
            <w:pPr>
              <w:spacing w:after="0"/>
              <w:rPr>
                <w:sz w:val="21"/>
                <w:szCs w:val="21"/>
                <w:color w:val="auto"/>
              </w:rPr>
            </w:pPr>
          </w:p>
        </w:tc>
        <w:tc>
          <w:tcPr>
            <w:tcW w:w="440" w:type="dxa"/>
            <w:vAlign w:val="bottom"/>
            <w:tcBorders>
              <w:bottom w:val="single" w:sz="8" w:color="D8D8D8"/>
            </w:tcBorders>
            <w:shd w:val="clear" w:color="auto" w:fill="D8D8D8"/>
          </w:tcPr>
          <w:p>
            <w:pPr>
              <w:spacing w:after="0"/>
              <w:rPr>
                <w:sz w:val="21"/>
                <w:szCs w:val="21"/>
                <w:color w:val="auto"/>
              </w:rPr>
            </w:pPr>
          </w:p>
        </w:tc>
        <w:tc>
          <w:tcPr>
            <w:tcW w:w="1060" w:type="dxa"/>
            <w:vAlign w:val="bottom"/>
            <w:tcBorders>
              <w:bottom w:val="single" w:sz="8" w:color="D8D8D8"/>
            </w:tcBorders>
            <w:shd w:val="clear" w:color="auto" w:fill="D8D8D8"/>
          </w:tcPr>
          <w:p>
            <w:pPr>
              <w:spacing w:after="0"/>
              <w:rPr>
                <w:sz w:val="21"/>
                <w:szCs w:val="21"/>
                <w:color w:val="auto"/>
              </w:rPr>
            </w:pPr>
          </w:p>
        </w:tc>
      </w:tr>
      <w:tr>
        <w:trPr>
          <w:trHeight w:val="269"/>
        </w:trPr>
        <w:tc>
          <w:tcPr>
            <w:tcW w:w="8520" w:type="dxa"/>
            <w:vAlign w:val="bottom"/>
          </w:tcPr>
          <w:p>
            <w:pPr>
              <w:ind w:left="180"/>
              <w:spacing w:after="0"/>
              <w:rPr>
                <w:sz w:val="20"/>
                <w:szCs w:val="20"/>
                <w:color w:val="auto"/>
              </w:rPr>
            </w:pPr>
            <w:r>
              <w:rPr>
                <w:rFonts w:ascii="Arial" w:cs="Arial" w:eastAsia="Arial" w:hAnsi="Arial"/>
                <w:sz w:val="18"/>
                <w:szCs w:val="18"/>
                <w:color w:val="auto"/>
              </w:rPr>
              <w:t>Compensation and benefits</w:t>
            </w:r>
          </w:p>
        </w:tc>
        <w:tc>
          <w:tcPr>
            <w:tcW w:w="34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11"/>
              <w:spacing w:after="0"/>
              <w:rPr>
                <w:sz w:val="20"/>
                <w:szCs w:val="20"/>
                <w:color w:val="auto"/>
              </w:rPr>
            </w:pPr>
            <w:r>
              <w:rPr>
                <w:rFonts w:ascii="Arial" w:cs="Arial" w:eastAsia="Arial" w:hAnsi="Arial"/>
                <w:sz w:val="18"/>
                <w:szCs w:val="18"/>
                <w:b w:val="1"/>
                <w:bCs w:val="1"/>
                <w:color w:val="auto"/>
              </w:rPr>
              <w:t>1,034.6</w:t>
            </w:r>
          </w:p>
        </w:tc>
        <w:tc>
          <w:tcPr>
            <w:tcW w:w="4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976.3</w:t>
            </w:r>
          </w:p>
        </w:tc>
      </w:tr>
      <w:tr>
        <w:trPr>
          <w:trHeight w:val="271"/>
        </w:trPr>
        <w:tc>
          <w:tcPr>
            <w:tcW w:w="8520" w:type="dxa"/>
            <w:vAlign w:val="bottom"/>
            <w:shd w:val="clear" w:color="auto" w:fill="D8D8D8"/>
          </w:tcPr>
          <w:p>
            <w:pPr>
              <w:ind w:left="180"/>
              <w:spacing w:after="0"/>
              <w:rPr>
                <w:sz w:val="20"/>
                <w:szCs w:val="20"/>
                <w:color w:val="auto"/>
              </w:rPr>
            </w:pPr>
            <w:r>
              <w:rPr>
                <w:rFonts w:ascii="Arial" w:cs="Arial" w:eastAsia="Arial" w:hAnsi="Arial"/>
                <w:sz w:val="18"/>
                <w:szCs w:val="18"/>
                <w:color w:val="auto"/>
              </w:rPr>
              <w:t>Purchases of intangible assets</w:t>
            </w:r>
          </w:p>
        </w:tc>
        <w:tc>
          <w:tcPr>
            <w:tcW w:w="340" w:type="dxa"/>
            <w:vAlign w:val="bottom"/>
            <w:shd w:val="clear" w:color="auto" w:fill="D8D8D8"/>
          </w:tcPr>
          <w:p>
            <w:pPr>
              <w:spacing w:after="0"/>
              <w:rPr>
                <w:sz w:val="23"/>
                <w:szCs w:val="23"/>
                <w:color w:val="auto"/>
              </w:rPr>
            </w:pPr>
          </w:p>
        </w:tc>
        <w:tc>
          <w:tcPr>
            <w:tcW w:w="1040" w:type="dxa"/>
            <w:vAlign w:val="bottom"/>
            <w:shd w:val="clear" w:color="auto" w:fill="D8D8D8"/>
          </w:tcPr>
          <w:p>
            <w:pPr>
              <w:jc w:val="right"/>
              <w:ind w:right="11"/>
              <w:spacing w:after="0"/>
              <w:rPr>
                <w:sz w:val="20"/>
                <w:szCs w:val="20"/>
                <w:color w:val="auto"/>
              </w:rPr>
            </w:pPr>
            <w:r>
              <w:rPr>
                <w:rFonts w:ascii="Arial" w:cs="Arial" w:eastAsia="Arial" w:hAnsi="Arial"/>
                <w:sz w:val="18"/>
                <w:szCs w:val="18"/>
                <w:b w:val="1"/>
                <w:bCs w:val="1"/>
                <w:color w:val="auto"/>
              </w:rPr>
              <w:t>637.2</w:t>
            </w:r>
          </w:p>
        </w:tc>
        <w:tc>
          <w:tcPr>
            <w:tcW w:w="440" w:type="dxa"/>
            <w:vAlign w:val="bottom"/>
            <w:shd w:val="clear" w:color="auto" w:fill="D8D8D8"/>
          </w:tcPr>
          <w:p>
            <w:pPr>
              <w:spacing w:after="0"/>
              <w:rPr>
                <w:sz w:val="23"/>
                <w:szCs w:val="23"/>
                <w:color w:val="auto"/>
              </w:rPr>
            </w:pPr>
          </w:p>
        </w:tc>
        <w:tc>
          <w:tcPr>
            <w:tcW w:w="1060" w:type="dxa"/>
            <w:vAlign w:val="bottom"/>
            <w:shd w:val="clear" w:color="auto" w:fill="D8D8D8"/>
          </w:tcPr>
          <w:p>
            <w:pPr>
              <w:jc w:val="right"/>
              <w:ind w:right="31"/>
              <w:spacing w:after="0"/>
              <w:rPr>
                <w:sz w:val="20"/>
                <w:szCs w:val="20"/>
                <w:color w:val="auto"/>
              </w:rPr>
            </w:pPr>
            <w:r>
              <w:rPr>
                <w:rFonts w:ascii="Arial" w:cs="Arial" w:eastAsia="Arial" w:hAnsi="Arial"/>
                <w:sz w:val="18"/>
                <w:szCs w:val="18"/>
                <w:color w:val="auto"/>
              </w:rPr>
              <w:t>473.3</w:t>
            </w:r>
          </w:p>
        </w:tc>
      </w:tr>
      <w:tr>
        <w:trPr>
          <w:trHeight w:val="269"/>
        </w:trPr>
        <w:tc>
          <w:tcPr>
            <w:tcW w:w="8520" w:type="dxa"/>
            <w:vAlign w:val="bottom"/>
          </w:tcPr>
          <w:p>
            <w:pPr>
              <w:ind w:left="180"/>
              <w:spacing w:after="0"/>
              <w:rPr>
                <w:sz w:val="20"/>
                <w:szCs w:val="20"/>
                <w:color w:val="auto"/>
              </w:rPr>
            </w:pPr>
            <w:r>
              <w:rPr>
                <w:rFonts w:ascii="Arial" w:cs="Arial" w:eastAsia="Arial" w:hAnsi="Arial"/>
                <w:sz w:val="18"/>
                <w:szCs w:val="18"/>
                <w:color w:val="auto"/>
              </w:rPr>
              <w:t>Tax credit carryforwards and carrybacks</w:t>
            </w:r>
          </w:p>
        </w:tc>
        <w:tc>
          <w:tcPr>
            <w:tcW w:w="34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b w:val="1"/>
                <w:bCs w:val="1"/>
                <w:color w:val="auto"/>
              </w:rPr>
              <w:t>294.2</w:t>
            </w:r>
          </w:p>
        </w:tc>
        <w:tc>
          <w:tcPr>
            <w:tcW w:w="440" w:type="dxa"/>
            <w:vAlign w:val="bottom"/>
          </w:tcPr>
          <w:p>
            <w:pPr>
              <w:spacing w:after="0"/>
              <w:rPr>
                <w:sz w:val="23"/>
                <w:szCs w:val="23"/>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279.4</w:t>
            </w:r>
          </w:p>
        </w:tc>
      </w:tr>
      <w:tr>
        <w:trPr>
          <w:trHeight w:val="271"/>
        </w:trPr>
        <w:tc>
          <w:tcPr>
            <w:tcW w:w="8520" w:type="dxa"/>
            <w:vAlign w:val="bottom"/>
            <w:shd w:val="clear" w:color="auto" w:fill="D8D8D8"/>
          </w:tcPr>
          <w:p>
            <w:pPr>
              <w:ind w:left="180"/>
              <w:spacing w:after="0"/>
              <w:rPr>
                <w:sz w:val="20"/>
                <w:szCs w:val="20"/>
                <w:color w:val="auto"/>
              </w:rPr>
            </w:pPr>
            <w:r>
              <w:rPr>
                <w:rFonts w:ascii="Arial" w:cs="Arial" w:eastAsia="Arial" w:hAnsi="Arial"/>
                <w:sz w:val="18"/>
                <w:szCs w:val="18"/>
                <w:color w:val="auto"/>
              </w:rPr>
              <w:t>Tax loss carryforwards and carrybacks</w:t>
            </w:r>
          </w:p>
        </w:tc>
        <w:tc>
          <w:tcPr>
            <w:tcW w:w="340" w:type="dxa"/>
            <w:vAlign w:val="bottom"/>
            <w:shd w:val="clear" w:color="auto" w:fill="DDDDDD"/>
          </w:tcPr>
          <w:p>
            <w:pPr>
              <w:spacing w:after="0"/>
              <w:rPr>
                <w:sz w:val="23"/>
                <w:szCs w:val="23"/>
                <w:color w:val="auto"/>
              </w:rPr>
            </w:pPr>
          </w:p>
        </w:tc>
        <w:tc>
          <w:tcPr>
            <w:tcW w:w="1040" w:type="dxa"/>
            <w:vAlign w:val="bottom"/>
            <w:shd w:val="clear" w:color="auto" w:fill="DDDDDD"/>
          </w:tcPr>
          <w:p>
            <w:pPr>
              <w:jc w:val="right"/>
              <w:ind w:right="11"/>
              <w:spacing w:after="0"/>
              <w:rPr>
                <w:sz w:val="20"/>
                <w:szCs w:val="20"/>
                <w:color w:val="auto"/>
              </w:rPr>
            </w:pPr>
            <w:r>
              <w:rPr>
                <w:rFonts w:ascii="Arial" w:cs="Arial" w:eastAsia="Arial" w:hAnsi="Arial"/>
                <w:sz w:val="18"/>
                <w:szCs w:val="18"/>
                <w:b w:val="1"/>
                <w:bCs w:val="1"/>
                <w:color w:val="auto"/>
              </w:rPr>
              <w:t>247.8</w:t>
            </w:r>
          </w:p>
        </w:tc>
        <w:tc>
          <w:tcPr>
            <w:tcW w:w="440" w:type="dxa"/>
            <w:vAlign w:val="bottom"/>
            <w:shd w:val="clear" w:color="auto" w:fill="DDDDDD"/>
          </w:tcPr>
          <w:p>
            <w:pPr>
              <w:spacing w:after="0"/>
              <w:rPr>
                <w:sz w:val="23"/>
                <w:szCs w:val="23"/>
                <w:color w:val="auto"/>
              </w:rPr>
            </w:pPr>
          </w:p>
        </w:tc>
        <w:tc>
          <w:tcPr>
            <w:tcW w:w="1060" w:type="dxa"/>
            <w:vAlign w:val="bottom"/>
            <w:shd w:val="clear" w:color="auto" w:fill="DDDDDD"/>
          </w:tcPr>
          <w:p>
            <w:pPr>
              <w:jc w:val="right"/>
              <w:ind w:right="31"/>
              <w:spacing w:after="0"/>
              <w:rPr>
                <w:sz w:val="20"/>
                <w:szCs w:val="20"/>
                <w:color w:val="auto"/>
              </w:rPr>
            </w:pPr>
            <w:r>
              <w:rPr>
                <w:rFonts w:ascii="Arial" w:cs="Arial" w:eastAsia="Arial" w:hAnsi="Arial"/>
                <w:sz w:val="18"/>
                <w:szCs w:val="18"/>
                <w:color w:val="auto"/>
              </w:rPr>
              <w:t>265.5</w:t>
            </w:r>
          </w:p>
        </w:tc>
      </w:tr>
      <w:tr>
        <w:trPr>
          <w:trHeight w:val="269"/>
        </w:trPr>
        <w:tc>
          <w:tcPr>
            <w:tcW w:w="8520" w:type="dxa"/>
            <w:vAlign w:val="bottom"/>
          </w:tcPr>
          <w:p>
            <w:pPr>
              <w:ind w:left="180"/>
              <w:spacing w:after="0"/>
              <w:rPr>
                <w:sz w:val="20"/>
                <w:szCs w:val="20"/>
                <w:color w:val="auto"/>
              </w:rPr>
            </w:pPr>
            <w:r>
              <w:rPr>
                <w:rFonts w:ascii="Arial" w:cs="Arial" w:eastAsia="Arial" w:hAnsi="Arial"/>
                <w:sz w:val="18"/>
                <w:szCs w:val="18"/>
                <w:color w:val="auto"/>
              </w:rPr>
              <w:t>Contingent consideration</w:t>
            </w:r>
          </w:p>
        </w:tc>
        <w:tc>
          <w:tcPr>
            <w:tcW w:w="34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b w:val="1"/>
                <w:bCs w:val="1"/>
                <w:color w:val="auto"/>
              </w:rPr>
              <w:t>214.6</w:t>
            </w:r>
          </w:p>
        </w:tc>
        <w:tc>
          <w:tcPr>
            <w:tcW w:w="440" w:type="dxa"/>
            <w:vAlign w:val="bottom"/>
          </w:tcPr>
          <w:p>
            <w:pPr>
              <w:spacing w:after="0"/>
              <w:rPr>
                <w:sz w:val="23"/>
                <w:szCs w:val="23"/>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1"/>
        </w:trPr>
        <w:tc>
          <w:tcPr>
            <w:tcW w:w="8520" w:type="dxa"/>
            <w:vAlign w:val="bottom"/>
            <w:shd w:val="clear" w:color="auto" w:fill="D8D8D8"/>
          </w:tcPr>
          <w:p>
            <w:pPr>
              <w:ind w:left="180"/>
              <w:spacing w:after="0"/>
              <w:rPr>
                <w:sz w:val="20"/>
                <w:szCs w:val="20"/>
                <w:color w:val="auto"/>
              </w:rPr>
            </w:pPr>
            <w:r>
              <w:rPr>
                <w:rFonts w:ascii="Arial" w:cs="Arial" w:eastAsia="Arial" w:hAnsi="Arial"/>
                <w:sz w:val="18"/>
                <w:szCs w:val="18"/>
                <w:color w:val="auto"/>
              </w:rPr>
              <w:t>Product return reserves</w:t>
            </w:r>
          </w:p>
        </w:tc>
        <w:tc>
          <w:tcPr>
            <w:tcW w:w="340" w:type="dxa"/>
            <w:vAlign w:val="bottom"/>
            <w:shd w:val="clear" w:color="auto" w:fill="DDDDDD"/>
          </w:tcPr>
          <w:p>
            <w:pPr>
              <w:spacing w:after="0"/>
              <w:rPr>
                <w:sz w:val="23"/>
                <w:szCs w:val="23"/>
                <w:color w:val="auto"/>
              </w:rPr>
            </w:pPr>
          </w:p>
        </w:tc>
        <w:tc>
          <w:tcPr>
            <w:tcW w:w="1040" w:type="dxa"/>
            <w:vAlign w:val="bottom"/>
            <w:shd w:val="clear" w:color="auto" w:fill="DDDDDD"/>
          </w:tcPr>
          <w:p>
            <w:pPr>
              <w:jc w:val="right"/>
              <w:ind w:right="11"/>
              <w:spacing w:after="0"/>
              <w:rPr>
                <w:sz w:val="20"/>
                <w:szCs w:val="20"/>
                <w:color w:val="auto"/>
              </w:rPr>
            </w:pPr>
            <w:r>
              <w:rPr>
                <w:rFonts w:ascii="Arial" w:cs="Arial" w:eastAsia="Arial" w:hAnsi="Arial"/>
                <w:sz w:val="18"/>
                <w:szCs w:val="18"/>
                <w:b w:val="1"/>
                <w:bCs w:val="1"/>
                <w:color w:val="auto"/>
              </w:rPr>
              <w:t>212.1</w:t>
            </w:r>
          </w:p>
        </w:tc>
        <w:tc>
          <w:tcPr>
            <w:tcW w:w="440" w:type="dxa"/>
            <w:vAlign w:val="bottom"/>
            <w:shd w:val="clear" w:color="auto" w:fill="DDDDDD"/>
          </w:tcPr>
          <w:p>
            <w:pPr>
              <w:spacing w:after="0"/>
              <w:rPr>
                <w:sz w:val="23"/>
                <w:szCs w:val="23"/>
                <w:color w:val="auto"/>
              </w:rPr>
            </w:pPr>
          </w:p>
        </w:tc>
        <w:tc>
          <w:tcPr>
            <w:tcW w:w="1060" w:type="dxa"/>
            <w:vAlign w:val="bottom"/>
            <w:shd w:val="clear" w:color="auto" w:fill="DDDDDD"/>
          </w:tcPr>
          <w:p>
            <w:pPr>
              <w:jc w:val="right"/>
              <w:ind w:right="31"/>
              <w:spacing w:after="0"/>
              <w:rPr>
                <w:sz w:val="20"/>
                <w:szCs w:val="20"/>
                <w:color w:val="auto"/>
              </w:rPr>
            </w:pPr>
            <w:r>
              <w:rPr>
                <w:rFonts w:ascii="Arial" w:cs="Arial" w:eastAsia="Arial" w:hAnsi="Arial"/>
                <w:sz w:val="18"/>
                <w:szCs w:val="18"/>
                <w:color w:val="auto"/>
              </w:rPr>
              <w:t>241.8</w:t>
            </w:r>
          </w:p>
        </w:tc>
      </w:tr>
      <w:tr>
        <w:trPr>
          <w:trHeight w:val="269"/>
        </w:trPr>
        <w:tc>
          <w:tcPr>
            <w:tcW w:w="8520" w:type="dxa"/>
            <w:vAlign w:val="bottom"/>
          </w:tcPr>
          <w:p>
            <w:pPr>
              <w:ind w:left="180"/>
              <w:spacing w:after="0"/>
              <w:rPr>
                <w:sz w:val="20"/>
                <w:szCs w:val="20"/>
                <w:color w:val="auto"/>
              </w:rPr>
            </w:pPr>
            <w:r>
              <w:rPr>
                <w:rFonts w:ascii="Arial" w:cs="Arial" w:eastAsia="Arial" w:hAnsi="Arial"/>
                <w:sz w:val="18"/>
                <w:szCs w:val="18"/>
                <w:color w:val="auto"/>
              </w:rPr>
              <w:t>Other comprehensive loss on hedging transactions</w:t>
            </w:r>
          </w:p>
        </w:tc>
        <w:tc>
          <w:tcPr>
            <w:tcW w:w="34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b w:val="1"/>
                <w:bCs w:val="1"/>
                <w:color w:val="auto"/>
              </w:rPr>
              <w:t>129.7</w:t>
            </w:r>
          </w:p>
        </w:tc>
        <w:tc>
          <w:tcPr>
            <w:tcW w:w="440" w:type="dxa"/>
            <w:vAlign w:val="bottom"/>
          </w:tcPr>
          <w:p>
            <w:pPr>
              <w:spacing w:after="0"/>
              <w:rPr>
                <w:sz w:val="23"/>
                <w:szCs w:val="23"/>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115.3</w:t>
            </w:r>
          </w:p>
        </w:tc>
      </w:tr>
      <w:tr>
        <w:trPr>
          <w:trHeight w:val="271"/>
        </w:trPr>
        <w:tc>
          <w:tcPr>
            <w:tcW w:w="8520" w:type="dxa"/>
            <w:vAlign w:val="bottom"/>
            <w:shd w:val="clear" w:color="auto" w:fill="D8D8D8"/>
          </w:tcPr>
          <w:p>
            <w:pPr>
              <w:ind w:left="180"/>
              <w:spacing w:after="0"/>
              <w:rPr>
                <w:sz w:val="20"/>
                <w:szCs w:val="20"/>
                <w:color w:val="auto"/>
              </w:rPr>
            </w:pPr>
            <w:r>
              <w:rPr>
                <w:rFonts w:ascii="Arial" w:cs="Arial" w:eastAsia="Arial" w:hAnsi="Arial"/>
                <w:sz w:val="18"/>
                <w:szCs w:val="18"/>
                <w:color w:val="auto"/>
              </w:rPr>
              <w:t>Debt</w:t>
            </w:r>
          </w:p>
        </w:tc>
        <w:tc>
          <w:tcPr>
            <w:tcW w:w="340" w:type="dxa"/>
            <w:vAlign w:val="bottom"/>
            <w:shd w:val="clear" w:color="auto" w:fill="D8D8D8"/>
          </w:tcPr>
          <w:p>
            <w:pPr>
              <w:spacing w:after="0"/>
              <w:rPr>
                <w:sz w:val="23"/>
                <w:szCs w:val="23"/>
                <w:color w:val="auto"/>
              </w:rPr>
            </w:pPr>
          </w:p>
        </w:tc>
        <w:tc>
          <w:tcPr>
            <w:tcW w:w="1040" w:type="dxa"/>
            <w:vAlign w:val="bottom"/>
            <w:shd w:val="clear" w:color="auto" w:fill="D8D8D8"/>
          </w:tcPr>
          <w:p>
            <w:pPr>
              <w:jc w:val="right"/>
              <w:ind w:right="11"/>
              <w:spacing w:after="0"/>
              <w:rPr>
                <w:sz w:val="20"/>
                <w:szCs w:val="20"/>
                <w:color w:val="auto"/>
              </w:rPr>
            </w:pPr>
            <w:r>
              <w:rPr>
                <w:rFonts w:ascii="Arial" w:cs="Arial" w:eastAsia="Arial" w:hAnsi="Arial"/>
                <w:sz w:val="18"/>
                <w:szCs w:val="18"/>
                <w:b w:val="1"/>
                <w:bCs w:val="1"/>
                <w:color w:val="auto"/>
              </w:rPr>
              <w:t>111.3</w:t>
            </w:r>
          </w:p>
        </w:tc>
        <w:tc>
          <w:tcPr>
            <w:tcW w:w="440" w:type="dxa"/>
            <w:vAlign w:val="bottom"/>
            <w:shd w:val="clear" w:color="auto" w:fill="D8D8D8"/>
          </w:tcPr>
          <w:p>
            <w:pPr>
              <w:spacing w:after="0"/>
              <w:rPr>
                <w:sz w:val="23"/>
                <w:szCs w:val="23"/>
                <w:color w:val="auto"/>
              </w:rPr>
            </w:pPr>
          </w:p>
        </w:tc>
        <w:tc>
          <w:tcPr>
            <w:tcW w:w="1060" w:type="dxa"/>
            <w:vAlign w:val="bottom"/>
            <w:shd w:val="clear" w:color="auto" w:fill="D8D8D8"/>
          </w:tcPr>
          <w:p>
            <w:pPr>
              <w:jc w:val="right"/>
              <w:ind w:right="31"/>
              <w:spacing w:after="0"/>
              <w:rPr>
                <w:sz w:val="20"/>
                <w:szCs w:val="20"/>
                <w:color w:val="auto"/>
              </w:rPr>
            </w:pPr>
            <w:r>
              <w:rPr>
                <w:rFonts w:ascii="Arial" w:cs="Arial" w:eastAsia="Arial" w:hAnsi="Arial"/>
                <w:sz w:val="18"/>
                <w:szCs w:val="18"/>
                <w:color w:val="auto"/>
              </w:rPr>
              <w:t>176.0</w:t>
            </w:r>
          </w:p>
        </w:tc>
      </w:tr>
      <w:tr>
        <w:trPr>
          <w:trHeight w:val="269"/>
        </w:trPr>
        <w:tc>
          <w:tcPr>
            <w:tcW w:w="8520" w:type="dxa"/>
            <w:vAlign w:val="bottom"/>
            <w:tcBorders>
              <w:bottom w:val="single" w:sz="8" w:color="D8D8D8"/>
            </w:tcBorders>
          </w:tcPr>
          <w:p>
            <w:pPr>
              <w:ind w:left="18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628.6</w:t>
            </w:r>
          </w:p>
        </w:tc>
        <w:tc>
          <w:tcPr>
            <w:tcW w:w="4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623.2</w:t>
            </w:r>
          </w:p>
        </w:tc>
      </w:tr>
      <w:tr>
        <w:trPr>
          <w:trHeight w:val="264"/>
        </w:trPr>
        <w:tc>
          <w:tcPr>
            <w:tcW w:w="8520" w:type="dxa"/>
            <w:vAlign w:val="bottom"/>
            <w:shd w:val="clear" w:color="auto" w:fill="D8D8D8"/>
          </w:tcPr>
          <w:p>
            <w:pPr>
              <w:ind w:left="380"/>
              <w:spacing w:after="0"/>
              <w:rPr>
                <w:sz w:val="20"/>
                <w:szCs w:val="20"/>
                <w:color w:val="auto"/>
              </w:rPr>
            </w:pPr>
            <w:r>
              <w:rPr>
                <w:rFonts w:ascii="Arial" w:cs="Arial" w:eastAsia="Arial" w:hAnsi="Arial"/>
                <w:sz w:val="18"/>
                <w:szCs w:val="18"/>
                <w:color w:val="auto"/>
              </w:rPr>
              <w:t>Total gross deferred tax assets</w:t>
            </w:r>
          </w:p>
        </w:tc>
        <w:tc>
          <w:tcPr>
            <w:tcW w:w="340" w:type="dxa"/>
            <w:vAlign w:val="bottom"/>
            <w:shd w:val="clear" w:color="auto" w:fill="D8D8D8"/>
          </w:tcPr>
          <w:p>
            <w:pPr>
              <w:spacing w:after="0"/>
              <w:rPr>
                <w:sz w:val="22"/>
                <w:szCs w:val="22"/>
                <w:color w:val="auto"/>
              </w:rPr>
            </w:pPr>
          </w:p>
        </w:tc>
        <w:tc>
          <w:tcPr>
            <w:tcW w:w="1040" w:type="dxa"/>
            <w:vAlign w:val="bottom"/>
            <w:shd w:val="clear" w:color="auto" w:fill="D8D8D8"/>
          </w:tcPr>
          <w:p>
            <w:pPr>
              <w:jc w:val="right"/>
              <w:ind w:right="11"/>
              <w:spacing w:after="0"/>
              <w:rPr>
                <w:sz w:val="20"/>
                <w:szCs w:val="20"/>
                <w:color w:val="auto"/>
              </w:rPr>
            </w:pPr>
            <w:r>
              <w:rPr>
                <w:rFonts w:ascii="Arial" w:cs="Arial" w:eastAsia="Arial" w:hAnsi="Arial"/>
                <w:sz w:val="18"/>
                <w:szCs w:val="18"/>
                <w:b w:val="1"/>
                <w:bCs w:val="1"/>
                <w:color w:val="auto"/>
              </w:rPr>
              <w:t>3,510.1</w:t>
            </w:r>
          </w:p>
        </w:tc>
        <w:tc>
          <w:tcPr>
            <w:tcW w:w="440" w:type="dxa"/>
            <w:vAlign w:val="bottom"/>
            <w:shd w:val="clear" w:color="auto" w:fill="D8D8D8"/>
          </w:tcPr>
          <w:p>
            <w:pPr>
              <w:spacing w:after="0"/>
              <w:rPr>
                <w:sz w:val="22"/>
                <w:szCs w:val="22"/>
                <w:color w:val="auto"/>
              </w:rPr>
            </w:pPr>
          </w:p>
        </w:tc>
        <w:tc>
          <w:tcPr>
            <w:tcW w:w="1060" w:type="dxa"/>
            <w:vAlign w:val="bottom"/>
            <w:shd w:val="clear" w:color="auto" w:fill="D8D8D8"/>
          </w:tcPr>
          <w:p>
            <w:pPr>
              <w:jc w:val="right"/>
              <w:ind w:right="31"/>
              <w:spacing w:after="0"/>
              <w:rPr>
                <w:sz w:val="20"/>
                <w:szCs w:val="20"/>
                <w:color w:val="auto"/>
              </w:rPr>
            </w:pPr>
            <w:r>
              <w:rPr>
                <w:rFonts w:ascii="Arial" w:cs="Arial" w:eastAsia="Arial" w:hAnsi="Arial"/>
                <w:sz w:val="18"/>
                <w:szCs w:val="18"/>
                <w:color w:val="auto"/>
              </w:rPr>
              <w:t>3,150.8</w:t>
            </w:r>
          </w:p>
        </w:tc>
      </w:tr>
      <w:tr>
        <w:trPr>
          <w:trHeight w:val="269"/>
        </w:trPr>
        <w:tc>
          <w:tcPr>
            <w:tcW w:w="8520" w:type="dxa"/>
            <w:vAlign w:val="bottom"/>
            <w:tcBorders>
              <w:bottom w:val="single" w:sz="8" w:color="D8D8D8"/>
            </w:tcBorders>
          </w:tcPr>
          <w:p>
            <w:pPr>
              <w:ind w:left="180"/>
              <w:spacing w:after="0"/>
              <w:rPr>
                <w:sz w:val="20"/>
                <w:szCs w:val="20"/>
                <w:color w:val="auto"/>
              </w:rPr>
            </w:pPr>
            <w:r>
              <w:rPr>
                <w:rFonts w:ascii="Arial" w:cs="Arial" w:eastAsia="Arial" w:hAnsi="Arial"/>
                <w:sz w:val="18"/>
                <w:szCs w:val="18"/>
                <w:color w:val="auto"/>
              </w:rPr>
              <w:t>Valuation allowances</w:t>
            </w:r>
          </w:p>
        </w:tc>
        <w:tc>
          <w:tcPr>
            <w:tcW w:w="34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(590.3)</w:t>
            </w:r>
          </w:p>
        </w:tc>
        <w:tc>
          <w:tcPr>
            <w:tcW w:w="4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(601.1)</w:t>
            </w:r>
          </w:p>
        </w:tc>
      </w:tr>
      <w:tr>
        <w:trPr>
          <w:trHeight w:val="264"/>
        </w:trPr>
        <w:tc>
          <w:tcPr>
            <w:tcW w:w="8520" w:type="dxa"/>
            <w:vAlign w:val="bottom"/>
            <w:shd w:val="clear" w:color="auto" w:fill="D8D8D8"/>
          </w:tcPr>
          <w:p>
            <w:pPr>
              <w:ind w:left="380"/>
              <w:spacing w:after="0"/>
              <w:rPr>
                <w:sz w:val="20"/>
                <w:szCs w:val="20"/>
                <w:color w:val="auto"/>
              </w:rPr>
            </w:pPr>
            <w:r>
              <w:rPr>
                <w:rFonts w:ascii="Arial" w:cs="Arial" w:eastAsia="Arial" w:hAnsi="Arial"/>
                <w:sz w:val="18"/>
                <w:szCs w:val="18"/>
                <w:color w:val="auto"/>
              </w:rPr>
              <w:t>Total deferred tax assets</w:t>
            </w:r>
          </w:p>
        </w:tc>
        <w:tc>
          <w:tcPr>
            <w:tcW w:w="340" w:type="dxa"/>
            <w:vAlign w:val="bottom"/>
            <w:shd w:val="clear" w:color="auto" w:fill="D8D8D8"/>
          </w:tcPr>
          <w:p>
            <w:pPr>
              <w:spacing w:after="0"/>
              <w:rPr>
                <w:sz w:val="22"/>
                <w:szCs w:val="22"/>
                <w:color w:val="auto"/>
              </w:rPr>
            </w:pPr>
          </w:p>
        </w:tc>
        <w:tc>
          <w:tcPr>
            <w:tcW w:w="1040" w:type="dxa"/>
            <w:vAlign w:val="bottom"/>
            <w:shd w:val="clear" w:color="auto" w:fill="D8D8D8"/>
          </w:tcPr>
          <w:p>
            <w:pPr>
              <w:jc w:val="right"/>
              <w:ind w:right="11"/>
              <w:spacing w:after="0"/>
              <w:rPr>
                <w:sz w:val="20"/>
                <w:szCs w:val="20"/>
                <w:color w:val="auto"/>
              </w:rPr>
            </w:pPr>
            <w:r>
              <w:rPr>
                <w:rFonts w:ascii="Arial" w:cs="Arial" w:eastAsia="Arial" w:hAnsi="Arial"/>
                <w:sz w:val="18"/>
                <w:szCs w:val="18"/>
                <w:b w:val="1"/>
                <w:bCs w:val="1"/>
                <w:color w:val="auto"/>
              </w:rPr>
              <w:t>2,919.8</w:t>
            </w:r>
          </w:p>
        </w:tc>
        <w:tc>
          <w:tcPr>
            <w:tcW w:w="440" w:type="dxa"/>
            <w:vAlign w:val="bottom"/>
            <w:shd w:val="clear" w:color="auto" w:fill="D8D8D8"/>
          </w:tcPr>
          <w:p>
            <w:pPr>
              <w:spacing w:after="0"/>
              <w:rPr>
                <w:sz w:val="22"/>
                <w:szCs w:val="22"/>
                <w:color w:val="auto"/>
              </w:rPr>
            </w:pPr>
          </w:p>
        </w:tc>
        <w:tc>
          <w:tcPr>
            <w:tcW w:w="1060" w:type="dxa"/>
            <w:vAlign w:val="bottom"/>
            <w:shd w:val="clear" w:color="auto" w:fill="D8D8D8"/>
          </w:tcPr>
          <w:p>
            <w:pPr>
              <w:jc w:val="right"/>
              <w:ind w:right="31"/>
              <w:spacing w:after="0"/>
              <w:rPr>
                <w:sz w:val="20"/>
                <w:szCs w:val="20"/>
                <w:color w:val="auto"/>
              </w:rPr>
            </w:pPr>
            <w:r>
              <w:rPr>
                <w:rFonts w:ascii="Arial" w:cs="Arial" w:eastAsia="Arial" w:hAnsi="Arial"/>
                <w:sz w:val="18"/>
                <w:szCs w:val="18"/>
                <w:color w:val="auto"/>
              </w:rPr>
              <w:t>2,549.7</w:t>
            </w:r>
          </w:p>
        </w:tc>
      </w:tr>
      <w:tr>
        <w:trPr>
          <w:trHeight w:val="247"/>
        </w:trPr>
        <w:tc>
          <w:tcPr>
            <w:tcW w:w="8520" w:type="dxa"/>
            <w:vAlign w:val="bottom"/>
          </w:tcPr>
          <w:p>
            <w:pPr>
              <w:ind w:left="40"/>
              <w:spacing w:after="0"/>
              <w:rPr>
                <w:sz w:val="20"/>
                <w:szCs w:val="20"/>
                <w:color w:val="auto"/>
              </w:rPr>
            </w:pPr>
            <w:r>
              <w:rPr>
                <w:rFonts w:ascii="Arial" w:cs="Arial" w:eastAsia="Arial" w:hAnsi="Arial"/>
                <w:sz w:val="18"/>
                <w:szCs w:val="18"/>
                <w:color w:val="auto"/>
              </w:rPr>
              <w:t>Deferred tax liabilities:</w:t>
            </w:r>
          </w:p>
        </w:tc>
        <w:tc>
          <w:tcPr>
            <w:tcW w:w="3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3"/>
        </w:trPr>
        <w:tc>
          <w:tcPr>
            <w:tcW w:w="8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8520" w:type="dxa"/>
            <w:vAlign w:val="bottom"/>
            <w:shd w:val="clear" w:color="auto" w:fill="D8D8D8"/>
          </w:tcPr>
          <w:p>
            <w:pPr>
              <w:ind w:left="180"/>
              <w:spacing w:after="0"/>
              <w:rPr>
                <w:sz w:val="20"/>
                <w:szCs w:val="20"/>
                <w:color w:val="auto"/>
              </w:rPr>
            </w:pPr>
            <w:r>
              <w:rPr>
                <w:rFonts w:ascii="Arial" w:cs="Arial" w:eastAsia="Arial" w:hAnsi="Arial"/>
                <w:sz w:val="18"/>
                <w:szCs w:val="18"/>
                <w:color w:val="auto"/>
              </w:rPr>
              <w:t>Inventories</w:t>
            </w:r>
          </w:p>
        </w:tc>
        <w:tc>
          <w:tcPr>
            <w:tcW w:w="340" w:type="dxa"/>
            <w:vAlign w:val="bottom"/>
            <w:shd w:val="clear" w:color="auto" w:fill="D8D8D8"/>
          </w:tcPr>
          <w:p>
            <w:pPr>
              <w:spacing w:after="0"/>
              <w:rPr>
                <w:sz w:val="23"/>
                <w:szCs w:val="23"/>
                <w:color w:val="auto"/>
              </w:rPr>
            </w:pPr>
          </w:p>
        </w:tc>
        <w:tc>
          <w:tcPr>
            <w:tcW w:w="1040" w:type="dxa"/>
            <w:vAlign w:val="bottom"/>
            <w:shd w:val="clear" w:color="auto" w:fill="D8D8D8"/>
          </w:tcPr>
          <w:p>
            <w:pPr>
              <w:jc w:val="right"/>
              <w:spacing w:after="0"/>
              <w:rPr>
                <w:sz w:val="20"/>
                <w:szCs w:val="20"/>
                <w:color w:val="auto"/>
              </w:rPr>
            </w:pPr>
            <w:r>
              <w:rPr>
                <w:rFonts w:ascii="Arial" w:cs="Arial" w:eastAsia="Arial" w:hAnsi="Arial"/>
                <w:sz w:val="18"/>
                <w:szCs w:val="18"/>
                <w:b w:val="1"/>
                <w:bCs w:val="1"/>
                <w:color w:val="auto"/>
              </w:rPr>
              <w:t>(771.3)</w:t>
            </w:r>
          </w:p>
        </w:tc>
        <w:tc>
          <w:tcPr>
            <w:tcW w:w="440" w:type="dxa"/>
            <w:vAlign w:val="bottom"/>
            <w:shd w:val="clear" w:color="auto" w:fill="D8D8D8"/>
          </w:tcPr>
          <w:p>
            <w:pPr>
              <w:spacing w:after="0"/>
              <w:rPr>
                <w:sz w:val="23"/>
                <w:szCs w:val="23"/>
                <w:color w:val="auto"/>
              </w:rPr>
            </w:pPr>
          </w:p>
        </w:tc>
        <w:tc>
          <w:tcPr>
            <w:tcW w:w="1060" w:type="dxa"/>
            <w:vAlign w:val="bottom"/>
            <w:shd w:val="clear" w:color="auto" w:fill="D8D8D8"/>
          </w:tcPr>
          <w:p>
            <w:pPr>
              <w:jc w:val="right"/>
              <w:spacing w:after="0"/>
              <w:rPr>
                <w:sz w:val="20"/>
                <w:szCs w:val="20"/>
                <w:color w:val="auto"/>
              </w:rPr>
            </w:pPr>
            <w:r>
              <w:rPr>
                <w:rFonts w:ascii="Arial" w:cs="Arial" w:eastAsia="Arial" w:hAnsi="Arial"/>
                <w:sz w:val="18"/>
                <w:szCs w:val="18"/>
                <w:color w:val="auto"/>
              </w:rPr>
              <w:t>(684.6)</w:t>
            </w:r>
          </w:p>
        </w:tc>
      </w:tr>
      <w:tr>
        <w:trPr>
          <w:trHeight w:val="269"/>
        </w:trPr>
        <w:tc>
          <w:tcPr>
            <w:tcW w:w="8520" w:type="dxa"/>
            <w:vAlign w:val="bottom"/>
          </w:tcPr>
          <w:p>
            <w:pPr>
              <w:ind w:left="180"/>
              <w:spacing w:after="0"/>
              <w:rPr>
                <w:sz w:val="20"/>
                <w:szCs w:val="20"/>
                <w:color w:val="auto"/>
              </w:rPr>
            </w:pPr>
            <w:r>
              <w:rPr>
                <w:rFonts w:ascii="Arial" w:cs="Arial" w:eastAsia="Arial" w:hAnsi="Arial"/>
                <w:sz w:val="18"/>
                <w:szCs w:val="18"/>
                <w:color w:val="auto"/>
              </w:rPr>
              <w:t>Intangibles</w:t>
            </w:r>
          </w:p>
        </w:tc>
        <w:tc>
          <w:tcPr>
            <w:tcW w:w="3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(756.3)</w:t>
            </w:r>
          </w:p>
        </w:tc>
        <w:tc>
          <w:tcPr>
            <w:tcW w:w="4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(582.6)</w:t>
            </w:r>
          </w:p>
        </w:tc>
      </w:tr>
      <w:tr>
        <w:trPr>
          <w:trHeight w:val="271"/>
        </w:trPr>
        <w:tc>
          <w:tcPr>
            <w:tcW w:w="8520" w:type="dxa"/>
            <w:vAlign w:val="bottom"/>
            <w:shd w:val="clear" w:color="auto" w:fill="D8D8D8"/>
          </w:tcPr>
          <w:p>
            <w:pPr>
              <w:ind w:left="180"/>
              <w:spacing w:after="0"/>
              <w:rPr>
                <w:sz w:val="20"/>
                <w:szCs w:val="20"/>
                <w:color w:val="auto"/>
              </w:rPr>
            </w:pPr>
            <w:r>
              <w:rPr>
                <w:rFonts w:ascii="Arial" w:cs="Arial" w:eastAsia="Arial" w:hAnsi="Arial"/>
                <w:sz w:val="18"/>
                <w:szCs w:val="18"/>
                <w:color w:val="auto"/>
              </w:rPr>
              <w:t>Property and equipment</w:t>
            </w:r>
          </w:p>
        </w:tc>
        <w:tc>
          <w:tcPr>
            <w:tcW w:w="340" w:type="dxa"/>
            <w:vAlign w:val="bottom"/>
            <w:shd w:val="clear" w:color="auto" w:fill="D8D8D8"/>
          </w:tcPr>
          <w:p>
            <w:pPr>
              <w:spacing w:after="0"/>
              <w:rPr>
                <w:sz w:val="23"/>
                <w:szCs w:val="23"/>
                <w:color w:val="auto"/>
              </w:rPr>
            </w:pPr>
          </w:p>
        </w:tc>
        <w:tc>
          <w:tcPr>
            <w:tcW w:w="1040" w:type="dxa"/>
            <w:vAlign w:val="bottom"/>
            <w:shd w:val="clear" w:color="auto" w:fill="D8D8D8"/>
          </w:tcPr>
          <w:p>
            <w:pPr>
              <w:jc w:val="right"/>
              <w:spacing w:after="0"/>
              <w:rPr>
                <w:sz w:val="20"/>
                <w:szCs w:val="20"/>
                <w:color w:val="auto"/>
              </w:rPr>
            </w:pPr>
            <w:r>
              <w:rPr>
                <w:rFonts w:ascii="Arial" w:cs="Arial" w:eastAsia="Arial" w:hAnsi="Arial"/>
                <w:sz w:val="18"/>
                <w:szCs w:val="18"/>
                <w:b w:val="1"/>
                <w:bCs w:val="1"/>
                <w:color w:val="auto"/>
              </w:rPr>
              <w:t>(411.6)</w:t>
            </w:r>
          </w:p>
        </w:tc>
        <w:tc>
          <w:tcPr>
            <w:tcW w:w="440" w:type="dxa"/>
            <w:vAlign w:val="bottom"/>
            <w:shd w:val="clear" w:color="auto" w:fill="DDDDDD"/>
          </w:tcPr>
          <w:p>
            <w:pPr>
              <w:spacing w:after="0"/>
              <w:rPr>
                <w:sz w:val="23"/>
                <w:szCs w:val="23"/>
                <w:color w:val="auto"/>
              </w:rPr>
            </w:pPr>
          </w:p>
        </w:tc>
        <w:tc>
          <w:tcPr>
            <w:tcW w:w="1060" w:type="dxa"/>
            <w:vAlign w:val="bottom"/>
            <w:shd w:val="clear" w:color="auto" w:fill="DDDDDD"/>
          </w:tcPr>
          <w:p>
            <w:pPr>
              <w:jc w:val="right"/>
              <w:spacing w:after="0"/>
              <w:rPr>
                <w:sz w:val="20"/>
                <w:szCs w:val="20"/>
                <w:color w:val="auto"/>
              </w:rPr>
            </w:pPr>
            <w:r>
              <w:rPr>
                <w:rFonts w:ascii="Arial" w:cs="Arial" w:eastAsia="Arial" w:hAnsi="Arial"/>
                <w:sz w:val="18"/>
                <w:szCs w:val="18"/>
                <w:color w:val="auto"/>
              </w:rPr>
              <w:t>(424.7)</w:t>
            </w:r>
          </w:p>
        </w:tc>
      </w:tr>
      <w:tr>
        <w:trPr>
          <w:trHeight w:val="269"/>
        </w:trPr>
        <w:tc>
          <w:tcPr>
            <w:tcW w:w="8520" w:type="dxa"/>
            <w:vAlign w:val="bottom"/>
          </w:tcPr>
          <w:p>
            <w:pPr>
              <w:ind w:left="180"/>
              <w:spacing w:after="0"/>
              <w:rPr>
                <w:sz w:val="20"/>
                <w:szCs w:val="20"/>
                <w:color w:val="auto"/>
              </w:rPr>
            </w:pPr>
            <w:r>
              <w:rPr>
                <w:rFonts w:ascii="Arial" w:cs="Arial" w:eastAsia="Arial" w:hAnsi="Arial"/>
                <w:sz w:val="18"/>
                <w:szCs w:val="18"/>
                <w:color w:val="auto"/>
              </w:rPr>
              <w:t>Prepaid employee benefits</w:t>
            </w:r>
          </w:p>
        </w:tc>
        <w:tc>
          <w:tcPr>
            <w:tcW w:w="3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(317.8)</w:t>
            </w:r>
          </w:p>
        </w:tc>
        <w:tc>
          <w:tcPr>
            <w:tcW w:w="4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(275.8)</w:t>
            </w:r>
          </w:p>
        </w:tc>
      </w:tr>
      <w:tr>
        <w:trPr>
          <w:trHeight w:val="271"/>
        </w:trPr>
        <w:tc>
          <w:tcPr>
            <w:tcW w:w="8520" w:type="dxa"/>
            <w:vAlign w:val="bottom"/>
            <w:shd w:val="clear" w:color="auto" w:fill="D8D8D8"/>
          </w:tcPr>
          <w:p>
            <w:pPr>
              <w:ind w:left="180"/>
              <w:spacing w:after="0"/>
              <w:rPr>
                <w:sz w:val="20"/>
                <w:szCs w:val="20"/>
                <w:color w:val="auto"/>
              </w:rPr>
            </w:pPr>
            <w:r>
              <w:rPr>
                <w:rFonts w:ascii="Arial" w:cs="Arial" w:eastAsia="Arial" w:hAnsi="Arial"/>
                <w:sz w:val="18"/>
                <w:szCs w:val="18"/>
                <w:color w:val="auto"/>
              </w:rPr>
              <w:t>Unremitted earnings</w:t>
            </w:r>
          </w:p>
        </w:tc>
        <w:tc>
          <w:tcPr>
            <w:tcW w:w="340" w:type="dxa"/>
            <w:vAlign w:val="bottom"/>
            <w:shd w:val="clear" w:color="auto" w:fill="D8D8D8"/>
          </w:tcPr>
          <w:p>
            <w:pPr>
              <w:spacing w:after="0"/>
              <w:rPr>
                <w:sz w:val="23"/>
                <w:szCs w:val="23"/>
                <w:color w:val="auto"/>
              </w:rPr>
            </w:pPr>
          </w:p>
        </w:tc>
        <w:tc>
          <w:tcPr>
            <w:tcW w:w="1040" w:type="dxa"/>
            <w:vAlign w:val="bottom"/>
            <w:shd w:val="clear" w:color="auto" w:fill="D8D8D8"/>
          </w:tcPr>
          <w:p>
            <w:pPr>
              <w:jc w:val="right"/>
              <w:spacing w:after="0"/>
              <w:rPr>
                <w:sz w:val="20"/>
                <w:szCs w:val="20"/>
                <w:color w:val="auto"/>
              </w:rPr>
            </w:pPr>
            <w:r>
              <w:rPr>
                <w:rFonts w:ascii="Arial" w:cs="Arial" w:eastAsia="Arial" w:hAnsi="Arial"/>
                <w:sz w:val="18"/>
                <w:szCs w:val="18"/>
                <w:b w:val="1"/>
                <w:bCs w:val="1"/>
                <w:color w:val="auto"/>
              </w:rPr>
              <w:t>(218.8)</w:t>
            </w:r>
          </w:p>
        </w:tc>
        <w:tc>
          <w:tcPr>
            <w:tcW w:w="440" w:type="dxa"/>
            <w:vAlign w:val="bottom"/>
            <w:shd w:val="clear" w:color="auto" w:fill="D8D8D8"/>
          </w:tcPr>
          <w:p>
            <w:pPr>
              <w:spacing w:after="0"/>
              <w:rPr>
                <w:sz w:val="23"/>
                <w:szCs w:val="23"/>
                <w:color w:val="auto"/>
              </w:rPr>
            </w:pPr>
          </w:p>
        </w:tc>
        <w:tc>
          <w:tcPr>
            <w:tcW w:w="1060" w:type="dxa"/>
            <w:vAlign w:val="bottom"/>
            <w:shd w:val="clear" w:color="auto" w:fill="D8D8D8"/>
          </w:tcPr>
          <w:p>
            <w:pPr>
              <w:jc w:val="right"/>
              <w:spacing w:after="0"/>
              <w:rPr>
                <w:sz w:val="20"/>
                <w:szCs w:val="20"/>
                <w:color w:val="auto"/>
              </w:rPr>
            </w:pPr>
            <w:r>
              <w:rPr>
                <w:rFonts w:ascii="Arial" w:cs="Arial" w:eastAsia="Arial" w:hAnsi="Arial"/>
                <w:sz w:val="18"/>
                <w:szCs w:val="18"/>
                <w:color w:val="auto"/>
              </w:rPr>
              <w:t>(737.1)</w:t>
            </w:r>
          </w:p>
        </w:tc>
      </w:tr>
      <w:tr>
        <w:trPr>
          <w:trHeight w:val="269"/>
        </w:trPr>
        <w:tc>
          <w:tcPr>
            <w:tcW w:w="8520" w:type="dxa"/>
            <w:vAlign w:val="bottom"/>
            <w:tcBorders>
              <w:bottom w:val="single" w:sz="8" w:color="D8D8D8"/>
            </w:tcBorders>
          </w:tcPr>
          <w:p>
            <w:pPr>
              <w:ind w:left="180"/>
              <w:spacing w:after="0"/>
              <w:rPr>
                <w:sz w:val="20"/>
                <w:szCs w:val="20"/>
                <w:color w:val="auto"/>
              </w:rPr>
            </w:pPr>
            <w:r>
              <w:rPr>
                <w:rFonts w:ascii="Arial" w:cs="Arial" w:eastAsia="Arial" w:hAnsi="Arial"/>
                <w:sz w:val="18"/>
                <w:szCs w:val="18"/>
                <w:color w:val="auto"/>
              </w:rPr>
              <w:t>Financial instruments</w:t>
            </w:r>
          </w:p>
        </w:tc>
        <w:tc>
          <w:tcPr>
            <w:tcW w:w="34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(152.6)</w:t>
            </w:r>
          </w:p>
        </w:tc>
        <w:tc>
          <w:tcPr>
            <w:tcW w:w="4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(276.8)</w:t>
            </w:r>
          </w:p>
        </w:tc>
      </w:tr>
      <w:tr>
        <w:trPr>
          <w:trHeight w:val="264"/>
        </w:trPr>
        <w:tc>
          <w:tcPr>
            <w:tcW w:w="8520" w:type="dxa"/>
            <w:vAlign w:val="bottom"/>
            <w:shd w:val="clear" w:color="auto" w:fill="D8D8D8"/>
          </w:tcPr>
          <w:p>
            <w:pPr>
              <w:ind w:left="380"/>
              <w:spacing w:after="0"/>
              <w:rPr>
                <w:sz w:val="20"/>
                <w:szCs w:val="20"/>
                <w:color w:val="auto"/>
              </w:rPr>
            </w:pPr>
            <w:r>
              <w:rPr>
                <w:rFonts w:ascii="Arial" w:cs="Arial" w:eastAsia="Arial" w:hAnsi="Arial"/>
                <w:sz w:val="18"/>
                <w:szCs w:val="18"/>
                <w:color w:val="auto"/>
              </w:rPr>
              <w:t>Total deferred tax liabilities</w:t>
            </w:r>
          </w:p>
        </w:tc>
        <w:tc>
          <w:tcPr>
            <w:tcW w:w="340" w:type="dxa"/>
            <w:vAlign w:val="bottom"/>
            <w:tcBorders>
              <w:bottom w:val="single" w:sz="8" w:color="auto"/>
            </w:tcBorders>
            <w:shd w:val="clear" w:color="auto" w:fill="D8D8D8"/>
          </w:tcPr>
          <w:p>
            <w:pPr>
              <w:spacing w:after="0"/>
              <w:rPr>
                <w:sz w:val="22"/>
                <w:szCs w:val="22"/>
                <w:color w:val="auto"/>
              </w:rPr>
            </w:pPr>
          </w:p>
        </w:tc>
        <w:tc>
          <w:tcPr>
            <w:tcW w:w="104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b w:val="1"/>
                <w:bCs w:val="1"/>
                <w:color w:val="auto"/>
              </w:rPr>
              <w:t>(2,628.4)</w:t>
            </w:r>
          </w:p>
        </w:tc>
        <w:tc>
          <w:tcPr>
            <w:tcW w:w="440" w:type="dxa"/>
            <w:vAlign w:val="bottom"/>
            <w:tcBorders>
              <w:bottom w:val="single" w:sz="8" w:color="auto"/>
            </w:tcBorders>
            <w:shd w:val="clear" w:color="auto" w:fill="D8D8D8"/>
          </w:tcPr>
          <w:p>
            <w:pPr>
              <w:spacing w:after="0"/>
              <w:rPr>
                <w:sz w:val="22"/>
                <w:szCs w:val="22"/>
                <w:color w:val="auto"/>
              </w:rPr>
            </w:pPr>
          </w:p>
        </w:tc>
        <w:tc>
          <w:tcPr>
            <w:tcW w:w="106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(2,981.6)</w:t>
            </w:r>
          </w:p>
        </w:tc>
      </w:tr>
      <w:tr>
        <w:trPr>
          <w:trHeight w:val="271"/>
        </w:trPr>
        <w:tc>
          <w:tcPr>
            <w:tcW w:w="8520" w:type="dxa"/>
            <w:vAlign w:val="bottom"/>
          </w:tcPr>
          <w:p>
            <w:pPr>
              <w:ind w:left="40"/>
              <w:spacing w:after="0"/>
              <w:rPr>
                <w:sz w:val="20"/>
                <w:szCs w:val="20"/>
                <w:color w:val="auto"/>
              </w:rPr>
            </w:pPr>
            <w:r>
              <w:rPr>
                <w:rFonts w:ascii="Arial" w:cs="Arial" w:eastAsia="Arial" w:hAnsi="Arial"/>
                <w:sz w:val="18"/>
                <w:szCs w:val="18"/>
                <w:color w:val="auto"/>
              </w:rPr>
              <w:t>Deferred tax assets (liabilities) - net</w:t>
            </w:r>
          </w:p>
        </w:tc>
        <w:tc>
          <w:tcPr>
            <w:tcW w:w="3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291.4</w:t>
            </w:r>
          </w:p>
        </w:tc>
        <w:tc>
          <w:tcPr>
            <w:tcW w:w="4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(431.9)</w:t>
            </w:r>
          </w:p>
        </w:tc>
      </w:tr>
    </w:tbl>
    <w:p>
      <w:pPr>
        <w:spacing w:after="0" w:line="85" w:lineRule="exact"/>
        <w:rPr>
          <w:sz w:val="20"/>
          <w:szCs w:val="20"/>
          <w:color w:val="auto"/>
        </w:rPr>
      </w:pPr>
    </w:p>
    <w:p>
      <w:pPr>
        <w:ind w:right="260"/>
        <w:spacing w:after="0" w:line="292" w:lineRule="auto"/>
        <w:rPr>
          <w:sz w:val="20"/>
          <w:szCs w:val="20"/>
          <w:color w:val="auto"/>
        </w:rPr>
      </w:pPr>
      <w:r>
        <w:rPr>
          <w:rFonts w:ascii="Arial" w:cs="Arial" w:eastAsia="Arial" w:hAnsi="Arial"/>
          <w:sz w:val="18"/>
          <w:szCs w:val="18"/>
          <w:color w:val="auto"/>
        </w:rPr>
        <w:t>The deferred tax asset and related valuation allowance amounts for U.S. federal and state net operating losses and tax credits shown above have been reduced for differences between financial reporting and tax return filings.</w:t>
      </w:r>
    </w:p>
    <w:p>
      <w:pPr>
        <w:spacing w:after="0" w:line="37" w:lineRule="exact"/>
        <w:rPr>
          <w:sz w:val="20"/>
          <w:szCs w:val="20"/>
          <w:color w:val="auto"/>
        </w:rPr>
      </w:pPr>
    </w:p>
    <w:p>
      <w:pPr>
        <w:ind w:right="220"/>
        <w:spacing w:after="0" w:line="271" w:lineRule="auto"/>
        <w:rPr>
          <w:sz w:val="20"/>
          <w:szCs w:val="20"/>
          <w:color w:val="auto"/>
        </w:rPr>
      </w:pPr>
      <w:r>
        <w:rPr>
          <w:rFonts w:ascii="Arial" w:cs="Arial" w:eastAsia="Arial" w:hAnsi="Arial"/>
          <w:sz w:val="18"/>
          <w:szCs w:val="18"/>
          <w:color w:val="auto"/>
        </w:rPr>
        <w:t>Based on filed tax returns, we have tax credit carryforwards and carrybacks of $668.5 million available to reduce future income taxes; $180.5 million, if unused, will expire by 2021. The remaining portion of the tax credit carryforwards is related to federal tax credits of $93.4 million, international tax credits of $100.6 million, and state tax credits of $294.0 million, all of which are substantially reserved.</w:t>
      </w:r>
    </w:p>
    <w:p>
      <w:pPr>
        <w:spacing w:after="0" w:line="55" w:lineRule="exact"/>
        <w:rPr>
          <w:sz w:val="20"/>
          <w:szCs w:val="20"/>
          <w:color w:val="auto"/>
        </w:rPr>
      </w:pPr>
    </w:p>
    <w:p>
      <w:pPr>
        <w:ind w:right="60"/>
        <w:spacing w:after="0" w:line="260" w:lineRule="auto"/>
        <w:rPr>
          <w:sz w:val="20"/>
          <w:szCs w:val="20"/>
          <w:color w:val="auto"/>
        </w:rPr>
      </w:pPr>
      <w:r>
        <w:rPr>
          <w:rFonts w:ascii="Arial" w:cs="Arial" w:eastAsia="Arial" w:hAnsi="Arial"/>
          <w:sz w:val="18"/>
          <w:szCs w:val="18"/>
          <w:color w:val="auto"/>
        </w:rPr>
        <w:t>At December 31, 2015, based on filed tax returns we had net operating losses and other carryforwards for international and U.S. federal income tax purposes of $462.0 million: $38.0 million will expire by 2020; $354.0 million will expire between 2020 and 2035; and $70.0 million of the carryforwards will never expire. Net operating losses and other carryforwards for international and U.S. federal income tax purposes are partially reserved. Deferred tax assets related to state net operating losses of $93.2 million and other state carryforwards of $8.8 million are fully reserved.</w:t>
      </w:r>
    </w:p>
    <w:p>
      <w:pPr>
        <w:spacing w:after="0" w:line="67" w:lineRule="exact"/>
        <w:rPr>
          <w:sz w:val="20"/>
          <w:szCs w:val="20"/>
          <w:color w:val="auto"/>
        </w:rPr>
      </w:pPr>
    </w:p>
    <w:p>
      <w:pPr>
        <w:jc w:val="both"/>
        <w:ind w:right="260"/>
        <w:spacing w:after="0" w:line="271" w:lineRule="auto"/>
        <w:rPr>
          <w:sz w:val="20"/>
          <w:szCs w:val="20"/>
          <w:color w:val="auto"/>
        </w:rPr>
      </w:pPr>
      <w:r>
        <w:rPr>
          <w:rFonts w:ascii="Arial" w:cs="Arial" w:eastAsia="Arial" w:hAnsi="Arial"/>
          <w:sz w:val="18"/>
          <w:szCs w:val="18"/>
          <w:color w:val="auto"/>
        </w:rPr>
        <w:t>Domestic and Puerto Rican companies contributed approximately 35 percent, 20 percent, and 60 percent for the years ended December 31, 2015, 2014, and 2013, respectively, to consolidated income before income taxes. We have a subsidiary operating in Puerto Rico under a tax incentive grant effective through the end of 2016. A similar, new tax incentive grant will begin in 2017 and will be in effect for 15 years.</w:t>
      </w:r>
    </w:p>
    <w:p>
      <w:pPr>
        <w:spacing w:after="0" w:line="5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At December 31, 2015, U.S. income taxes have not been provided on approximately $ 26.5 billion of unremitted earnings of foreign subsidiaries as we consider these unremitted earnings to be indefinitely invested for continued use in our foreign operations. Additional tax provisions will be required if these earnings are repatriated in the future to the U.S. Due to complexities in the tax laws and assumptions that we would have to make, it is not practicable to determine the amount of the related unrecognized deferred income tax liability.</w:t>
      </w:r>
    </w:p>
    <w:p>
      <w:pPr>
        <w:spacing w:after="0" w:line="19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85</w:t>
      </w:r>
    </w:p>
    <w:p>
      <w:pPr>
        <w:sectPr>
          <w:pgSz w:w="11900" w:h="16838" w:orient="portrait"/>
          <w:cols w:equalWidth="0" w:num="1">
            <w:col w:w="11420"/>
          </w:cols>
          <w:pgMar w:left="240" w:top="684" w:right="239" w:bottom="1440" w:gutter="0" w:footer="0" w:header="0"/>
        </w:sectPr>
      </w:pPr>
    </w:p>
    <w:bookmarkStart w:id="85" w:name="page86"/>
    <w:bookmarkEnd w:id="85"/>
    <w:p>
      <w:pPr>
        <w:spacing w:after="0"/>
        <w:rPr>
          <w:sz w:val="20"/>
          <w:szCs w:val="20"/>
          <w:color w:val="auto"/>
        </w:rPr>
      </w:pPr>
      <w:r>
        <w:rPr>
          <w:rFonts w:ascii="Arial" w:cs="Arial" w:eastAsia="Arial" w:hAnsi="Arial"/>
          <w:sz w:val="18"/>
          <w:szCs w:val="18"/>
          <w:color w:val="auto"/>
        </w:rPr>
        <w:t>Cash payments of income taxes were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40" w:type="dxa"/>
            <w:vAlign w:val="bottom"/>
            <w:tcBorders>
              <w:bottom w:val="single" w:sz="8" w:color="auto"/>
            </w:tcBorders>
          </w:tcPr>
          <w:p>
            <w:pPr>
              <w:spacing w:after="0"/>
              <w:rPr>
                <w:sz w:val="17"/>
                <w:szCs w:val="17"/>
                <w:color w:val="auto"/>
              </w:rPr>
            </w:pPr>
          </w:p>
        </w:tc>
        <w:tc>
          <w:tcPr>
            <w:tcW w:w="25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2015</w:t>
            </w:r>
          </w:p>
        </w:tc>
        <w:tc>
          <w:tcPr>
            <w:tcW w:w="4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2014</w:t>
            </w:r>
          </w:p>
        </w:tc>
        <w:tc>
          <w:tcPr>
            <w:tcW w:w="4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2013</w:t>
            </w:r>
          </w:p>
        </w:tc>
      </w:tr>
      <w:tr>
        <w:trPr>
          <w:trHeight w:val="265"/>
        </w:trPr>
        <w:tc>
          <w:tcPr>
            <w:tcW w:w="4840" w:type="dxa"/>
            <w:vAlign w:val="bottom"/>
            <w:shd w:val="clear" w:color="auto" w:fill="D8D8D8"/>
          </w:tcPr>
          <w:p>
            <w:pPr>
              <w:ind w:left="40"/>
              <w:spacing w:after="0"/>
              <w:rPr>
                <w:sz w:val="20"/>
                <w:szCs w:val="20"/>
                <w:color w:val="auto"/>
              </w:rPr>
            </w:pPr>
            <w:r>
              <w:rPr>
                <w:rFonts w:ascii="Arial" w:cs="Arial" w:eastAsia="Arial" w:hAnsi="Arial"/>
                <w:sz w:val="18"/>
                <w:szCs w:val="18"/>
                <w:color w:val="auto"/>
              </w:rPr>
              <w:t>Cash payments of income taxes</w:t>
            </w:r>
          </w:p>
        </w:tc>
        <w:tc>
          <w:tcPr>
            <w:tcW w:w="2560" w:type="dxa"/>
            <w:vAlign w:val="bottom"/>
            <w:shd w:val="clear" w:color="auto" w:fill="D8D8D8"/>
          </w:tcPr>
          <w:p>
            <w:pPr>
              <w:jc w:val="right"/>
              <w:ind w:right="110"/>
              <w:spacing w:after="0"/>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D8D8D8"/>
          </w:tcPr>
          <w:p>
            <w:pPr>
              <w:jc w:val="right"/>
              <w:ind w:right="39"/>
              <w:spacing w:after="0"/>
              <w:rPr>
                <w:sz w:val="20"/>
                <w:szCs w:val="20"/>
                <w:color w:val="auto"/>
              </w:rPr>
            </w:pPr>
            <w:r>
              <w:rPr>
                <w:rFonts w:ascii="Arial" w:cs="Arial" w:eastAsia="Arial" w:hAnsi="Arial"/>
                <w:sz w:val="18"/>
                <w:szCs w:val="18"/>
                <w:b w:val="1"/>
                <w:bCs w:val="1"/>
                <w:color w:val="auto"/>
              </w:rPr>
              <w:t>969.0</w:t>
            </w:r>
          </w:p>
        </w:tc>
        <w:tc>
          <w:tcPr>
            <w:tcW w:w="420" w:type="dxa"/>
            <w:vAlign w:val="bottom"/>
            <w:shd w:val="clear" w:color="auto" w:fill="D8D8D8"/>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D8D8D8"/>
          </w:tcPr>
          <w:p>
            <w:pPr>
              <w:jc w:val="right"/>
              <w:ind w:right="39"/>
              <w:spacing w:after="0"/>
              <w:rPr>
                <w:sz w:val="20"/>
                <w:szCs w:val="20"/>
                <w:color w:val="auto"/>
              </w:rPr>
            </w:pPr>
            <w:r>
              <w:rPr>
                <w:rFonts w:ascii="Arial" w:cs="Arial" w:eastAsia="Arial" w:hAnsi="Arial"/>
                <w:sz w:val="18"/>
                <w:szCs w:val="18"/>
                <w:color w:val="auto"/>
              </w:rPr>
              <w:t>729.7</w:t>
            </w:r>
          </w:p>
        </w:tc>
        <w:tc>
          <w:tcPr>
            <w:tcW w:w="440" w:type="dxa"/>
            <w:vAlign w:val="bottom"/>
            <w:shd w:val="clear" w:color="auto" w:fill="D8D8D8"/>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D8D8D8"/>
          </w:tcPr>
          <w:p>
            <w:pPr>
              <w:jc w:val="right"/>
              <w:ind w:right="19"/>
              <w:spacing w:after="0"/>
              <w:rPr>
                <w:sz w:val="20"/>
                <w:szCs w:val="20"/>
                <w:color w:val="auto"/>
              </w:rPr>
            </w:pPr>
            <w:r>
              <w:rPr>
                <w:rFonts w:ascii="Arial" w:cs="Arial" w:eastAsia="Arial" w:hAnsi="Arial"/>
                <w:sz w:val="18"/>
                <w:szCs w:val="18"/>
                <w:color w:val="auto"/>
              </w:rPr>
              <w:t>1,255.6</w:t>
            </w:r>
          </w:p>
        </w:tc>
      </w:tr>
    </w:tbl>
    <w:p>
      <w:pPr>
        <w:spacing w:after="0" w:line="85" w:lineRule="exact"/>
        <w:rPr>
          <w:sz w:val="20"/>
          <w:szCs w:val="20"/>
          <w:color w:val="auto"/>
        </w:rPr>
      </w:pPr>
    </w:p>
    <w:p>
      <w:pPr>
        <w:ind w:right="520"/>
        <w:spacing w:after="0" w:line="292" w:lineRule="auto"/>
        <w:rPr>
          <w:sz w:val="20"/>
          <w:szCs w:val="20"/>
          <w:color w:val="auto"/>
        </w:rPr>
      </w:pPr>
      <w:r>
        <w:rPr>
          <w:rFonts w:ascii="Arial" w:cs="Arial" w:eastAsia="Arial" w:hAnsi="Arial"/>
          <w:sz w:val="18"/>
          <w:szCs w:val="18"/>
          <w:color w:val="auto"/>
        </w:rPr>
        <w:t>Following is a reconciliation of the income tax expense applying the U.S. federal statutory rate to income before income taxes to reported income tax expense:</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0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2015</w:t>
            </w:r>
          </w:p>
        </w:tc>
        <w:tc>
          <w:tcPr>
            <w:tcW w:w="3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2014</w:t>
            </w:r>
          </w:p>
        </w:tc>
        <w:tc>
          <w:tcPr>
            <w:tcW w:w="4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2013</w:t>
            </w:r>
          </w:p>
        </w:tc>
      </w:tr>
      <w:tr>
        <w:trPr>
          <w:trHeight w:val="265"/>
        </w:trPr>
        <w:tc>
          <w:tcPr>
            <w:tcW w:w="7080" w:type="dxa"/>
            <w:vAlign w:val="bottom"/>
            <w:shd w:val="clear" w:color="auto" w:fill="D8D8D8"/>
          </w:tcPr>
          <w:p>
            <w:pPr>
              <w:ind w:left="40"/>
              <w:spacing w:after="0"/>
              <w:rPr>
                <w:sz w:val="20"/>
                <w:szCs w:val="20"/>
                <w:color w:val="auto"/>
              </w:rPr>
            </w:pPr>
            <w:r>
              <w:rPr>
                <w:rFonts w:ascii="Arial" w:cs="Arial" w:eastAsia="Arial" w:hAnsi="Arial"/>
                <w:sz w:val="18"/>
                <w:szCs w:val="18"/>
                <w:color w:val="auto"/>
              </w:rPr>
              <w:t>Income tax at the U.S. federal statutory tax rate</w:t>
            </w:r>
          </w:p>
        </w:tc>
        <w:tc>
          <w:tcPr>
            <w:tcW w:w="320" w:type="dxa"/>
            <w:vAlign w:val="bottom"/>
            <w:shd w:val="clear" w:color="auto" w:fill="D8D8D8"/>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00" w:type="dxa"/>
            <w:vAlign w:val="bottom"/>
            <w:shd w:val="clear" w:color="auto" w:fill="D8D8D8"/>
          </w:tcPr>
          <w:p>
            <w:pPr>
              <w:jc w:val="right"/>
              <w:ind w:right="73"/>
              <w:spacing w:after="0"/>
              <w:rPr>
                <w:sz w:val="20"/>
                <w:szCs w:val="20"/>
                <w:color w:val="auto"/>
              </w:rPr>
            </w:pPr>
            <w:r>
              <w:rPr>
                <w:rFonts w:ascii="Arial" w:cs="Arial" w:eastAsia="Arial" w:hAnsi="Arial"/>
                <w:sz w:val="18"/>
                <w:szCs w:val="18"/>
                <w:b w:val="1"/>
                <w:bCs w:val="1"/>
                <w:color w:val="auto"/>
              </w:rPr>
              <w:t>976.5</w:t>
            </w:r>
          </w:p>
        </w:tc>
        <w:tc>
          <w:tcPr>
            <w:tcW w:w="380" w:type="dxa"/>
            <w:vAlign w:val="bottom"/>
            <w:shd w:val="clear" w:color="auto" w:fill="D8D8D8"/>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D8D8D8"/>
          </w:tcPr>
          <w:p>
            <w:pPr>
              <w:jc w:val="right"/>
              <w:ind w:right="73"/>
              <w:spacing w:after="0"/>
              <w:rPr>
                <w:sz w:val="20"/>
                <w:szCs w:val="20"/>
                <w:color w:val="auto"/>
              </w:rPr>
            </w:pPr>
            <w:r>
              <w:rPr>
                <w:rFonts w:ascii="Arial" w:cs="Arial" w:eastAsia="Arial" w:hAnsi="Arial"/>
                <w:sz w:val="18"/>
                <w:szCs w:val="18"/>
                <w:color w:val="auto"/>
              </w:rPr>
              <w:t>1,050.1</w:t>
            </w:r>
          </w:p>
        </w:tc>
        <w:tc>
          <w:tcPr>
            <w:tcW w:w="400" w:type="dxa"/>
            <w:vAlign w:val="bottom"/>
            <w:shd w:val="clear" w:color="auto" w:fill="D8D8D8"/>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D8D8D8"/>
          </w:tcPr>
          <w:p>
            <w:pPr>
              <w:jc w:val="right"/>
              <w:ind w:right="13"/>
              <w:spacing w:after="0"/>
              <w:rPr>
                <w:sz w:val="20"/>
                <w:szCs w:val="20"/>
                <w:color w:val="auto"/>
              </w:rPr>
            </w:pPr>
            <w:r>
              <w:rPr>
                <w:rFonts w:ascii="Arial" w:cs="Arial" w:eastAsia="Arial" w:hAnsi="Arial"/>
                <w:sz w:val="18"/>
                <w:szCs w:val="18"/>
                <w:color w:val="auto"/>
              </w:rPr>
              <w:t>2,061.3</w:t>
            </w:r>
          </w:p>
        </w:tc>
      </w:tr>
      <w:tr>
        <w:trPr>
          <w:trHeight w:val="247"/>
        </w:trPr>
        <w:tc>
          <w:tcPr>
            <w:tcW w:w="7080" w:type="dxa"/>
            <w:vAlign w:val="bottom"/>
          </w:tcPr>
          <w:p>
            <w:pPr>
              <w:ind w:left="40"/>
              <w:spacing w:after="0"/>
              <w:rPr>
                <w:sz w:val="20"/>
                <w:szCs w:val="20"/>
                <w:color w:val="auto"/>
              </w:rPr>
            </w:pPr>
            <w:r>
              <w:rPr>
                <w:rFonts w:ascii="Arial" w:cs="Arial" w:eastAsia="Arial" w:hAnsi="Arial"/>
                <w:sz w:val="18"/>
                <w:szCs w:val="18"/>
                <w:color w:val="auto"/>
              </w:rPr>
              <w:t>Add (deduct):</w:t>
            </w: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3"/>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080" w:type="dxa"/>
            <w:vAlign w:val="bottom"/>
            <w:shd w:val="clear" w:color="auto" w:fill="D8D8D8"/>
          </w:tcPr>
          <w:p>
            <w:pPr>
              <w:ind w:left="180"/>
              <w:spacing w:after="0"/>
              <w:rPr>
                <w:sz w:val="20"/>
                <w:szCs w:val="20"/>
                <w:color w:val="auto"/>
              </w:rPr>
            </w:pPr>
            <w:r>
              <w:rPr>
                <w:rFonts w:ascii="Arial" w:cs="Arial" w:eastAsia="Arial" w:hAnsi="Arial"/>
                <w:sz w:val="18"/>
                <w:szCs w:val="18"/>
                <w:color w:val="auto"/>
              </w:rPr>
              <w:t>International operations, including Puerto Rico</w:t>
            </w:r>
          </w:p>
        </w:tc>
        <w:tc>
          <w:tcPr>
            <w:tcW w:w="320" w:type="dxa"/>
            <w:vAlign w:val="bottom"/>
            <w:shd w:val="clear" w:color="auto" w:fill="D8D8D8"/>
          </w:tcPr>
          <w:p>
            <w:pPr>
              <w:spacing w:after="0"/>
              <w:rPr>
                <w:sz w:val="23"/>
                <w:szCs w:val="23"/>
                <w:color w:val="auto"/>
              </w:rPr>
            </w:pPr>
          </w:p>
        </w:tc>
        <w:tc>
          <w:tcPr>
            <w:tcW w:w="1100" w:type="dxa"/>
            <w:vAlign w:val="bottom"/>
            <w:shd w:val="clear" w:color="auto" w:fill="D8D8D8"/>
          </w:tcPr>
          <w:p>
            <w:pPr>
              <w:jc w:val="right"/>
              <w:ind w:right="13"/>
              <w:spacing w:after="0"/>
              <w:rPr>
                <w:sz w:val="20"/>
                <w:szCs w:val="20"/>
                <w:color w:val="auto"/>
              </w:rPr>
            </w:pPr>
            <w:r>
              <w:rPr>
                <w:rFonts w:ascii="Arial" w:cs="Arial" w:eastAsia="Arial" w:hAnsi="Arial"/>
                <w:sz w:val="18"/>
                <w:szCs w:val="18"/>
                <w:b w:val="1"/>
                <w:bCs w:val="1"/>
                <w:color w:val="auto"/>
              </w:rPr>
              <w:t>(565.2)</w:t>
            </w:r>
          </w:p>
        </w:tc>
        <w:tc>
          <w:tcPr>
            <w:tcW w:w="380" w:type="dxa"/>
            <w:vAlign w:val="bottom"/>
            <w:shd w:val="clear" w:color="auto" w:fill="D8D8D8"/>
          </w:tcPr>
          <w:p>
            <w:pPr>
              <w:spacing w:after="0"/>
              <w:rPr>
                <w:sz w:val="23"/>
                <w:szCs w:val="23"/>
                <w:color w:val="auto"/>
              </w:rPr>
            </w:pPr>
          </w:p>
        </w:tc>
        <w:tc>
          <w:tcPr>
            <w:tcW w:w="1100" w:type="dxa"/>
            <w:vAlign w:val="bottom"/>
            <w:shd w:val="clear" w:color="auto" w:fill="D8D8D8"/>
          </w:tcPr>
          <w:p>
            <w:pPr>
              <w:jc w:val="right"/>
              <w:ind w:right="13"/>
              <w:spacing w:after="0"/>
              <w:rPr>
                <w:sz w:val="20"/>
                <w:szCs w:val="20"/>
                <w:color w:val="auto"/>
              </w:rPr>
            </w:pPr>
            <w:r>
              <w:rPr>
                <w:rFonts w:ascii="Arial" w:cs="Arial" w:eastAsia="Arial" w:hAnsi="Arial"/>
                <w:sz w:val="18"/>
                <w:szCs w:val="18"/>
                <w:color w:val="auto"/>
              </w:rPr>
              <w:t>(344.8)</w:t>
            </w:r>
          </w:p>
        </w:tc>
        <w:tc>
          <w:tcPr>
            <w:tcW w:w="400" w:type="dxa"/>
            <w:vAlign w:val="bottom"/>
            <w:shd w:val="clear" w:color="auto" w:fill="D8D8D8"/>
          </w:tcPr>
          <w:p>
            <w:pPr>
              <w:spacing w:after="0"/>
              <w:rPr>
                <w:sz w:val="23"/>
                <w:szCs w:val="23"/>
                <w:color w:val="auto"/>
              </w:rPr>
            </w:pPr>
          </w:p>
        </w:tc>
        <w:tc>
          <w:tcPr>
            <w:tcW w:w="1040" w:type="dxa"/>
            <w:vAlign w:val="bottom"/>
            <w:shd w:val="clear" w:color="auto" w:fill="D8D8D8"/>
          </w:tcPr>
          <w:p>
            <w:pPr>
              <w:jc w:val="right"/>
              <w:spacing w:after="0"/>
              <w:rPr>
                <w:sz w:val="20"/>
                <w:szCs w:val="20"/>
                <w:color w:val="auto"/>
              </w:rPr>
            </w:pPr>
            <w:r>
              <w:rPr>
                <w:rFonts w:ascii="Arial" w:cs="Arial" w:eastAsia="Arial" w:hAnsi="Arial"/>
                <w:sz w:val="18"/>
                <w:szCs w:val="18"/>
                <w:color w:val="auto"/>
              </w:rPr>
              <w:t>(778.3)</w:t>
            </w:r>
          </w:p>
        </w:tc>
      </w:tr>
      <w:tr>
        <w:trPr>
          <w:trHeight w:val="269"/>
        </w:trPr>
        <w:tc>
          <w:tcPr>
            <w:tcW w:w="7080" w:type="dxa"/>
            <w:vAlign w:val="bottom"/>
          </w:tcPr>
          <w:p>
            <w:pPr>
              <w:ind w:left="180"/>
              <w:spacing w:after="0"/>
              <w:rPr>
                <w:sz w:val="20"/>
                <w:szCs w:val="20"/>
                <w:color w:val="auto"/>
              </w:rPr>
            </w:pPr>
            <w:r>
              <w:rPr>
                <w:rFonts w:ascii="Arial" w:cs="Arial" w:eastAsia="Arial" w:hAnsi="Arial"/>
                <w:sz w:val="18"/>
                <w:szCs w:val="18"/>
                <w:color w:val="auto"/>
              </w:rPr>
              <w:t>General business credits</w:t>
            </w:r>
          </w:p>
        </w:tc>
        <w:tc>
          <w:tcPr>
            <w:tcW w:w="320" w:type="dxa"/>
            <w:vAlign w:val="bottom"/>
          </w:tcPr>
          <w:p>
            <w:pPr>
              <w:spacing w:after="0"/>
              <w:rPr>
                <w:sz w:val="23"/>
                <w:szCs w:val="23"/>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b w:val="1"/>
                <w:bCs w:val="1"/>
                <w:color w:val="auto"/>
              </w:rPr>
              <w:t>(69.2)</w:t>
            </w:r>
          </w:p>
        </w:tc>
        <w:tc>
          <w:tcPr>
            <w:tcW w:w="380" w:type="dxa"/>
            <w:vAlign w:val="bottom"/>
          </w:tcPr>
          <w:p>
            <w:pPr>
              <w:spacing w:after="0"/>
              <w:rPr>
                <w:sz w:val="23"/>
                <w:szCs w:val="23"/>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(44.3)</w:t>
            </w:r>
          </w:p>
        </w:tc>
        <w:tc>
          <w:tcPr>
            <w:tcW w:w="4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(175.6)</w:t>
            </w:r>
          </w:p>
        </w:tc>
      </w:tr>
      <w:tr>
        <w:trPr>
          <w:trHeight w:val="271"/>
        </w:trPr>
        <w:tc>
          <w:tcPr>
            <w:tcW w:w="7080" w:type="dxa"/>
            <w:vAlign w:val="bottom"/>
            <w:shd w:val="clear" w:color="auto" w:fill="D8D8D8"/>
          </w:tcPr>
          <w:p>
            <w:pPr>
              <w:ind w:left="18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shd w:val="clear" w:color="auto" w:fill="D8D8D8"/>
          </w:tcPr>
          <w:p>
            <w:pPr>
              <w:spacing w:after="0"/>
              <w:rPr>
                <w:sz w:val="23"/>
                <w:szCs w:val="23"/>
                <w:color w:val="auto"/>
              </w:rPr>
            </w:pPr>
          </w:p>
        </w:tc>
        <w:tc>
          <w:tcPr>
            <w:tcW w:w="1100" w:type="dxa"/>
            <w:vAlign w:val="bottom"/>
            <w:tcBorders>
              <w:bottom w:val="single" w:sz="8" w:color="auto"/>
            </w:tcBorders>
            <w:shd w:val="clear" w:color="auto" w:fill="D8D8D8"/>
          </w:tcPr>
          <w:p>
            <w:pPr>
              <w:jc w:val="right"/>
              <w:ind w:right="73"/>
              <w:spacing w:after="0"/>
              <w:rPr>
                <w:sz w:val="20"/>
                <w:szCs w:val="20"/>
                <w:color w:val="auto"/>
              </w:rPr>
            </w:pPr>
            <w:r>
              <w:rPr>
                <w:rFonts w:ascii="Arial" w:cs="Arial" w:eastAsia="Arial" w:hAnsi="Arial"/>
                <w:sz w:val="18"/>
                <w:szCs w:val="18"/>
                <w:b w:val="1"/>
                <w:bCs w:val="1"/>
                <w:color w:val="auto"/>
              </w:rPr>
              <w:t>39.5</w:t>
            </w:r>
          </w:p>
        </w:tc>
        <w:tc>
          <w:tcPr>
            <w:tcW w:w="380" w:type="dxa"/>
            <w:vAlign w:val="bottom"/>
            <w:tcBorders>
              <w:bottom w:val="single" w:sz="8" w:color="auto"/>
            </w:tcBorders>
            <w:shd w:val="clear" w:color="auto" w:fill="D8D8D8"/>
          </w:tcPr>
          <w:p>
            <w:pPr>
              <w:spacing w:after="0"/>
              <w:rPr>
                <w:sz w:val="23"/>
                <w:szCs w:val="23"/>
                <w:color w:val="auto"/>
              </w:rPr>
            </w:pPr>
          </w:p>
        </w:tc>
        <w:tc>
          <w:tcPr>
            <w:tcW w:w="1100" w:type="dxa"/>
            <w:vAlign w:val="bottom"/>
            <w:tcBorders>
              <w:bottom w:val="single" w:sz="8" w:color="auto"/>
            </w:tcBorders>
            <w:shd w:val="clear" w:color="auto" w:fill="D8D8D8"/>
          </w:tcPr>
          <w:p>
            <w:pPr>
              <w:jc w:val="right"/>
              <w:ind w:right="13"/>
              <w:spacing w:after="0"/>
              <w:rPr>
                <w:sz w:val="20"/>
                <w:szCs w:val="20"/>
                <w:color w:val="auto"/>
              </w:rPr>
            </w:pPr>
            <w:r>
              <w:rPr>
                <w:rFonts w:ascii="Arial" w:cs="Arial" w:eastAsia="Arial" w:hAnsi="Arial"/>
                <w:sz w:val="18"/>
                <w:szCs w:val="18"/>
                <w:color w:val="auto"/>
              </w:rPr>
              <w:t>(51.2)</w:t>
            </w:r>
          </w:p>
        </w:tc>
        <w:tc>
          <w:tcPr>
            <w:tcW w:w="400" w:type="dxa"/>
            <w:vAlign w:val="bottom"/>
            <w:tcBorders>
              <w:bottom w:val="single" w:sz="8" w:color="auto"/>
            </w:tcBorders>
            <w:shd w:val="clear" w:color="auto" w:fill="D8D8D8"/>
          </w:tcPr>
          <w:p>
            <w:pPr>
              <w:spacing w:after="0"/>
              <w:rPr>
                <w:sz w:val="23"/>
                <w:szCs w:val="23"/>
                <w:color w:val="auto"/>
              </w:rPr>
            </w:pPr>
          </w:p>
        </w:tc>
        <w:tc>
          <w:tcPr>
            <w:tcW w:w="1040" w:type="dxa"/>
            <w:vAlign w:val="bottom"/>
            <w:tcBorders>
              <w:bottom w:val="single" w:sz="8" w:color="auto"/>
            </w:tcBorders>
            <w:shd w:val="clear" w:color="auto" w:fill="D8D8D8"/>
          </w:tcPr>
          <w:p>
            <w:pPr>
              <w:jc w:val="right"/>
              <w:ind w:right="13"/>
              <w:spacing w:after="0"/>
              <w:rPr>
                <w:sz w:val="20"/>
                <w:szCs w:val="20"/>
                <w:color w:val="auto"/>
              </w:rPr>
            </w:pPr>
            <w:r>
              <w:rPr>
                <w:rFonts w:ascii="Arial" w:cs="Arial" w:eastAsia="Arial" w:hAnsi="Arial"/>
                <w:sz w:val="18"/>
                <w:szCs w:val="18"/>
                <w:color w:val="auto"/>
              </w:rPr>
              <w:t>97.1</w:t>
            </w:r>
          </w:p>
        </w:tc>
      </w:tr>
      <w:tr>
        <w:trPr>
          <w:trHeight w:val="271"/>
        </w:trPr>
        <w:tc>
          <w:tcPr>
            <w:tcW w:w="7080" w:type="dxa"/>
            <w:vAlign w:val="bottom"/>
          </w:tcPr>
          <w:p>
            <w:pPr>
              <w:ind w:left="40"/>
              <w:spacing w:after="0"/>
              <w:rPr>
                <w:sz w:val="20"/>
                <w:szCs w:val="20"/>
                <w:color w:val="auto"/>
              </w:rPr>
            </w:pPr>
            <w:r>
              <w:rPr>
                <w:rFonts w:ascii="Arial" w:cs="Arial" w:eastAsia="Arial" w:hAnsi="Arial"/>
                <w:sz w:val="18"/>
                <w:szCs w:val="18"/>
                <w:color w:val="auto"/>
              </w:rPr>
              <w:t>Income taxes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b w:val="1"/>
                <w:bCs w:val="1"/>
                <w:color w:val="auto"/>
              </w:rPr>
              <w:t>381.6</w:t>
            </w:r>
          </w:p>
        </w:tc>
        <w:tc>
          <w:tcPr>
            <w:tcW w:w="3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609.8</w:t>
            </w:r>
          </w:p>
        </w:tc>
        <w:tc>
          <w:tcPr>
            <w:tcW w:w="4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1,204.5</w:t>
            </w:r>
          </w:p>
        </w:tc>
      </w:tr>
    </w:tbl>
    <w:p>
      <w:pPr>
        <w:spacing w:after="0" w:line="85" w:lineRule="exact"/>
        <w:rPr>
          <w:sz w:val="20"/>
          <w:szCs w:val="20"/>
          <w:color w:val="auto"/>
        </w:rPr>
      </w:pPr>
    </w:p>
    <w:p>
      <w:pPr>
        <w:ind w:right="140"/>
        <w:spacing w:after="0" w:line="292" w:lineRule="auto"/>
        <w:rPr>
          <w:sz w:val="20"/>
          <w:szCs w:val="20"/>
          <w:color w:val="auto"/>
        </w:rPr>
      </w:pPr>
      <w:r>
        <w:rPr>
          <w:rFonts w:ascii="Arial" w:cs="Arial" w:eastAsia="Arial" w:hAnsi="Arial"/>
          <w:sz w:val="18"/>
          <w:szCs w:val="18"/>
          <w:color w:val="auto"/>
        </w:rPr>
        <w:t>The American Taxpayer Relief Act of 2012, which included the reinstatement of the research tax credit for the year 2012, was enacted in early 2013. Therefore, the research tax credits for the years 2012 and 2013 are both included in 2013 with general business credits.</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beginning and ending amount of gross unrecognized tax benefits is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0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2015</w:t>
            </w:r>
          </w:p>
        </w:tc>
        <w:tc>
          <w:tcPr>
            <w:tcW w:w="3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2014</w:t>
            </w:r>
          </w:p>
        </w:tc>
        <w:tc>
          <w:tcPr>
            <w:tcW w:w="4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2013</w:t>
            </w:r>
          </w:p>
        </w:tc>
      </w:tr>
      <w:tr>
        <w:trPr>
          <w:trHeight w:val="265"/>
        </w:trPr>
        <w:tc>
          <w:tcPr>
            <w:tcW w:w="7080" w:type="dxa"/>
            <w:vAlign w:val="bottom"/>
            <w:shd w:val="clear" w:color="auto" w:fill="D8D8D8"/>
          </w:tcPr>
          <w:p>
            <w:pPr>
              <w:ind w:left="40"/>
              <w:spacing w:after="0"/>
              <w:rPr>
                <w:sz w:val="20"/>
                <w:szCs w:val="20"/>
                <w:color w:val="auto"/>
              </w:rPr>
            </w:pPr>
            <w:r>
              <w:rPr>
                <w:rFonts w:ascii="Arial" w:cs="Arial" w:eastAsia="Arial" w:hAnsi="Arial"/>
                <w:sz w:val="18"/>
                <w:szCs w:val="18"/>
                <w:color w:val="auto"/>
              </w:rPr>
              <w:t>Beginning balance at January 1</w:t>
            </w:r>
          </w:p>
        </w:tc>
        <w:tc>
          <w:tcPr>
            <w:tcW w:w="320" w:type="dxa"/>
            <w:vAlign w:val="bottom"/>
            <w:shd w:val="clear" w:color="auto" w:fill="D8D8D8"/>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00" w:type="dxa"/>
            <w:vAlign w:val="bottom"/>
            <w:shd w:val="clear" w:color="auto" w:fill="D8D8D8"/>
          </w:tcPr>
          <w:p>
            <w:pPr>
              <w:jc w:val="right"/>
              <w:ind w:right="72"/>
              <w:spacing w:after="0"/>
              <w:rPr>
                <w:sz w:val="20"/>
                <w:szCs w:val="20"/>
                <w:color w:val="auto"/>
              </w:rPr>
            </w:pPr>
            <w:r>
              <w:rPr>
                <w:rFonts w:ascii="Arial" w:cs="Arial" w:eastAsia="Arial" w:hAnsi="Arial"/>
                <w:sz w:val="18"/>
                <w:szCs w:val="18"/>
                <w:b w:val="1"/>
                <w:bCs w:val="1"/>
                <w:color w:val="auto"/>
              </w:rPr>
              <w:t>1,338.8</w:t>
            </w:r>
          </w:p>
        </w:tc>
        <w:tc>
          <w:tcPr>
            <w:tcW w:w="380" w:type="dxa"/>
            <w:vAlign w:val="bottom"/>
            <w:shd w:val="clear" w:color="auto" w:fill="D8D8D8"/>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D8D8D8"/>
          </w:tcPr>
          <w:p>
            <w:pPr>
              <w:jc w:val="right"/>
              <w:ind w:right="72"/>
              <w:spacing w:after="0"/>
              <w:rPr>
                <w:sz w:val="20"/>
                <w:szCs w:val="20"/>
                <w:color w:val="auto"/>
              </w:rPr>
            </w:pPr>
            <w:r>
              <w:rPr>
                <w:rFonts w:ascii="Arial" w:cs="Arial" w:eastAsia="Arial" w:hAnsi="Arial"/>
                <w:sz w:val="18"/>
                <w:szCs w:val="18"/>
                <w:color w:val="auto"/>
              </w:rPr>
              <w:t>1,136.4</w:t>
            </w:r>
          </w:p>
        </w:tc>
        <w:tc>
          <w:tcPr>
            <w:tcW w:w="400" w:type="dxa"/>
            <w:vAlign w:val="bottom"/>
            <w:shd w:val="clear" w:color="auto" w:fill="D8D8D8"/>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D8D8D8"/>
          </w:tcPr>
          <w:p>
            <w:pPr>
              <w:jc w:val="right"/>
              <w:ind w:right="12"/>
              <w:spacing w:after="0"/>
              <w:rPr>
                <w:sz w:val="20"/>
                <w:szCs w:val="20"/>
                <w:color w:val="auto"/>
              </w:rPr>
            </w:pPr>
            <w:r>
              <w:rPr>
                <w:rFonts w:ascii="Arial" w:cs="Arial" w:eastAsia="Arial" w:hAnsi="Arial"/>
                <w:sz w:val="18"/>
                <w:szCs w:val="18"/>
                <w:color w:val="auto"/>
              </w:rPr>
              <w:t>1,534.3</w:t>
            </w:r>
          </w:p>
        </w:tc>
      </w:tr>
      <w:tr>
        <w:trPr>
          <w:trHeight w:val="269"/>
        </w:trPr>
        <w:tc>
          <w:tcPr>
            <w:tcW w:w="7080" w:type="dxa"/>
            <w:vAlign w:val="bottom"/>
          </w:tcPr>
          <w:p>
            <w:pPr>
              <w:ind w:left="40"/>
              <w:spacing w:after="0"/>
              <w:rPr>
                <w:sz w:val="20"/>
                <w:szCs w:val="20"/>
                <w:color w:val="auto"/>
              </w:rPr>
            </w:pPr>
            <w:r>
              <w:rPr>
                <w:rFonts w:ascii="Arial" w:cs="Arial" w:eastAsia="Arial" w:hAnsi="Arial"/>
                <w:sz w:val="18"/>
                <w:szCs w:val="18"/>
                <w:color w:val="auto"/>
              </w:rPr>
              <w:t>Additions based on tax positions related to the current year</w:t>
            </w:r>
          </w:p>
        </w:tc>
        <w:tc>
          <w:tcPr>
            <w:tcW w:w="320" w:type="dxa"/>
            <w:vAlign w:val="bottom"/>
          </w:tcPr>
          <w:p>
            <w:pPr>
              <w:spacing w:after="0"/>
              <w:rPr>
                <w:sz w:val="23"/>
                <w:szCs w:val="23"/>
                <w:color w:val="auto"/>
              </w:rPr>
            </w:pPr>
          </w:p>
        </w:tc>
        <w:tc>
          <w:tcPr>
            <w:tcW w:w="1100" w:type="dxa"/>
            <w:vAlign w:val="bottom"/>
          </w:tcPr>
          <w:p>
            <w:pPr>
              <w:jc w:val="right"/>
              <w:ind w:right="72"/>
              <w:spacing w:after="0"/>
              <w:rPr>
                <w:sz w:val="20"/>
                <w:szCs w:val="20"/>
                <w:color w:val="auto"/>
              </w:rPr>
            </w:pPr>
            <w:r>
              <w:rPr>
                <w:rFonts w:ascii="Arial" w:cs="Arial" w:eastAsia="Arial" w:hAnsi="Arial"/>
                <w:sz w:val="18"/>
                <w:szCs w:val="18"/>
                <w:b w:val="1"/>
                <w:bCs w:val="1"/>
                <w:color w:val="auto"/>
              </w:rPr>
              <w:t>131.3</w:t>
            </w:r>
          </w:p>
        </w:tc>
        <w:tc>
          <w:tcPr>
            <w:tcW w:w="380" w:type="dxa"/>
            <w:vAlign w:val="bottom"/>
          </w:tcPr>
          <w:p>
            <w:pPr>
              <w:spacing w:after="0"/>
              <w:rPr>
                <w:sz w:val="23"/>
                <w:szCs w:val="23"/>
                <w:color w:val="auto"/>
              </w:rPr>
            </w:pP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126.4</w:t>
            </w:r>
          </w:p>
        </w:tc>
        <w:tc>
          <w:tcPr>
            <w:tcW w:w="40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142.5</w:t>
            </w:r>
          </w:p>
        </w:tc>
      </w:tr>
      <w:tr>
        <w:trPr>
          <w:trHeight w:val="271"/>
        </w:trPr>
        <w:tc>
          <w:tcPr>
            <w:tcW w:w="7080" w:type="dxa"/>
            <w:vAlign w:val="bottom"/>
            <w:shd w:val="clear" w:color="auto" w:fill="D8D8D8"/>
          </w:tcPr>
          <w:p>
            <w:pPr>
              <w:ind w:left="40"/>
              <w:spacing w:after="0"/>
              <w:rPr>
                <w:sz w:val="20"/>
                <w:szCs w:val="20"/>
                <w:color w:val="auto"/>
              </w:rPr>
            </w:pPr>
            <w:r>
              <w:rPr>
                <w:rFonts w:ascii="Arial" w:cs="Arial" w:eastAsia="Arial" w:hAnsi="Arial"/>
                <w:sz w:val="18"/>
                <w:szCs w:val="18"/>
                <w:color w:val="auto"/>
              </w:rPr>
              <w:t>Additions for tax positions of prior years</w:t>
            </w:r>
          </w:p>
        </w:tc>
        <w:tc>
          <w:tcPr>
            <w:tcW w:w="320" w:type="dxa"/>
            <w:vAlign w:val="bottom"/>
            <w:shd w:val="clear" w:color="auto" w:fill="D8D8D8"/>
          </w:tcPr>
          <w:p>
            <w:pPr>
              <w:spacing w:after="0"/>
              <w:rPr>
                <w:sz w:val="23"/>
                <w:szCs w:val="23"/>
                <w:color w:val="auto"/>
              </w:rPr>
            </w:pPr>
          </w:p>
        </w:tc>
        <w:tc>
          <w:tcPr>
            <w:tcW w:w="1100" w:type="dxa"/>
            <w:vAlign w:val="bottom"/>
            <w:shd w:val="clear" w:color="auto" w:fill="D8D8D8"/>
          </w:tcPr>
          <w:p>
            <w:pPr>
              <w:jc w:val="right"/>
              <w:ind w:right="72"/>
              <w:spacing w:after="0"/>
              <w:rPr>
                <w:sz w:val="20"/>
                <w:szCs w:val="20"/>
                <w:color w:val="auto"/>
              </w:rPr>
            </w:pPr>
            <w:r>
              <w:rPr>
                <w:rFonts w:ascii="Arial" w:cs="Arial" w:eastAsia="Arial" w:hAnsi="Arial"/>
                <w:sz w:val="18"/>
                <w:szCs w:val="18"/>
                <w:b w:val="1"/>
                <w:bCs w:val="1"/>
                <w:color w:val="auto"/>
              </w:rPr>
              <w:t>116.6</w:t>
            </w:r>
          </w:p>
        </w:tc>
        <w:tc>
          <w:tcPr>
            <w:tcW w:w="380" w:type="dxa"/>
            <w:vAlign w:val="bottom"/>
            <w:shd w:val="clear" w:color="auto" w:fill="D8D8D8"/>
          </w:tcPr>
          <w:p>
            <w:pPr>
              <w:spacing w:after="0"/>
              <w:rPr>
                <w:sz w:val="23"/>
                <w:szCs w:val="23"/>
                <w:color w:val="auto"/>
              </w:rPr>
            </w:pPr>
          </w:p>
        </w:tc>
        <w:tc>
          <w:tcPr>
            <w:tcW w:w="1100" w:type="dxa"/>
            <w:vAlign w:val="bottom"/>
            <w:shd w:val="clear" w:color="auto" w:fill="D8D8D8"/>
          </w:tcPr>
          <w:p>
            <w:pPr>
              <w:jc w:val="right"/>
              <w:ind w:right="72"/>
              <w:spacing w:after="0"/>
              <w:rPr>
                <w:sz w:val="20"/>
                <w:szCs w:val="20"/>
                <w:color w:val="auto"/>
              </w:rPr>
            </w:pPr>
            <w:r>
              <w:rPr>
                <w:rFonts w:ascii="Arial" w:cs="Arial" w:eastAsia="Arial" w:hAnsi="Arial"/>
                <w:sz w:val="18"/>
                <w:szCs w:val="18"/>
                <w:color w:val="auto"/>
              </w:rPr>
              <w:t>132.6</w:t>
            </w:r>
          </w:p>
        </w:tc>
        <w:tc>
          <w:tcPr>
            <w:tcW w:w="400" w:type="dxa"/>
            <w:vAlign w:val="bottom"/>
            <w:shd w:val="clear" w:color="auto" w:fill="D8D8D8"/>
          </w:tcPr>
          <w:p>
            <w:pPr>
              <w:spacing w:after="0"/>
              <w:rPr>
                <w:sz w:val="23"/>
                <w:szCs w:val="23"/>
                <w:color w:val="auto"/>
              </w:rPr>
            </w:pPr>
          </w:p>
        </w:tc>
        <w:tc>
          <w:tcPr>
            <w:tcW w:w="1040" w:type="dxa"/>
            <w:vAlign w:val="bottom"/>
            <w:shd w:val="clear" w:color="auto" w:fill="D8D8D8"/>
          </w:tcPr>
          <w:p>
            <w:pPr>
              <w:jc w:val="right"/>
              <w:ind w:right="12"/>
              <w:spacing w:after="0"/>
              <w:rPr>
                <w:sz w:val="20"/>
                <w:szCs w:val="20"/>
                <w:color w:val="auto"/>
              </w:rPr>
            </w:pPr>
            <w:r>
              <w:rPr>
                <w:rFonts w:ascii="Arial" w:cs="Arial" w:eastAsia="Arial" w:hAnsi="Arial"/>
                <w:sz w:val="18"/>
                <w:szCs w:val="18"/>
                <w:color w:val="auto"/>
              </w:rPr>
              <w:t>251.5</w:t>
            </w:r>
          </w:p>
        </w:tc>
      </w:tr>
      <w:tr>
        <w:trPr>
          <w:trHeight w:val="269"/>
        </w:trPr>
        <w:tc>
          <w:tcPr>
            <w:tcW w:w="7080" w:type="dxa"/>
            <w:vAlign w:val="bottom"/>
          </w:tcPr>
          <w:p>
            <w:pPr>
              <w:ind w:left="40"/>
              <w:spacing w:after="0"/>
              <w:rPr>
                <w:sz w:val="20"/>
                <w:szCs w:val="20"/>
                <w:color w:val="auto"/>
              </w:rPr>
            </w:pPr>
            <w:r>
              <w:rPr>
                <w:rFonts w:ascii="Arial" w:cs="Arial" w:eastAsia="Arial" w:hAnsi="Arial"/>
                <w:sz w:val="18"/>
                <w:szCs w:val="18"/>
                <w:color w:val="auto"/>
              </w:rPr>
              <w:t>Reductions for tax positions of prior years</w:t>
            </w:r>
          </w:p>
        </w:tc>
        <w:tc>
          <w:tcPr>
            <w:tcW w:w="320" w:type="dxa"/>
            <w:vAlign w:val="bottom"/>
          </w:tcPr>
          <w:p>
            <w:pPr>
              <w:spacing w:after="0"/>
              <w:rPr>
                <w:sz w:val="23"/>
                <w:szCs w:val="23"/>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b w:val="1"/>
                <w:bCs w:val="1"/>
                <w:color w:val="auto"/>
              </w:rPr>
              <w:t>(45.2)</w:t>
            </w:r>
          </w:p>
        </w:tc>
        <w:tc>
          <w:tcPr>
            <w:tcW w:w="380" w:type="dxa"/>
            <w:vAlign w:val="bottom"/>
          </w:tcPr>
          <w:p>
            <w:pPr>
              <w:spacing w:after="0"/>
              <w:rPr>
                <w:sz w:val="23"/>
                <w:szCs w:val="23"/>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(32.1)</w:t>
            </w:r>
          </w:p>
        </w:tc>
        <w:tc>
          <w:tcPr>
            <w:tcW w:w="4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(358.2)</w:t>
            </w:r>
          </w:p>
        </w:tc>
      </w:tr>
      <w:tr>
        <w:trPr>
          <w:trHeight w:val="271"/>
        </w:trPr>
        <w:tc>
          <w:tcPr>
            <w:tcW w:w="7080" w:type="dxa"/>
            <w:vAlign w:val="bottom"/>
            <w:shd w:val="clear" w:color="auto" w:fill="D8D8D8"/>
          </w:tcPr>
          <w:p>
            <w:pPr>
              <w:ind w:left="40"/>
              <w:spacing w:after="0"/>
              <w:rPr>
                <w:sz w:val="20"/>
                <w:szCs w:val="20"/>
                <w:color w:val="auto"/>
              </w:rPr>
            </w:pPr>
            <w:r>
              <w:rPr>
                <w:rFonts w:ascii="Arial" w:cs="Arial" w:eastAsia="Arial" w:hAnsi="Arial"/>
                <w:sz w:val="18"/>
                <w:szCs w:val="18"/>
                <w:color w:val="auto"/>
              </w:rPr>
              <w:t>Settlements</w:t>
            </w:r>
          </w:p>
        </w:tc>
        <w:tc>
          <w:tcPr>
            <w:tcW w:w="320" w:type="dxa"/>
            <w:vAlign w:val="bottom"/>
            <w:shd w:val="clear" w:color="auto" w:fill="D8D8D8"/>
          </w:tcPr>
          <w:p>
            <w:pPr>
              <w:spacing w:after="0"/>
              <w:rPr>
                <w:sz w:val="23"/>
                <w:szCs w:val="23"/>
                <w:color w:val="auto"/>
              </w:rPr>
            </w:pPr>
          </w:p>
        </w:tc>
        <w:tc>
          <w:tcPr>
            <w:tcW w:w="1100" w:type="dxa"/>
            <w:vAlign w:val="bottom"/>
            <w:shd w:val="clear" w:color="auto" w:fill="D8D8D8"/>
          </w:tcPr>
          <w:p>
            <w:pPr>
              <w:jc w:val="right"/>
              <w:ind w:right="12"/>
              <w:spacing w:after="0"/>
              <w:rPr>
                <w:sz w:val="20"/>
                <w:szCs w:val="20"/>
                <w:color w:val="auto"/>
              </w:rPr>
            </w:pPr>
            <w:r>
              <w:rPr>
                <w:rFonts w:ascii="Arial" w:cs="Arial" w:eastAsia="Arial" w:hAnsi="Arial"/>
                <w:sz w:val="18"/>
                <w:szCs w:val="18"/>
                <w:b w:val="1"/>
                <w:bCs w:val="1"/>
                <w:color w:val="auto"/>
              </w:rPr>
              <w:t>(446.2)</w:t>
            </w:r>
          </w:p>
        </w:tc>
        <w:tc>
          <w:tcPr>
            <w:tcW w:w="380" w:type="dxa"/>
            <w:vAlign w:val="bottom"/>
            <w:shd w:val="clear" w:color="auto" w:fill="D8D8D8"/>
          </w:tcPr>
          <w:p>
            <w:pPr>
              <w:spacing w:after="0"/>
              <w:rPr>
                <w:sz w:val="23"/>
                <w:szCs w:val="23"/>
                <w:color w:val="auto"/>
              </w:rPr>
            </w:pPr>
          </w:p>
        </w:tc>
        <w:tc>
          <w:tcPr>
            <w:tcW w:w="1100" w:type="dxa"/>
            <w:vAlign w:val="bottom"/>
            <w:shd w:val="clear" w:color="auto" w:fill="D8D8D8"/>
          </w:tcPr>
          <w:p>
            <w:pPr>
              <w:jc w:val="right"/>
              <w:ind w:right="12"/>
              <w:spacing w:after="0"/>
              <w:rPr>
                <w:sz w:val="20"/>
                <w:szCs w:val="20"/>
                <w:color w:val="auto"/>
              </w:rPr>
            </w:pPr>
            <w:r>
              <w:rPr>
                <w:rFonts w:ascii="Arial" w:cs="Arial" w:eastAsia="Arial" w:hAnsi="Arial"/>
                <w:sz w:val="18"/>
                <w:szCs w:val="18"/>
                <w:color w:val="auto"/>
              </w:rPr>
              <w:t>(4.2)</w:t>
            </w:r>
          </w:p>
        </w:tc>
        <w:tc>
          <w:tcPr>
            <w:tcW w:w="400" w:type="dxa"/>
            <w:vAlign w:val="bottom"/>
            <w:shd w:val="clear" w:color="auto" w:fill="D8D8D8"/>
          </w:tcPr>
          <w:p>
            <w:pPr>
              <w:spacing w:after="0"/>
              <w:rPr>
                <w:sz w:val="23"/>
                <w:szCs w:val="23"/>
                <w:color w:val="auto"/>
              </w:rPr>
            </w:pPr>
          </w:p>
        </w:tc>
        <w:tc>
          <w:tcPr>
            <w:tcW w:w="1040" w:type="dxa"/>
            <w:vAlign w:val="bottom"/>
            <w:shd w:val="clear" w:color="auto" w:fill="D8D8D8"/>
          </w:tcPr>
          <w:p>
            <w:pPr>
              <w:jc w:val="right"/>
              <w:spacing w:after="0"/>
              <w:rPr>
                <w:sz w:val="20"/>
                <w:szCs w:val="20"/>
                <w:color w:val="auto"/>
              </w:rPr>
            </w:pPr>
            <w:r>
              <w:rPr>
                <w:rFonts w:ascii="Arial" w:cs="Arial" w:eastAsia="Arial" w:hAnsi="Arial"/>
                <w:sz w:val="18"/>
                <w:szCs w:val="18"/>
                <w:color w:val="auto"/>
              </w:rPr>
              <w:t>(404.9)</w:t>
            </w:r>
          </w:p>
        </w:tc>
      </w:tr>
      <w:tr>
        <w:trPr>
          <w:trHeight w:val="269"/>
        </w:trPr>
        <w:tc>
          <w:tcPr>
            <w:tcW w:w="7080" w:type="dxa"/>
            <w:vAlign w:val="bottom"/>
          </w:tcPr>
          <w:p>
            <w:pPr>
              <w:ind w:left="40"/>
              <w:spacing w:after="0"/>
              <w:rPr>
                <w:sz w:val="20"/>
                <w:szCs w:val="20"/>
                <w:color w:val="auto"/>
              </w:rPr>
            </w:pPr>
            <w:r>
              <w:rPr>
                <w:rFonts w:ascii="Arial" w:cs="Arial" w:eastAsia="Arial" w:hAnsi="Arial"/>
                <w:sz w:val="18"/>
                <w:szCs w:val="18"/>
                <w:color w:val="auto"/>
              </w:rPr>
              <w:t>Lapses of statutes of limitation</w:t>
            </w:r>
          </w:p>
        </w:tc>
        <w:tc>
          <w:tcPr>
            <w:tcW w:w="320" w:type="dxa"/>
            <w:vAlign w:val="bottom"/>
          </w:tcPr>
          <w:p>
            <w:pPr>
              <w:spacing w:after="0"/>
              <w:rPr>
                <w:sz w:val="23"/>
                <w:szCs w:val="23"/>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b w:val="1"/>
                <w:bCs w:val="1"/>
                <w:color w:val="auto"/>
              </w:rPr>
              <w:t>(4.0)</w:t>
            </w:r>
          </w:p>
        </w:tc>
        <w:tc>
          <w:tcPr>
            <w:tcW w:w="380" w:type="dxa"/>
            <w:vAlign w:val="bottom"/>
          </w:tcPr>
          <w:p>
            <w:pPr>
              <w:spacing w:after="0"/>
              <w:rPr>
                <w:sz w:val="23"/>
                <w:szCs w:val="23"/>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(3.5)</w:t>
            </w:r>
          </w:p>
        </w:tc>
        <w:tc>
          <w:tcPr>
            <w:tcW w:w="4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(24.9)</w:t>
            </w:r>
          </w:p>
        </w:tc>
      </w:tr>
      <w:tr>
        <w:trPr>
          <w:trHeight w:val="271"/>
        </w:trPr>
        <w:tc>
          <w:tcPr>
            <w:tcW w:w="7080" w:type="dxa"/>
            <w:vAlign w:val="bottom"/>
            <w:shd w:val="clear" w:color="auto" w:fill="D8D8D8"/>
          </w:tcPr>
          <w:p>
            <w:pPr>
              <w:ind w:left="40"/>
              <w:spacing w:after="0"/>
              <w:rPr>
                <w:sz w:val="20"/>
                <w:szCs w:val="20"/>
                <w:color w:val="auto"/>
              </w:rPr>
            </w:pPr>
            <w:r>
              <w:rPr>
                <w:rFonts w:ascii="Arial" w:cs="Arial" w:eastAsia="Arial" w:hAnsi="Arial"/>
                <w:sz w:val="18"/>
                <w:szCs w:val="18"/>
                <w:color w:val="auto"/>
              </w:rPr>
              <w:t>Changes related to the impact of foreign currency translation</w:t>
            </w:r>
          </w:p>
        </w:tc>
        <w:tc>
          <w:tcPr>
            <w:tcW w:w="320" w:type="dxa"/>
            <w:vAlign w:val="bottom"/>
            <w:tcBorders>
              <w:bottom w:val="single" w:sz="8" w:color="auto"/>
            </w:tcBorders>
            <w:shd w:val="clear" w:color="auto" w:fill="D8D8D8"/>
          </w:tcPr>
          <w:p>
            <w:pPr>
              <w:spacing w:after="0"/>
              <w:rPr>
                <w:sz w:val="23"/>
                <w:szCs w:val="23"/>
                <w:color w:val="auto"/>
              </w:rPr>
            </w:pPr>
          </w:p>
        </w:tc>
        <w:tc>
          <w:tcPr>
            <w:tcW w:w="1100" w:type="dxa"/>
            <w:vAlign w:val="bottom"/>
            <w:tcBorders>
              <w:bottom w:val="single" w:sz="8" w:color="auto"/>
            </w:tcBorders>
            <w:shd w:val="clear" w:color="auto" w:fill="D8D8D8"/>
          </w:tcPr>
          <w:p>
            <w:pPr>
              <w:jc w:val="right"/>
              <w:ind w:right="12"/>
              <w:spacing w:after="0"/>
              <w:rPr>
                <w:sz w:val="20"/>
                <w:szCs w:val="20"/>
                <w:color w:val="auto"/>
              </w:rPr>
            </w:pPr>
            <w:r>
              <w:rPr>
                <w:rFonts w:ascii="Arial" w:cs="Arial" w:eastAsia="Arial" w:hAnsi="Arial"/>
                <w:sz w:val="18"/>
                <w:szCs w:val="18"/>
                <w:b w:val="1"/>
                <w:bCs w:val="1"/>
                <w:color w:val="auto"/>
              </w:rPr>
              <w:t>(24.7)</w:t>
            </w:r>
          </w:p>
        </w:tc>
        <w:tc>
          <w:tcPr>
            <w:tcW w:w="380" w:type="dxa"/>
            <w:vAlign w:val="bottom"/>
            <w:tcBorders>
              <w:bottom w:val="single" w:sz="8" w:color="auto"/>
            </w:tcBorders>
            <w:shd w:val="clear" w:color="auto" w:fill="D8D8D8"/>
          </w:tcPr>
          <w:p>
            <w:pPr>
              <w:spacing w:after="0"/>
              <w:rPr>
                <w:sz w:val="23"/>
                <w:szCs w:val="23"/>
                <w:color w:val="auto"/>
              </w:rPr>
            </w:pPr>
          </w:p>
        </w:tc>
        <w:tc>
          <w:tcPr>
            <w:tcW w:w="1100" w:type="dxa"/>
            <w:vAlign w:val="bottom"/>
            <w:tcBorders>
              <w:bottom w:val="single" w:sz="8" w:color="auto"/>
            </w:tcBorders>
            <w:shd w:val="clear" w:color="auto" w:fill="D8D8D8"/>
          </w:tcPr>
          <w:p>
            <w:pPr>
              <w:jc w:val="right"/>
              <w:ind w:right="12"/>
              <w:spacing w:after="0"/>
              <w:rPr>
                <w:sz w:val="20"/>
                <w:szCs w:val="20"/>
                <w:color w:val="auto"/>
              </w:rPr>
            </w:pPr>
            <w:r>
              <w:rPr>
                <w:rFonts w:ascii="Arial" w:cs="Arial" w:eastAsia="Arial" w:hAnsi="Arial"/>
                <w:sz w:val="18"/>
                <w:szCs w:val="18"/>
                <w:color w:val="auto"/>
              </w:rPr>
              <w:t>(16.8)</w:t>
            </w:r>
          </w:p>
        </w:tc>
        <w:tc>
          <w:tcPr>
            <w:tcW w:w="400" w:type="dxa"/>
            <w:vAlign w:val="bottom"/>
            <w:tcBorders>
              <w:bottom w:val="single" w:sz="8" w:color="auto"/>
            </w:tcBorders>
            <w:shd w:val="clear" w:color="auto" w:fill="D8D8D8"/>
          </w:tcPr>
          <w:p>
            <w:pPr>
              <w:spacing w:after="0"/>
              <w:rPr>
                <w:sz w:val="23"/>
                <w:szCs w:val="23"/>
                <w:color w:val="auto"/>
              </w:rPr>
            </w:pPr>
          </w:p>
        </w:tc>
        <w:tc>
          <w:tcPr>
            <w:tcW w:w="104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(3.9)</w:t>
            </w:r>
          </w:p>
        </w:tc>
      </w:tr>
      <w:tr>
        <w:trPr>
          <w:trHeight w:val="271"/>
        </w:trPr>
        <w:tc>
          <w:tcPr>
            <w:tcW w:w="7080" w:type="dxa"/>
            <w:vAlign w:val="bottom"/>
          </w:tcPr>
          <w:p>
            <w:pPr>
              <w:ind w:left="40"/>
              <w:spacing w:after="0"/>
              <w:rPr>
                <w:sz w:val="20"/>
                <w:szCs w:val="20"/>
                <w:color w:val="auto"/>
              </w:rPr>
            </w:pPr>
            <w:r>
              <w:rPr>
                <w:rFonts w:ascii="Arial" w:cs="Arial" w:eastAsia="Arial" w:hAnsi="Arial"/>
                <w:sz w:val="18"/>
                <w:szCs w:val="18"/>
                <w:color w:val="auto"/>
              </w:rPr>
              <w:t>Ending balance at December 31</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1,066.6</w:t>
            </w:r>
          </w:p>
        </w:tc>
        <w:tc>
          <w:tcPr>
            <w:tcW w:w="3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1,338.8</w:t>
            </w:r>
          </w:p>
        </w:tc>
        <w:tc>
          <w:tcPr>
            <w:tcW w:w="4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1,136.4</w:t>
            </w:r>
          </w:p>
        </w:tc>
      </w:tr>
    </w:tbl>
    <w:p>
      <w:pPr>
        <w:spacing w:after="0" w:line="85" w:lineRule="exact"/>
        <w:rPr>
          <w:sz w:val="20"/>
          <w:szCs w:val="20"/>
          <w:color w:val="auto"/>
        </w:rPr>
      </w:pPr>
    </w:p>
    <w:p>
      <w:pPr>
        <w:ind w:right="320"/>
        <w:spacing w:after="0" w:line="292" w:lineRule="auto"/>
        <w:rPr>
          <w:sz w:val="20"/>
          <w:szCs w:val="20"/>
          <w:color w:val="auto"/>
        </w:rPr>
      </w:pPr>
      <w:r>
        <w:rPr>
          <w:rFonts w:ascii="Arial" w:cs="Arial" w:eastAsia="Arial" w:hAnsi="Arial"/>
          <w:sz w:val="18"/>
          <w:szCs w:val="18"/>
          <w:color w:val="auto"/>
        </w:rPr>
        <w:t>The total amount of unrecognized tax benefits that, if recognized, would affect our effective tax rate was $404.1 million and $638.8 million at December 31, 2015 and 2014, respectively.</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color w:val="auto"/>
        </w:rPr>
        <w:t>We file income tax returns in the U.S. federal jurisdiction and various state, local, and non-U.S. jurisdictions. We are no longer subject to U.S.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federal, state and local, or non-U.S. income tax examinations in most major taxing jurisdictions for years before 2007.</w:t>
      </w:r>
    </w:p>
    <w:p>
      <w:pPr>
        <w:spacing w:after="0" w:line="95"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During 2013, we reached resolution on the remaining matters related to tax years 2008–2009 that were not settled as part of a previous U.S. examination. Considering the impact of this resolution on periods that have not yet been examined, as well as its impact on tax asset carryforwards, there was an immaterial benefit to our consolidated results of operations. We made cash payments of approximately $135 million related to tax years 2008–2009 after application of available tax credit carryforwards and carrybacks.</w:t>
      </w:r>
    </w:p>
    <w:p>
      <w:pPr>
        <w:spacing w:after="0" w:line="62"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The U.S. examination of tax years 2010-2012 commenced during the fourth quarter of 2013 and is expected to conclude in the first quarter of 2016. In December 2015, we executed a closing agreement with the Internal Revenue Service which effectively settled certain matters for tax years 2010-2012. Accordingly, we have reduced our gross uncertain tax positions by approximately $ 320 million in 2015. There was an immaterial impact to our consolidated results of operations during the fourth quarter related to issues settled in the closing agreement. In the first quarter of 2016, we anticipate reaching resolution on the remaining issues under examination and estimate that our gross uncertain tax positions will further be reduced by approximately $100 million to $150 million. Additionally, we do not anticipate that resolution of the U.S. examination will result in a material change to our consolidated financial position, and we expect that up to $250 million of cash payments will be due upon resolution of these tax years. We expect the U.S. examination of tax years 2013-2014, and possibly 2015, to begin in 2016.</w:t>
      </w:r>
    </w:p>
    <w:p>
      <w:pPr>
        <w:spacing w:after="0" w:line="70" w:lineRule="exact"/>
        <w:rPr>
          <w:sz w:val="20"/>
          <w:szCs w:val="20"/>
          <w:color w:val="auto"/>
        </w:rPr>
      </w:pPr>
    </w:p>
    <w:p>
      <w:pPr>
        <w:ind w:right="500"/>
        <w:spacing w:after="0" w:line="292" w:lineRule="auto"/>
        <w:rPr>
          <w:sz w:val="20"/>
          <w:szCs w:val="20"/>
          <w:color w:val="auto"/>
        </w:rPr>
      </w:pPr>
      <w:r>
        <w:rPr>
          <w:rFonts w:ascii="Arial" w:cs="Arial" w:eastAsia="Arial" w:hAnsi="Arial"/>
          <w:sz w:val="18"/>
          <w:szCs w:val="18"/>
          <w:color w:val="auto"/>
        </w:rPr>
        <w:t>We recognize both accrued interest and penalties related to unrecognized tax benefits in income tax expense. We recognized income tax (benefit) expense related to interest and penalties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720" w:type="dxa"/>
            <w:vAlign w:val="bottom"/>
            <w:tcBorders>
              <w:bottom w:val="single" w:sz="8" w:color="auto"/>
            </w:tcBorders>
          </w:tcPr>
          <w:p>
            <w:pPr>
              <w:spacing w:after="0"/>
              <w:rPr>
                <w:sz w:val="17"/>
                <w:szCs w:val="17"/>
                <w:color w:val="auto"/>
              </w:rPr>
            </w:pPr>
          </w:p>
        </w:tc>
        <w:tc>
          <w:tcPr>
            <w:tcW w:w="26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2015</w:t>
            </w:r>
          </w:p>
        </w:tc>
        <w:tc>
          <w:tcPr>
            <w:tcW w:w="4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2014</w:t>
            </w:r>
          </w:p>
        </w:tc>
        <w:tc>
          <w:tcPr>
            <w:tcW w:w="4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2013</w:t>
            </w:r>
          </w:p>
        </w:tc>
      </w:tr>
      <w:tr>
        <w:trPr>
          <w:trHeight w:val="265"/>
        </w:trPr>
        <w:tc>
          <w:tcPr>
            <w:tcW w:w="4720" w:type="dxa"/>
            <w:vAlign w:val="bottom"/>
            <w:shd w:val="clear" w:color="auto" w:fill="D8D8D8"/>
          </w:tcPr>
          <w:p>
            <w:pPr>
              <w:jc w:val="right"/>
              <w:ind w:right="2270"/>
              <w:spacing w:after="0"/>
              <w:rPr>
                <w:sz w:val="20"/>
                <w:szCs w:val="20"/>
                <w:color w:val="auto"/>
              </w:rPr>
            </w:pPr>
            <w:r>
              <w:rPr>
                <w:rFonts w:ascii="Arial" w:cs="Arial" w:eastAsia="Arial" w:hAnsi="Arial"/>
                <w:sz w:val="18"/>
                <w:szCs w:val="18"/>
                <w:color w:val="auto"/>
              </w:rPr>
              <w:t>Income tax (benefit) expense</w:t>
            </w:r>
          </w:p>
        </w:tc>
        <w:tc>
          <w:tcPr>
            <w:tcW w:w="2680" w:type="dxa"/>
            <w:vAlign w:val="bottom"/>
            <w:shd w:val="clear" w:color="auto" w:fill="D8D8D8"/>
          </w:tcPr>
          <w:p>
            <w:pPr>
              <w:jc w:val="right"/>
              <w:ind w:right="110"/>
              <w:spacing w:after="0"/>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D8D8D8"/>
          </w:tcPr>
          <w:p>
            <w:pPr>
              <w:jc w:val="right"/>
              <w:ind w:right="39"/>
              <w:spacing w:after="0"/>
              <w:rPr>
                <w:sz w:val="20"/>
                <w:szCs w:val="20"/>
                <w:color w:val="auto"/>
              </w:rPr>
            </w:pPr>
            <w:r>
              <w:rPr>
                <w:rFonts w:ascii="Arial" w:cs="Arial" w:eastAsia="Arial" w:hAnsi="Arial"/>
                <w:sz w:val="18"/>
                <w:szCs w:val="18"/>
                <w:b w:val="1"/>
                <w:bCs w:val="1"/>
                <w:color w:val="auto"/>
              </w:rPr>
              <w:t>13.2</w:t>
            </w:r>
          </w:p>
        </w:tc>
        <w:tc>
          <w:tcPr>
            <w:tcW w:w="420" w:type="dxa"/>
            <w:vAlign w:val="bottom"/>
            <w:shd w:val="clear" w:color="auto" w:fill="D8D8D8"/>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D8D8D8"/>
          </w:tcPr>
          <w:p>
            <w:pPr>
              <w:jc w:val="right"/>
              <w:ind w:right="39"/>
              <w:spacing w:after="0"/>
              <w:rPr>
                <w:sz w:val="20"/>
                <w:szCs w:val="20"/>
                <w:color w:val="auto"/>
              </w:rPr>
            </w:pPr>
            <w:r>
              <w:rPr>
                <w:rFonts w:ascii="Arial" w:cs="Arial" w:eastAsia="Arial" w:hAnsi="Arial"/>
                <w:sz w:val="18"/>
                <w:szCs w:val="18"/>
                <w:color w:val="auto"/>
              </w:rPr>
              <w:t>35.9</w:t>
            </w:r>
          </w:p>
        </w:tc>
        <w:tc>
          <w:tcPr>
            <w:tcW w:w="440" w:type="dxa"/>
            <w:vAlign w:val="bottom"/>
            <w:shd w:val="clear" w:color="auto" w:fill="D8D8D8"/>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D8D8D8"/>
          </w:tcPr>
          <w:p>
            <w:pPr>
              <w:jc w:val="right"/>
              <w:spacing w:after="0"/>
              <w:rPr>
                <w:sz w:val="20"/>
                <w:szCs w:val="20"/>
                <w:color w:val="auto"/>
              </w:rPr>
            </w:pPr>
            <w:r>
              <w:rPr>
                <w:rFonts w:ascii="Arial" w:cs="Arial" w:eastAsia="Arial" w:hAnsi="Arial"/>
                <w:sz w:val="18"/>
                <w:szCs w:val="18"/>
                <w:color w:val="auto"/>
              </w:rPr>
              <w:t>(10.9)</w:t>
            </w:r>
          </w:p>
        </w:tc>
      </w:tr>
      <w:tr>
        <w:trPr>
          <w:trHeight w:val="675"/>
        </w:trPr>
        <w:tc>
          <w:tcPr>
            <w:tcW w:w="4720" w:type="dxa"/>
            <w:vAlign w:val="bottom"/>
          </w:tcPr>
          <w:p>
            <w:pPr>
              <w:jc w:val="right"/>
              <w:ind w:right="4450"/>
              <w:spacing w:after="0"/>
              <w:rPr>
                <w:sz w:val="20"/>
                <w:szCs w:val="20"/>
                <w:color w:val="auto"/>
              </w:rPr>
            </w:pPr>
            <w:r>
              <w:rPr>
                <w:rFonts w:ascii="Times New Roman" w:cs="Times New Roman" w:eastAsia="Times New Roman" w:hAnsi="Times New Roman"/>
                <w:sz w:val="18"/>
                <w:szCs w:val="18"/>
                <w:b w:val="1"/>
                <w:bCs w:val="1"/>
                <w:i w:val="1"/>
                <w:iCs w:val="1"/>
                <w:color w:val="auto"/>
                <w:w w:val="88"/>
              </w:rPr>
              <w:t>86</w:t>
            </w:r>
          </w:p>
        </w:tc>
        <w:tc>
          <w:tcPr>
            <w:tcW w:w="26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1420"/>
          </w:cols>
          <w:pgMar w:left="240" w:top="684" w:right="239" w:bottom="1440" w:gutter="0" w:footer="0" w:header="0"/>
        </w:sectPr>
      </w:pPr>
    </w:p>
    <w:bookmarkStart w:id="86" w:name="page87"/>
    <w:bookmarkEnd w:id="86"/>
    <w:p>
      <w:pPr>
        <w:spacing w:after="0"/>
        <w:rPr>
          <w:sz w:val="20"/>
          <w:szCs w:val="20"/>
          <w:color w:val="auto"/>
        </w:rPr>
      </w:pPr>
      <w:r>
        <w:rPr>
          <w:rFonts w:ascii="Arial" w:cs="Arial" w:eastAsia="Arial" w:hAnsi="Arial"/>
          <w:sz w:val="18"/>
          <w:szCs w:val="18"/>
          <w:color w:val="auto"/>
        </w:rPr>
        <w:t>At December 31, 2015 and 2014, our accruals for the payment of interest and penalties totaled $216.3 million and $207.2 million, respectively.</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Note 14: Retirement Benefits</w:t>
      </w:r>
    </w:p>
    <w:p>
      <w:pPr>
        <w:spacing w:after="0" w:line="173" w:lineRule="exact"/>
        <w:rPr>
          <w:sz w:val="20"/>
          <w:szCs w:val="20"/>
          <w:color w:val="auto"/>
        </w:rPr>
      </w:pPr>
    </w:p>
    <w:p>
      <w:pPr>
        <w:jc w:val="both"/>
        <w:ind w:right="140"/>
        <w:spacing w:after="0" w:line="271" w:lineRule="auto"/>
        <w:rPr>
          <w:sz w:val="20"/>
          <w:szCs w:val="20"/>
          <w:color w:val="auto"/>
        </w:rPr>
      </w:pPr>
      <w:r>
        <w:rPr>
          <w:rFonts w:ascii="Arial" w:cs="Arial" w:eastAsia="Arial" w:hAnsi="Arial"/>
          <w:sz w:val="18"/>
          <w:szCs w:val="18"/>
          <w:color w:val="auto"/>
        </w:rPr>
        <w:t>We use a measurement date of December 31 to develop the change in benefit obligation, change in plan assets, funded status, and amounts recognized in the consolidated balance sheets at December 31 for our defined benefit pension and retiree health benefit plans, which were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0" w:type="dxa"/>
            <w:vAlign w:val="bottom"/>
            <w:gridSpan w:val="3"/>
          </w:tcPr>
          <w:p>
            <w:pPr>
              <w:jc w:val="right"/>
              <w:ind w:right="751"/>
              <w:spacing w:after="0"/>
              <w:rPr>
                <w:sz w:val="20"/>
                <w:szCs w:val="20"/>
                <w:color w:val="auto"/>
              </w:rPr>
            </w:pPr>
            <w:r>
              <w:rPr>
                <w:rFonts w:ascii="Arial" w:cs="Arial" w:eastAsia="Arial" w:hAnsi="Arial"/>
                <w:sz w:val="14"/>
                <w:szCs w:val="14"/>
                <w:b w:val="1"/>
                <w:bCs w:val="1"/>
                <w:color w:val="auto"/>
              </w:rPr>
              <w:t>Defined Benefit</w:t>
            </w:r>
          </w:p>
        </w:tc>
        <w:tc>
          <w:tcPr>
            <w:tcW w:w="360" w:type="dxa"/>
            <w:vAlign w:val="bottom"/>
          </w:tcPr>
          <w:p>
            <w:pPr>
              <w:spacing w:after="0"/>
              <w:rPr>
                <w:sz w:val="14"/>
                <w:szCs w:val="14"/>
                <w:color w:val="auto"/>
              </w:rPr>
            </w:pPr>
          </w:p>
        </w:tc>
        <w:tc>
          <w:tcPr>
            <w:tcW w:w="1520" w:type="dxa"/>
            <w:vAlign w:val="bottom"/>
            <w:gridSpan w:val="2"/>
          </w:tcPr>
          <w:p>
            <w:pPr>
              <w:jc w:val="right"/>
              <w:spacing w:after="0"/>
              <w:rPr>
                <w:sz w:val="20"/>
                <w:szCs w:val="20"/>
                <w:color w:val="auto"/>
              </w:rPr>
            </w:pPr>
            <w:r>
              <w:rPr>
                <w:rFonts w:ascii="Arial" w:cs="Arial" w:eastAsia="Arial" w:hAnsi="Arial"/>
                <w:sz w:val="14"/>
                <w:szCs w:val="14"/>
                <w:b w:val="1"/>
                <w:bCs w:val="1"/>
                <w:color w:val="auto"/>
              </w:rPr>
              <w:t>Retiree Health</w:t>
            </w:r>
          </w:p>
        </w:tc>
        <w:tc>
          <w:tcPr>
            <w:tcW w:w="820" w:type="dxa"/>
            <w:vAlign w:val="bottom"/>
          </w:tcPr>
          <w:p>
            <w:pPr>
              <w:spacing w:after="0"/>
              <w:rPr>
                <w:sz w:val="14"/>
                <w:szCs w:val="14"/>
                <w:color w:val="auto"/>
              </w:rPr>
            </w:pPr>
          </w:p>
        </w:tc>
      </w:tr>
      <w:tr>
        <w:trPr>
          <w:trHeight w:val="203"/>
        </w:trPr>
        <w:tc>
          <w:tcPr>
            <w:tcW w:w="602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Pension Plans</w:t>
            </w:r>
          </w:p>
        </w:tc>
        <w:tc>
          <w:tcPr>
            <w:tcW w:w="86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Benefit Plans</w:t>
            </w:r>
          </w:p>
        </w:tc>
        <w:tc>
          <w:tcPr>
            <w:tcW w:w="820" w:type="dxa"/>
            <w:vAlign w:val="bottom"/>
            <w:tcBorders>
              <w:bottom w:val="single" w:sz="8" w:color="auto"/>
            </w:tcBorders>
          </w:tcPr>
          <w:p>
            <w:pPr>
              <w:spacing w:after="0"/>
              <w:rPr>
                <w:sz w:val="17"/>
                <w:szCs w:val="17"/>
                <w:color w:val="auto"/>
              </w:rPr>
            </w:pPr>
          </w:p>
        </w:tc>
      </w:tr>
      <w:tr>
        <w:trPr>
          <w:trHeight w:val="264"/>
        </w:trPr>
        <w:tc>
          <w:tcPr>
            <w:tcW w:w="602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2015</w:t>
            </w:r>
          </w:p>
        </w:tc>
        <w:tc>
          <w:tcPr>
            <w:tcW w:w="5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2014</w:t>
            </w:r>
          </w:p>
        </w:tc>
        <w:tc>
          <w:tcPr>
            <w:tcW w:w="3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2015</w:t>
            </w:r>
          </w:p>
        </w:tc>
        <w:tc>
          <w:tcPr>
            <w:tcW w:w="5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2014</w:t>
            </w:r>
          </w:p>
        </w:tc>
      </w:tr>
      <w:tr>
        <w:trPr>
          <w:trHeight w:val="245"/>
        </w:trPr>
        <w:tc>
          <w:tcPr>
            <w:tcW w:w="6020" w:type="dxa"/>
            <w:vAlign w:val="bottom"/>
            <w:tcBorders>
              <w:bottom w:val="single" w:sz="8" w:color="D8D8D8"/>
            </w:tcBorders>
            <w:shd w:val="clear" w:color="auto" w:fill="D8D8D8"/>
          </w:tcPr>
          <w:p>
            <w:pPr>
              <w:ind w:left="40"/>
              <w:spacing w:after="0"/>
              <w:rPr>
                <w:sz w:val="20"/>
                <w:szCs w:val="20"/>
                <w:color w:val="auto"/>
              </w:rPr>
            </w:pPr>
            <w:r>
              <w:rPr>
                <w:rFonts w:ascii="Arial" w:cs="Arial" w:eastAsia="Arial" w:hAnsi="Arial"/>
                <w:sz w:val="18"/>
                <w:szCs w:val="18"/>
                <w:color w:val="auto"/>
              </w:rPr>
              <w:t>Change in benefit obligation:</w:t>
            </w:r>
          </w:p>
        </w:tc>
        <w:tc>
          <w:tcPr>
            <w:tcW w:w="40" w:type="dxa"/>
            <w:vAlign w:val="bottom"/>
            <w:tcBorders>
              <w:bottom w:val="single" w:sz="8" w:color="D8D8D8"/>
            </w:tcBorders>
            <w:shd w:val="clear" w:color="auto" w:fill="D8D8D8"/>
          </w:tcPr>
          <w:p>
            <w:pPr>
              <w:spacing w:after="0"/>
              <w:rPr>
                <w:sz w:val="21"/>
                <w:szCs w:val="21"/>
                <w:color w:val="auto"/>
              </w:rPr>
            </w:pPr>
          </w:p>
        </w:tc>
        <w:tc>
          <w:tcPr>
            <w:tcW w:w="260" w:type="dxa"/>
            <w:vAlign w:val="bottom"/>
            <w:tcBorders>
              <w:bottom w:val="single" w:sz="8" w:color="D8D8D8"/>
            </w:tcBorders>
            <w:shd w:val="clear" w:color="auto" w:fill="D8D8D8"/>
          </w:tcPr>
          <w:p>
            <w:pPr>
              <w:spacing w:after="0"/>
              <w:rPr>
                <w:sz w:val="21"/>
                <w:szCs w:val="21"/>
                <w:color w:val="auto"/>
              </w:rPr>
            </w:pPr>
          </w:p>
        </w:tc>
        <w:tc>
          <w:tcPr>
            <w:tcW w:w="1020" w:type="dxa"/>
            <w:vAlign w:val="bottom"/>
            <w:tcBorders>
              <w:bottom w:val="single" w:sz="8" w:color="D8D8D8"/>
            </w:tcBorders>
            <w:shd w:val="clear" w:color="auto" w:fill="D8D8D8"/>
          </w:tcPr>
          <w:p>
            <w:pPr>
              <w:spacing w:after="0"/>
              <w:rPr>
                <w:sz w:val="21"/>
                <w:szCs w:val="21"/>
                <w:color w:val="auto"/>
              </w:rPr>
            </w:pPr>
          </w:p>
        </w:tc>
        <w:tc>
          <w:tcPr>
            <w:tcW w:w="520" w:type="dxa"/>
            <w:vAlign w:val="bottom"/>
            <w:tcBorders>
              <w:bottom w:val="single" w:sz="8" w:color="D8D8D8"/>
            </w:tcBorders>
            <w:shd w:val="clear" w:color="auto" w:fill="D8D8D8"/>
          </w:tcPr>
          <w:p>
            <w:pPr>
              <w:spacing w:after="0"/>
              <w:rPr>
                <w:sz w:val="21"/>
                <w:szCs w:val="21"/>
                <w:color w:val="auto"/>
              </w:rPr>
            </w:pPr>
          </w:p>
        </w:tc>
        <w:tc>
          <w:tcPr>
            <w:tcW w:w="860" w:type="dxa"/>
            <w:vAlign w:val="bottom"/>
            <w:tcBorders>
              <w:bottom w:val="single" w:sz="8" w:color="D8D8D8"/>
            </w:tcBorders>
            <w:shd w:val="clear" w:color="auto" w:fill="D8D8D8"/>
          </w:tcPr>
          <w:p>
            <w:pPr>
              <w:spacing w:after="0"/>
              <w:rPr>
                <w:sz w:val="21"/>
                <w:szCs w:val="21"/>
                <w:color w:val="auto"/>
              </w:rPr>
            </w:pPr>
          </w:p>
        </w:tc>
        <w:tc>
          <w:tcPr>
            <w:tcW w:w="360" w:type="dxa"/>
            <w:vAlign w:val="bottom"/>
            <w:tcBorders>
              <w:bottom w:val="single" w:sz="8" w:color="D8D8D8"/>
            </w:tcBorders>
            <w:shd w:val="clear" w:color="auto" w:fill="D8D8D8"/>
          </w:tcPr>
          <w:p>
            <w:pPr>
              <w:spacing w:after="0"/>
              <w:rPr>
                <w:sz w:val="21"/>
                <w:szCs w:val="21"/>
                <w:color w:val="auto"/>
              </w:rPr>
            </w:pPr>
          </w:p>
        </w:tc>
        <w:tc>
          <w:tcPr>
            <w:tcW w:w="1020" w:type="dxa"/>
            <w:vAlign w:val="bottom"/>
            <w:tcBorders>
              <w:bottom w:val="single" w:sz="8" w:color="D8D8D8"/>
            </w:tcBorders>
            <w:shd w:val="clear" w:color="auto" w:fill="D8D8D8"/>
          </w:tcPr>
          <w:p>
            <w:pPr>
              <w:spacing w:after="0"/>
              <w:rPr>
                <w:sz w:val="21"/>
                <w:szCs w:val="21"/>
                <w:color w:val="auto"/>
              </w:rPr>
            </w:pPr>
          </w:p>
        </w:tc>
        <w:tc>
          <w:tcPr>
            <w:tcW w:w="500" w:type="dxa"/>
            <w:vAlign w:val="bottom"/>
            <w:tcBorders>
              <w:bottom w:val="single" w:sz="8" w:color="D8D8D8"/>
            </w:tcBorders>
            <w:shd w:val="clear" w:color="auto" w:fill="D8D8D8"/>
          </w:tcPr>
          <w:p>
            <w:pPr>
              <w:spacing w:after="0"/>
              <w:rPr>
                <w:sz w:val="21"/>
                <w:szCs w:val="21"/>
                <w:color w:val="auto"/>
              </w:rPr>
            </w:pPr>
          </w:p>
        </w:tc>
        <w:tc>
          <w:tcPr>
            <w:tcW w:w="820" w:type="dxa"/>
            <w:vAlign w:val="bottom"/>
            <w:tcBorders>
              <w:bottom w:val="single" w:sz="8" w:color="D8D8D8"/>
            </w:tcBorders>
            <w:shd w:val="clear" w:color="auto" w:fill="D8D8D8"/>
          </w:tcPr>
          <w:p>
            <w:pPr>
              <w:spacing w:after="0"/>
              <w:rPr>
                <w:sz w:val="21"/>
                <w:szCs w:val="21"/>
                <w:color w:val="auto"/>
              </w:rPr>
            </w:pPr>
          </w:p>
        </w:tc>
      </w:tr>
      <w:tr>
        <w:trPr>
          <w:trHeight w:val="269"/>
        </w:trPr>
        <w:tc>
          <w:tcPr>
            <w:tcW w:w="6020" w:type="dxa"/>
            <w:vAlign w:val="bottom"/>
          </w:tcPr>
          <w:p>
            <w:pPr>
              <w:ind w:left="180"/>
              <w:spacing w:after="0"/>
              <w:rPr>
                <w:sz w:val="20"/>
                <w:szCs w:val="20"/>
                <w:color w:val="auto"/>
              </w:rPr>
            </w:pPr>
            <w:r>
              <w:rPr>
                <w:rFonts w:ascii="Arial" w:cs="Arial" w:eastAsia="Arial" w:hAnsi="Arial"/>
                <w:sz w:val="18"/>
                <w:szCs w:val="18"/>
                <w:color w:val="auto"/>
              </w:rPr>
              <w:t>Benefit obligation at beginning of year</w:t>
            </w:r>
          </w:p>
        </w:tc>
        <w:tc>
          <w:tcPr>
            <w:tcW w:w="3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Pr>
          <w:p>
            <w:pPr>
              <w:jc w:val="right"/>
              <w:ind w:right="72"/>
              <w:spacing w:after="0"/>
              <w:rPr>
                <w:sz w:val="20"/>
                <w:szCs w:val="20"/>
                <w:color w:val="auto"/>
              </w:rPr>
            </w:pPr>
            <w:r>
              <w:rPr>
                <w:rFonts w:ascii="Arial" w:cs="Arial" w:eastAsia="Arial" w:hAnsi="Arial"/>
                <w:sz w:val="18"/>
                <w:szCs w:val="18"/>
                <w:b w:val="1"/>
                <w:bCs w:val="1"/>
                <w:color w:val="auto"/>
              </w:rPr>
              <w:t>12,012.4</w:t>
            </w:r>
          </w:p>
        </w:tc>
        <w:tc>
          <w:tcPr>
            <w:tcW w:w="52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71"/>
              <w:spacing w:after="0"/>
              <w:rPr>
                <w:sz w:val="20"/>
                <w:szCs w:val="20"/>
                <w:color w:val="auto"/>
              </w:rPr>
            </w:pPr>
            <w:r>
              <w:rPr>
                <w:rFonts w:ascii="Arial" w:cs="Arial" w:eastAsia="Arial" w:hAnsi="Arial"/>
                <w:sz w:val="18"/>
                <w:szCs w:val="18"/>
                <w:color w:val="auto"/>
              </w:rPr>
              <w:t>9,976.4</w:t>
            </w:r>
          </w:p>
        </w:tc>
        <w:tc>
          <w:tcPr>
            <w:tcW w:w="360" w:type="dxa"/>
            <w:vAlign w:val="bottom"/>
          </w:tcPr>
          <w:p>
            <w:pPr>
              <w:jc w:val="right"/>
              <w:ind w:right="9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72"/>
              <w:spacing w:after="0"/>
              <w:rPr>
                <w:sz w:val="20"/>
                <w:szCs w:val="20"/>
                <w:color w:val="auto"/>
              </w:rPr>
            </w:pPr>
            <w:r>
              <w:rPr>
                <w:rFonts w:ascii="Arial" w:cs="Arial" w:eastAsia="Arial" w:hAnsi="Arial"/>
                <w:sz w:val="18"/>
                <w:szCs w:val="18"/>
                <w:b w:val="1"/>
                <w:bCs w:val="1"/>
                <w:color w:val="auto"/>
              </w:rPr>
              <w:t>1,553.5</w:t>
            </w:r>
          </w:p>
        </w:tc>
        <w:tc>
          <w:tcPr>
            <w:tcW w:w="5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1,757.2</w:t>
            </w:r>
          </w:p>
        </w:tc>
      </w:tr>
      <w:tr>
        <w:trPr>
          <w:trHeight w:val="271"/>
        </w:trPr>
        <w:tc>
          <w:tcPr>
            <w:tcW w:w="6020" w:type="dxa"/>
            <w:vAlign w:val="bottom"/>
            <w:shd w:val="clear" w:color="auto" w:fill="D8D8D8"/>
          </w:tcPr>
          <w:p>
            <w:pPr>
              <w:ind w:left="180"/>
              <w:spacing w:after="0"/>
              <w:rPr>
                <w:sz w:val="20"/>
                <w:szCs w:val="20"/>
                <w:color w:val="auto"/>
              </w:rPr>
            </w:pPr>
            <w:r>
              <w:rPr>
                <w:rFonts w:ascii="Arial" w:cs="Arial" w:eastAsia="Arial" w:hAnsi="Arial"/>
                <w:sz w:val="18"/>
                <w:szCs w:val="18"/>
                <w:color w:val="auto"/>
              </w:rPr>
              <w:t>Benefit obligation assumed in Novartis AH acquisition</w:t>
            </w:r>
          </w:p>
        </w:tc>
        <w:tc>
          <w:tcPr>
            <w:tcW w:w="40" w:type="dxa"/>
            <w:vAlign w:val="bottom"/>
            <w:shd w:val="clear" w:color="auto" w:fill="D8D8D8"/>
          </w:tcPr>
          <w:p>
            <w:pPr>
              <w:spacing w:after="0"/>
              <w:rPr>
                <w:sz w:val="23"/>
                <w:szCs w:val="23"/>
                <w:color w:val="auto"/>
              </w:rPr>
            </w:pPr>
          </w:p>
        </w:tc>
        <w:tc>
          <w:tcPr>
            <w:tcW w:w="260" w:type="dxa"/>
            <w:vAlign w:val="bottom"/>
            <w:shd w:val="clear" w:color="auto" w:fill="D8D8D8"/>
          </w:tcPr>
          <w:p>
            <w:pPr>
              <w:spacing w:after="0"/>
              <w:rPr>
                <w:sz w:val="23"/>
                <w:szCs w:val="23"/>
                <w:color w:val="auto"/>
              </w:rPr>
            </w:pPr>
          </w:p>
        </w:tc>
        <w:tc>
          <w:tcPr>
            <w:tcW w:w="1020" w:type="dxa"/>
            <w:vAlign w:val="bottom"/>
            <w:shd w:val="clear" w:color="auto" w:fill="D8D8D8"/>
          </w:tcPr>
          <w:p>
            <w:pPr>
              <w:jc w:val="right"/>
              <w:ind w:right="72"/>
              <w:spacing w:after="0"/>
              <w:rPr>
                <w:sz w:val="20"/>
                <w:szCs w:val="20"/>
                <w:color w:val="auto"/>
              </w:rPr>
            </w:pPr>
            <w:r>
              <w:rPr>
                <w:rFonts w:ascii="Arial" w:cs="Arial" w:eastAsia="Arial" w:hAnsi="Arial"/>
                <w:sz w:val="18"/>
                <w:szCs w:val="18"/>
                <w:b w:val="1"/>
                <w:bCs w:val="1"/>
                <w:color w:val="auto"/>
              </w:rPr>
              <w:t>334.7</w:t>
            </w:r>
          </w:p>
        </w:tc>
        <w:tc>
          <w:tcPr>
            <w:tcW w:w="520" w:type="dxa"/>
            <w:vAlign w:val="bottom"/>
            <w:shd w:val="clear" w:color="auto" w:fill="D8D8D8"/>
          </w:tcPr>
          <w:p>
            <w:pPr>
              <w:spacing w:after="0"/>
              <w:rPr>
                <w:sz w:val="23"/>
                <w:szCs w:val="23"/>
                <w:color w:val="auto"/>
              </w:rPr>
            </w:pPr>
          </w:p>
        </w:tc>
        <w:tc>
          <w:tcPr>
            <w:tcW w:w="860" w:type="dxa"/>
            <w:vAlign w:val="bottom"/>
            <w:shd w:val="clear" w:color="auto" w:fill="D8D8D8"/>
          </w:tcPr>
          <w:p>
            <w:pPr>
              <w:jc w:val="right"/>
              <w:ind w:right="71"/>
              <w:spacing w:after="0"/>
              <w:rPr>
                <w:sz w:val="20"/>
                <w:szCs w:val="20"/>
                <w:color w:val="auto"/>
              </w:rPr>
            </w:pPr>
            <w:r>
              <w:rPr>
                <w:rFonts w:ascii="Arial" w:cs="Arial" w:eastAsia="Arial" w:hAnsi="Arial"/>
                <w:sz w:val="18"/>
                <w:szCs w:val="18"/>
                <w:color w:val="auto"/>
              </w:rPr>
              <w:t>—</w:t>
            </w:r>
          </w:p>
        </w:tc>
        <w:tc>
          <w:tcPr>
            <w:tcW w:w="360" w:type="dxa"/>
            <w:vAlign w:val="bottom"/>
            <w:shd w:val="clear" w:color="auto" w:fill="D8D8D8"/>
          </w:tcPr>
          <w:p>
            <w:pPr>
              <w:spacing w:after="0"/>
              <w:rPr>
                <w:sz w:val="23"/>
                <w:szCs w:val="23"/>
                <w:color w:val="auto"/>
              </w:rPr>
            </w:pPr>
          </w:p>
        </w:tc>
        <w:tc>
          <w:tcPr>
            <w:tcW w:w="1020" w:type="dxa"/>
            <w:vAlign w:val="bottom"/>
            <w:shd w:val="clear" w:color="auto" w:fill="D8D8D8"/>
          </w:tcPr>
          <w:p>
            <w:pPr>
              <w:jc w:val="right"/>
              <w:ind w:right="72"/>
              <w:spacing w:after="0"/>
              <w:rPr>
                <w:sz w:val="20"/>
                <w:szCs w:val="20"/>
                <w:color w:val="auto"/>
              </w:rPr>
            </w:pPr>
            <w:r>
              <w:rPr>
                <w:rFonts w:ascii="Arial" w:cs="Arial" w:eastAsia="Arial" w:hAnsi="Arial"/>
                <w:sz w:val="18"/>
                <w:szCs w:val="18"/>
                <w:b w:val="1"/>
                <w:bCs w:val="1"/>
                <w:color w:val="auto"/>
              </w:rPr>
              <w:t>9.9</w:t>
            </w:r>
          </w:p>
        </w:tc>
        <w:tc>
          <w:tcPr>
            <w:tcW w:w="500" w:type="dxa"/>
            <w:vAlign w:val="bottom"/>
            <w:shd w:val="clear" w:color="auto" w:fill="D8D8D8"/>
          </w:tcPr>
          <w:p>
            <w:pPr>
              <w:spacing w:after="0"/>
              <w:rPr>
                <w:sz w:val="23"/>
                <w:szCs w:val="23"/>
                <w:color w:val="auto"/>
              </w:rPr>
            </w:pPr>
          </w:p>
        </w:tc>
        <w:tc>
          <w:tcPr>
            <w:tcW w:w="820" w:type="dxa"/>
            <w:vAlign w:val="bottom"/>
            <w:shd w:val="clear" w:color="auto" w:fill="D8D8D8"/>
          </w:tcPr>
          <w:p>
            <w:pPr>
              <w:jc w:val="right"/>
              <w:ind w:right="11"/>
              <w:spacing w:after="0"/>
              <w:rPr>
                <w:sz w:val="20"/>
                <w:szCs w:val="20"/>
                <w:color w:val="auto"/>
              </w:rPr>
            </w:pPr>
            <w:r>
              <w:rPr>
                <w:rFonts w:ascii="Arial" w:cs="Arial" w:eastAsia="Arial" w:hAnsi="Arial"/>
                <w:sz w:val="18"/>
                <w:szCs w:val="18"/>
                <w:color w:val="auto"/>
              </w:rPr>
              <w:t>—</w:t>
            </w:r>
          </w:p>
        </w:tc>
      </w:tr>
      <w:tr>
        <w:trPr>
          <w:trHeight w:val="269"/>
        </w:trPr>
        <w:tc>
          <w:tcPr>
            <w:tcW w:w="6020" w:type="dxa"/>
            <w:vAlign w:val="bottom"/>
          </w:tcPr>
          <w:p>
            <w:pPr>
              <w:ind w:left="180"/>
              <w:spacing w:after="0"/>
              <w:rPr>
                <w:sz w:val="20"/>
                <w:szCs w:val="20"/>
                <w:color w:val="auto"/>
              </w:rPr>
            </w:pPr>
            <w:r>
              <w:rPr>
                <w:rFonts w:ascii="Arial" w:cs="Arial" w:eastAsia="Arial" w:hAnsi="Arial"/>
                <w:sz w:val="18"/>
                <w:szCs w:val="18"/>
                <w:color w:val="auto"/>
              </w:rPr>
              <w:t>Service cost</w:t>
            </w: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20" w:type="dxa"/>
            <w:vAlign w:val="bottom"/>
          </w:tcPr>
          <w:p>
            <w:pPr>
              <w:jc w:val="right"/>
              <w:ind w:right="72"/>
              <w:spacing w:after="0"/>
              <w:rPr>
                <w:sz w:val="20"/>
                <w:szCs w:val="20"/>
                <w:color w:val="auto"/>
              </w:rPr>
            </w:pPr>
            <w:r>
              <w:rPr>
                <w:rFonts w:ascii="Arial" w:cs="Arial" w:eastAsia="Arial" w:hAnsi="Arial"/>
                <w:sz w:val="18"/>
                <w:szCs w:val="18"/>
                <w:b w:val="1"/>
                <w:bCs w:val="1"/>
                <w:color w:val="auto"/>
              </w:rPr>
              <w:t>315.7</w:t>
            </w:r>
          </w:p>
        </w:tc>
        <w:tc>
          <w:tcPr>
            <w:tcW w:w="520" w:type="dxa"/>
            <w:vAlign w:val="bottom"/>
          </w:tcPr>
          <w:p>
            <w:pPr>
              <w:spacing w:after="0"/>
              <w:rPr>
                <w:sz w:val="23"/>
                <w:szCs w:val="23"/>
                <w:color w:val="auto"/>
              </w:rPr>
            </w:pPr>
          </w:p>
        </w:tc>
        <w:tc>
          <w:tcPr>
            <w:tcW w:w="860" w:type="dxa"/>
            <w:vAlign w:val="bottom"/>
          </w:tcPr>
          <w:p>
            <w:pPr>
              <w:jc w:val="right"/>
              <w:ind w:right="71"/>
              <w:spacing w:after="0"/>
              <w:rPr>
                <w:sz w:val="20"/>
                <w:szCs w:val="20"/>
                <w:color w:val="auto"/>
              </w:rPr>
            </w:pPr>
            <w:r>
              <w:rPr>
                <w:rFonts w:ascii="Arial" w:cs="Arial" w:eastAsia="Arial" w:hAnsi="Arial"/>
                <w:sz w:val="18"/>
                <w:szCs w:val="18"/>
                <w:color w:val="auto"/>
              </w:rPr>
              <w:t>240.9</w:t>
            </w:r>
          </w:p>
        </w:tc>
        <w:tc>
          <w:tcPr>
            <w:tcW w:w="360" w:type="dxa"/>
            <w:vAlign w:val="bottom"/>
          </w:tcPr>
          <w:p>
            <w:pPr>
              <w:spacing w:after="0"/>
              <w:rPr>
                <w:sz w:val="23"/>
                <w:szCs w:val="23"/>
                <w:color w:val="auto"/>
              </w:rPr>
            </w:pPr>
          </w:p>
        </w:tc>
        <w:tc>
          <w:tcPr>
            <w:tcW w:w="1020" w:type="dxa"/>
            <w:vAlign w:val="bottom"/>
          </w:tcPr>
          <w:p>
            <w:pPr>
              <w:jc w:val="right"/>
              <w:ind w:right="72"/>
              <w:spacing w:after="0"/>
              <w:rPr>
                <w:sz w:val="20"/>
                <w:szCs w:val="20"/>
                <w:color w:val="auto"/>
              </w:rPr>
            </w:pPr>
            <w:r>
              <w:rPr>
                <w:rFonts w:ascii="Arial" w:cs="Arial" w:eastAsia="Arial" w:hAnsi="Arial"/>
                <w:sz w:val="18"/>
                <w:szCs w:val="18"/>
                <w:b w:val="1"/>
                <w:bCs w:val="1"/>
                <w:color w:val="auto"/>
              </w:rPr>
              <w:t>45.1</w:t>
            </w:r>
          </w:p>
        </w:tc>
        <w:tc>
          <w:tcPr>
            <w:tcW w:w="500" w:type="dxa"/>
            <w:vAlign w:val="bottom"/>
          </w:tcPr>
          <w:p>
            <w:pPr>
              <w:spacing w:after="0"/>
              <w:rPr>
                <w:sz w:val="23"/>
                <w:szCs w:val="23"/>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33.0</w:t>
            </w:r>
          </w:p>
        </w:tc>
      </w:tr>
      <w:tr>
        <w:trPr>
          <w:trHeight w:val="271"/>
        </w:trPr>
        <w:tc>
          <w:tcPr>
            <w:tcW w:w="6020" w:type="dxa"/>
            <w:vAlign w:val="bottom"/>
            <w:shd w:val="clear" w:color="auto" w:fill="D8D8D8"/>
          </w:tcPr>
          <w:p>
            <w:pPr>
              <w:ind w:left="180"/>
              <w:spacing w:after="0"/>
              <w:rPr>
                <w:sz w:val="20"/>
                <w:szCs w:val="20"/>
                <w:color w:val="auto"/>
              </w:rPr>
            </w:pPr>
            <w:r>
              <w:rPr>
                <w:rFonts w:ascii="Arial" w:cs="Arial" w:eastAsia="Arial" w:hAnsi="Arial"/>
                <w:sz w:val="18"/>
                <w:szCs w:val="18"/>
                <w:color w:val="auto"/>
              </w:rPr>
              <w:t>Interest cost</w:t>
            </w:r>
          </w:p>
        </w:tc>
        <w:tc>
          <w:tcPr>
            <w:tcW w:w="40" w:type="dxa"/>
            <w:vAlign w:val="bottom"/>
            <w:shd w:val="clear" w:color="auto" w:fill="D8D8D8"/>
          </w:tcPr>
          <w:p>
            <w:pPr>
              <w:spacing w:after="0"/>
              <w:rPr>
                <w:sz w:val="23"/>
                <w:szCs w:val="23"/>
                <w:color w:val="auto"/>
              </w:rPr>
            </w:pPr>
          </w:p>
        </w:tc>
        <w:tc>
          <w:tcPr>
            <w:tcW w:w="260" w:type="dxa"/>
            <w:vAlign w:val="bottom"/>
            <w:shd w:val="clear" w:color="auto" w:fill="D8D8D8"/>
          </w:tcPr>
          <w:p>
            <w:pPr>
              <w:spacing w:after="0"/>
              <w:rPr>
                <w:sz w:val="23"/>
                <w:szCs w:val="23"/>
                <w:color w:val="auto"/>
              </w:rPr>
            </w:pPr>
          </w:p>
        </w:tc>
        <w:tc>
          <w:tcPr>
            <w:tcW w:w="1020" w:type="dxa"/>
            <w:vAlign w:val="bottom"/>
            <w:shd w:val="clear" w:color="auto" w:fill="D8D8D8"/>
          </w:tcPr>
          <w:p>
            <w:pPr>
              <w:jc w:val="right"/>
              <w:ind w:right="72"/>
              <w:spacing w:after="0"/>
              <w:rPr>
                <w:sz w:val="20"/>
                <w:szCs w:val="20"/>
                <w:color w:val="auto"/>
              </w:rPr>
            </w:pPr>
            <w:r>
              <w:rPr>
                <w:rFonts w:ascii="Arial" w:cs="Arial" w:eastAsia="Arial" w:hAnsi="Arial"/>
                <w:sz w:val="18"/>
                <w:szCs w:val="18"/>
                <w:b w:val="1"/>
                <w:bCs w:val="1"/>
                <w:color w:val="auto"/>
              </w:rPr>
              <w:t>476.8</w:t>
            </w:r>
          </w:p>
        </w:tc>
        <w:tc>
          <w:tcPr>
            <w:tcW w:w="520" w:type="dxa"/>
            <w:vAlign w:val="bottom"/>
            <w:shd w:val="clear" w:color="auto" w:fill="D8D8D8"/>
          </w:tcPr>
          <w:p>
            <w:pPr>
              <w:spacing w:after="0"/>
              <w:rPr>
                <w:sz w:val="23"/>
                <w:szCs w:val="23"/>
                <w:color w:val="auto"/>
              </w:rPr>
            </w:pPr>
          </w:p>
        </w:tc>
        <w:tc>
          <w:tcPr>
            <w:tcW w:w="860" w:type="dxa"/>
            <w:vAlign w:val="bottom"/>
            <w:shd w:val="clear" w:color="auto" w:fill="D8D8D8"/>
          </w:tcPr>
          <w:p>
            <w:pPr>
              <w:jc w:val="right"/>
              <w:ind w:right="71"/>
              <w:spacing w:after="0"/>
              <w:rPr>
                <w:sz w:val="20"/>
                <w:szCs w:val="20"/>
                <w:color w:val="auto"/>
              </w:rPr>
            </w:pPr>
            <w:r>
              <w:rPr>
                <w:rFonts w:ascii="Arial" w:cs="Arial" w:eastAsia="Arial" w:hAnsi="Arial"/>
                <w:sz w:val="18"/>
                <w:szCs w:val="18"/>
                <w:color w:val="auto"/>
              </w:rPr>
              <w:t>472.6</w:t>
            </w:r>
          </w:p>
        </w:tc>
        <w:tc>
          <w:tcPr>
            <w:tcW w:w="360" w:type="dxa"/>
            <w:vAlign w:val="bottom"/>
            <w:shd w:val="clear" w:color="auto" w:fill="D8D8D8"/>
          </w:tcPr>
          <w:p>
            <w:pPr>
              <w:spacing w:after="0"/>
              <w:rPr>
                <w:sz w:val="23"/>
                <w:szCs w:val="23"/>
                <w:color w:val="auto"/>
              </w:rPr>
            </w:pPr>
          </w:p>
        </w:tc>
        <w:tc>
          <w:tcPr>
            <w:tcW w:w="1020" w:type="dxa"/>
            <w:vAlign w:val="bottom"/>
            <w:shd w:val="clear" w:color="auto" w:fill="D8D8D8"/>
          </w:tcPr>
          <w:p>
            <w:pPr>
              <w:jc w:val="right"/>
              <w:ind w:right="72"/>
              <w:spacing w:after="0"/>
              <w:rPr>
                <w:sz w:val="20"/>
                <w:szCs w:val="20"/>
                <w:color w:val="auto"/>
              </w:rPr>
            </w:pPr>
            <w:r>
              <w:rPr>
                <w:rFonts w:ascii="Arial" w:cs="Arial" w:eastAsia="Arial" w:hAnsi="Arial"/>
                <w:sz w:val="18"/>
                <w:szCs w:val="18"/>
                <w:b w:val="1"/>
                <w:bCs w:val="1"/>
                <w:color w:val="auto"/>
              </w:rPr>
              <w:t>62.6</w:t>
            </w:r>
          </w:p>
        </w:tc>
        <w:tc>
          <w:tcPr>
            <w:tcW w:w="500" w:type="dxa"/>
            <w:vAlign w:val="bottom"/>
            <w:shd w:val="clear" w:color="auto" w:fill="D8D8D8"/>
          </w:tcPr>
          <w:p>
            <w:pPr>
              <w:spacing w:after="0"/>
              <w:rPr>
                <w:sz w:val="23"/>
                <w:szCs w:val="23"/>
                <w:color w:val="auto"/>
              </w:rPr>
            </w:pPr>
          </w:p>
        </w:tc>
        <w:tc>
          <w:tcPr>
            <w:tcW w:w="820" w:type="dxa"/>
            <w:vAlign w:val="bottom"/>
            <w:shd w:val="clear" w:color="auto" w:fill="D8D8D8"/>
          </w:tcPr>
          <w:p>
            <w:pPr>
              <w:jc w:val="right"/>
              <w:ind w:right="11"/>
              <w:spacing w:after="0"/>
              <w:rPr>
                <w:sz w:val="20"/>
                <w:szCs w:val="20"/>
                <w:color w:val="auto"/>
              </w:rPr>
            </w:pPr>
            <w:r>
              <w:rPr>
                <w:rFonts w:ascii="Arial" w:cs="Arial" w:eastAsia="Arial" w:hAnsi="Arial"/>
                <w:sz w:val="18"/>
                <w:szCs w:val="18"/>
                <w:color w:val="auto"/>
              </w:rPr>
              <w:t>85.6</w:t>
            </w:r>
          </w:p>
        </w:tc>
      </w:tr>
      <w:tr>
        <w:trPr>
          <w:trHeight w:val="269"/>
        </w:trPr>
        <w:tc>
          <w:tcPr>
            <w:tcW w:w="6020" w:type="dxa"/>
            <w:vAlign w:val="bottom"/>
          </w:tcPr>
          <w:p>
            <w:pPr>
              <w:ind w:left="180"/>
              <w:spacing w:after="0"/>
              <w:rPr>
                <w:sz w:val="20"/>
                <w:szCs w:val="20"/>
                <w:color w:val="auto"/>
              </w:rPr>
            </w:pPr>
            <w:r>
              <w:rPr>
                <w:rFonts w:ascii="Arial" w:cs="Arial" w:eastAsia="Arial" w:hAnsi="Arial"/>
                <w:sz w:val="18"/>
                <w:szCs w:val="18"/>
                <w:color w:val="auto"/>
              </w:rPr>
              <w:t>Actuarial (gain) loss</w:t>
            </w: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b w:val="1"/>
                <w:bCs w:val="1"/>
                <w:color w:val="auto"/>
              </w:rPr>
              <w:t>(812.4)</w:t>
            </w:r>
          </w:p>
        </w:tc>
        <w:tc>
          <w:tcPr>
            <w:tcW w:w="520" w:type="dxa"/>
            <w:vAlign w:val="bottom"/>
          </w:tcPr>
          <w:p>
            <w:pPr>
              <w:spacing w:after="0"/>
              <w:rPr>
                <w:sz w:val="23"/>
                <w:szCs w:val="23"/>
                <w:color w:val="auto"/>
              </w:rPr>
            </w:pPr>
          </w:p>
        </w:tc>
        <w:tc>
          <w:tcPr>
            <w:tcW w:w="860" w:type="dxa"/>
            <w:vAlign w:val="bottom"/>
          </w:tcPr>
          <w:p>
            <w:pPr>
              <w:jc w:val="right"/>
              <w:ind w:right="71"/>
              <w:spacing w:after="0"/>
              <w:rPr>
                <w:sz w:val="20"/>
                <w:szCs w:val="20"/>
                <w:color w:val="auto"/>
              </w:rPr>
            </w:pPr>
            <w:r>
              <w:rPr>
                <w:rFonts w:ascii="Arial" w:cs="Arial" w:eastAsia="Arial" w:hAnsi="Arial"/>
                <w:sz w:val="18"/>
                <w:szCs w:val="18"/>
                <w:color w:val="auto"/>
              </w:rPr>
              <w:t>1,996.3</w:t>
            </w:r>
          </w:p>
        </w:tc>
        <w:tc>
          <w:tcPr>
            <w:tcW w:w="360" w:type="dxa"/>
            <w:vAlign w:val="bottom"/>
          </w:tcPr>
          <w:p>
            <w:pPr>
              <w:spacing w:after="0"/>
              <w:rPr>
                <w:sz w:val="23"/>
                <w:szCs w:val="23"/>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b w:val="1"/>
                <w:bCs w:val="1"/>
                <w:color w:val="auto"/>
              </w:rPr>
              <w:t>(113.5)</w:t>
            </w:r>
          </w:p>
        </w:tc>
        <w:tc>
          <w:tcPr>
            <w:tcW w:w="500" w:type="dxa"/>
            <w:vAlign w:val="bottom"/>
          </w:tcPr>
          <w:p>
            <w:pPr>
              <w:spacing w:after="0"/>
              <w:rPr>
                <w:sz w:val="23"/>
                <w:szCs w:val="23"/>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293.5</w:t>
            </w:r>
          </w:p>
        </w:tc>
      </w:tr>
      <w:tr>
        <w:trPr>
          <w:trHeight w:val="271"/>
        </w:trPr>
        <w:tc>
          <w:tcPr>
            <w:tcW w:w="6020" w:type="dxa"/>
            <w:vAlign w:val="bottom"/>
            <w:shd w:val="clear" w:color="auto" w:fill="D8D8D8"/>
          </w:tcPr>
          <w:p>
            <w:pPr>
              <w:ind w:left="180"/>
              <w:spacing w:after="0"/>
              <w:rPr>
                <w:sz w:val="20"/>
                <w:szCs w:val="20"/>
                <w:color w:val="auto"/>
              </w:rPr>
            </w:pPr>
            <w:r>
              <w:rPr>
                <w:rFonts w:ascii="Arial" w:cs="Arial" w:eastAsia="Arial" w:hAnsi="Arial"/>
                <w:sz w:val="18"/>
                <w:szCs w:val="18"/>
                <w:color w:val="auto"/>
              </w:rPr>
              <w:t>Benefits paid</w:t>
            </w:r>
          </w:p>
        </w:tc>
        <w:tc>
          <w:tcPr>
            <w:tcW w:w="40" w:type="dxa"/>
            <w:vAlign w:val="bottom"/>
            <w:shd w:val="clear" w:color="auto" w:fill="D8D8D8"/>
          </w:tcPr>
          <w:p>
            <w:pPr>
              <w:spacing w:after="0"/>
              <w:rPr>
                <w:sz w:val="23"/>
                <w:szCs w:val="23"/>
                <w:color w:val="auto"/>
              </w:rPr>
            </w:pPr>
          </w:p>
        </w:tc>
        <w:tc>
          <w:tcPr>
            <w:tcW w:w="260" w:type="dxa"/>
            <w:vAlign w:val="bottom"/>
            <w:shd w:val="clear" w:color="auto" w:fill="D8D8D8"/>
          </w:tcPr>
          <w:p>
            <w:pPr>
              <w:spacing w:after="0"/>
              <w:rPr>
                <w:sz w:val="23"/>
                <w:szCs w:val="23"/>
                <w:color w:val="auto"/>
              </w:rPr>
            </w:pPr>
          </w:p>
        </w:tc>
        <w:tc>
          <w:tcPr>
            <w:tcW w:w="1020" w:type="dxa"/>
            <w:vAlign w:val="bottom"/>
            <w:shd w:val="clear" w:color="auto" w:fill="D8D8D8"/>
          </w:tcPr>
          <w:p>
            <w:pPr>
              <w:jc w:val="right"/>
              <w:ind w:right="12"/>
              <w:spacing w:after="0"/>
              <w:rPr>
                <w:sz w:val="20"/>
                <w:szCs w:val="20"/>
                <w:color w:val="auto"/>
              </w:rPr>
            </w:pPr>
            <w:r>
              <w:rPr>
                <w:rFonts w:ascii="Arial" w:cs="Arial" w:eastAsia="Arial" w:hAnsi="Arial"/>
                <w:sz w:val="18"/>
                <w:szCs w:val="18"/>
                <w:b w:val="1"/>
                <w:bCs w:val="1"/>
                <w:color w:val="auto"/>
              </w:rPr>
              <w:t>(437.8)</w:t>
            </w:r>
          </w:p>
        </w:tc>
        <w:tc>
          <w:tcPr>
            <w:tcW w:w="520" w:type="dxa"/>
            <w:vAlign w:val="bottom"/>
            <w:shd w:val="clear" w:color="auto" w:fill="D8D8D8"/>
          </w:tcPr>
          <w:p>
            <w:pPr>
              <w:spacing w:after="0"/>
              <w:rPr>
                <w:sz w:val="23"/>
                <w:szCs w:val="23"/>
                <w:color w:val="auto"/>
              </w:rPr>
            </w:pPr>
          </w:p>
        </w:tc>
        <w:tc>
          <w:tcPr>
            <w:tcW w:w="860" w:type="dxa"/>
            <w:vAlign w:val="bottom"/>
            <w:shd w:val="clear" w:color="auto" w:fill="D8D8D8"/>
          </w:tcPr>
          <w:p>
            <w:pPr>
              <w:jc w:val="right"/>
              <w:ind w:right="11"/>
              <w:spacing w:after="0"/>
              <w:rPr>
                <w:sz w:val="20"/>
                <w:szCs w:val="20"/>
                <w:color w:val="auto"/>
              </w:rPr>
            </w:pPr>
            <w:r>
              <w:rPr>
                <w:rFonts w:ascii="Arial" w:cs="Arial" w:eastAsia="Arial" w:hAnsi="Arial"/>
                <w:sz w:val="18"/>
                <w:szCs w:val="18"/>
                <w:color w:val="auto"/>
              </w:rPr>
              <w:t>(421.2)</w:t>
            </w:r>
          </w:p>
        </w:tc>
        <w:tc>
          <w:tcPr>
            <w:tcW w:w="360" w:type="dxa"/>
            <w:vAlign w:val="bottom"/>
            <w:shd w:val="clear" w:color="auto" w:fill="D8D8D8"/>
          </w:tcPr>
          <w:p>
            <w:pPr>
              <w:spacing w:after="0"/>
              <w:rPr>
                <w:sz w:val="23"/>
                <w:szCs w:val="23"/>
                <w:color w:val="auto"/>
              </w:rPr>
            </w:pPr>
          </w:p>
        </w:tc>
        <w:tc>
          <w:tcPr>
            <w:tcW w:w="1020" w:type="dxa"/>
            <w:vAlign w:val="bottom"/>
            <w:shd w:val="clear" w:color="auto" w:fill="D8D8D8"/>
          </w:tcPr>
          <w:p>
            <w:pPr>
              <w:jc w:val="right"/>
              <w:ind w:right="12"/>
              <w:spacing w:after="0"/>
              <w:rPr>
                <w:sz w:val="20"/>
                <w:szCs w:val="20"/>
                <w:color w:val="auto"/>
              </w:rPr>
            </w:pPr>
            <w:r>
              <w:rPr>
                <w:rFonts w:ascii="Arial" w:cs="Arial" w:eastAsia="Arial" w:hAnsi="Arial"/>
                <w:sz w:val="18"/>
                <w:szCs w:val="18"/>
                <w:b w:val="1"/>
                <w:bCs w:val="1"/>
                <w:color w:val="auto"/>
              </w:rPr>
              <w:t>(77.5)</w:t>
            </w:r>
          </w:p>
        </w:tc>
        <w:tc>
          <w:tcPr>
            <w:tcW w:w="500" w:type="dxa"/>
            <w:vAlign w:val="bottom"/>
            <w:shd w:val="clear" w:color="auto" w:fill="D8D8D8"/>
          </w:tcPr>
          <w:p>
            <w:pPr>
              <w:spacing w:after="0"/>
              <w:rPr>
                <w:sz w:val="23"/>
                <w:szCs w:val="23"/>
                <w:color w:val="auto"/>
              </w:rPr>
            </w:pPr>
          </w:p>
        </w:tc>
        <w:tc>
          <w:tcPr>
            <w:tcW w:w="820" w:type="dxa"/>
            <w:vAlign w:val="bottom"/>
            <w:shd w:val="clear" w:color="auto" w:fill="D8D8D8"/>
          </w:tcPr>
          <w:p>
            <w:pPr>
              <w:jc w:val="right"/>
              <w:spacing w:after="0"/>
              <w:rPr>
                <w:sz w:val="20"/>
                <w:szCs w:val="20"/>
                <w:color w:val="auto"/>
              </w:rPr>
            </w:pPr>
            <w:r>
              <w:rPr>
                <w:rFonts w:ascii="Arial" w:cs="Arial" w:eastAsia="Arial" w:hAnsi="Arial"/>
                <w:sz w:val="18"/>
                <w:szCs w:val="18"/>
                <w:color w:val="auto"/>
              </w:rPr>
              <w:t>(76.1)</w:t>
            </w:r>
          </w:p>
        </w:tc>
      </w:tr>
      <w:tr>
        <w:trPr>
          <w:trHeight w:val="269"/>
        </w:trPr>
        <w:tc>
          <w:tcPr>
            <w:tcW w:w="6020" w:type="dxa"/>
            <w:vAlign w:val="bottom"/>
          </w:tcPr>
          <w:p>
            <w:pPr>
              <w:ind w:left="180"/>
              <w:spacing w:after="0"/>
              <w:rPr>
                <w:sz w:val="20"/>
                <w:szCs w:val="20"/>
                <w:color w:val="auto"/>
              </w:rPr>
            </w:pPr>
            <w:r>
              <w:rPr>
                <w:rFonts w:ascii="Arial" w:cs="Arial" w:eastAsia="Arial" w:hAnsi="Arial"/>
                <w:sz w:val="18"/>
                <w:szCs w:val="18"/>
                <w:color w:val="auto"/>
              </w:rPr>
              <w:t>Plan amendments</w:t>
            </w: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b w:val="1"/>
                <w:bCs w:val="1"/>
                <w:color w:val="auto"/>
              </w:rPr>
              <w:t>(0.4)</w:t>
            </w:r>
          </w:p>
        </w:tc>
        <w:tc>
          <w:tcPr>
            <w:tcW w:w="520" w:type="dxa"/>
            <w:vAlign w:val="bottom"/>
          </w:tcPr>
          <w:p>
            <w:pPr>
              <w:spacing w:after="0"/>
              <w:rPr>
                <w:sz w:val="23"/>
                <w:szCs w:val="23"/>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(2.4)</w:t>
            </w:r>
          </w:p>
        </w:tc>
        <w:tc>
          <w:tcPr>
            <w:tcW w:w="360" w:type="dxa"/>
            <w:vAlign w:val="bottom"/>
          </w:tcPr>
          <w:p>
            <w:pPr>
              <w:spacing w:after="0"/>
              <w:rPr>
                <w:sz w:val="23"/>
                <w:szCs w:val="23"/>
                <w:color w:val="auto"/>
              </w:rPr>
            </w:pPr>
          </w:p>
        </w:tc>
        <w:tc>
          <w:tcPr>
            <w:tcW w:w="1020" w:type="dxa"/>
            <w:vAlign w:val="bottom"/>
          </w:tcPr>
          <w:p>
            <w:pPr>
              <w:jc w:val="right"/>
              <w:ind w:right="72"/>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(533.6)</w:t>
            </w:r>
          </w:p>
        </w:tc>
      </w:tr>
      <w:tr>
        <w:trPr>
          <w:trHeight w:val="271"/>
        </w:trPr>
        <w:tc>
          <w:tcPr>
            <w:tcW w:w="6020" w:type="dxa"/>
            <w:vAlign w:val="bottom"/>
            <w:shd w:val="clear" w:color="auto" w:fill="D8D8D8"/>
          </w:tcPr>
          <w:p>
            <w:pPr>
              <w:ind w:left="180"/>
              <w:spacing w:after="0"/>
              <w:rPr>
                <w:sz w:val="20"/>
                <w:szCs w:val="20"/>
                <w:color w:val="auto"/>
              </w:rPr>
            </w:pPr>
            <w:r>
              <w:rPr>
                <w:rFonts w:ascii="Arial" w:cs="Arial" w:eastAsia="Arial" w:hAnsi="Arial"/>
                <w:sz w:val="18"/>
                <w:szCs w:val="18"/>
                <w:color w:val="auto"/>
              </w:rPr>
              <w:t>Foreign currency exchange rate changes and other adjustments</w:t>
            </w:r>
          </w:p>
        </w:tc>
        <w:tc>
          <w:tcPr>
            <w:tcW w:w="40" w:type="dxa"/>
            <w:vAlign w:val="bottom"/>
            <w:tcBorders>
              <w:bottom w:val="single" w:sz="8" w:color="auto"/>
            </w:tcBorders>
            <w:shd w:val="clear" w:color="auto" w:fill="D8D8D8"/>
          </w:tcPr>
          <w:p>
            <w:pPr>
              <w:spacing w:after="0"/>
              <w:rPr>
                <w:sz w:val="23"/>
                <w:szCs w:val="23"/>
                <w:color w:val="auto"/>
              </w:rPr>
            </w:pPr>
          </w:p>
        </w:tc>
        <w:tc>
          <w:tcPr>
            <w:tcW w:w="260" w:type="dxa"/>
            <w:vAlign w:val="bottom"/>
            <w:tcBorders>
              <w:bottom w:val="single" w:sz="8" w:color="auto"/>
            </w:tcBorders>
            <w:shd w:val="clear" w:color="auto" w:fill="D8D8D8"/>
          </w:tcPr>
          <w:p>
            <w:pPr>
              <w:spacing w:after="0"/>
              <w:rPr>
                <w:sz w:val="23"/>
                <w:szCs w:val="23"/>
                <w:color w:val="auto"/>
              </w:rPr>
            </w:pPr>
          </w:p>
        </w:tc>
        <w:tc>
          <w:tcPr>
            <w:tcW w:w="1020" w:type="dxa"/>
            <w:vAlign w:val="bottom"/>
            <w:tcBorders>
              <w:bottom w:val="single" w:sz="8" w:color="auto"/>
            </w:tcBorders>
            <w:shd w:val="clear" w:color="auto" w:fill="D8D8D8"/>
          </w:tcPr>
          <w:p>
            <w:pPr>
              <w:jc w:val="right"/>
              <w:ind w:right="12"/>
              <w:spacing w:after="0"/>
              <w:rPr>
                <w:sz w:val="20"/>
                <w:szCs w:val="20"/>
                <w:color w:val="auto"/>
              </w:rPr>
            </w:pPr>
            <w:r>
              <w:rPr>
                <w:rFonts w:ascii="Arial" w:cs="Arial" w:eastAsia="Arial" w:hAnsi="Arial"/>
                <w:sz w:val="18"/>
                <w:szCs w:val="18"/>
                <w:b w:val="1"/>
                <w:bCs w:val="1"/>
                <w:color w:val="auto"/>
              </w:rPr>
              <w:t>(169.8)</w:t>
            </w:r>
          </w:p>
        </w:tc>
        <w:tc>
          <w:tcPr>
            <w:tcW w:w="520" w:type="dxa"/>
            <w:vAlign w:val="bottom"/>
            <w:tcBorders>
              <w:bottom w:val="single" w:sz="8" w:color="auto"/>
            </w:tcBorders>
            <w:shd w:val="clear" w:color="auto" w:fill="D8D8D8"/>
          </w:tcPr>
          <w:p>
            <w:pPr>
              <w:spacing w:after="0"/>
              <w:rPr>
                <w:sz w:val="23"/>
                <w:szCs w:val="23"/>
                <w:color w:val="auto"/>
              </w:rPr>
            </w:pPr>
          </w:p>
        </w:tc>
        <w:tc>
          <w:tcPr>
            <w:tcW w:w="860" w:type="dxa"/>
            <w:vAlign w:val="bottom"/>
            <w:tcBorders>
              <w:bottom w:val="single" w:sz="8" w:color="auto"/>
            </w:tcBorders>
            <w:shd w:val="clear" w:color="auto" w:fill="D8D8D8"/>
          </w:tcPr>
          <w:p>
            <w:pPr>
              <w:jc w:val="right"/>
              <w:ind w:right="11"/>
              <w:spacing w:after="0"/>
              <w:rPr>
                <w:sz w:val="20"/>
                <w:szCs w:val="20"/>
                <w:color w:val="auto"/>
              </w:rPr>
            </w:pPr>
            <w:r>
              <w:rPr>
                <w:rFonts w:ascii="Arial" w:cs="Arial" w:eastAsia="Arial" w:hAnsi="Arial"/>
                <w:sz w:val="18"/>
                <w:szCs w:val="18"/>
                <w:color w:val="auto"/>
              </w:rPr>
              <w:t>(250.2)</w:t>
            </w:r>
          </w:p>
        </w:tc>
        <w:tc>
          <w:tcPr>
            <w:tcW w:w="360" w:type="dxa"/>
            <w:vAlign w:val="bottom"/>
            <w:tcBorders>
              <w:bottom w:val="single" w:sz="8" w:color="auto"/>
            </w:tcBorders>
            <w:shd w:val="clear" w:color="auto" w:fill="D8D8D8"/>
          </w:tcPr>
          <w:p>
            <w:pPr>
              <w:spacing w:after="0"/>
              <w:rPr>
                <w:sz w:val="23"/>
                <w:szCs w:val="23"/>
                <w:color w:val="auto"/>
              </w:rPr>
            </w:pPr>
          </w:p>
        </w:tc>
        <w:tc>
          <w:tcPr>
            <w:tcW w:w="1020" w:type="dxa"/>
            <w:vAlign w:val="bottom"/>
            <w:tcBorders>
              <w:bottom w:val="single" w:sz="8" w:color="auto"/>
            </w:tcBorders>
            <w:shd w:val="clear" w:color="auto" w:fill="D8D8D8"/>
          </w:tcPr>
          <w:p>
            <w:pPr>
              <w:jc w:val="right"/>
              <w:ind w:right="12"/>
              <w:spacing w:after="0"/>
              <w:rPr>
                <w:sz w:val="20"/>
                <w:szCs w:val="20"/>
                <w:color w:val="auto"/>
              </w:rPr>
            </w:pPr>
            <w:r>
              <w:rPr>
                <w:rFonts w:ascii="Arial" w:cs="Arial" w:eastAsia="Arial" w:hAnsi="Arial"/>
                <w:sz w:val="18"/>
                <w:szCs w:val="18"/>
                <w:b w:val="1"/>
                <w:bCs w:val="1"/>
                <w:color w:val="auto"/>
              </w:rPr>
              <w:t>(12.7)</w:t>
            </w:r>
          </w:p>
        </w:tc>
        <w:tc>
          <w:tcPr>
            <w:tcW w:w="500" w:type="dxa"/>
            <w:vAlign w:val="bottom"/>
            <w:tcBorders>
              <w:bottom w:val="single" w:sz="8" w:color="auto"/>
            </w:tcBorders>
            <w:shd w:val="clear" w:color="auto" w:fill="D8D8D8"/>
          </w:tcPr>
          <w:p>
            <w:pPr>
              <w:spacing w:after="0"/>
              <w:rPr>
                <w:sz w:val="23"/>
                <w:szCs w:val="23"/>
                <w:color w:val="auto"/>
              </w:rPr>
            </w:pPr>
          </w:p>
        </w:tc>
        <w:tc>
          <w:tcPr>
            <w:tcW w:w="82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(6.1)</w:t>
            </w:r>
          </w:p>
        </w:tc>
      </w:tr>
      <w:tr>
        <w:trPr>
          <w:trHeight w:val="262"/>
        </w:trPr>
        <w:tc>
          <w:tcPr>
            <w:tcW w:w="6020" w:type="dxa"/>
            <w:vAlign w:val="bottom"/>
          </w:tcPr>
          <w:p>
            <w:pPr>
              <w:ind w:left="180"/>
              <w:spacing w:after="0"/>
              <w:rPr>
                <w:sz w:val="20"/>
                <w:szCs w:val="20"/>
                <w:color w:val="auto"/>
              </w:rPr>
            </w:pPr>
            <w:r>
              <w:rPr>
                <w:rFonts w:ascii="Arial" w:cs="Arial" w:eastAsia="Arial" w:hAnsi="Arial"/>
                <w:sz w:val="18"/>
                <w:szCs w:val="18"/>
                <w:color w:val="auto"/>
              </w:rPr>
              <w:t>Benefit obligation at end of year</w:t>
            </w:r>
          </w:p>
        </w:tc>
        <w:tc>
          <w:tcPr>
            <w:tcW w:w="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20" w:type="dxa"/>
            <w:vAlign w:val="bottom"/>
          </w:tcPr>
          <w:p>
            <w:pPr>
              <w:jc w:val="right"/>
              <w:ind w:right="72"/>
              <w:spacing w:after="0"/>
              <w:rPr>
                <w:sz w:val="20"/>
                <w:szCs w:val="20"/>
                <w:color w:val="auto"/>
              </w:rPr>
            </w:pPr>
            <w:r>
              <w:rPr>
                <w:rFonts w:ascii="Arial" w:cs="Arial" w:eastAsia="Arial" w:hAnsi="Arial"/>
                <w:sz w:val="18"/>
                <w:szCs w:val="18"/>
                <w:b w:val="1"/>
                <w:bCs w:val="1"/>
                <w:color w:val="auto"/>
              </w:rPr>
              <w:t>11,719.2</w:t>
            </w:r>
          </w:p>
        </w:tc>
        <w:tc>
          <w:tcPr>
            <w:tcW w:w="520" w:type="dxa"/>
            <w:vAlign w:val="bottom"/>
          </w:tcPr>
          <w:p>
            <w:pPr>
              <w:spacing w:after="0"/>
              <w:rPr>
                <w:sz w:val="22"/>
                <w:szCs w:val="22"/>
                <w:color w:val="auto"/>
              </w:rPr>
            </w:pPr>
          </w:p>
        </w:tc>
        <w:tc>
          <w:tcPr>
            <w:tcW w:w="860" w:type="dxa"/>
            <w:vAlign w:val="bottom"/>
          </w:tcPr>
          <w:p>
            <w:pPr>
              <w:jc w:val="right"/>
              <w:ind w:right="71"/>
              <w:spacing w:after="0"/>
              <w:rPr>
                <w:sz w:val="20"/>
                <w:szCs w:val="20"/>
                <w:color w:val="auto"/>
              </w:rPr>
            </w:pPr>
            <w:r>
              <w:rPr>
                <w:rFonts w:ascii="Arial" w:cs="Arial" w:eastAsia="Arial" w:hAnsi="Arial"/>
                <w:sz w:val="18"/>
                <w:szCs w:val="18"/>
                <w:color w:val="auto"/>
                <w:w w:val="96"/>
              </w:rPr>
              <w:t>12,012.4</w:t>
            </w:r>
          </w:p>
        </w:tc>
        <w:tc>
          <w:tcPr>
            <w:tcW w:w="360" w:type="dxa"/>
            <w:vAlign w:val="bottom"/>
          </w:tcPr>
          <w:p>
            <w:pPr>
              <w:spacing w:after="0"/>
              <w:rPr>
                <w:sz w:val="22"/>
                <w:szCs w:val="22"/>
                <w:color w:val="auto"/>
              </w:rPr>
            </w:pPr>
          </w:p>
        </w:tc>
        <w:tc>
          <w:tcPr>
            <w:tcW w:w="1020" w:type="dxa"/>
            <w:vAlign w:val="bottom"/>
          </w:tcPr>
          <w:p>
            <w:pPr>
              <w:jc w:val="right"/>
              <w:ind w:right="72"/>
              <w:spacing w:after="0"/>
              <w:rPr>
                <w:sz w:val="20"/>
                <w:szCs w:val="20"/>
                <w:color w:val="auto"/>
              </w:rPr>
            </w:pPr>
            <w:r>
              <w:rPr>
                <w:rFonts w:ascii="Arial" w:cs="Arial" w:eastAsia="Arial" w:hAnsi="Arial"/>
                <w:sz w:val="18"/>
                <w:szCs w:val="18"/>
                <w:b w:val="1"/>
                <w:bCs w:val="1"/>
                <w:color w:val="auto"/>
              </w:rPr>
              <w:t>1,467.4</w:t>
            </w:r>
          </w:p>
        </w:tc>
        <w:tc>
          <w:tcPr>
            <w:tcW w:w="500" w:type="dxa"/>
            <w:vAlign w:val="bottom"/>
          </w:tcPr>
          <w:p>
            <w:pPr>
              <w:spacing w:after="0"/>
              <w:rPr>
                <w:sz w:val="22"/>
                <w:szCs w:val="22"/>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1,553.5</w:t>
            </w:r>
          </w:p>
        </w:tc>
      </w:tr>
      <w:tr>
        <w:trPr>
          <w:trHeight w:val="137"/>
        </w:trPr>
        <w:tc>
          <w:tcPr>
            <w:tcW w:w="6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20" w:type="dxa"/>
            <w:vAlign w:val="bottom"/>
          </w:tcPr>
          <w:p>
            <w:pPr>
              <w:spacing w:after="0"/>
              <w:rPr>
                <w:sz w:val="11"/>
                <w:szCs w:val="11"/>
                <w:color w:val="auto"/>
              </w:rPr>
            </w:pPr>
          </w:p>
        </w:tc>
      </w:tr>
      <w:tr>
        <w:trPr>
          <w:trHeight w:val="250"/>
        </w:trPr>
        <w:tc>
          <w:tcPr>
            <w:tcW w:w="6020" w:type="dxa"/>
            <w:vAlign w:val="bottom"/>
            <w:tcBorders>
              <w:bottom w:val="single" w:sz="8" w:color="D8D8D8"/>
            </w:tcBorders>
            <w:shd w:val="clear" w:color="auto" w:fill="D8D8D8"/>
          </w:tcPr>
          <w:p>
            <w:pPr>
              <w:ind w:left="40"/>
              <w:spacing w:after="0"/>
              <w:rPr>
                <w:sz w:val="20"/>
                <w:szCs w:val="20"/>
                <w:color w:val="auto"/>
              </w:rPr>
            </w:pPr>
            <w:r>
              <w:rPr>
                <w:rFonts w:ascii="Arial" w:cs="Arial" w:eastAsia="Arial" w:hAnsi="Arial"/>
                <w:sz w:val="18"/>
                <w:szCs w:val="18"/>
                <w:color w:val="auto"/>
              </w:rPr>
              <w:t>Change in plan assets:</w:t>
            </w:r>
          </w:p>
        </w:tc>
        <w:tc>
          <w:tcPr>
            <w:tcW w:w="40" w:type="dxa"/>
            <w:vAlign w:val="bottom"/>
            <w:tcBorders>
              <w:bottom w:val="single" w:sz="8" w:color="D8D8D8"/>
            </w:tcBorders>
            <w:shd w:val="clear" w:color="auto" w:fill="D8D8D8"/>
          </w:tcPr>
          <w:p>
            <w:pPr>
              <w:spacing w:after="0"/>
              <w:rPr>
                <w:sz w:val="21"/>
                <w:szCs w:val="21"/>
                <w:color w:val="auto"/>
              </w:rPr>
            </w:pPr>
          </w:p>
        </w:tc>
        <w:tc>
          <w:tcPr>
            <w:tcW w:w="260" w:type="dxa"/>
            <w:vAlign w:val="bottom"/>
            <w:tcBorders>
              <w:bottom w:val="single" w:sz="8" w:color="D8D8D8"/>
            </w:tcBorders>
            <w:shd w:val="clear" w:color="auto" w:fill="D8D8D8"/>
          </w:tcPr>
          <w:p>
            <w:pPr>
              <w:spacing w:after="0"/>
              <w:rPr>
                <w:sz w:val="21"/>
                <w:szCs w:val="21"/>
                <w:color w:val="auto"/>
              </w:rPr>
            </w:pPr>
          </w:p>
        </w:tc>
        <w:tc>
          <w:tcPr>
            <w:tcW w:w="1020" w:type="dxa"/>
            <w:vAlign w:val="bottom"/>
            <w:tcBorders>
              <w:bottom w:val="single" w:sz="8" w:color="D8D8D8"/>
            </w:tcBorders>
            <w:shd w:val="clear" w:color="auto" w:fill="D8D8D8"/>
          </w:tcPr>
          <w:p>
            <w:pPr>
              <w:spacing w:after="0"/>
              <w:rPr>
                <w:sz w:val="21"/>
                <w:szCs w:val="21"/>
                <w:color w:val="auto"/>
              </w:rPr>
            </w:pPr>
          </w:p>
        </w:tc>
        <w:tc>
          <w:tcPr>
            <w:tcW w:w="520" w:type="dxa"/>
            <w:vAlign w:val="bottom"/>
            <w:tcBorders>
              <w:bottom w:val="single" w:sz="8" w:color="D8D8D8"/>
            </w:tcBorders>
            <w:shd w:val="clear" w:color="auto" w:fill="D8D8D8"/>
          </w:tcPr>
          <w:p>
            <w:pPr>
              <w:spacing w:after="0"/>
              <w:rPr>
                <w:sz w:val="21"/>
                <w:szCs w:val="21"/>
                <w:color w:val="auto"/>
              </w:rPr>
            </w:pPr>
          </w:p>
        </w:tc>
        <w:tc>
          <w:tcPr>
            <w:tcW w:w="860" w:type="dxa"/>
            <w:vAlign w:val="bottom"/>
            <w:tcBorders>
              <w:bottom w:val="single" w:sz="8" w:color="D8D8D8"/>
            </w:tcBorders>
            <w:shd w:val="clear" w:color="auto" w:fill="D8D8D8"/>
          </w:tcPr>
          <w:p>
            <w:pPr>
              <w:spacing w:after="0"/>
              <w:rPr>
                <w:sz w:val="21"/>
                <w:szCs w:val="21"/>
                <w:color w:val="auto"/>
              </w:rPr>
            </w:pPr>
          </w:p>
        </w:tc>
        <w:tc>
          <w:tcPr>
            <w:tcW w:w="360" w:type="dxa"/>
            <w:vAlign w:val="bottom"/>
            <w:tcBorders>
              <w:bottom w:val="single" w:sz="8" w:color="D8D8D8"/>
            </w:tcBorders>
            <w:shd w:val="clear" w:color="auto" w:fill="D8D8D8"/>
          </w:tcPr>
          <w:p>
            <w:pPr>
              <w:spacing w:after="0"/>
              <w:rPr>
                <w:sz w:val="21"/>
                <w:szCs w:val="21"/>
                <w:color w:val="auto"/>
              </w:rPr>
            </w:pPr>
          </w:p>
        </w:tc>
        <w:tc>
          <w:tcPr>
            <w:tcW w:w="1020" w:type="dxa"/>
            <w:vAlign w:val="bottom"/>
            <w:tcBorders>
              <w:bottom w:val="single" w:sz="8" w:color="D8D8D8"/>
            </w:tcBorders>
            <w:shd w:val="clear" w:color="auto" w:fill="D8D8D8"/>
          </w:tcPr>
          <w:p>
            <w:pPr>
              <w:spacing w:after="0"/>
              <w:rPr>
                <w:sz w:val="21"/>
                <w:szCs w:val="21"/>
                <w:color w:val="auto"/>
              </w:rPr>
            </w:pPr>
          </w:p>
        </w:tc>
        <w:tc>
          <w:tcPr>
            <w:tcW w:w="500" w:type="dxa"/>
            <w:vAlign w:val="bottom"/>
            <w:tcBorders>
              <w:bottom w:val="single" w:sz="8" w:color="D8D8D8"/>
            </w:tcBorders>
            <w:shd w:val="clear" w:color="auto" w:fill="D8D8D8"/>
          </w:tcPr>
          <w:p>
            <w:pPr>
              <w:spacing w:after="0"/>
              <w:rPr>
                <w:sz w:val="21"/>
                <w:szCs w:val="21"/>
                <w:color w:val="auto"/>
              </w:rPr>
            </w:pPr>
          </w:p>
        </w:tc>
        <w:tc>
          <w:tcPr>
            <w:tcW w:w="820" w:type="dxa"/>
            <w:vAlign w:val="bottom"/>
            <w:tcBorders>
              <w:bottom w:val="single" w:sz="8" w:color="D8D8D8"/>
            </w:tcBorders>
            <w:shd w:val="clear" w:color="auto" w:fill="D8D8D8"/>
          </w:tcPr>
          <w:p>
            <w:pPr>
              <w:spacing w:after="0"/>
              <w:rPr>
                <w:sz w:val="21"/>
                <w:szCs w:val="21"/>
                <w:color w:val="auto"/>
              </w:rPr>
            </w:pPr>
          </w:p>
        </w:tc>
      </w:tr>
      <w:tr>
        <w:trPr>
          <w:trHeight w:val="269"/>
        </w:trPr>
        <w:tc>
          <w:tcPr>
            <w:tcW w:w="6020" w:type="dxa"/>
            <w:vAlign w:val="bottom"/>
          </w:tcPr>
          <w:p>
            <w:pPr>
              <w:ind w:left="180"/>
              <w:spacing w:after="0"/>
              <w:rPr>
                <w:sz w:val="20"/>
                <w:szCs w:val="20"/>
                <w:color w:val="auto"/>
              </w:rPr>
            </w:pPr>
            <w:r>
              <w:rPr>
                <w:rFonts w:ascii="Arial" w:cs="Arial" w:eastAsia="Arial" w:hAnsi="Arial"/>
                <w:sz w:val="18"/>
                <w:szCs w:val="18"/>
                <w:color w:val="auto"/>
              </w:rPr>
              <w:t>Fair value of plan assets at beginning of year</w:t>
            </w: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20" w:type="dxa"/>
            <w:vAlign w:val="bottom"/>
          </w:tcPr>
          <w:p>
            <w:pPr>
              <w:jc w:val="right"/>
              <w:ind w:right="52"/>
              <w:spacing w:after="0"/>
              <w:rPr>
                <w:sz w:val="20"/>
                <w:szCs w:val="20"/>
                <w:color w:val="auto"/>
              </w:rPr>
            </w:pPr>
            <w:r>
              <w:rPr>
                <w:rFonts w:ascii="Arial" w:cs="Arial" w:eastAsia="Arial" w:hAnsi="Arial"/>
                <w:sz w:val="18"/>
                <w:szCs w:val="18"/>
                <w:b w:val="1"/>
                <w:bCs w:val="1"/>
                <w:color w:val="auto"/>
              </w:rPr>
              <w:t>9,835.7</w:t>
            </w:r>
          </w:p>
        </w:tc>
        <w:tc>
          <w:tcPr>
            <w:tcW w:w="520" w:type="dxa"/>
            <w:vAlign w:val="bottom"/>
          </w:tcPr>
          <w:p>
            <w:pPr>
              <w:spacing w:after="0"/>
              <w:rPr>
                <w:sz w:val="23"/>
                <w:szCs w:val="23"/>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9,481.7</w:t>
            </w:r>
          </w:p>
        </w:tc>
        <w:tc>
          <w:tcPr>
            <w:tcW w:w="360" w:type="dxa"/>
            <w:vAlign w:val="bottom"/>
          </w:tcPr>
          <w:p>
            <w:pPr>
              <w:spacing w:after="0"/>
              <w:rPr>
                <w:sz w:val="23"/>
                <w:szCs w:val="23"/>
                <w:color w:val="auto"/>
              </w:rPr>
            </w:pPr>
          </w:p>
        </w:tc>
        <w:tc>
          <w:tcPr>
            <w:tcW w:w="1020" w:type="dxa"/>
            <w:vAlign w:val="bottom"/>
          </w:tcPr>
          <w:p>
            <w:pPr>
              <w:jc w:val="right"/>
              <w:ind w:right="52"/>
              <w:spacing w:after="0"/>
              <w:rPr>
                <w:sz w:val="20"/>
                <w:szCs w:val="20"/>
                <w:color w:val="auto"/>
              </w:rPr>
            </w:pPr>
            <w:r>
              <w:rPr>
                <w:rFonts w:ascii="Arial" w:cs="Arial" w:eastAsia="Arial" w:hAnsi="Arial"/>
                <w:sz w:val="18"/>
                <w:szCs w:val="18"/>
                <w:b w:val="1"/>
                <w:bCs w:val="1"/>
                <w:color w:val="auto"/>
              </w:rPr>
              <w:t>1,918.7</w:t>
            </w:r>
          </w:p>
        </w:tc>
        <w:tc>
          <w:tcPr>
            <w:tcW w:w="500" w:type="dxa"/>
            <w:vAlign w:val="bottom"/>
          </w:tcPr>
          <w:p>
            <w:pPr>
              <w:spacing w:after="0"/>
              <w:rPr>
                <w:sz w:val="23"/>
                <w:szCs w:val="23"/>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1,879.6</w:t>
            </w:r>
          </w:p>
        </w:tc>
      </w:tr>
      <w:tr>
        <w:trPr>
          <w:trHeight w:val="271"/>
        </w:trPr>
        <w:tc>
          <w:tcPr>
            <w:tcW w:w="6020" w:type="dxa"/>
            <w:vAlign w:val="bottom"/>
            <w:shd w:val="clear" w:color="auto" w:fill="D8D8D8"/>
          </w:tcPr>
          <w:p>
            <w:pPr>
              <w:ind w:left="180"/>
              <w:spacing w:after="0"/>
              <w:rPr>
                <w:sz w:val="20"/>
                <w:szCs w:val="20"/>
                <w:color w:val="auto"/>
              </w:rPr>
            </w:pPr>
            <w:r>
              <w:rPr>
                <w:rFonts w:ascii="Arial" w:cs="Arial" w:eastAsia="Arial" w:hAnsi="Arial"/>
                <w:sz w:val="18"/>
                <w:szCs w:val="18"/>
                <w:color w:val="auto"/>
              </w:rPr>
              <w:t>Fair value of plan assets assumed in Novartis AH acquisition</w:t>
            </w:r>
          </w:p>
        </w:tc>
        <w:tc>
          <w:tcPr>
            <w:tcW w:w="40" w:type="dxa"/>
            <w:vAlign w:val="bottom"/>
            <w:shd w:val="clear" w:color="auto" w:fill="D8D8D8"/>
          </w:tcPr>
          <w:p>
            <w:pPr>
              <w:spacing w:after="0"/>
              <w:rPr>
                <w:sz w:val="23"/>
                <w:szCs w:val="23"/>
                <w:color w:val="auto"/>
              </w:rPr>
            </w:pPr>
          </w:p>
        </w:tc>
        <w:tc>
          <w:tcPr>
            <w:tcW w:w="260" w:type="dxa"/>
            <w:vAlign w:val="bottom"/>
            <w:shd w:val="clear" w:color="auto" w:fill="D8D8D8"/>
          </w:tcPr>
          <w:p>
            <w:pPr>
              <w:spacing w:after="0"/>
              <w:rPr>
                <w:sz w:val="23"/>
                <w:szCs w:val="23"/>
                <w:color w:val="auto"/>
              </w:rPr>
            </w:pPr>
          </w:p>
        </w:tc>
        <w:tc>
          <w:tcPr>
            <w:tcW w:w="1020" w:type="dxa"/>
            <w:vAlign w:val="bottom"/>
            <w:shd w:val="clear" w:color="auto" w:fill="D8D8D8"/>
          </w:tcPr>
          <w:p>
            <w:pPr>
              <w:jc w:val="right"/>
              <w:ind w:right="52"/>
              <w:spacing w:after="0"/>
              <w:rPr>
                <w:sz w:val="20"/>
                <w:szCs w:val="20"/>
                <w:color w:val="auto"/>
              </w:rPr>
            </w:pPr>
            <w:r>
              <w:rPr>
                <w:rFonts w:ascii="Arial" w:cs="Arial" w:eastAsia="Arial" w:hAnsi="Arial"/>
                <w:sz w:val="18"/>
                <w:szCs w:val="18"/>
                <w:b w:val="1"/>
                <w:bCs w:val="1"/>
                <w:color w:val="auto"/>
              </w:rPr>
              <w:t>235.9</w:t>
            </w:r>
          </w:p>
        </w:tc>
        <w:tc>
          <w:tcPr>
            <w:tcW w:w="520" w:type="dxa"/>
            <w:vAlign w:val="bottom"/>
            <w:shd w:val="clear" w:color="auto" w:fill="D8D8D8"/>
          </w:tcPr>
          <w:p>
            <w:pPr>
              <w:spacing w:after="0"/>
              <w:rPr>
                <w:sz w:val="23"/>
                <w:szCs w:val="23"/>
                <w:color w:val="auto"/>
              </w:rPr>
            </w:pPr>
          </w:p>
        </w:tc>
        <w:tc>
          <w:tcPr>
            <w:tcW w:w="860" w:type="dxa"/>
            <w:vAlign w:val="bottom"/>
            <w:shd w:val="clear" w:color="auto" w:fill="D8D8D8"/>
          </w:tcPr>
          <w:p>
            <w:pPr>
              <w:jc w:val="right"/>
              <w:ind w:right="31"/>
              <w:spacing w:after="0"/>
              <w:rPr>
                <w:sz w:val="20"/>
                <w:szCs w:val="20"/>
                <w:color w:val="auto"/>
              </w:rPr>
            </w:pPr>
            <w:r>
              <w:rPr>
                <w:rFonts w:ascii="Arial" w:cs="Arial" w:eastAsia="Arial" w:hAnsi="Arial"/>
                <w:sz w:val="18"/>
                <w:szCs w:val="18"/>
                <w:color w:val="auto"/>
              </w:rPr>
              <w:t>—</w:t>
            </w:r>
          </w:p>
        </w:tc>
        <w:tc>
          <w:tcPr>
            <w:tcW w:w="360" w:type="dxa"/>
            <w:vAlign w:val="bottom"/>
            <w:shd w:val="clear" w:color="auto" w:fill="D8D8D8"/>
          </w:tcPr>
          <w:p>
            <w:pPr>
              <w:spacing w:after="0"/>
              <w:rPr>
                <w:sz w:val="23"/>
                <w:szCs w:val="23"/>
                <w:color w:val="auto"/>
              </w:rPr>
            </w:pPr>
          </w:p>
        </w:tc>
        <w:tc>
          <w:tcPr>
            <w:tcW w:w="1020" w:type="dxa"/>
            <w:vAlign w:val="bottom"/>
            <w:shd w:val="clear" w:color="auto" w:fill="D8D8D8"/>
          </w:tcPr>
          <w:p>
            <w:pPr>
              <w:jc w:val="right"/>
              <w:ind w:right="52"/>
              <w:spacing w:after="0"/>
              <w:rPr>
                <w:sz w:val="20"/>
                <w:szCs w:val="20"/>
                <w:color w:val="auto"/>
              </w:rPr>
            </w:pPr>
            <w:r>
              <w:rPr>
                <w:rFonts w:ascii="Arial" w:cs="Arial" w:eastAsia="Arial" w:hAnsi="Arial"/>
                <w:sz w:val="18"/>
                <w:szCs w:val="18"/>
                <w:b w:val="1"/>
                <w:bCs w:val="1"/>
                <w:color w:val="auto"/>
              </w:rPr>
              <w:t>—</w:t>
            </w:r>
          </w:p>
        </w:tc>
        <w:tc>
          <w:tcPr>
            <w:tcW w:w="500" w:type="dxa"/>
            <w:vAlign w:val="bottom"/>
            <w:shd w:val="clear" w:color="auto" w:fill="D8D8D8"/>
          </w:tcPr>
          <w:p>
            <w:pPr>
              <w:spacing w:after="0"/>
              <w:rPr>
                <w:sz w:val="23"/>
                <w:szCs w:val="23"/>
                <w:color w:val="auto"/>
              </w:rPr>
            </w:pPr>
          </w:p>
        </w:tc>
        <w:tc>
          <w:tcPr>
            <w:tcW w:w="820" w:type="dxa"/>
            <w:vAlign w:val="bottom"/>
            <w:shd w:val="clear" w:color="auto" w:fill="D8D8D8"/>
          </w:tcPr>
          <w:p>
            <w:pPr>
              <w:jc w:val="right"/>
              <w:ind w:right="11"/>
              <w:spacing w:after="0"/>
              <w:rPr>
                <w:sz w:val="20"/>
                <w:szCs w:val="20"/>
                <w:color w:val="auto"/>
              </w:rPr>
            </w:pPr>
            <w:r>
              <w:rPr>
                <w:rFonts w:ascii="Arial" w:cs="Arial" w:eastAsia="Arial" w:hAnsi="Arial"/>
                <w:sz w:val="18"/>
                <w:szCs w:val="18"/>
                <w:color w:val="auto"/>
              </w:rPr>
              <w:t>—</w:t>
            </w:r>
          </w:p>
        </w:tc>
      </w:tr>
      <w:tr>
        <w:trPr>
          <w:trHeight w:val="269"/>
        </w:trPr>
        <w:tc>
          <w:tcPr>
            <w:tcW w:w="6020" w:type="dxa"/>
            <w:vAlign w:val="bottom"/>
          </w:tcPr>
          <w:p>
            <w:pPr>
              <w:ind w:left="180"/>
              <w:spacing w:after="0"/>
              <w:rPr>
                <w:sz w:val="20"/>
                <w:szCs w:val="20"/>
                <w:color w:val="auto"/>
              </w:rPr>
            </w:pPr>
            <w:r>
              <w:rPr>
                <w:rFonts w:ascii="Arial" w:cs="Arial" w:eastAsia="Arial" w:hAnsi="Arial"/>
                <w:sz w:val="18"/>
                <w:szCs w:val="18"/>
                <w:color w:val="auto"/>
              </w:rPr>
              <w:t>Actual return on plan assets</w:t>
            </w: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20" w:type="dxa"/>
            <w:vAlign w:val="bottom"/>
          </w:tcPr>
          <w:p>
            <w:pPr>
              <w:jc w:val="right"/>
              <w:ind w:right="52"/>
              <w:spacing w:after="0"/>
              <w:rPr>
                <w:sz w:val="20"/>
                <w:szCs w:val="20"/>
                <w:color w:val="auto"/>
              </w:rPr>
            </w:pPr>
            <w:r>
              <w:rPr>
                <w:rFonts w:ascii="Arial" w:cs="Arial" w:eastAsia="Arial" w:hAnsi="Arial"/>
                <w:sz w:val="18"/>
                <w:szCs w:val="18"/>
                <w:b w:val="1"/>
                <w:bCs w:val="1"/>
                <w:color w:val="auto"/>
              </w:rPr>
              <w:t>90.4</w:t>
            </w:r>
          </w:p>
        </w:tc>
        <w:tc>
          <w:tcPr>
            <w:tcW w:w="520" w:type="dxa"/>
            <w:vAlign w:val="bottom"/>
          </w:tcPr>
          <w:p>
            <w:pPr>
              <w:spacing w:after="0"/>
              <w:rPr>
                <w:sz w:val="23"/>
                <w:szCs w:val="23"/>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813.6</w:t>
            </w:r>
          </w:p>
        </w:tc>
        <w:tc>
          <w:tcPr>
            <w:tcW w:w="360" w:type="dxa"/>
            <w:vAlign w:val="bottom"/>
          </w:tcPr>
          <w:p>
            <w:pPr>
              <w:spacing w:after="0"/>
              <w:rPr>
                <w:sz w:val="23"/>
                <w:szCs w:val="23"/>
                <w:color w:val="auto"/>
              </w:rPr>
            </w:pPr>
          </w:p>
        </w:tc>
        <w:tc>
          <w:tcPr>
            <w:tcW w:w="1020" w:type="dxa"/>
            <w:vAlign w:val="bottom"/>
          </w:tcPr>
          <w:p>
            <w:pPr>
              <w:jc w:val="right"/>
              <w:ind w:right="52"/>
              <w:spacing w:after="0"/>
              <w:rPr>
                <w:sz w:val="20"/>
                <w:szCs w:val="20"/>
                <w:color w:val="auto"/>
              </w:rPr>
            </w:pPr>
            <w:r>
              <w:rPr>
                <w:rFonts w:ascii="Arial" w:cs="Arial" w:eastAsia="Arial" w:hAnsi="Arial"/>
                <w:sz w:val="18"/>
                <w:szCs w:val="18"/>
                <w:b w:val="1"/>
                <w:bCs w:val="1"/>
                <w:color w:val="auto"/>
              </w:rPr>
              <w:t>85.1</w:t>
            </w:r>
          </w:p>
        </w:tc>
        <w:tc>
          <w:tcPr>
            <w:tcW w:w="500" w:type="dxa"/>
            <w:vAlign w:val="bottom"/>
          </w:tcPr>
          <w:p>
            <w:pPr>
              <w:spacing w:after="0"/>
              <w:rPr>
                <w:sz w:val="23"/>
                <w:szCs w:val="23"/>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157.4</w:t>
            </w:r>
          </w:p>
        </w:tc>
      </w:tr>
      <w:tr>
        <w:trPr>
          <w:trHeight w:val="271"/>
        </w:trPr>
        <w:tc>
          <w:tcPr>
            <w:tcW w:w="6020" w:type="dxa"/>
            <w:vAlign w:val="bottom"/>
            <w:shd w:val="clear" w:color="auto" w:fill="D8D8D8"/>
          </w:tcPr>
          <w:p>
            <w:pPr>
              <w:ind w:left="180"/>
              <w:spacing w:after="0"/>
              <w:rPr>
                <w:sz w:val="20"/>
                <w:szCs w:val="20"/>
                <w:color w:val="auto"/>
              </w:rPr>
            </w:pPr>
            <w:r>
              <w:rPr>
                <w:rFonts w:ascii="Arial" w:cs="Arial" w:eastAsia="Arial" w:hAnsi="Arial"/>
                <w:sz w:val="18"/>
                <w:szCs w:val="18"/>
                <w:color w:val="auto"/>
              </w:rPr>
              <w:t>Employer contribution</w:t>
            </w:r>
          </w:p>
        </w:tc>
        <w:tc>
          <w:tcPr>
            <w:tcW w:w="40" w:type="dxa"/>
            <w:vAlign w:val="bottom"/>
            <w:shd w:val="clear" w:color="auto" w:fill="D8D8D8"/>
          </w:tcPr>
          <w:p>
            <w:pPr>
              <w:spacing w:after="0"/>
              <w:rPr>
                <w:sz w:val="23"/>
                <w:szCs w:val="23"/>
                <w:color w:val="auto"/>
              </w:rPr>
            </w:pPr>
          </w:p>
        </w:tc>
        <w:tc>
          <w:tcPr>
            <w:tcW w:w="260" w:type="dxa"/>
            <w:vAlign w:val="bottom"/>
            <w:shd w:val="clear" w:color="auto" w:fill="D8D8D8"/>
          </w:tcPr>
          <w:p>
            <w:pPr>
              <w:spacing w:after="0"/>
              <w:rPr>
                <w:sz w:val="23"/>
                <w:szCs w:val="23"/>
                <w:color w:val="auto"/>
              </w:rPr>
            </w:pPr>
          </w:p>
        </w:tc>
        <w:tc>
          <w:tcPr>
            <w:tcW w:w="1020" w:type="dxa"/>
            <w:vAlign w:val="bottom"/>
            <w:shd w:val="clear" w:color="auto" w:fill="D8D8D8"/>
          </w:tcPr>
          <w:p>
            <w:pPr>
              <w:jc w:val="right"/>
              <w:ind w:right="52"/>
              <w:spacing w:after="0"/>
              <w:rPr>
                <w:sz w:val="20"/>
                <w:szCs w:val="20"/>
                <w:color w:val="auto"/>
              </w:rPr>
            </w:pPr>
            <w:r>
              <w:rPr>
                <w:rFonts w:ascii="Arial" w:cs="Arial" w:eastAsia="Arial" w:hAnsi="Arial"/>
                <w:sz w:val="18"/>
                <w:szCs w:val="18"/>
                <w:b w:val="1"/>
                <w:bCs w:val="1"/>
                <w:color w:val="auto"/>
              </w:rPr>
              <w:t>404.1</w:t>
            </w:r>
          </w:p>
        </w:tc>
        <w:tc>
          <w:tcPr>
            <w:tcW w:w="520" w:type="dxa"/>
            <w:vAlign w:val="bottom"/>
            <w:shd w:val="clear" w:color="auto" w:fill="D8D8D8"/>
          </w:tcPr>
          <w:p>
            <w:pPr>
              <w:spacing w:after="0"/>
              <w:rPr>
                <w:sz w:val="23"/>
                <w:szCs w:val="23"/>
                <w:color w:val="auto"/>
              </w:rPr>
            </w:pPr>
          </w:p>
        </w:tc>
        <w:tc>
          <w:tcPr>
            <w:tcW w:w="860" w:type="dxa"/>
            <w:vAlign w:val="bottom"/>
            <w:shd w:val="clear" w:color="auto" w:fill="D8D8D8"/>
          </w:tcPr>
          <w:p>
            <w:pPr>
              <w:jc w:val="right"/>
              <w:ind w:right="31"/>
              <w:spacing w:after="0"/>
              <w:rPr>
                <w:sz w:val="20"/>
                <w:szCs w:val="20"/>
                <w:color w:val="auto"/>
              </w:rPr>
            </w:pPr>
            <w:r>
              <w:rPr>
                <w:rFonts w:ascii="Arial" w:cs="Arial" w:eastAsia="Arial" w:hAnsi="Arial"/>
                <w:sz w:val="18"/>
                <w:szCs w:val="18"/>
                <w:color w:val="auto"/>
              </w:rPr>
              <w:t>127.2</w:t>
            </w:r>
          </w:p>
        </w:tc>
        <w:tc>
          <w:tcPr>
            <w:tcW w:w="360" w:type="dxa"/>
            <w:vAlign w:val="bottom"/>
            <w:shd w:val="clear" w:color="auto" w:fill="D8D8D8"/>
          </w:tcPr>
          <w:p>
            <w:pPr>
              <w:spacing w:after="0"/>
              <w:rPr>
                <w:sz w:val="23"/>
                <w:szCs w:val="23"/>
                <w:color w:val="auto"/>
              </w:rPr>
            </w:pPr>
          </w:p>
        </w:tc>
        <w:tc>
          <w:tcPr>
            <w:tcW w:w="1020" w:type="dxa"/>
            <w:vAlign w:val="bottom"/>
            <w:shd w:val="clear" w:color="auto" w:fill="D8D8D8"/>
          </w:tcPr>
          <w:p>
            <w:pPr>
              <w:jc w:val="right"/>
              <w:ind w:right="52"/>
              <w:spacing w:after="0"/>
              <w:rPr>
                <w:sz w:val="20"/>
                <w:szCs w:val="20"/>
                <w:color w:val="auto"/>
              </w:rPr>
            </w:pPr>
            <w:r>
              <w:rPr>
                <w:rFonts w:ascii="Arial" w:cs="Arial" w:eastAsia="Arial" w:hAnsi="Arial"/>
                <w:sz w:val="18"/>
                <w:szCs w:val="18"/>
                <w:b w:val="1"/>
                <w:bCs w:val="1"/>
                <w:color w:val="auto"/>
              </w:rPr>
              <w:t>17.4</w:t>
            </w:r>
          </w:p>
        </w:tc>
        <w:tc>
          <w:tcPr>
            <w:tcW w:w="500" w:type="dxa"/>
            <w:vAlign w:val="bottom"/>
            <w:shd w:val="clear" w:color="auto" w:fill="D8D8D8"/>
          </w:tcPr>
          <w:p>
            <w:pPr>
              <w:spacing w:after="0"/>
              <w:rPr>
                <w:sz w:val="23"/>
                <w:szCs w:val="23"/>
                <w:color w:val="auto"/>
              </w:rPr>
            </w:pPr>
          </w:p>
        </w:tc>
        <w:tc>
          <w:tcPr>
            <w:tcW w:w="820" w:type="dxa"/>
            <w:vAlign w:val="bottom"/>
            <w:shd w:val="clear" w:color="auto" w:fill="D8D8D8"/>
          </w:tcPr>
          <w:p>
            <w:pPr>
              <w:jc w:val="right"/>
              <w:spacing w:after="0"/>
              <w:rPr>
                <w:sz w:val="20"/>
                <w:szCs w:val="20"/>
                <w:color w:val="auto"/>
              </w:rPr>
            </w:pPr>
            <w:r>
              <w:rPr>
                <w:rFonts w:ascii="Arial" w:cs="Arial" w:eastAsia="Arial" w:hAnsi="Arial"/>
                <w:sz w:val="18"/>
                <w:szCs w:val="18"/>
                <w:color w:val="auto"/>
              </w:rPr>
              <w:t>(42.2)</w:t>
            </w:r>
          </w:p>
        </w:tc>
      </w:tr>
      <w:tr>
        <w:trPr>
          <w:trHeight w:val="269"/>
        </w:trPr>
        <w:tc>
          <w:tcPr>
            <w:tcW w:w="6020" w:type="dxa"/>
            <w:vAlign w:val="bottom"/>
          </w:tcPr>
          <w:p>
            <w:pPr>
              <w:ind w:left="180"/>
              <w:spacing w:after="0"/>
              <w:rPr>
                <w:sz w:val="20"/>
                <w:szCs w:val="20"/>
                <w:color w:val="auto"/>
              </w:rPr>
            </w:pPr>
            <w:r>
              <w:rPr>
                <w:rFonts w:ascii="Arial" w:cs="Arial" w:eastAsia="Arial" w:hAnsi="Arial"/>
                <w:sz w:val="18"/>
                <w:szCs w:val="18"/>
                <w:color w:val="auto"/>
              </w:rPr>
              <w:t>Benefits paid</w:t>
            </w: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(437.8)</w:t>
            </w:r>
          </w:p>
        </w:tc>
        <w:tc>
          <w:tcPr>
            <w:tcW w:w="5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(421.2)</w:t>
            </w:r>
          </w:p>
        </w:tc>
        <w:tc>
          <w:tcPr>
            <w:tcW w:w="3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(77.5)</w:t>
            </w:r>
          </w:p>
        </w:tc>
        <w:tc>
          <w:tcPr>
            <w:tcW w:w="5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(76.1)</w:t>
            </w:r>
          </w:p>
        </w:tc>
      </w:tr>
      <w:tr>
        <w:trPr>
          <w:trHeight w:val="271"/>
        </w:trPr>
        <w:tc>
          <w:tcPr>
            <w:tcW w:w="6020" w:type="dxa"/>
            <w:vAlign w:val="bottom"/>
            <w:shd w:val="clear" w:color="auto" w:fill="D8D8D8"/>
          </w:tcPr>
          <w:p>
            <w:pPr>
              <w:ind w:left="180"/>
              <w:spacing w:after="0"/>
              <w:rPr>
                <w:sz w:val="20"/>
                <w:szCs w:val="20"/>
                <w:color w:val="auto"/>
              </w:rPr>
            </w:pPr>
            <w:r>
              <w:rPr>
                <w:rFonts w:ascii="Arial" w:cs="Arial" w:eastAsia="Arial" w:hAnsi="Arial"/>
                <w:sz w:val="18"/>
                <w:szCs w:val="18"/>
                <w:color w:val="auto"/>
              </w:rPr>
              <w:t>Foreign currency exchange rate changes and other adjustments</w:t>
            </w:r>
          </w:p>
        </w:tc>
        <w:tc>
          <w:tcPr>
            <w:tcW w:w="40" w:type="dxa"/>
            <w:vAlign w:val="bottom"/>
            <w:shd w:val="clear" w:color="auto" w:fill="D8D8D8"/>
          </w:tcPr>
          <w:p>
            <w:pPr>
              <w:spacing w:after="0"/>
              <w:rPr>
                <w:sz w:val="23"/>
                <w:szCs w:val="23"/>
                <w:color w:val="auto"/>
              </w:rPr>
            </w:pPr>
          </w:p>
        </w:tc>
        <w:tc>
          <w:tcPr>
            <w:tcW w:w="260" w:type="dxa"/>
            <w:vAlign w:val="bottom"/>
            <w:tcBorders>
              <w:bottom w:val="single" w:sz="8" w:color="auto"/>
            </w:tcBorders>
            <w:shd w:val="clear" w:color="auto" w:fill="D8D8D8"/>
          </w:tcPr>
          <w:p>
            <w:pPr>
              <w:spacing w:after="0"/>
              <w:rPr>
                <w:sz w:val="23"/>
                <w:szCs w:val="23"/>
                <w:color w:val="auto"/>
              </w:rPr>
            </w:pPr>
          </w:p>
        </w:tc>
        <w:tc>
          <w:tcPr>
            <w:tcW w:w="102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b w:val="1"/>
                <w:bCs w:val="1"/>
                <w:color w:val="auto"/>
              </w:rPr>
              <w:t>(132.7)</w:t>
            </w:r>
          </w:p>
        </w:tc>
        <w:tc>
          <w:tcPr>
            <w:tcW w:w="520" w:type="dxa"/>
            <w:vAlign w:val="bottom"/>
            <w:tcBorders>
              <w:bottom w:val="single" w:sz="8" w:color="auto"/>
            </w:tcBorders>
            <w:shd w:val="clear" w:color="auto" w:fill="D8D8D8"/>
          </w:tcPr>
          <w:p>
            <w:pPr>
              <w:spacing w:after="0"/>
              <w:rPr>
                <w:sz w:val="23"/>
                <w:szCs w:val="23"/>
                <w:color w:val="auto"/>
              </w:rPr>
            </w:pPr>
          </w:p>
        </w:tc>
        <w:tc>
          <w:tcPr>
            <w:tcW w:w="86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(165.6)</w:t>
            </w:r>
          </w:p>
        </w:tc>
        <w:tc>
          <w:tcPr>
            <w:tcW w:w="360" w:type="dxa"/>
            <w:vAlign w:val="bottom"/>
            <w:tcBorders>
              <w:bottom w:val="single" w:sz="8" w:color="auto"/>
            </w:tcBorders>
            <w:shd w:val="clear" w:color="auto" w:fill="D8D8D8"/>
          </w:tcPr>
          <w:p>
            <w:pPr>
              <w:spacing w:after="0"/>
              <w:rPr>
                <w:sz w:val="23"/>
                <w:szCs w:val="23"/>
                <w:color w:val="auto"/>
              </w:rPr>
            </w:pPr>
          </w:p>
        </w:tc>
        <w:tc>
          <w:tcPr>
            <w:tcW w:w="1020" w:type="dxa"/>
            <w:vAlign w:val="bottom"/>
            <w:tcBorders>
              <w:bottom w:val="single" w:sz="8" w:color="auto"/>
            </w:tcBorders>
            <w:shd w:val="clear" w:color="auto" w:fill="D8D8D8"/>
          </w:tcPr>
          <w:p>
            <w:pPr>
              <w:jc w:val="right"/>
              <w:ind w:right="52"/>
              <w:spacing w:after="0"/>
              <w:rPr>
                <w:sz w:val="20"/>
                <w:szCs w:val="20"/>
                <w:color w:val="auto"/>
              </w:rPr>
            </w:pPr>
            <w:r>
              <w:rPr>
                <w:rFonts w:ascii="Arial" w:cs="Arial" w:eastAsia="Arial" w:hAnsi="Arial"/>
                <w:sz w:val="18"/>
                <w:szCs w:val="18"/>
                <w:b w:val="1"/>
                <w:bCs w:val="1"/>
                <w:color w:val="auto"/>
              </w:rPr>
              <w:t>—</w:t>
            </w:r>
          </w:p>
        </w:tc>
        <w:tc>
          <w:tcPr>
            <w:tcW w:w="500" w:type="dxa"/>
            <w:vAlign w:val="bottom"/>
            <w:tcBorders>
              <w:bottom w:val="single" w:sz="8" w:color="auto"/>
            </w:tcBorders>
            <w:shd w:val="clear" w:color="auto" w:fill="D8D8D8"/>
          </w:tcPr>
          <w:p>
            <w:pPr>
              <w:spacing w:after="0"/>
              <w:rPr>
                <w:sz w:val="23"/>
                <w:szCs w:val="23"/>
                <w:color w:val="auto"/>
              </w:rPr>
            </w:pPr>
          </w:p>
        </w:tc>
        <w:tc>
          <w:tcPr>
            <w:tcW w:w="820" w:type="dxa"/>
            <w:vAlign w:val="bottom"/>
            <w:tcBorders>
              <w:bottom w:val="single" w:sz="8" w:color="auto"/>
            </w:tcBorders>
            <w:shd w:val="clear" w:color="auto" w:fill="D8D8D8"/>
          </w:tcPr>
          <w:p>
            <w:pPr>
              <w:jc w:val="right"/>
              <w:ind w:right="11"/>
              <w:spacing w:after="0"/>
              <w:rPr>
                <w:sz w:val="20"/>
                <w:szCs w:val="20"/>
                <w:color w:val="auto"/>
              </w:rPr>
            </w:pPr>
            <w:r>
              <w:rPr>
                <w:rFonts w:ascii="Arial" w:cs="Arial" w:eastAsia="Arial" w:hAnsi="Arial"/>
                <w:sz w:val="18"/>
                <w:szCs w:val="18"/>
                <w:color w:val="auto"/>
              </w:rPr>
              <w:t>—</w:t>
            </w:r>
          </w:p>
        </w:tc>
      </w:tr>
      <w:tr>
        <w:trPr>
          <w:trHeight w:val="262"/>
        </w:trPr>
        <w:tc>
          <w:tcPr>
            <w:tcW w:w="6020" w:type="dxa"/>
            <w:vAlign w:val="bottom"/>
          </w:tcPr>
          <w:p>
            <w:pPr>
              <w:ind w:left="180"/>
              <w:spacing w:after="0"/>
              <w:rPr>
                <w:sz w:val="20"/>
                <w:szCs w:val="20"/>
                <w:color w:val="auto"/>
              </w:rPr>
            </w:pPr>
            <w:r>
              <w:rPr>
                <w:rFonts w:ascii="Arial" w:cs="Arial" w:eastAsia="Arial" w:hAnsi="Arial"/>
                <w:sz w:val="18"/>
                <w:szCs w:val="18"/>
                <w:color w:val="auto"/>
              </w:rPr>
              <w:t>Fair value of plan assets at end of year</w:t>
            </w:r>
          </w:p>
        </w:tc>
        <w:tc>
          <w:tcPr>
            <w:tcW w:w="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20" w:type="dxa"/>
            <w:vAlign w:val="bottom"/>
          </w:tcPr>
          <w:p>
            <w:pPr>
              <w:jc w:val="right"/>
              <w:ind w:right="52"/>
              <w:spacing w:after="0"/>
              <w:rPr>
                <w:sz w:val="20"/>
                <w:szCs w:val="20"/>
                <w:color w:val="auto"/>
              </w:rPr>
            </w:pPr>
            <w:r>
              <w:rPr>
                <w:rFonts w:ascii="Arial" w:cs="Arial" w:eastAsia="Arial" w:hAnsi="Arial"/>
                <w:sz w:val="18"/>
                <w:szCs w:val="18"/>
                <w:b w:val="1"/>
                <w:bCs w:val="1"/>
                <w:color w:val="auto"/>
              </w:rPr>
              <w:t>9,995.6</w:t>
            </w:r>
          </w:p>
        </w:tc>
        <w:tc>
          <w:tcPr>
            <w:tcW w:w="520" w:type="dxa"/>
            <w:vAlign w:val="bottom"/>
          </w:tcPr>
          <w:p>
            <w:pPr>
              <w:spacing w:after="0"/>
              <w:rPr>
                <w:sz w:val="22"/>
                <w:szCs w:val="22"/>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9,835.7</w:t>
            </w:r>
          </w:p>
        </w:tc>
        <w:tc>
          <w:tcPr>
            <w:tcW w:w="360" w:type="dxa"/>
            <w:vAlign w:val="bottom"/>
          </w:tcPr>
          <w:p>
            <w:pPr>
              <w:spacing w:after="0"/>
              <w:rPr>
                <w:sz w:val="22"/>
                <w:szCs w:val="22"/>
                <w:color w:val="auto"/>
              </w:rPr>
            </w:pPr>
          </w:p>
        </w:tc>
        <w:tc>
          <w:tcPr>
            <w:tcW w:w="1020" w:type="dxa"/>
            <w:vAlign w:val="bottom"/>
          </w:tcPr>
          <w:p>
            <w:pPr>
              <w:jc w:val="right"/>
              <w:ind w:right="52"/>
              <w:spacing w:after="0"/>
              <w:rPr>
                <w:sz w:val="20"/>
                <w:szCs w:val="20"/>
                <w:color w:val="auto"/>
              </w:rPr>
            </w:pPr>
            <w:r>
              <w:rPr>
                <w:rFonts w:ascii="Arial" w:cs="Arial" w:eastAsia="Arial" w:hAnsi="Arial"/>
                <w:sz w:val="18"/>
                <w:szCs w:val="18"/>
                <w:b w:val="1"/>
                <w:bCs w:val="1"/>
                <w:color w:val="auto"/>
              </w:rPr>
              <w:t>1,943.7</w:t>
            </w:r>
          </w:p>
        </w:tc>
        <w:tc>
          <w:tcPr>
            <w:tcW w:w="500" w:type="dxa"/>
            <w:vAlign w:val="bottom"/>
          </w:tcPr>
          <w:p>
            <w:pPr>
              <w:spacing w:after="0"/>
              <w:rPr>
                <w:sz w:val="22"/>
                <w:szCs w:val="22"/>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1,918.7</w:t>
            </w:r>
          </w:p>
        </w:tc>
      </w:tr>
      <w:tr>
        <w:trPr>
          <w:trHeight w:val="137"/>
        </w:trPr>
        <w:tc>
          <w:tcPr>
            <w:tcW w:w="6020" w:type="dxa"/>
            <w:vAlign w:val="bottom"/>
            <w:tcBorders>
              <w:bottom w:val="single" w:sz="8" w:color="D8D8D8"/>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r>
      <w:tr>
        <w:trPr>
          <w:trHeight w:val="264"/>
        </w:trPr>
        <w:tc>
          <w:tcPr>
            <w:tcW w:w="6020" w:type="dxa"/>
            <w:vAlign w:val="bottom"/>
            <w:shd w:val="clear" w:color="auto" w:fill="D8D8D8"/>
          </w:tcPr>
          <w:p>
            <w:pPr>
              <w:ind w:left="40"/>
              <w:spacing w:after="0"/>
              <w:rPr>
                <w:sz w:val="20"/>
                <w:szCs w:val="20"/>
                <w:color w:val="auto"/>
              </w:rPr>
            </w:pPr>
            <w:r>
              <w:rPr>
                <w:rFonts w:ascii="Arial" w:cs="Arial" w:eastAsia="Arial" w:hAnsi="Arial"/>
                <w:sz w:val="18"/>
                <w:szCs w:val="18"/>
                <w:color w:val="auto"/>
              </w:rPr>
              <w:t>Funded status</w:t>
            </w:r>
          </w:p>
        </w:tc>
        <w:tc>
          <w:tcPr>
            <w:tcW w:w="40" w:type="dxa"/>
            <w:vAlign w:val="bottom"/>
            <w:shd w:val="clear" w:color="auto" w:fill="D8D8D8"/>
          </w:tcPr>
          <w:p>
            <w:pPr>
              <w:spacing w:after="0"/>
              <w:rPr>
                <w:sz w:val="22"/>
                <w:szCs w:val="22"/>
                <w:color w:val="auto"/>
              </w:rPr>
            </w:pPr>
          </w:p>
        </w:tc>
        <w:tc>
          <w:tcPr>
            <w:tcW w:w="260" w:type="dxa"/>
            <w:vAlign w:val="bottom"/>
            <w:shd w:val="clear" w:color="auto" w:fill="D8D8D8"/>
          </w:tcPr>
          <w:p>
            <w:pPr>
              <w:spacing w:after="0"/>
              <w:rPr>
                <w:sz w:val="22"/>
                <w:szCs w:val="22"/>
                <w:color w:val="auto"/>
              </w:rPr>
            </w:pPr>
          </w:p>
        </w:tc>
        <w:tc>
          <w:tcPr>
            <w:tcW w:w="1020" w:type="dxa"/>
            <w:vAlign w:val="bottom"/>
            <w:shd w:val="clear" w:color="auto" w:fill="D8D8D8"/>
          </w:tcPr>
          <w:p>
            <w:pPr>
              <w:jc w:val="right"/>
              <w:ind w:right="12"/>
              <w:spacing w:after="0"/>
              <w:rPr>
                <w:sz w:val="20"/>
                <w:szCs w:val="20"/>
                <w:color w:val="auto"/>
              </w:rPr>
            </w:pPr>
            <w:r>
              <w:rPr>
                <w:rFonts w:ascii="Arial" w:cs="Arial" w:eastAsia="Arial" w:hAnsi="Arial"/>
                <w:sz w:val="18"/>
                <w:szCs w:val="18"/>
                <w:b w:val="1"/>
                <w:bCs w:val="1"/>
                <w:color w:val="auto"/>
              </w:rPr>
              <w:t>(1,723.6)</w:t>
            </w:r>
          </w:p>
        </w:tc>
        <w:tc>
          <w:tcPr>
            <w:tcW w:w="520" w:type="dxa"/>
            <w:vAlign w:val="bottom"/>
            <w:shd w:val="clear" w:color="auto" w:fill="D8D8D8"/>
          </w:tcPr>
          <w:p>
            <w:pPr>
              <w:spacing w:after="0"/>
              <w:rPr>
                <w:sz w:val="22"/>
                <w:szCs w:val="22"/>
                <w:color w:val="auto"/>
              </w:rPr>
            </w:pPr>
          </w:p>
        </w:tc>
        <w:tc>
          <w:tcPr>
            <w:tcW w:w="860" w:type="dxa"/>
            <w:vAlign w:val="bottom"/>
            <w:shd w:val="clear" w:color="auto" w:fill="D8D8D8"/>
          </w:tcPr>
          <w:p>
            <w:pPr>
              <w:jc w:val="right"/>
              <w:ind w:right="11"/>
              <w:spacing w:after="0"/>
              <w:rPr>
                <w:sz w:val="20"/>
                <w:szCs w:val="20"/>
                <w:color w:val="auto"/>
              </w:rPr>
            </w:pPr>
            <w:r>
              <w:rPr>
                <w:rFonts w:ascii="Arial" w:cs="Arial" w:eastAsia="Arial" w:hAnsi="Arial"/>
                <w:sz w:val="18"/>
                <w:szCs w:val="18"/>
                <w:color w:val="auto"/>
              </w:rPr>
              <w:t>(2,176.7)</w:t>
            </w:r>
          </w:p>
        </w:tc>
        <w:tc>
          <w:tcPr>
            <w:tcW w:w="360" w:type="dxa"/>
            <w:vAlign w:val="bottom"/>
            <w:shd w:val="clear" w:color="auto" w:fill="D8D8D8"/>
          </w:tcPr>
          <w:p>
            <w:pPr>
              <w:spacing w:after="0"/>
              <w:rPr>
                <w:sz w:val="22"/>
                <w:szCs w:val="22"/>
                <w:color w:val="auto"/>
              </w:rPr>
            </w:pPr>
          </w:p>
        </w:tc>
        <w:tc>
          <w:tcPr>
            <w:tcW w:w="1020" w:type="dxa"/>
            <w:vAlign w:val="bottom"/>
            <w:shd w:val="clear" w:color="auto" w:fill="D8D8D8"/>
          </w:tcPr>
          <w:p>
            <w:pPr>
              <w:jc w:val="right"/>
              <w:ind w:right="72"/>
              <w:spacing w:after="0"/>
              <w:rPr>
                <w:sz w:val="20"/>
                <w:szCs w:val="20"/>
                <w:color w:val="auto"/>
              </w:rPr>
            </w:pPr>
            <w:r>
              <w:rPr>
                <w:rFonts w:ascii="Arial" w:cs="Arial" w:eastAsia="Arial" w:hAnsi="Arial"/>
                <w:sz w:val="18"/>
                <w:szCs w:val="18"/>
                <w:b w:val="1"/>
                <w:bCs w:val="1"/>
                <w:color w:val="auto"/>
              </w:rPr>
              <w:t>476.3</w:t>
            </w:r>
          </w:p>
        </w:tc>
        <w:tc>
          <w:tcPr>
            <w:tcW w:w="500" w:type="dxa"/>
            <w:vAlign w:val="bottom"/>
            <w:shd w:val="clear" w:color="auto" w:fill="D8D8D8"/>
          </w:tcPr>
          <w:p>
            <w:pPr>
              <w:spacing w:after="0"/>
              <w:rPr>
                <w:sz w:val="22"/>
                <w:szCs w:val="22"/>
                <w:color w:val="auto"/>
              </w:rPr>
            </w:pPr>
          </w:p>
        </w:tc>
        <w:tc>
          <w:tcPr>
            <w:tcW w:w="820" w:type="dxa"/>
            <w:vAlign w:val="bottom"/>
            <w:shd w:val="clear" w:color="auto" w:fill="D8D8D8"/>
          </w:tcPr>
          <w:p>
            <w:pPr>
              <w:jc w:val="right"/>
              <w:ind w:right="11"/>
              <w:spacing w:after="0"/>
              <w:rPr>
                <w:sz w:val="20"/>
                <w:szCs w:val="20"/>
                <w:color w:val="auto"/>
              </w:rPr>
            </w:pPr>
            <w:r>
              <w:rPr>
                <w:rFonts w:ascii="Arial" w:cs="Arial" w:eastAsia="Arial" w:hAnsi="Arial"/>
                <w:sz w:val="18"/>
                <w:szCs w:val="18"/>
                <w:color w:val="auto"/>
              </w:rPr>
              <w:t>365.2</w:t>
            </w:r>
          </w:p>
        </w:tc>
      </w:tr>
      <w:tr>
        <w:trPr>
          <w:trHeight w:val="269"/>
        </w:trPr>
        <w:tc>
          <w:tcPr>
            <w:tcW w:w="6020" w:type="dxa"/>
            <w:vAlign w:val="bottom"/>
          </w:tcPr>
          <w:p>
            <w:pPr>
              <w:ind w:left="40"/>
              <w:spacing w:after="0"/>
              <w:rPr>
                <w:sz w:val="20"/>
                <w:szCs w:val="20"/>
                <w:color w:val="auto"/>
              </w:rPr>
            </w:pPr>
            <w:r>
              <w:rPr>
                <w:rFonts w:ascii="Arial" w:cs="Arial" w:eastAsia="Arial" w:hAnsi="Arial"/>
                <w:sz w:val="18"/>
                <w:szCs w:val="18"/>
                <w:color w:val="auto"/>
              </w:rPr>
              <w:t>Unrecognized net actuarial loss</w:t>
            </w: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20" w:type="dxa"/>
            <w:vAlign w:val="bottom"/>
          </w:tcPr>
          <w:p>
            <w:pPr>
              <w:jc w:val="right"/>
              <w:ind w:right="72"/>
              <w:spacing w:after="0"/>
              <w:rPr>
                <w:sz w:val="20"/>
                <w:szCs w:val="20"/>
                <w:color w:val="auto"/>
              </w:rPr>
            </w:pPr>
            <w:r>
              <w:rPr>
                <w:rFonts w:ascii="Arial" w:cs="Arial" w:eastAsia="Arial" w:hAnsi="Arial"/>
                <w:sz w:val="18"/>
                <w:szCs w:val="18"/>
                <w:b w:val="1"/>
                <w:bCs w:val="1"/>
                <w:color w:val="auto"/>
              </w:rPr>
              <w:t>4,552.7</w:t>
            </w:r>
          </w:p>
        </w:tc>
        <w:tc>
          <w:tcPr>
            <w:tcW w:w="520" w:type="dxa"/>
            <w:vAlign w:val="bottom"/>
          </w:tcPr>
          <w:p>
            <w:pPr>
              <w:spacing w:after="0"/>
              <w:rPr>
                <w:sz w:val="23"/>
                <w:szCs w:val="23"/>
                <w:color w:val="auto"/>
              </w:rPr>
            </w:pPr>
          </w:p>
        </w:tc>
        <w:tc>
          <w:tcPr>
            <w:tcW w:w="860" w:type="dxa"/>
            <w:vAlign w:val="bottom"/>
          </w:tcPr>
          <w:p>
            <w:pPr>
              <w:jc w:val="right"/>
              <w:ind w:right="71"/>
              <w:spacing w:after="0"/>
              <w:rPr>
                <w:sz w:val="20"/>
                <w:szCs w:val="20"/>
                <w:color w:val="auto"/>
              </w:rPr>
            </w:pPr>
            <w:r>
              <w:rPr>
                <w:rFonts w:ascii="Arial" w:cs="Arial" w:eastAsia="Arial" w:hAnsi="Arial"/>
                <w:sz w:val="18"/>
                <w:szCs w:val="18"/>
                <w:color w:val="auto"/>
              </w:rPr>
              <w:t>5,114.9</w:t>
            </w:r>
          </w:p>
        </w:tc>
        <w:tc>
          <w:tcPr>
            <w:tcW w:w="360" w:type="dxa"/>
            <w:vAlign w:val="bottom"/>
          </w:tcPr>
          <w:p>
            <w:pPr>
              <w:spacing w:after="0"/>
              <w:rPr>
                <w:sz w:val="23"/>
                <w:szCs w:val="23"/>
                <w:color w:val="auto"/>
              </w:rPr>
            </w:pPr>
          </w:p>
        </w:tc>
        <w:tc>
          <w:tcPr>
            <w:tcW w:w="1020" w:type="dxa"/>
            <w:vAlign w:val="bottom"/>
          </w:tcPr>
          <w:p>
            <w:pPr>
              <w:jc w:val="right"/>
              <w:ind w:right="72"/>
              <w:spacing w:after="0"/>
              <w:rPr>
                <w:sz w:val="20"/>
                <w:szCs w:val="20"/>
                <w:color w:val="auto"/>
              </w:rPr>
            </w:pPr>
            <w:r>
              <w:rPr>
                <w:rFonts w:ascii="Arial" w:cs="Arial" w:eastAsia="Arial" w:hAnsi="Arial"/>
                <w:sz w:val="18"/>
                <w:szCs w:val="18"/>
                <w:b w:val="1"/>
                <w:bCs w:val="1"/>
                <w:color w:val="auto"/>
              </w:rPr>
              <w:t>347.9</w:t>
            </w:r>
          </w:p>
        </w:tc>
        <w:tc>
          <w:tcPr>
            <w:tcW w:w="500" w:type="dxa"/>
            <w:vAlign w:val="bottom"/>
          </w:tcPr>
          <w:p>
            <w:pPr>
              <w:spacing w:after="0"/>
              <w:rPr>
                <w:sz w:val="23"/>
                <w:szCs w:val="23"/>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439.5</w:t>
            </w:r>
          </w:p>
        </w:tc>
      </w:tr>
      <w:tr>
        <w:trPr>
          <w:trHeight w:val="271"/>
        </w:trPr>
        <w:tc>
          <w:tcPr>
            <w:tcW w:w="6020" w:type="dxa"/>
            <w:vAlign w:val="bottom"/>
            <w:shd w:val="clear" w:color="auto" w:fill="D8D8D8"/>
          </w:tcPr>
          <w:p>
            <w:pPr>
              <w:ind w:left="40"/>
              <w:spacing w:after="0"/>
              <w:rPr>
                <w:sz w:val="20"/>
                <w:szCs w:val="20"/>
                <w:color w:val="auto"/>
              </w:rPr>
            </w:pPr>
            <w:r>
              <w:rPr>
                <w:rFonts w:ascii="Arial" w:cs="Arial" w:eastAsia="Arial" w:hAnsi="Arial"/>
                <w:sz w:val="18"/>
                <w:szCs w:val="18"/>
                <w:color w:val="auto"/>
              </w:rPr>
              <w:t>Unrecognized prior service (benefit) cost</w:t>
            </w:r>
          </w:p>
        </w:tc>
        <w:tc>
          <w:tcPr>
            <w:tcW w:w="40" w:type="dxa"/>
            <w:vAlign w:val="bottom"/>
            <w:tcBorders>
              <w:bottom w:val="single" w:sz="8" w:color="auto"/>
            </w:tcBorders>
            <w:shd w:val="clear" w:color="auto" w:fill="D8D8D8"/>
          </w:tcPr>
          <w:p>
            <w:pPr>
              <w:spacing w:after="0"/>
              <w:rPr>
                <w:sz w:val="23"/>
                <w:szCs w:val="23"/>
                <w:color w:val="auto"/>
              </w:rPr>
            </w:pPr>
          </w:p>
        </w:tc>
        <w:tc>
          <w:tcPr>
            <w:tcW w:w="260" w:type="dxa"/>
            <w:vAlign w:val="bottom"/>
            <w:tcBorders>
              <w:bottom w:val="single" w:sz="8" w:color="auto"/>
            </w:tcBorders>
            <w:shd w:val="clear" w:color="auto" w:fill="D8D8D8"/>
          </w:tcPr>
          <w:p>
            <w:pPr>
              <w:spacing w:after="0"/>
              <w:rPr>
                <w:sz w:val="23"/>
                <w:szCs w:val="23"/>
                <w:color w:val="auto"/>
              </w:rPr>
            </w:pPr>
          </w:p>
        </w:tc>
        <w:tc>
          <w:tcPr>
            <w:tcW w:w="1020" w:type="dxa"/>
            <w:vAlign w:val="bottom"/>
            <w:tcBorders>
              <w:bottom w:val="single" w:sz="8" w:color="auto"/>
            </w:tcBorders>
            <w:shd w:val="clear" w:color="auto" w:fill="D8D8D8"/>
          </w:tcPr>
          <w:p>
            <w:pPr>
              <w:jc w:val="right"/>
              <w:ind w:right="72"/>
              <w:spacing w:after="0"/>
              <w:rPr>
                <w:sz w:val="20"/>
                <w:szCs w:val="20"/>
                <w:color w:val="auto"/>
              </w:rPr>
            </w:pPr>
            <w:r>
              <w:rPr>
                <w:rFonts w:ascii="Arial" w:cs="Arial" w:eastAsia="Arial" w:hAnsi="Arial"/>
                <w:sz w:val="18"/>
                <w:szCs w:val="18"/>
                <w:b w:val="1"/>
                <w:bCs w:val="1"/>
                <w:color w:val="auto"/>
              </w:rPr>
              <w:t>32.5</w:t>
            </w:r>
          </w:p>
        </w:tc>
        <w:tc>
          <w:tcPr>
            <w:tcW w:w="520" w:type="dxa"/>
            <w:vAlign w:val="bottom"/>
            <w:tcBorders>
              <w:bottom w:val="single" w:sz="8" w:color="auto"/>
            </w:tcBorders>
            <w:shd w:val="clear" w:color="auto" w:fill="D8D8D8"/>
          </w:tcPr>
          <w:p>
            <w:pPr>
              <w:spacing w:after="0"/>
              <w:rPr>
                <w:sz w:val="23"/>
                <w:szCs w:val="23"/>
                <w:color w:val="auto"/>
              </w:rPr>
            </w:pPr>
          </w:p>
        </w:tc>
        <w:tc>
          <w:tcPr>
            <w:tcW w:w="860" w:type="dxa"/>
            <w:vAlign w:val="bottom"/>
            <w:tcBorders>
              <w:bottom w:val="single" w:sz="8" w:color="auto"/>
            </w:tcBorders>
            <w:shd w:val="clear" w:color="auto" w:fill="D8D8D8"/>
          </w:tcPr>
          <w:p>
            <w:pPr>
              <w:jc w:val="right"/>
              <w:ind w:right="71"/>
              <w:spacing w:after="0"/>
              <w:rPr>
                <w:sz w:val="20"/>
                <w:szCs w:val="20"/>
                <w:color w:val="auto"/>
              </w:rPr>
            </w:pPr>
            <w:r>
              <w:rPr>
                <w:rFonts w:ascii="Arial" w:cs="Arial" w:eastAsia="Arial" w:hAnsi="Arial"/>
                <w:sz w:val="18"/>
                <w:szCs w:val="18"/>
                <w:color w:val="auto"/>
              </w:rPr>
              <w:t>43.5</w:t>
            </w:r>
          </w:p>
        </w:tc>
        <w:tc>
          <w:tcPr>
            <w:tcW w:w="360" w:type="dxa"/>
            <w:vAlign w:val="bottom"/>
            <w:tcBorders>
              <w:bottom w:val="single" w:sz="8" w:color="auto"/>
            </w:tcBorders>
            <w:shd w:val="clear" w:color="auto" w:fill="D8D8D8"/>
          </w:tcPr>
          <w:p>
            <w:pPr>
              <w:spacing w:after="0"/>
              <w:rPr>
                <w:sz w:val="23"/>
                <w:szCs w:val="23"/>
                <w:color w:val="auto"/>
              </w:rPr>
            </w:pPr>
          </w:p>
        </w:tc>
        <w:tc>
          <w:tcPr>
            <w:tcW w:w="1020" w:type="dxa"/>
            <w:vAlign w:val="bottom"/>
            <w:tcBorders>
              <w:bottom w:val="single" w:sz="8" w:color="auto"/>
            </w:tcBorders>
            <w:shd w:val="clear" w:color="auto" w:fill="D8D8D8"/>
          </w:tcPr>
          <w:p>
            <w:pPr>
              <w:jc w:val="right"/>
              <w:ind w:right="12"/>
              <w:spacing w:after="0"/>
              <w:rPr>
                <w:sz w:val="20"/>
                <w:szCs w:val="20"/>
                <w:color w:val="auto"/>
              </w:rPr>
            </w:pPr>
            <w:r>
              <w:rPr>
                <w:rFonts w:ascii="Arial" w:cs="Arial" w:eastAsia="Arial" w:hAnsi="Arial"/>
                <w:sz w:val="18"/>
                <w:szCs w:val="18"/>
                <w:b w:val="1"/>
                <w:bCs w:val="1"/>
                <w:color w:val="auto"/>
              </w:rPr>
              <w:t>(574.8)</w:t>
            </w:r>
          </w:p>
        </w:tc>
        <w:tc>
          <w:tcPr>
            <w:tcW w:w="500" w:type="dxa"/>
            <w:vAlign w:val="bottom"/>
            <w:tcBorders>
              <w:bottom w:val="single" w:sz="8" w:color="auto"/>
            </w:tcBorders>
            <w:shd w:val="clear" w:color="auto" w:fill="D8D8D8"/>
          </w:tcPr>
          <w:p>
            <w:pPr>
              <w:spacing w:after="0"/>
              <w:rPr>
                <w:sz w:val="23"/>
                <w:szCs w:val="23"/>
                <w:color w:val="auto"/>
              </w:rPr>
            </w:pPr>
          </w:p>
        </w:tc>
        <w:tc>
          <w:tcPr>
            <w:tcW w:w="82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(666.7)</w:t>
            </w:r>
          </w:p>
        </w:tc>
      </w:tr>
      <w:tr>
        <w:trPr>
          <w:trHeight w:val="271"/>
        </w:trPr>
        <w:tc>
          <w:tcPr>
            <w:tcW w:w="6020" w:type="dxa"/>
            <w:vAlign w:val="bottom"/>
          </w:tcPr>
          <w:p>
            <w:pPr>
              <w:ind w:left="40"/>
              <w:spacing w:after="0"/>
              <w:rPr>
                <w:sz w:val="20"/>
                <w:szCs w:val="20"/>
                <w:color w:val="auto"/>
              </w:rPr>
            </w:pPr>
            <w:r>
              <w:rPr>
                <w:rFonts w:ascii="Arial" w:cs="Arial" w:eastAsia="Arial" w:hAnsi="Arial"/>
                <w:sz w:val="18"/>
                <w:szCs w:val="18"/>
                <w:color w:val="auto"/>
              </w:rPr>
              <w:t>Net amount recognized</w:t>
            </w:r>
          </w:p>
        </w:tc>
        <w:tc>
          <w:tcPr>
            <w:tcW w:w="30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2,861.6</w:t>
            </w:r>
          </w:p>
        </w:tc>
        <w:tc>
          <w:tcPr>
            <w:tcW w:w="5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2,981.7</w:t>
            </w:r>
          </w:p>
        </w:tc>
        <w:tc>
          <w:tcPr>
            <w:tcW w:w="3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249.4</w:t>
            </w:r>
          </w:p>
        </w:tc>
        <w:tc>
          <w:tcPr>
            <w:tcW w:w="5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138.0</w:t>
            </w:r>
          </w:p>
        </w:tc>
      </w:tr>
      <w:tr>
        <w:trPr>
          <w:trHeight w:val="135"/>
        </w:trPr>
        <w:tc>
          <w:tcPr>
            <w:tcW w:w="6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20" w:type="dxa"/>
            <w:vAlign w:val="bottom"/>
          </w:tcPr>
          <w:p>
            <w:pPr>
              <w:spacing w:after="0"/>
              <w:rPr>
                <w:sz w:val="11"/>
                <w:szCs w:val="11"/>
                <w:color w:val="auto"/>
              </w:rPr>
            </w:pPr>
          </w:p>
        </w:tc>
      </w:tr>
      <w:tr>
        <w:trPr>
          <w:trHeight w:val="250"/>
        </w:trPr>
        <w:tc>
          <w:tcPr>
            <w:tcW w:w="6020" w:type="dxa"/>
            <w:vAlign w:val="bottom"/>
            <w:tcBorders>
              <w:bottom w:val="single" w:sz="8" w:color="D8D8D8"/>
            </w:tcBorders>
            <w:shd w:val="clear" w:color="auto" w:fill="D8D8D8"/>
          </w:tcPr>
          <w:p>
            <w:pPr>
              <w:ind w:left="40"/>
              <w:spacing w:after="0"/>
              <w:rPr>
                <w:sz w:val="20"/>
                <w:szCs w:val="20"/>
                <w:color w:val="auto"/>
              </w:rPr>
            </w:pPr>
            <w:r>
              <w:rPr>
                <w:rFonts w:ascii="Arial" w:cs="Arial" w:eastAsia="Arial" w:hAnsi="Arial"/>
                <w:sz w:val="18"/>
                <w:szCs w:val="18"/>
                <w:color w:val="auto"/>
              </w:rPr>
              <w:t>Amounts recognized in the consolidated balance sheet consisted of:</w:t>
            </w:r>
          </w:p>
        </w:tc>
        <w:tc>
          <w:tcPr>
            <w:tcW w:w="40" w:type="dxa"/>
            <w:vAlign w:val="bottom"/>
            <w:tcBorders>
              <w:bottom w:val="single" w:sz="8" w:color="D8D8D8"/>
            </w:tcBorders>
            <w:shd w:val="clear" w:color="auto" w:fill="D8D8D8"/>
          </w:tcPr>
          <w:p>
            <w:pPr>
              <w:spacing w:after="0"/>
              <w:rPr>
                <w:sz w:val="21"/>
                <w:szCs w:val="21"/>
                <w:color w:val="auto"/>
              </w:rPr>
            </w:pPr>
          </w:p>
        </w:tc>
        <w:tc>
          <w:tcPr>
            <w:tcW w:w="260" w:type="dxa"/>
            <w:vAlign w:val="bottom"/>
            <w:tcBorders>
              <w:bottom w:val="single" w:sz="8" w:color="D8D8D8"/>
            </w:tcBorders>
            <w:shd w:val="clear" w:color="auto" w:fill="D8D8D8"/>
          </w:tcPr>
          <w:p>
            <w:pPr>
              <w:spacing w:after="0"/>
              <w:rPr>
                <w:sz w:val="21"/>
                <w:szCs w:val="21"/>
                <w:color w:val="auto"/>
              </w:rPr>
            </w:pPr>
          </w:p>
        </w:tc>
        <w:tc>
          <w:tcPr>
            <w:tcW w:w="1020" w:type="dxa"/>
            <w:vAlign w:val="bottom"/>
            <w:tcBorders>
              <w:bottom w:val="single" w:sz="8" w:color="D8D8D8"/>
            </w:tcBorders>
            <w:shd w:val="clear" w:color="auto" w:fill="D8D8D8"/>
          </w:tcPr>
          <w:p>
            <w:pPr>
              <w:spacing w:after="0"/>
              <w:rPr>
                <w:sz w:val="21"/>
                <w:szCs w:val="21"/>
                <w:color w:val="auto"/>
              </w:rPr>
            </w:pPr>
          </w:p>
        </w:tc>
        <w:tc>
          <w:tcPr>
            <w:tcW w:w="520" w:type="dxa"/>
            <w:vAlign w:val="bottom"/>
            <w:tcBorders>
              <w:bottom w:val="single" w:sz="8" w:color="D8D8D8"/>
            </w:tcBorders>
            <w:shd w:val="clear" w:color="auto" w:fill="D8D8D8"/>
          </w:tcPr>
          <w:p>
            <w:pPr>
              <w:spacing w:after="0"/>
              <w:rPr>
                <w:sz w:val="21"/>
                <w:szCs w:val="21"/>
                <w:color w:val="auto"/>
              </w:rPr>
            </w:pPr>
          </w:p>
        </w:tc>
        <w:tc>
          <w:tcPr>
            <w:tcW w:w="860" w:type="dxa"/>
            <w:vAlign w:val="bottom"/>
            <w:tcBorders>
              <w:bottom w:val="single" w:sz="8" w:color="D8D8D8"/>
            </w:tcBorders>
            <w:shd w:val="clear" w:color="auto" w:fill="D8D8D8"/>
          </w:tcPr>
          <w:p>
            <w:pPr>
              <w:spacing w:after="0"/>
              <w:rPr>
                <w:sz w:val="21"/>
                <w:szCs w:val="21"/>
                <w:color w:val="auto"/>
              </w:rPr>
            </w:pPr>
          </w:p>
        </w:tc>
        <w:tc>
          <w:tcPr>
            <w:tcW w:w="360" w:type="dxa"/>
            <w:vAlign w:val="bottom"/>
            <w:tcBorders>
              <w:bottom w:val="single" w:sz="8" w:color="D8D8D8"/>
            </w:tcBorders>
            <w:shd w:val="clear" w:color="auto" w:fill="D8D8D8"/>
          </w:tcPr>
          <w:p>
            <w:pPr>
              <w:spacing w:after="0"/>
              <w:rPr>
                <w:sz w:val="21"/>
                <w:szCs w:val="21"/>
                <w:color w:val="auto"/>
              </w:rPr>
            </w:pPr>
          </w:p>
        </w:tc>
        <w:tc>
          <w:tcPr>
            <w:tcW w:w="1020" w:type="dxa"/>
            <w:vAlign w:val="bottom"/>
            <w:tcBorders>
              <w:bottom w:val="single" w:sz="8" w:color="D8D8D8"/>
            </w:tcBorders>
            <w:shd w:val="clear" w:color="auto" w:fill="D8D8D8"/>
          </w:tcPr>
          <w:p>
            <w:pPr>
              <w:spacing w:after="0"/>
              <w:rPr>
                <w:sz w:val="21"/>
                <w:szCs w:val="21"/>
                <w:color w:val="auto"/>
              </w:rPr>
            </w:pPr>
          </w:p>
        </w:tc>
        <w:tc>
          <w:tcPr>
            <w:tcW w:w="500" w:type="dxa"/>
            <w:vAlign w:val="bottom"/>
            <w:tcBorders>
              <w:bottom w:val="single" w:sz="8" w:color="D8D8D8"/>
            </w:tcBorders>
            <w:shd w:val="clear" w:color="auto" w:fill="D8D8D8"/>
          </w:tcPr>
          <w:p>
            <w:pPr>
              <w:spacing w:after="0"/>
              <w:rPr>
                <w:sz w:val="21"/>
                <w:szCs w:val="21"/>
                <w:color w:val="auto"/>
              </w:rPr>
            </w:pPr>
          </w:p>
        </w:tc>
        <w:tc>
          <w:tcPr>
            <w:tcW w:w="820" w:type="dxa"/>
            <w:vAlign w:val="bottom"/>
            <w:tcBorders>
              <w:bottom w:val="single" w:sz="8" w:color="D8D8D8"/>
            </w:tcBorders>
            <w:shd w:val="clear" w:color="auto" w:fill="D8D8D8"/>
          </w:tcPr>
          <w:p>
            <w:pPr>
              <w:spacing w:after="0"/>
              <w:rPr>
                <w:sz w:val="21"/>
                <w:szCs w:val="21"/>
                <w:color w:val="auto"/>
              </w:rPr>
            </w:pPr>
          </w:p>
        </w:tc>
      </w:tr>
      <w:tr>
        <w:trPr>
          <w:trHeight w:val="269"/>
        </w:trPr>
        <w:tc>
          <w:tcPr>
            <w:tcW w:w="6020" w:type="dxa"/>
            <w:vAlign w:val="bottom"/>
          </w:tcPr>
          <w:p>
            <w:pPr>
              <w:ind w:left="180"/>
              <w:spacing w:after="0"/>
              <w:rPr>
                <w:sz w:val="20"/>
                <w:szCs w:val="20"/>
                <w:color w:val="auto"/>
              </w:rPr>
            </w:pPr>
            <w:r>
              <w:rPr>
                <w:rFonts w:ascii="Arial" w:cs="Arial" w:eastAsia="Arial" w:hAnsi="Arial"/>
                <w:sz w:val="18"/>
                <w:szCs w:val="18"/>
                <w:color w:val="auto"/>
              </w:rPr>
              <w:t>Sundry</w:t>
            </w:r>
          </w:p>
        </w:tc>
        <w:tc>
          <w:tcPr>
            <w:tcW w:w="3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Pr>
          <w:p>
            <w:pPr>
              <w:jc w:val="right"/>
              <w:ind w:right="72"/>
              <w:spacing w:after="0"/>
              <w:rPr>
                <w:sz w:val="20"/>
                <w:szCs w:val="20"/>
                <w:color w:val="auto"/>
              </w:rPr>
            </w:pPr>
            <w:r>
              <w:rPr>
                <w:rFonts w:ascii="Arial" w:cs="Arial" w:eastAsia="Arial" w:hAnsi="Arial"/>
                <w:sz w:val="18"/>
                <w:szCs w:val="18"/>
                <w:b w:val="1"/>
                <w:bCs w:val="1"/>
                <w:color w:val="auto"/>
              </w:rPr>
              <w:t>261.6</w:t>
            </w:r>
          </w:p>
        </w:tc>
        <w:tc>
          <w:tcPr>
            <w:tcW w:w="52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71"/>
              <w:spacing w:after="0"/>
              <w:rPr>
                <w:sz w:val="20"/>
                <w:szCs w:val="20"/>
                <w:color w:val="auto"/>
              </w:rPr>
            </w:pPr>
            <w:r>
              <w:rPr>
                <w:rFonts w:ascii="Arial" w:cs="Arial" w:eastAsia="Arial" w:hAnsi="Arial"/>
                <w:sz w:val="18"/>
                <w:szCs w:val="18"/>
                <w:color w:val="auto"/>
              </w:rPr>
              <w:t>211.2</w:t>
            </w:r>
          </w:p>
        </w:tc>
        <w:tc>
          <w:tcPr>
            <w:tcW w:w="360" w:type="dxa"/>
            <w:vAlign w:val="bottom"/>
          </w:tcPr>
          <w:p>
            <w:pPr>
              <w:jc w:val="right"/>
              <w:ind w:right="9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72"/>
              <w:spacing w:after="0"/>
              <w:rPr>
                <w:sz w:val="20"/>
                <w:szCs w:val="20"/>
                <w:color w:val="auto"/>
              </w:rPr>
            </w:pPr>
            <w:r>
              <w:rPr>
                <w:rFonts w:ascii="Arial" w:cs="Arial" w:eastAsia="Arial" w:hAnsi="Arial"/>
                <w:sz w:val="18"/>
                <w:szCs w:val="18"/>
                <w:b w:val="1"/>
                <w:bCs w:val="1"/>
                <w:color w:val="auto"/>
              </w:rPr>
              <w:t>722.1</w:t>
            </w:r>
          </w:p>
        </w:tc>
        <w:tc>
          <w:tcPr>
            <w:tcW w:w="5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609.4</w:t>
            </w:r>
          </w:p>
        </w:tc>
      </w:tr>
      <w:tr>
        <w:trPr>
          <w:trHeight w:val="271"/>
        </w:trPr>
        <w:tc>
          <w:tcPr>
            <w:tcW w:w="6020" w:type="dxa"/>
            <w:vAlign w:val="bottom"/>
            <w:shd w:val="clear" w:color="auto" w:fill="D8D8D8"/>
          </w:tcPr>
          <w:p>
            <w:pPr>
              <w:ind w:left="180"/>
              <w:spacing w:after="0"/>
              <w:rPr>
                <w:sz w:val="20"/>
                <w:szCs w:val="20"/>
                <w:color w:val="auto"/>
              </w:rPr>
            </w:pPr>
            <w:r>
              <w:rPr>
                <w:rFonts w:ascii="Arial" w:cs="Arial" w:eastAsia="Arial" w:hAnsi="Arial"/>
                <w:sz w:val="18"/>
                <w:szCs w:val="18"/>
                <w:color w:val="auto"/>
              </w:rPr>
              <w:t>Other current liabilities</w:t>
            </w:r>
          </w:p>
        </w:tc>
        <w:tc>
          <w:tcPr>
            <w:tcW w:w="40" w:type="dxa"/>
            <w:vAlign w:val="bottom"/>
            <w:shd w:val="clear" w:color="auto" w:fill="D8D8D8"/>
          </w:tcPr>
          <w:p>
            <w:pPr>
              <w:spacing w:after="0"/>
              <w:rPr>
                <w:sz w:val="23"/>
                <w:szCs w:val="23"/>
                <w:color w:val="auto"/>
              </w:rPr>
            </w:pPr>
          </w:p>
        </w:tc>
        <w:tc>
          <w:tcPr>
            <w:tcW w:w="260" w:type="dxa"/>
            <w:vAlign w:val="bottom"/>
            <w:shd w:val="clear" w:color="auto" w:fill="D8D8D8"/>
          </w:tcPr>
          <w:p>
            <w:pPr>
              <w:spacing w:after="0"/>
              <w:rPr>
                <w:sz w:val="23"/>
                <w:szCs w:val="23"/>
                <w:color w:val="auto"/>
              </w:rPr>
            </w:pPr>
          </w:p>
        </w:tc>
        <w:tc>
          <w:tcPr>
            <w:tcW w:w="1020" w:type="dxa"/>
            <w:vAlign w:val="bottom"/>
            <w:shd w:val="clear" w:color="auto" w:fill="D8D8D8"/>
          </w:tcPr>
          <w:p>
            <w:pPr>
              <w:jc w:val="right"/>
              <w:ind w:right="12"/>
              <w:spacing w:after="0"/>
              <w:rPr>
                <w:sz w:val="20"/>
                <w:szCs w:val="20"/>
                <w:color w:val="auto"/>
              </w:rPr>
            </w:pPr>
            <w:r>
              <w:rPr>
                <w:rFonts w:ascii="Arial" w:cs="Arial" w:eastAsia="Arial" w:hAnsi="Arial"/>
                <w:sz w:val="18"/>
                <w:szCs w:val="18"/>
                <w:b w:val="1"/>
                <w:bCs w:val="1"/>
                <w:color w:val="auto"/>
              </w:rPr>
              <w:t>(63.8)</w:t>
            </w:r>
          </w:p>
        </w:tc>
        <w:tc>
          <w:tcPr>
            <w:tcW w:w="520" w:type="dxa"/>
            <w:vAlign w:val="bottom"/>
            <w:shd w:val="clear" w:color="auto" w:fill="D8D8D8"/>
          </w:tcPr>
          <w:p>
            <w:pPr>
              <w:spacing w:after="0"/>
              <w:rPr>
                <w:sz w:val="23"/>
                <w:szCs w:val="23"/>
                <w:color w:val="auto"/>
              </w:rPr>
            </w:pPr>
          </w:p>
        </w:tc>
        <w:tc>
          <w:tcPr>
            <w:tcW w:w="860" w:type="dxa"/>
            <w:vAlign w:val="bottom"/>
            <w:shd w:val="clear" w:color="auto" w:fill="D8D8D8"/>
          </w:tcPr>
          <w:p>
            <w:pPr>
              <w:jc w:val="right"/>
              <w:ind w:right="11"/>
              <w:spacing w:after="0"/>
              <w:rPr>
                <w:sz w:val="20"/>
                <w:szCs w:val="20"/>
                <w:color w:val="auto"/>
              </w:rPr>
            </w:pPr>
            <w:r>
              <w:rPr>
                <w:rFonts w:ascii="Arial" w:cs="Arial" w:eastAsia="Arial" w:hAnsi="Arial"/>
                <w:sz w:val="18"/>
                <w:szCs w:val="18"/>
                <w:color w:val="auto"/>
              </w:rPr>
              <w:t>(62.3)</w:t>
            </w:r>
          </w:p>
        </w:tc>
        <w:tc>
          <w:tcPr>
            <w:tcW w:w="360" w:type="dxa"/>
            <w:vAlign w:val="bottom"/>
            <w:shd w:val="clear" w:color="auto" w:fill="D8D8D8"/>
          </w:tcPr>
          <w:p>
            <w:pPr>
              <w:spacing w:after="0"/>
              <w:rPr>
                <w:sz w:val="23"/>
                <w:szCs w:val="23"/>
                <w:color w:val="auto"/>
              </w:rPr>
            </w:pPr>
          </w:p>
        </w:tc>
        <w:tc>
          <w:tcPr>
            <w:tcW w:w="1020" w:type="dxa"/>
            <w:vAlign w:val="bottom"/>
            <w:shd w:val="clear" w:color="auto" w:fill="D8D8D8"/>
          </w:tcPr>
          <w:p>
            <w:pPr>
              <w:jc w:val="right"/>
              <w:ind w:right="12"/>
              <w:spacing w:after="0"/>
              <w:rPr>
                <w:sz w:val="20"/>
                <w:szCs w:val="20"/>
                <w:color w:val="auto"/>
              </w:rPr>
            </w:pPr>
            <w:r>
              <w:rPr>
                <w:rFonts w:ascii="Arial" w:cs="Arial" w:eastAsia="Arial" w:hAnsi="Arial"/>
                <w:sz w:val="18"/>
                <w:szCs w:val="18"/>
                <w:b w:val="1"/>
                <w:bCs w:val="1"/>
                <w:color w:val="auto"/>
              </w:rPr>
              <w:t>(6.9)</w:t>
            </w:r>
          </w:p>
        </w:tc>
        <w:tc>
          <w:tcPr>
            <w:tcW w:w="500" w:type="dxa"/>
            <w:vAlign w:val="bottom"/>
            <w:shd w:val="clear" w:color="auto" w:fill="D8D8D8"/>
          </w:tcPr>
          <w:p>
            <w:pPr>
              <w:spacing w:after="0"/>
              <w:rPr>
                <w:sz w:val="23"/>
                <w:szCs w:val="23"/>
                <w:color w:val="auto"/>
              </w:rPr>
            </w:pPr>
          </w:p>
        </w:tc>
        <w:tc>
          <w:tcPr>
            <w:tcW w:w="820" w:type="dxa"/>
            <w:vAlign w:val="bottom"/>
            <w:shd w:val="clear" w:color="auto" w:fill="D8D8D8"/>
          </w:tcPr>
          <w:p>
            <w:pPr>
              <w:jc w:val="right"/>
              <w:spacing w:after="0"/>
              <w:rPr>
                <w:sz w:val="20"/>
                <w:szCs w:val="20"/>
                <w:color w:val="auto"/>
              </w:rPr>
            </w:pPr>
            <w:r>
              <w:rPr>
                <w:rFonts w:ascii="Arial" w:cs="Arial" w:eastAsia="Arial" w:hAnsi="Arial"/>
                <w:sz w:val="18"/>
                <w:szCs w:val="18"/>
                <w:color w:val="auto"/>
              </w:rPr>
              <w:t>(6.9)</w:t>
            </w:r>
          </w:p>
        </w:tc>
      </w:tr>
      <w:tr>
        <w:trPr>
          <w:trHeight w:val="269"/>
        </w:trPr>
        <w:tc>
          <w:tcPr>
            <w:tcW w:w="6020" w:type="dxa"/>
            <w:vAlign w:val="bottom"/>
          </w:tcPr>
          <w:p>
            <w:pPr>
              <w:ind w:left="180"/>
              <w:spacing w:after="0"/>
              <w:rPr>
                <w:sz w:val="20"/>
                <w:szCs w:val="20"/>
                <w:color w:val="auto"/>
              </w:rPr>
            </w:pPr>
            <w:r>
              <w:rPr>
                <w:rFonts w:ascii="Arial" w:cs="Arial" w:eastAsia="Arial" w:hAnsi="Arial"/>
                <w:sz w:val="18"/>
                <w:szCs w:val="18"/>
                <w:color w:val="auto"/>
              </w:rPr>
              <w:t>Accrued retirement benefits</w:t>
            </w: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b w:val="1"/>
                <w:bCs w:val="1"/>
                <w:color w:val="auto"/>
              </w:rPr>
              <w:t>(1,921.4)</w:t>
            </w:r>
          </w:p>
        </w:tc>
        <w:tc>
          <w:tcPr>
            <w:tcW w:w="520" w:type="dxa"/>
            <w:vAlign w:val="bottom"/>
          </w:tcPr>
          <w:p>
            <w:pPr>
              <w:spacing w:after="0"/>
              <w:rPr>
                <w:sz w:val="23"/>
                <w:szCs w:val="23"/>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(2,325.6)</w:t>
            </w:r>
          </w:p>
        </w:tc>
        <w:tc>
          <w:tcPr>
            <w:tcW w:w="360" w:type="dxa"/>
            <w:vAlign w:val="bottom"/>
          </w:tcPr>
          <w:p>
            <w:pPr>
              <w:spacing w:after="0"/>
              <w:rPr>
                <w:sz w:val="23"/>
                <w:szCs w:val="23"/>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b w:val="1"/>
                <w:bCs w:val="1"/>
                <w:color w:val="auto"/>
              </w:rPr>
              <w:t>(238.9)</w:t>
            </w:r>
          </w:p>
        </w:tc>
        <w:tc>
          <w:tcPr>
            <w:tcW w:w="5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(237.3)</w:t>
            </w:r>
          </w:p>
        </w:tc>
      </w:tr>
      <w:tr>
        <w:trPr>
          <w:trHeight w:val="271"/>
        </w:trPr>
        <w:tc>
          <w:tcPr>
            <w:tcW w:w="6020" w:type="dxa"/>
            <w:vAlign w:val="bottom"/>
            <w:shd w:val="clear" w:color="auto" w:fill="D8D8D8"/>
          </w:tcPr>
          <w:p>
            <w:pPr>
              <w:ind w:left="180"/>
              <w:spacing w:after="0"/>
              <w:rPr>
                <w:sz w:val="20"/>
                <w:szCs w:val="20"/>
                <w:color w:val="auto"/>
              </w:rPr>
            </w:pPr>
            <w:r>
              <w:rPr>
                <w:rFonts w:ascii="Arial" w:cs="Arial" w:eastAsia="Arial" w:hAnsi="Arial"/>
                <w:sz w:val="18"/>
                <w:szCs w:val="18"/>
                <w:color w:val="auto"/>
              </w:rPr>
              <w:t>Accumulated other comprehensive (income) loss before income taxes</w:t>
            </w:r>
          </w:p>
        </w:tc>
        <w:tc>
          <w:tcPr>
            <w:tcW w:w="40" w:type="dxa"/>
            <w:vAlign w:val="bottom"/>
            <w:tcBorders>
              <w:bottom w:val="single" w:sz="8" w:color="auto"/>
            </w:tcBorders>
            <w:shd w:val="clear" w:color="auto" w:fill="D8D8D8"/>
          </w:tcPr>
          <w:p>
            <w:pPr>
              <w:spacing w:after="0"/>
              <w:rPr>
                <w:sz w:val="23"/>
                <w:szCs w:val="23"/>
                <w:color w:val="auto"/>
              </w:rPr>
            </w:pPr>
          </w:p>
        </w:tc>
        <w:tc>
          <w:tcPr>
            <w:tcW w:w="260" w:type="dxa"/>
            <w:vAlign w:val="bottom"/>
            <w:tcBorders>
              <w:bottom w:val="single" w:sz="8" w:color="auto"/>
            </w:tcBorders>
            <w:shd w:val="clear" w:color="auto" w:fill="D8D8D8"/>
          </w:tcPr>
          <w:p>
            <w:pPr>
              <w:spacing w:after="0"/>
              <w:rPr>
                <w:sz w:val="23"/>
                <w:szCs w:val="23"/>
                <w:color w:val="auto"/>
              </w:rPr>
            </w:pPr>
          </w:p>
        </w:tc>
        <w:tc>
          <w:tcPr>
            <w:tcW w:w="1020" w:type="dxa"/>
            <w:vAlign w:val="bottom"/>
            <w:tcBorders>
              <w:bottom w:val="single" w:sz="8" w:color="auto"/>
            </w:tcBorders>
            <w:shd w:val="clear" w:color="auto" w:fill="D8D8D8"/>
          </w:tcPr>
          <w:p>
            <w:pPr>
              <w:jc w:val="right"/>
              <w:ind w:right="72"/>
              <w:spacing w:after="0"/>
              <w:rPr>
                <w:sz w:val="20"/>
                <w:szCs w:val="20"/>
                <w:color w:val="auto"/>
              </w:rPr>
            </w:pPr>
            <w:r>
              <w:rPr>
                <w:rFonts w:ascii="Arial" w:cs="Arial" w:eastAsia="Arial" w:hAnsi="Arial"/>
                <w:sz w:val="18"/>
                <w:szCs w:val="18"/>
                <w:b w:val="1"/>
                <w:bCs w:val="1"/>
                <w:color w:val="auto"/>
              </w:rPr>
              <w:t>4,585.2</w:t>
            </w:r>
          </w:p>
        </w:tc>
        <w:tc>
          <w:tcPr>
            <w:tcW w:w="520" w:type="dxa"/>
            <w:vAlign w:val="bottom"/>
            <w:tcBorders>
              <w:bottom w:val="single" w:sz="8" w:color="auto"/>
            </w:tcBorders>
            <w:shd w:val="clear" w:color="auto" w:fill="D8D8D8"/>
          </w:tcPr>
          <w:p>
            <w:pPr>
              <w:spacing w:after="0"/>
              <w:rPr>
                <w:sz w:val="23"/>
                <w:szCs w:val="23"/>
                <w:color w:val="auto"/>
              </w:rPr>
            </w:pPr>
          </w:p>
        </w:tc>
        <w:tc>
          <w:tcPr>
            <w:tcW w:w="860" w:type="dxa"/>
            <w:vAlign w:val="bottom"/>
            <w:tcBorders>
              <w:bottom w:val="single" w:sz="8" w:color="auto"/>
            </w:tcBorders>
            <w:shd w:val="clear" w:color="auto" w:fill="D8D8D8"/>
          </w:tcPr>
          <w:p>
            <w:pPr>
              <w:jc w:val="right"/>
              <w:ind w:right="71"/>
              <w:spacing w:after="0"/>
              <w:rPr>
                <w:sz w:val="20"/>
                <w:szCs w:val="20"/>
                <w:color w:val="auto"/>
              </w:rPr>
            </w:pPr>
            <w:r>
              <w:rPr>
                <w:rFonts w:ascii="Arial" w:cs="Arial" w:eastAsia="Arial" w:hAnsi="Arial"/>
                <w:sz w:val="18"/>
                <w:szCs w:val="18"/>
                <w:color w:val="auto"/>
              </w:rPr>
              <w:t>5,158.4</w:t>
            </w:r>
          </w:p>
        </w:tc>
        <w:tc>
          <w:tcPr>
            <w:tcW w:w="360" w:type="dxa"/>
            <w:vAlign w:val="bottom"/>
            <w:tcBorders>
              <w:bottom w:val="single" w:sz="8" w:color="auto"/>
            </w:tcBorders>
            <w:shd w:val="clear" w:color="auto" w:fill="D8D8D8"/>
          </w:tcPr>
          <w:p>
            <w:pPr>
              <w:spacing w:after="0"/>
              <w:rPr>
                <w:sz w:val="23"/>
                <w:szCs w:val="23"/>
                <w:color w:val="auto"/>
              </w:rPr>
            </w:pPr>
          </w:p>
        </w:tc>
        <w:tc>
          <w:tcPr>
            <w:tcW w:w="1020" w:type="dxa"/>
            <w:vAlign w:val="bottom"/>
            <w:tcBorders>
              <w:bottom w:val="single" w:sz="8" w:color="auto"/>
            </w:tcBorders>
            <w:shd w:val="clear" w:color="auto" w:fill="D8D8D8"/>
          </w:tcPr>
          <w:p>
            <w:pPr>
              <w:jc w:val="right"/>
              <w:ind w:right="12"/>
              <w:spacing w:after="0"/>
              <w:rPr>
                <w:sz w:val="20"/>
                <w:szCs w:val="20"/>
                <w:color w:val="auto"/>
              </w:rPr>
            </w:pPr>
            <w:r>
              <w:rPr>
                <w:rFonts w:ascii="Arial" w:cs="Arial" w:eastAsia="Arial" w:hAnsi="Arial"/>
                <w:sz w:val="18"/>
                <w:szCs w:val="18"/>
                <w:b w:val="1"/>
                <w:bCs w:val="1"/>
                <w:color w:val="auto"/>
              </w:rPr>
              <w:t>(226.9)</w:t>
            </w:r>
          </w:p>
        </w:tc>
        <w:tc>
          <w:tcPr>
            <w:tcW w:w="500" w:type="dxa"/>
            <w:vAlign w:val="bottom"/>
            <w:tcBorders>
              <w:bottom w:val="single" w:sz="8" w:color="auto"/>
            </w:tcBorders>
            <w:shd w:val="clear" w:color="auto" w:fill="D8D8D8"/>
          </w:tcPr>
          <w:p>
            <w:pPr>
              <w:spacing w:after="0"/>
              <w:rPr>
                <w:sz w:val="23"/>
                <w:szCs w:val="23"/>
                <w:color w:val="auto"/>
              </w:rPr>
            </w:pPr>
          </w:p>
        </w:tc>
        <w:tc>
          <w:tcPr>
            <w:tcW w:w="82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(227.2)</w:t>
            </w:r>
          </w:p>
        </w:tc>
      </w:tr>
      <w:tr>
        <w:trPr>
          <w:trHeight w:val="271"/>
        </w:trPr>
        <w:tc>
          <w:tcPr>
            <w:tcW w:w="6020" w:type="dxa"/>
            <w:vAlign w:val="bottom"/>
          </w:tcPr>
          <w:p>
            <w:pPr>
              <w:ind w:left="180"/>
              <w:spacing w:after="0"/>
              <w:rPr>
                <w:sz w:val="20"/>
                <w:szCs w:val="20"/>
                <w:color w:val="auto"/>
              </w:rPr>
            </w:pPr>
            <w:r>
              <w:rPr>
                <w:rFonts w:ascii="Arial" w:cs="Arial" w:eastAsia="Arial" w:hAnsi="Arial"/>
                <w:sz w:val="18"/>
                <w:szCs w:val="18"/>
                <w:color w:val="auto"/>
              </w:rPr>
              <w:t>Net amount recognized</w:t>
            </w:r>
          </w:p>
        </w:tc>
        <w:tc>
          <w:tcPr>
            <w:tcW w:w="30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2,861.6</w:t>
            </w:r>
          </w:p>
        </w:tc>
        <w:tc>
          <w:tcPr>
            <w:tcW w:w="5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2,981.7</w:t>
            </w:r>
          </w:p>
        </w:tc>
        <w:tc>
          <w:tcPr>
            <w:tcW w:w="3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249.4</w:t>
            </w:r>
          </w:p>
        </w:tc>
        <w:tc>
          <w:tcPr>
            <w:tcW w:w="5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138.0</w:t>
            </w:r>
          </w:p>
        </w:tc>
      </w:tr>
    </w:tbl>
    <w:p>
      <w:pPr>
        <w:spacing w:after="0" w:line="85" w:lineRule="exact"/>
        <w:rPr>
          <w:sz w:val="20"/>
          <w:szCs w:val="20"/>
          <w:color w:val="auto"/>
        </w:rPr>
      </w:pPr>
    </w:p>
    <w:p>
      <w:pPr>
        <w:ind w:right="240"/>
        <w:spacing w:after="0" w:line="292" w:lineRule="auto"/>
        <w:rPr>
          <w:sz w:val="20"/>
          <w:szCs w:val="20"/>
          <w:color w:val="auto"/>
        </w:rPr>
      </w:pPr>
      <w:r>
        <w:rPr>
          <w:rFonts w:ascii="Arial" w:cs="Arial" w:eastAsia="Arial" w:hAnsi="Arial"/>
          <w:sz w:val="18"/>
          <w:szCs w:val="18"/>
          <w:color w:val="auto"/>
        </w:rPr>
        <w:t>The unrecognized net actuarial loss and unrecognized prior service cost (benefit) have not yet been recognized in net periodic pension costs and are included in accumulated other comprehensive loss at December 31, 2015.</w:t>
      </w:r>
    </w:p>
    <w:p>
      <w:pPr>
        <w:spacing w:after="0" w:line="37"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A change to our U.S. retiree health benefit plan was approved in 2014 and communicated to retirees in January 2015. Beginning in 2016, Medicare-eligible retirees and Medicare-eligible dependents will choose health care coverage from insurance providers through a private Medicare supplement marketplace, while still receiving financial support from us. This change decreased our retiree health benefit obligation and increased our unrecognized prior service benefit as of December 31, 2014 by $520.8 million.</w:t>
      </w:r>
    </w:p>
    <w:p>
      <w:pPr>
        <w:spacing w:after="0" w:line="19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87</w:t>
      </w:r>
    </w:p>
    <w:p>
      <w:pPr>
        <w:sectPr>
          <w:pgSz w:w="11900" w:h="16838" w:orient="portrait"/>
          <w:cols w:equalWidth="0" w:num="1">
            <w:col w:w="11420"/>
          </w:cols>
          <w:pgMar w:left="240" w:top="684" w:right="239" w:bottom="1440" w:gutter="0" w:footer="0" w:header="0"/>
        </w:sectPr>
      </w:pPr>
    </w:p>
    <w:bookmarkStart w:id="87" w:name="page88"/>
    <w:bookmarkEnd w:id="87"/>
    <w:p>
      <w:pPr>
        <w:ind w:right="240"/>
        <w:spacing w:after="0" w:line="292" w:lineRule="auto"/>
        <w:rPr>
          <w:sz w:val="20"/>
          <w:szCs w:val="20"/>
          <w:color w:val="auto"/>
        </w:rPr>
      </w:pPr>
      <w:r>
        <w:rPr>
          <w:rFonts w:ascii="Arial" w:cs="Arial" w:eastAsia="Arial" w:hAnsi="Arial"/>
          <w:sz w:val="18"/>
          <w:szCs w:val="18"/>
          <w:color w:val="auto"/>
        </w:rPr>
        <w:t>During 2016, we expect the following components of accumulated other comprehensive loss to be recognized as components of net periodic benefit cost:</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80" w:type="dxa"/>
            <w:vAlign w:val="bottom"/>
          </w:tcPr>
          <w:p>
            <w:pPr>
              <w:jc w:val="right"/>
              <w:ind w:right="377"/>
              <w:spacing w:after="0"/>
              <w:rPr>
                <w:sz w:val="20"/>
                <w:szCs w:val="20"/>
                <w:color w:val="auto"/>
              </w:rPr>
            </w:pPr>
            <w:r>
              <w:rPr>
                <w:rFonts w:ascii="Arial" w:cs="Arial" w:eastAsia="Arial" w:hAnsi="Arial"/>
                <w:sz w:val="14"/>
                <w:szCs w:val="14"/>
                <w:b w:val="1"/>
                <w:bCs w:val="1"/>
                <w:color w:val="auto"/>
              </w:rPr>
              <w:t>Defined Benefit</w:t>
            </w:r>
          </w:p>
        </w:tc>
        <w:tc>
          <w:tcPr>
            <w:tcW w:w="400" w:type="dxa"/>
            <w:vAlign w:val="bottom"/>
          </w:tcPr>
          <w:p>
            <w:pPr>
              <w:spacing w:after="0"/>
              <w:rPr>
                <w:sz w:val="14"/>
                <w:szCs w:val="14"/>
                <w:color w:val="auto"/>
              </w:rPr>
            </w:pPr>
          </w:p>
        </w:tc>
        <w:tc>
          <w:tcPr>
            <w:tcW w:w="1640" w:type="dxa"/>
            <w:vAlign w:val="bottom"/>
          </w:tcPr>
          <w:p>
            <w:pPr>
              <w:jc w:val="right"/>
              <w:ind w:right="397"/>
              <w:spacing w:after="0"/>
              <w:rPr>
                <w:sz w:val="20"/>
                <w:szCs w:val="20"/>
                <w:color w:val="auto"/>
              </w:rPr>
            </w:pPr>
            <w:r>
              <w:rPr>
                <w:rFonts w:ascii="Arial" w:cs="Arial" w:eastAsia="Arial" w:hAnsi="Arial"/>
                <w:sz w:val="14"/>
                <w:szCs w:val="14"/>
                <w:b w:val="1"/>
                <w:bCs w:val="1"/>
                <w:color w:val="auto"/>
              </w:rPr>
              <w:t>Retiree Health</w:t>
            </w:r>
          </w:p>
        </w:tc>
      </w:tr>
      <w:tr>
        <w:trPr>
          <w:trHeight w:val="203"/>
        </w:trPr>
        <w:tc>
          <w:tcPr>
            <w:tcW w:w="74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Pension Plans</w:t>
            </w:r>
          </w:p>
        </w:tc>
        <w:tc>
          <w:tcPr>
            <w:tcW w:w="40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Benefit Plans</w:t>
            </w:r>
          </w:p>
        </w:tc>
      </w:tr>
      <w:tr>
        <w:trPr>
          <w:trHeight w:val="265"/>
        </w:trPr>
        <w:tc>
          <w:tcPr>
            <w:tcW w:w="7420" w:type="dxa"/>
            <w:vAlign w:val="bottom"/>
            <w:shd w:val="clear" w:color="auto" w:fill="D8D8D8"/>
          </w:tcPr>
          <w:p>
            <w:pPr>
              <w:ind w:left="40"/>
              <w:spacing w:after="0"/>
              <w:rPr>
                <w:sz w:val="20"/>
                <w:szCs w:val="20"/>
                <w:color w:val="auto"/>
              </w:rPr>
            </w:pPr>
            <w:r>
              <w:rPr>
                <w:rFonts w:ascii="Arial" w:cs="Arial" w:eastAsia="Arial" w:hAnsi="Arial"/>
                <w:sz w:val="18"/>
                <w:szCs w:val="18"/>
                <w:color w:val="auto"/>
              </w:rPr>
              <w:t>Unrecognized net actuarial loss</w:t>
            </w:r>
          </w:p>
        </w:tc>
        <w:tc>
          <w:tcPr>
            <w:tcW w:w="280" w:type="dxa"/>
            <w:vAlign w:val="bottom"/>
            <w:shd w:val="clear" w:color="auto" w:fill="D8D8D8"/>
          </w:tcPr>
          <w:p>
            <w:pPr>
              <w:jc w:val="right"/>
              <w:ind w:right="70"/>
              <w:spacing w:after="0"/>
              <w:rPr>
                <w:sz w:val="20"/>
                <w:szCs w:val="20"/>
                <w:color w:val="auto"/>
              </w:rPr>
            </w:pPr>
            <w:r>
              <w:rPr>
                <w:rFonts w:ascii="Arial" w:cs="Arial" w:eastAsia="Arial" w:hAnsi="Arial"/>
                <w:sz w:val="18"/>
                <w:szCs w:val="18"/>
                <w:color w:val="auto"/>
                <w:w w:val="99"/>
              </w:rPr>
              <w:t>$</w:t>
            </w:r>
          </w:p>
        </w:tc>
        <w:tc>
          <w:tcPr>
            <w:tcW w:w="1680" w:type="dxa"/>
            <w:vAlign w:val="bottom"/>
            <w:shd w:val="clear" w:color="auto" w:fill="D8D8D8"/>
          </w:tcPr>
          <w:p>
            <w:pPr>
              <w:jc w:val="right"/>
              <w:ind w:right="37"/>
              <w:spacing w:after="0"/>
              <w:rPr>
                <w:sz w:val="20"/>
                <w:szCs w:val="20"/>
                <w:color w:val="auto"/>
              </w:rPr>
            </w:pPr>
            <w:r>
              <w:rPr>
                <w:rFonts w:ascii="Arial" w:cs="Arial" w:eastAsia="Arial" w:hAnsi="Arial"/>
                <w:sz w:val="18"/>
                <w:szCs w:val="18"/>
                <w:color w:val="auto"/>
              </w:rPr>
              <w:t>285.9</w:t>
            </w:r>
          </w:p>
        </w:tc>
        <w:tc>
          <w:tcPr>
            <w:tcW w:w="400" w:type="dxa"/>
            <w:vAlign w:val="bottom"/>
            <w:shd w:val="clear" w:color="auto" w:fill="D8D8D8"/>
          </w:tcPr>
          <w:p>
            <w:pPr>
              <w:jc w:val="right"/>
              <w:ind w:right="90"/>
              <w:spacing w:after="0"/>
              <w:rPr>
                <w:sz w:val="20"/>
                <w:szCs w:val="20"/>
                <w:color w:val="auto"/>
              </w:rPr>
            </w:pPr>
            <w:r>
              <w:rPr>
                <w:rFonts w:ascii="Arial" w:cs="Arial" w:eastAsia="Arial" w:hAnsi="Arial"/>
                <w:sz w:val="18"/>
                <w:szCs w:val="18"/>
                <w:color w:val="auto"/>
              </w:rPr>
              <w:t>$</w:t>
            </w:r>
          </w:p>
        </w:tc>
        <w:tc>
          <w:tcPr>
            <w:tcW w:w="1640" w:type="dxa"/>
            <w:vAlign w:val="bottom"/>
            <w:shd w:val="clear" w:color="auto" w:fill="D8D8D8"/>
          </w:tcPr>
          <w:p>
            <w:pPr>
              <w:jc w:val="right"/>
              <w:ind w:right="17"/>
              <w:spacing w:after="0"/>
              <w:rPr>
                <w:sz w:val="20"/>
                <w:szCs w:val="20"/>
                <w:color w:val="auto"/>
              </w:rPr>
            </w:pPr>
            <w:r>
              <w:rPr>
                <w:rFonts w:ascii="Arial" w:cs="Arial" w:eastAsia="Arial" w:hAnsi="Arial"/>
                <w:sz w:val="18"/>
                <w:szCs w:val="18"/>
                <w:color w:val="auto"/>
              </w:rPr>
              <w:t>19.2</w:t>
            </w:r>
          </w:p>
        </w:tc>
      </w:tr>
      <w:tr>
        <w:trPr>
          <w:trHeight w:val="265"/>
        </w:trPr>
        <w:tc>
          <w:tcPr>
            <w:tcW w:w="7420" w:type="dxa"/>
            <w:vAlign w:val="bottom"/>
            <w:tcBorders>
              <w:bottom w:val="single" w:sz="8" w:color="D8D8D8"/>
            </w:tcBorders>
          </w:tcPr>
          <w:p>
            <w:pPr>
              <w:ind w:left="40"/>
              <w:spacing w:after="0"/>
              <w:rPr>
                <w:sz w:val="20"/>
                <w:szCs w:val="20"/>
                <w:color w:val="auto"/>
              </w:rPr>
            </w:pPr>
            <w:r>
              <w:rPr>
                <w:rFonts w:ascii="Arial" w:cs="Arial" w:eastAsia="Arial" w:hAnsi="Arial"/>
                <w:sz w:val="18"/>
                <w:szCs w:val="18"/>
                <w:color w:val="auto"/>
              </w:rPr>
              <w:t>Unrecognized prior service (benefit) cost</w:t>
            </w:r>
          </w:p>
        </w:tc>
        <w:tc>
          <w:tcPr>
            <w:tcW w:w="280" w:type="dxa"/>
            <w:vAlign w:val="bottom"/>
            <w:tcBorders>
              <w:bottom w:val="single" w:sz="8" w:color="auto"/>
            </w:tcBorders>
          </w:tcPr>
          <w:p>
            <w:pPr>
              <w:spacing w:after="0"/>
              <w:rPr>
                <w:sz w:val="23"/>
                <w:szCs w:val="23"/>
                <w:color w:val="auto"/>
              </w:rPr>
            </w:pPr>
          </w:p>
        </w:tc>
        <w:tc>
          <w:tcPr>
            <w:tcW w:w="168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11.9</w:t>
            </w:r>
          </w:p>
        </w:tc>
        <w:tc>
          <w:tcPr>
            <w:tcW w:w="400" w:type="dxa"/>
            <w:vAlign w:val="bottom"/>
            <w:tcBorders>
              <w:bottom w:val="single" w:sz="8" w:color="auto"/>
            </w:tcBorders>
          </w:tcPr>
          <w:p>
            <w:pPr>
              <w:spacing w:after="0"/>
              <w:rPr>
                <w:sz w:val="23"/>
                <w:szCs w:val="23"/>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(85.8)</w:t>
            </w:r>
          </w:p>
        </w:tc>
      </w:tr>
      <w:tr>
        <w:trPr>
          <w:trHeight w:val="275"/>
        </w:trPr>
        <w:tc>
          <w:tcPr>
            <w:tcW w:w="7420" w:type="dxa"/>
            <w:vAlign w:val="bottom"/>
            <w:tcBorders>
              <w:bottom w:val="single" w:sz="8" w:color="D8D8D8"/>
            </w:tcBorders>
            <w:shd w:val="clear" w:color="auto" w:fill="D8D8D8"/>
          </w:tcPr>
          <w:p>
            <w:pPr>
              <w:ind w:left="4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D8D8D8"/>
          </w:tcPr>
          <w:p>
            <w:pPr>
              <w:jc w:val="right"/>
              <w:ind w:right="7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shd w:val="clear" w:color="auto" w:fill="D8D8D8"/>
          </w:tcPr>
          <w:p>
            <w:pPr>
              <w:jc w:val="right"/>
              <w:ind w:right="37"/>
              <w:spacing w:after="0"/>
              <w:rPr>
                <w:sz w:val="20"/>
                <w:szCs w:val="20"/>
                <w:color w:val="auto"/>
              </w:rPr>
            </w:pPr>
            <w:r>
              <w:rPr>
                <w:rFonts w:ascii="Arial" w:cs="Arial" w:eastAsia="Arial" w:hAnsi="Arial"/>
                <w:sz w:val="18"/>
                <w:szCs w:val="18"/>
                <w:color w:val="auto"/>
              </w:rPr>
              <w:t>297.8</w:t>
            </w:r>
          </w:p>
        </w:tc>
        <w:tc>
          <w:tcPr>
            <w:tcW w:w="400" w:type="dxa"/>
            <w:vAlign w:val="bottom"/>
            <w:tcBorders>
              <w:bottom w:val="single" w:sz="8" w:color="auto"/>
            </w:tcBorders>
            <w:shd w:val="clear" w:color="auto" w:fill="D8D8D8"/>
          </w:tcPr>
          <w:p>
            <w:pPr>
              <w:jc w:val="right"/>
              <w:ind w:right="9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(66.6)</w:t>
            </w:r>
          </w:p>
        </w:tc>
      </w:tr>
    </w:tbl>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We do not expect any plan assets to be returned to us in 2016.</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represents our weighted-average assumptions as of December 31:</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2"/>
          </w:tcPr>
          <w:p>
            <w:pPr>
              <w:jc w:val="center"/>
              <w:ind w:left="375"/>
              <w:spacing w:after="0"/>
              <w:rPr>
                <w:sz w:val="20"/>
                <w:szCs w:val="20"/>
                <w:color w:val="auto"/>
              </w:rPr>
            </w:pPr>
            <w:r>
              <w:rPr>
                <w:rFonts w:ascii="Arial" w:cs="Arial" w:eastAsia="Arial" w:hAnsi="Arial"/>
                <w:sz w:val="14"/>
                <w:szCs w:val="14"/>
                <w:b w:val="1"/>
                <w:bCs w:val="1"/>
                <w:color w:val="auto"/>
              </w:rPr>
              <w:t>Defined Benefit</w:t>
            </w: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gridSpan w:val="2"/>
          </w:tcPr>
          <w:p>
            <w:pPr>
              <w:jc w:val="center"/>
              <w:ind w:left="477"/>
              <w:spacing w:after="0"/>
              <w:rPr>
                <w:sz w:val="20"/>
                <w:szCs w:val="20"/>
                <w:color w:val="auto"/>
              </w:rPr>
            </w:pPr>
            <w:r>
              <w:rPr>
                <w:rFonts w:ascii="Arial" w:cs="Arial" w:eastAsia="Arial" w:hAnsi="Arial"/>
                <w:sz w:val="14"/>
                <w:szCs w:val="14"/>
                <w:b w:val="1"/>
                <w:bCs w:val="1"/>
                <w:color w:val="auto"/>
              </w:rPr>
              <w:t>Retiree Health</w:t>
            </w:r>
          </w:p>
        </w:tc>
        <w:tc>
          <w:tcPr>
            <w:tcW w:w="560" w:type="dxa"/>
            <w:vAlign w:val="bottom"/>
          </w:tcPr>
          <w:p>
            <w:pPr>
              <w:spacing w:after="0"/>
              <w:rPr>
                <w:sz w:val="14"/>
                <w:szCs w:val="14"/>
                <w:color w:val="auto"/>
              </w:rPr>
            </w:pPr>
          </w:p>
        </w:tc>
      </w:tr>
      <w:tr>
        <w:trPr>
          <w:trHeight w:val="203"/>
        </w:trPr>
        <w:tc>
          <w:tcPr>
            <w:tcW w:w="67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Pension Plans</w:t>
            </w:r>
          </w:p>
        </w:tc>
        <w:tc>
          <w:tcPr>
            <w:tcW w:w="5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rPr>
              <w:t>Benefit Plans</w:t>
            </w:r>
          </w:p>
        </w:tc>
        <w:tc>
          <w:tcPr>
            <w:tcW w:w="560" w:type="dxa"/>
            <w:vAlign w:val="bottom"/>
            <w:tcBorders>
              <w:bottom w:val="single" w:sz="8" w:color="auto"/>
            </w:tcBorders>
          </w:tcPr>
          <w:p>
            <w:pPr>
              <w:spacing w:after="0"/>
              <w:rPr>
                <w:sz w:val="17"/>
                <w:szCs w:val="17"/>
                <w:color w:val="auto"/>
              </w:rPr>
            </w:pPr>
          </w:p>
        </w:tc>
      </w:tr>
      <w:tr>
        <w:trPr>
          <w:trHeight w:val="264"/>
        </w:trPr>
        <w:tc>
          <w:tcPr>
            <w:tcW w:w="6840" w:type="dxa"/>
            <w:vAlign w:val="bottom"/>
            <w:tcBorders>
              <w:bottom w:val="single" w:sz="8" w:color="auto"/>
            </w:tcBorders>
            <w:gridSpan w:val="2"/>
          </w:tcPr>
          <w:p>
            <w:pPr>
              <w:ind w:left="6080"/>
              <w:spacing w:after="0"/>
              <w:rPr>
                <w:sz w:val="20"/>
                <w:szCs w:val="20"/>
                <w:color w:val="auto"/>
              </w:rPr>
            </w:pPr>
            <w:r>
              <w:rPr>
                <w:rFonts w:ascii="Arial" w:cs="Arial" w:eastAsia="Arial" w:hAnsi="Arial"/>
                <w:sz w:val="14"/>
                <w:szCs w:val="14"/>
                <w:color w:val="auto"/>
              </w:rPr>
              <w:t>(Percents)</w:t>
            </w:r>
          </w:p>
        </w:tc>
        <w:tc>
          <w:tcPr>
            <w:tcW w:w="56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rPr>
              <w:t>2015</w:t>
            </w:r>
          </w:p>
        </w:tc>
        <w:tc>
          <w:tcPr>
            <w:tcW w:w="110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rPr>
              <w:t>2014</w:t>
            </w:r>
          </w:p>
        </w:tc>
        <w:tc>
          <w:tcPr>
            <w:tcW w:w="56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rPr>
              <w:t>2015</w:t>
            </w:r>
          </w:p>
        </w:tc>
        <w:tc>
          <w:tcPr>
            <w:tcW w:w="102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rPr>
              <w:t>2014</w:t>
            </w:r>
          </w:p>
        </w:tc>
        <w:tc>
          <w:tcPr>
            <w:tcW w:w="56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2013</w:t>
            </w:r>
          </w:p>
        </w:tc>
      </w:tr>
      <w:tr>
        <w:trPr>
          <w:trHeight w:val="265"/>
        </w:trPr>
        <w:tc>
          <w:tcPr>
            <w:tcW w:w="6840" w:type="dxa"/>
            <w:vAlign w:val="bottom"/>
            <w:gridSpan w:val="2"/>
            <w:shd w:val="clear" w:color="auto" w:fill="D8D8D8"/>
          </w:tcPr>
          <w:p>
            <w:pPr>
              <w:ind w:left="180"/>
              <w:spacing w:after="0"/>
              <w:rPr>
                <w:sz w:val="20"/>
                <w:szCs w:val="20"/>
                <w:color w:val="auto"/>
              </w:rPr>
            </w:pPr>
            <w:r>
              <w:rPr>
                <w:rFonts w:ascii="Arial" w:cs="Arial" w:eastAsia="Arial" w:hAnsi="Arial"/>
                <w:sz w:val="18"/>
                <w:szCs w:val="18"/>
                <w:color w:val="auto"/>
              </w:rPr>
              <w:t>Discount rate for benefit obligation</w:t>
            </w:r>
          </w:p>
        </w:tc>
        <w:tc>
          <w:tcPr>
            <w:tcW w:w="560" w:type="dxa"/>
            <w:vAlign w:val="bottom"/>
            <w:shd w:val="clear" w:color="auto" w:fill="D8D8D8"/>
          </w:tcPr>
          <w:p>
            <w:pPr>
              <w:jc w:val="right"/>
              <w:spacing w:after="0"/>
              <w:rPr>
                <w:sz w:val="20"/>
                <w:szCs w:val="20"/>
                <w:color w:val="auto"/>
              </w:rPr>
            </w:pPr>
            <w:r>
              <w:rPr>
                <w:rFonts w:ascii="Arial" w:cs="Arial" w:eastAsia="Arial" w:hAnsi="Arial"/>
                <w:sz w:val="18"/>
                <w:szCs w:val="18"/>
                <w:b w:val="1"/>
                <w:bCs w:val="1"/>
                <w:color w:val="auto"/>
              </w:rPr>
              <w:t>4.3</w:t>
            </w:r>
          </w:p>
        </w:tc>
        <w:tc>
          <w:tcPr>
            <w:tcW w:w="1100" w:type="dxa"/>
            <w:vAlign w:val="bottom"/>
            <w:shd w:val="clear" w:color="auto" w:fill="D8D8D8"/>
          </w:tcPr>
          <w:p>
            <w:pPr>
              <w:jc w:val="right"/>
              <w:ind w:right="195"/>
              <w:spacing w:after="0"/>
              <w:rPr>
                <w:sz w:val="20"/>
                <w:szCs w:val="20"/>
                <w:color w:val="auto"/>
              </w:rPr>
            </w:pPr>
            <w:r>
              <w:rPr>
                <w:rFonts w:ascii="Arial" w:cs="Arial" w:eastAsia="Arial" w:hAnsi="Arial"/>
                <w:sz w:val="18"/>
                <w:szCs w:val="18"/>
                <w:color w:val="auto"/>
              </w:rPr>
              <w:t>4.0</w:t>
            </w:r>
          </w:p>
        </w:tc>
        <w:tc>
          <w:tcPr>
            <w:tcW w:w="560" w:type="dxa"/>
            <w:vAlign w:val="bottom"/>
            <w:shd w:val="clear" w:color="auto" w:fill="D8D8D8"/>
          </w:tcPr>
          <w:p>
            <w:pPr>
              <w:jc w:val="right"/>
              <w:spacing w:after="0"/>
              <w:rPr>
                <w:sz w:val="20"/>
                <w:szCs w:val="20"/>
                <w:color w:val="auto"/>
              </w:rPr>
            </w:pPr>
            <w:r>
              <w:rPr>
                <w:rFonts w:ascii="Arial" w:cs="Arial" w:eastAsia="Arial" w:hAnsi="Arial"/>
                <w:sz w:val="18"/>
                <w:szCs w:val="18"/>
                <w:color w:val="auto"/>
              </w:rPr>
              <w:t>4.9</w:t>
            </w:r>
          </w:p>
        </w:tc>
        <w:tc>
          <w:tcPr>
            <w:tcW w:w="120" w:type="dxa"/>
            <w:vAlign w:val="bottom"/>
            <w:shd w:val="clear" w:color="auto" w:fill="D8D8D8"/>
          </w:tcPr>
          <w:p>
            <w:pPr>
              <w:spacing w:after="0"/>
              <w:rPr>
                <w:sz w:val="23"/>
                <w:szCs w:val="23"/>
                <w:color w:val="auto"/>
              </w:rPr>
            </w:pPr>
          </w:p>
        </w:tc>
        <w:tc>
          <w:tcPr>
            <w:tcW w:w="660" w:type="dxa"/>
            <w:vAlign w:val="bottom"/>
            <w:shd w:val="clear" w:color="auto" w:fill="D8D8D8"/>
          </w:tcPr>
          <w:p>
            <w:pPr>
              <w:jc w:val="right"/>
              <w:spacing w:after="0"/>
              <w:rPr>
                <w:sz w:val="20"/>
                <w:szCs w:val="20"/>
                <w:color w:val="auto"/>
              </w:rPr>
            </w:pPr>
            <w:r>
              <w:rPr>
                <w:rFonts w:ascii="Arial" w:cs="Arial" w:eastAsia="Arial" w:hAnsi="Arial"/>
                <w:sz w:val="18"/>
                <w:szCs w:val="18"/>
                <w:b w:val="1"/>
                <w:bCs w:val="1"/>
                <w:color w:val="auto"/>
              </w:rPr>
              <w:t>4.5</w:t>
            </w:r>
          </w:p>
        </w:tc>
        <w:tc>
          <w:tcPr>
            <w:tcW w:w="1020" w:type="dxa"/>
            <w:vAlign w:val="bottom"/>
            <w:shd w:val="clear" w:color="auto" w:fill="D8D8D8"/>
          </w:tcPr>
          <w:p>
            <w:pPr>
              <w:jc w:val="right"/>
              <w:ind w:right="177"/>
              <w:spacing w:after="0"/>
              <w:rPr>
                <w:sz w:val="20"/>
                <w:szCs w:val="20"/>
                <w:color w:val="auto"/>
              </w:rPr>
            </w:pPr>
            <w:r>
              <w:rPr>
                <w:rFonts w:ascii="Arial" w:cs="Arial" w:eastAsia="Arial" w:hAnsi="Arial"/>
                <w:sz w:val="18"/>
                <w:szCs w:val="18"/>
                <w:color w:val="auto"/>
              </w:rPr>
              <w:t>4.1</w:t>
            </w:r>
          </w:p>
        </w:tc>
        <w:tc>
          <w:tcPr>
            <w:tcW w:w="560" w:type="dxa"/>
            <w:vAlign w:val="bottom"/>
            <w:shd w:val="clear" w:color="auto" w:fill="D8D8D8"/>
          </w:tcPr>
          <w:p>
            <w:pPr>
              <w:jc w:val="right"/>
              <w:spacing w:after="0"/>
              <w:rPr>
                <w:sz w:val="20"/>
                <w:szCs w:val="20"/>
                <w:color w:val="auto"/>
              </w:rPr>
            </w:pPr>
            <w:r>
              <w:rPr>
                <w:rFonts w:ascii="Arial" w:cs="Arial" w:eastAsia="Arial" w:hAnsi="Arial"/>
                <w:sz w:val="18"/>
                <w:szCs w:val="18"/>
                <w:color w:val="auto"/>
              </w:rPr>
              <w:t>5.0</w:t>
            </w:r>
          </w:p>
        </w:tc>
      </w:tr>
      <w:tr>
        <w:trPr>
          <w:trHeight w:val="269"/>
        </w:trPr>
        <w:tc>
          <w:tcPr>
            <w:tcW w:w="6840" w:type="dxa"/>
            <w:vAlign w:val="bottom"/>
            <w:gridSpan w:val="2"/>
          </w:tcPr>
          <w:p>
            <w:pPr>
              <w:ind w:left="180"/>
              <w:spacing w:after="0"/>
              <w:rPr>
                <w:sz w:val="20"/>
                <w:szCs w:val="20"/>
                <w:color w:val="auto"/>
              </w:rPr>
            </w:pPr>
            <w:r>
              <w:rPr>
                <w:rFonts w:ascii="Arial" w:cs="Arial" w:eastAsia="Arial" w:hAnsi="Arial"/>
                <w:sz w:val="18"/>
                <w:szCs w:val="18"/>
                <w:color w:val="auto"/>
              </w:rPr>
              <w:t>Discount rate for net benefit costs</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4.0</w:t>
            </w:r>
          </w:p>
        </w:tc>
        <w:tc>
          <w:tcPr>
            <w:tcW w:w="1100" w:type="dxa"/>
            <w:vAlign w:val="bottom"/>
          </w:tcPr>
          <w:p>
            <w:pPr>
              <w:jc w:val="right"/>
              <w:ind w:right="195"/>
              <w:spacing w:after="0"/>
              <w:rPr>
                <w:sz w:val="20"/>
                <w:szCs w:val="20"/>
                <w:color w:val="auto"/>
              </w:rPr>
            </w:pPr>
            <w:r>
              <w:rPr>
                <w:rFonts w:ascii="Arial" w:cs="Arial" w:eastAsia="Arial" w:hAnsi="Arial"/>
                <w:sz w:val="18"/>
                <w:szCs w:val="18"/>
                <w:color w:val="auto"/>
              </w:rPr>
              <w:t>4.9</w:t>
            </w:r>
          </w:p>
        </w:tc>
        <w:tc>
          <w:tcPr>
            <w:tcW w:w="560" w:type="dxa"/>
            <w:vAlign w:val="bottom"/>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4.1</w:t>
            </w:r>
          </w:p>
        </w:tc>
        <w:tc>
          <w:tcPr>
            <w:tcW w:w="1020" w:type="dxa"/>
            <w:vAlign w:val="bottom"/>
          </w:tcPr>
          <w:p>
            <w:pPr>
              <w:jc w:val="right"/>
              <w:ind w:right="177"/>
              <w:spacing w:after="0"/>
              <w:rPr>
                <w:sz w:val="20"/>
                <w:szCs w:val="20"/>
                <w:color w:val="auto"/>
              </w:rPr>
            </w:pPr>
            <w:r>
              <w:rPr>
                <w:rFonts w:ascii="Arial" w:cs="Arial" w:eastAsia="Arial" w:hAnsi="Arial"/>
                <w:sz w:val="18"/>
                <w:szCs w:val="18"/>
                <w:color w:val="auto"/>
              </w:rPr>
              <w:t>5.0</w:t>
            </w:r>
          </w:p>
        </w:tc>
        <w:tc>
          <w:tcPr>
            <w:tcW w:w="56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71"/>
        </w:trPr>
        <w:tc>
          <w:tcPr>
            <w:tcW w:w="6840" w:type="dxa"/>
            <w:vAlign w:val="bottom"/>
            <w:gridSpan w:val="2"/>
            <w:shd w:val="clear" w:color="auto" w:fill="D8D8D8"/>
          </w:tcPr>
          <w:p>
            <w:pPr>
              <w:ind w:left="180"/>
              <w:spacing w:after="0"/>
              <w:rPr>
                <w:sz w:val="20"/>
                <w:szCs w:val="20"/>
                <w:color w:val="auto"/>
              </w:rPr>
            </w:pPr>
            <w:r>
              <w:rPr>
                <w:rFonts w:ascii="Arial" w:cs="Arial" w:eastAsia="Arial" w:hAnsi="Arial"/>
                <w:sz w:val="18"/>
                <w:szCs w:val="18"/>
                <w:color w:val="auto"/>
              </w:rPr>
              <w:t>Rate of compensation increase for benefit obligation</w:t>
            </w:r>
          </w:p>
        </w:tc>
        <w:tc>
          <w:tcPr>
            <w:tcW w:w="560" w:type="dxa"/>
            <w:vAlign w:val="bottom"/>
            <w:shd w:val="clear" w:color="auto" w:fill="D8D8D8"/>
          </w:tcPr>
          <w:p>
            <w:pPr>
              <w:jc w:val="right"/>
              <w:spacing w:after="0"/>
              <w:rPr>
                <w:sz w:val="20"/>
                <w:szCs w:val="20"/>
                <w:color w:val="auto"/>
              </w:rPr>
            </w:pPr>
            <w:r>
              <w:rPr>
                <w:rFonts w:ascii="Arial" w:cs="Arial" w:eastAsia="Arial" w:hAnsi="Arial"/>
                <w:sz w:val="18"/>
                <w:szCs w:val="18"/>
                <w:b w:val="1"/>
                <w:bCs w:val="1"/>
                <w:color w:val="auto"/>
              </w:rPr>
              <w:t>3.4</w:t>
            </w:r>
          </w:p>
        </w:tc>
        <w:tc>
          <w:tcPr>
            <w:tcW w:w="1100" w:type="dxa"/>
            <w:vAlign w:val="bottom"/>
            <w:shd w:val="clear" w:color="auto" w:fill="D8D8D8"/>
          </w:tcPr>
          <w:p>
            <w:pPr>
              <w:jc w:val="right"/>
              <w:ind w:right="195"/>
              <w:spacing w:after="0"/>
              <w:rPr>
                <w:sz w:val="20"/>
                <w:szCs w:val="20"/>
                <w:color w:val="auto"/>
              </w:rPr>
            </w:pPr>
            <w:r>
              <w:rPr>
                <w:rFonts w:ascii="Arial" w:cs="Arial" w:eastAsia="Arial" w:hAnsi="Arial"/>
                <w:sz w:val="18"/>
                <w:szCs w:val="18"/>
                <w:color w:val="auto"/>
              </w:rPr>
              <w:t>3.4</w:t>
            </w:r>
          </w:p>
        </w:tc>
        <w:tc>
          <w:tcPr>
            <w:tcW w:w="560" w:type="dxa"/>
            <w:vAlign w:val="bottom"/>
            <w:shd w:val="clear" w:color="auto" w:fill="D8D8D8"/>
          </w:tcPr>
          <w:p>
            <w:pPr>
              <w:jc w:val="right"/>
              <w:spacing w:after="0"/>
              <w:rPr>
                <w:sz w:val="20"/>
                <w:szCs w:val="20"/>
                <w:color w:val="auto"/>
              </w:rPr>
            </w:pPr>
            <w:r>
              <w:rPr>
                <w:rFonts w:ascii="Arial" w:cs="Arial" w:eastAsia="Arial" w:hAnsi="Arial"/>
                <w:sz w:val="18"/>
                <w:szCs w:val="18"/>
                <w:color w:val="auto"/>
              </w:rPr>
              <w:t>3.4</w:t>
            </w:r>
          </w:p>
        </w:tc>
        <w:tc>
          <w:tcPr>
            <w:tcW w:w="120" w:type="dxa"/>
            <w:vAlign w:val="bottom"/>
            <w:shd w:val="clear" w:color="auto" w:fill="D8D8D8"/>
          </w:tcPr>
          <w:p>
            <w:pPr>
              <w:spacing w:after="0"/>
              <w:rPr>
                <w:sz w:val="23"/>
                <w:szCs w:val="23"/>
                <w:color w:val="auto"/>
              </w:rPr>
            </w:pPr>
          </w:p>
        </w:tc>
        <w:tc>
          <w:tcPr>
            <w:tcW w:w="660" w:type="dxa"/>
            <w:vAlign w:val="bottom"/>
            <w:shd w:val="clear" w:color="auto" w:fill="D8D8D8"/>
          </w:tcPr>
          <w:p>
            <w:pPr>
              <w:spacing w:after="0"/>
              <w:rPr>
                <w:sz w:val="23"/>
                <w:szCs w:val="23"/>
                <w:color w:val="auto"/>
              </w:rPr>
            </w:pPr>
          </w:p>
        </w:tc>
        <w:tc>
          <w:tcPr>
            <w:tcW w:w="1020" w:type="dxa"/>
            <w:vAlign w:val="bottom"/>
            <w:shd w:val="clear" w:color="auto" w:fill="D8D8D8"/>
          </w:tcPr>
          <w:p>
            <w:pPr>
              <w:spacing w:after="0"/>
              <w:rPr>
                <w:sz w:val="23"/>
                <w:szCs w:val="23"/>
                <w:color w:val="auto"/>
              </w:rPr>
            </w:pPr>
          </w:p>
        </w:tc>
        <w:tc>
          <w:tcPr>
            <w:tcW w:w="560" w:type="dxa"/>
            <w:vAlign w:val="bottom"/>
            <w:shd w:val="clear" w:color="auto" w:fill="D8D8D8"/>
          </w:tcPr>
          <w:p>
            <w:pPr>
              <w:spacing w:after="0"/>
              <w:rPr>
                <w:sz w:val="23"/>
                <w:szCs w:val="23"/>
                <w:color w:val="auto"/>
              </w:rPr>
            </w:pPr>
          </w:p>
        </w:tc>
      </w:tr>
      <w:tr>
        <w:trPr>
          <w:trHeight w:val="269"/>
        </w:trPr>
        <w:tc>
          <w:tcPr>
            <w:tcW w:w="6840" w:type="dxa"/>
            <w:vAlign w:val="bottom"/>
            <w:gridSpan w:val="2"/>
          </w:tcPr>
          <w:p>
            <w:pPr>
              <w:ind w:left="180"/>
              <w:spacing w:after="0"/>
              <w:rPr>
                <w:sz w:val="20"/>
                <w:szCs w:val="20"/>
                <w:color w:val="auto"/>
              </w:rPr>
            </w:pPr>
            <w:r>
              <w:rPr>
                <w:rFonts w:ascii="Arial" w:cs="Arial" w:eastAsia="Arial" w:hAnsi="Arial"/>
                <w:sz w:val="18"/>
                <w:szCs w:val="18"/>
                <w:color w:val="auto"/>
              </w:rPr>
              <w:t>Rate of compensation increase for net benefit costs</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3.4</w:t>
            </w:r>
          </w:p>
        </w:tc>
        <w:tc>
          <w:tcPr>
            <w:tcW w:w="1100" w:type="dxa"/>
            <w:vAlign w:val="bottom"/>
          </w:tcPr>
          <w:p>
            <w:pPr>
              <w:jc w:val="right"/>
              <w:ind w:right="195"/>
              <w:spacing w:after="0"/>
              <w:rPr>
                <w:sz w:val="20"/>
                <w:szCs w:val="20"/>
                <w:color w:val="auto"/>
              </w:rPr>
            </w:pPr>
            <w:r>
              <w:rPr>
                <w:rFonts w:ascii="Arial" w:cs="Arial" w:eastAsia="Arial" w:hAnsi="Arial"/>
                <w:sz w:val="18"/>
                <w:szCs w:val="18"/>
                <w:color w:val="auto"/>
              </w:rPr>
              <w:t>3.4</w:t>
            </w:r>
          </w:p>
        </w:tc>
        <w:tc>
          <w:tcPr>
            <w:tcW w:w="560" w:type="dxa"/>
            <w:vAlign w:val="bottom"/>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560" w:type="dxa"/>
            <w:vAlign w:val="bottom"/>
          </w:tcPr>
          <w:p>
            <w:pPr>
              <w:spacing w:after="0"/>
              <w:rPr>
                <w:sz w:val="23"/>
                <w:szCs w:val="23"/>
                <w:color w:val="auto"/>
              </w:rPr>
            </w:pPr>
          </w:p>
        </w:tc>
      </w:tr>
      <w:tr>
        <w:trPr>
          <w:trHeight w:val="271"/>
        </w:trPr>
        <w:tc>
          <w:tcPr>
            <w:tcW w:w="6840" w:type="dxa"/>
            <w:vAlign w:val="bottom"/>
            <w:gridSpan w:val="2"/>
            <w:shd w:val="clear" w:color="auto" w:fill="D8D8D8"/>
          </w:tcPr>
          <w:p>
            <w:pPr>
              <w:ind w:left="180"/>
              <w:spacing w:after="0"/>
              <w:rPr>
                <w:sz w:val="20"/>
                <w:szCs w:val="20"/>
                <w:color w:val="auto"/>
              </w:rPr>
            </w:pPr>
            <w:r>
              <w:rPr>
                <w:rFonts w:ascii="Arial" w:cs="Arial" w:eastAsia="Arial" w:hAnsi="Arial"/>
                <w:sz w:val="18"/>
                <w:szCs w:val="18"/>
                <w:color w:val="auto"/>
              </w:rPr>
              <w:t>Expected return on plan assets for net benefit costs</w:t>
            </w:r>
          </w:p>
        </w:tc>
        <w:tc>
          <w:tcPr>
            <w:tcW w:w="560" w:type="dxa"/>
            <w:vAlign w:val="bottom"/>
            <w:shd w:val="clear" w:color="auto" w:fill="D8D8D8"/>
          </w:tcPr>
          <w:p>
            <w:pPr>
              <w:jc w:val="right"/>
              <w:spacing w:after="0"/>
              <w:rPr>
                <w:sz w:val="20"/>
                <w:szCs w:val="20"/>
                <w:color w:val="auto"/>
              </w:rPr>
            </w:pPr>
            <w:r>
              <w:rPr>
                <w:rFonts w:ascii="Arial" w:cs="Arial" w:eastAsia="Arial" w:hAnsi="Arial"/>
                <w:sz w:val="18"/>
                <w:szCs w:val="18"/>
                <w:b w:val="1"/>
                <w:bCs w:val="1"/>
                <w:color w:val="auto"/>
              </w:rPr>
              <w:t>7.4</w:t>
            </w:r>
          </w:p>
        </w:tc>
        <w:tc>
          <w:tcPr>
            <w:tcW w:w="1100" w:type="dxa"/>
            <w:vAlign w:val="bottom"/>
            <w:shd w:val="clear" w:color="auto" w:fill="D8D8D8"/>
          </w:tcPr>
          <w:p>
            <w:pPr>
              <w:jc w:val="right"/>
              <w:ind w:right="195"/>
              <w:spacing w:after="0"/>
              <w:rPr>
                <w:sz w:val="20"/>
                <w:szCs w:val="20"/>
                <w:color w:val="auto"/>
              </w:rPr>
            </w:pPr>
            <w:r>
              <w:rPr>
                <w:rFonts w:ascii="Arial" w:cs="Arial" w:eastAsia="Arial" w:hAnsi="Arial"/>
                <w:sz w:val="18"/>
                <w:szCs w:val="18"/>
                <w:color w:val="auto"/>
              </w:rPr>
              <w:t>8.1</w:t>
            </w:r>
          </w:p>
        </w:tc>
        <w:tc>
          <w:tcPr>
            <w:tcW w:w="560" w:type="dxa"/>
            <w:vAlign w:val="bottom"/>
            <w:shd w:val="clear" w:color="auto" w:fill="D8D8D8"/>
          </w:tcPr>
          <w:p>
            <w:pPr>
              <w:jc w:val="right"/>
              <w:spacing w:after="0"/>
              <w:rPr>
                <w:sz w:val="20"/>
                <w:szCs w:val="20"/>
                <w:color w:val="auto"/>
              </w:rPr>
            </w:pPr>
            <w:r>
              <w:rPr>
                <w:rFonts w:ascii="Arial" w:cs="Arial" w:eastAsia="Arial" w:hAnsi="Arial"/>
                <w:sz w:val="18"/>
                <w:szCs w:val="18"/>
                <w:color w:val="auto"/>
              </w:rPr>
              <w:t>8.4</w:t>
            </w:r>
          </w:p>
        </w:tc>
        <w:tc>
          <w:tcPr>
            <w:tcW w:w="120" w:type="dxa"/>
            <w:vAlign w:val="bottom"/>
            <w:shd w:val="clear" w:color="auto" w:fill="D8D8D8"/>
          </w:tcPr>
          <w:p>
            <w:pPr>
              <w:spacing w:after="0"/>
              <w:rPr>
                <w:sz w:val="23"/>
                <w:szCs w:val="23"/>
                <w:color w:val="auto"/>
              </w:rPr>
            </w:pPr>
          </w:p>
        </w:tc>
        <w:tc>
          <w:tcPr>
            <w:tcW w:w="660" w:type="dxa"/>
            <w:vAlign w:val="bottom"/>
            <w:shd w:val="clear" w:color="auto" w:fill="D8D8D8"/>
          </w:tcPr>
          <w:p>
            <w:pPr>
              <w:jc w:val="right"/>
              <w:spacing w:after="0"/>
              <w:rPr>
                <w:sz w:val="20"/>
                <w:szCs w:val="20"/>
                <w:color w:val="auto"/>
              </w:rPr>
            </w:pPr>
            <w:r>
              <w:rPr>
                <w:rFonts w:ascii="Arial" w:cs="Arial" w:eastAsia="Arial" w:hAnsi="Arial"/>
                <w:sz w:val="18"/>
                <w:szCs w:val="18"/>
                <w:b w:val="1"/>
                <w:bCs w:val="1"/>
                <w:color w:val="auto"/>
              </w:rPr>
              <w:t>8.0</w:t>
            </w:r>
          </w:p>
        </w:tc>
        <w:tc>
          <w:tcPr>
            <w:tcW w:w="1020" w:type="dxa"/>
            <w:vAlign w:val="bottom"/>
            <w:shd w:val="clear" w:color="auto" w:fill="D8D8D8"/>
          </w:tcPr>
          <w:p>
            <w:pPr>
              <w:jc w:val="right"/>
              <w:ind w:right="177"/>
              <w:spacing w:after="0"/>
              <w:rPr>
                <w:sz w:val="20"/>
                <w:szCs w:val="20"/>
                <w:color w:val="auto"/>
              </w:rPr>
            </w:pPr>
            <w:r>
              <w:rPr>
                <w:rFonts w:ascii="Arial" w:cs="Arial" w:eastAsia="Arial" w:hAnsi="Arial"/>
                <w:sz w:val="18"/>
                <w:szCs w:val="18"/>
                <w:color w:val="auto"/>
              </w:rPr>
              <w:t>8.5</w:t>
            </w:r>
          </w:p>
        </w:tc>
        <w:tc>
          <w:tcPr>
            <w:tcW w:w="560" w:type="dxa"/>
            <w:vAlign w:val="bottom"/>
            <w:shd w:val="clear" w:color="auto" w:fill="D8D8D8"/>
          </w:tcPr>
          <w:p>
            <w:pPr>
              <w:jc w:val="right"/>
              <w:spacing w:after="0"/>
              <w:rPr>
                <w:sz w:val="20"/>
                <w:szCs w:val="20"/>
                <w:color w:val="auto"/>
              </w:rPr>
            </w:pPr>
            <w:r>
              <w:rPr>
                <w:rFonts w:ascii="Arial" w:cs="Arial" w:eastAsia="Arial" w:hAnsi="Arial"/>
                <w:sz w:val="18"/>
                <w:szCs w:val="18"/>
                <w:color w:val="auto"/>
              </w:rPr>
              <w:t>8.8</w:t>
            </w:r>
          </w:p>
        </w:tc>
      </w:tr>
    </w:tbl>
    <w:p>
      <w:pPr>
        <w:spacing w:after="0" w:line="85"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We annually evaluate the expected return on plan assets in our defined benefit pension and retiree health benefit plans. In evaluating the expected rate of return, we consider many factors, with a primary analysis of current and projected market conditions; asset returns and asset allocations; and the views of leading financial advisers and economists. We may also review our historical assumptions compared with actual results, as well as the assumptions and trend rates utilized by similar plans, where applicable.</w:t>
      </w:r>
    </w:p>
    <w:p>
      <w:pPr>
        <w:spacing w:after="0" w:line="62" w:lineRule="exact"/>
        <w:rPr>
          <w:sz w:val="20"/>
          <w:szCs w:val="20"/>
          <w:color w:val="auto"/>
        </w:rPr>
      </w:pPr>
    </w:p>
    <w:p>
      <w:pPr>
        <w:ind w:right="520"/>
        <w:spacing w:after="0" w:line="292" w:lineRule="auto"/>
        <w:rPr>
          <w:sz w:val="20"/>
          <w:szCs w:val="20"/>
          <w:color w:val="auto"/>
        </w:rPr>
      </w:pPr>
      <w:r>
        <w:rPr>
          <w:rFonts w:ascii="Arial" w:cs="Arial" w:eastAsia="Arial" w:hAnsi="Arial"/>
          <w:sz w:val="18"/>
          <w:szCs w:val="18"/>
          <w:color w:val="auto"/>
        </w:rPr>
        <w:t>Given the design of our retiree health benefit plans, heathcare-cost trend rates do not have a material impact on our financial condition or results of operations.</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benefit payments, which reflect expected future service, as appropriate, are expected to be paid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8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2016</w:t>
            </w:r>
          </w:p>
        </w:tc>
        <w:tc>
          <w:tcPr>
            <w:tcW w:w="4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2017</w:t>
            </w:r>
          </w:p>
        </w:tc>
        <w:tc>
          <w:tcPr>
            <w:tcW w:w="4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2018</w:t>
            </w:r>
          </w:p>
        </w:tc>
        <w:tc>
          <w:tcPr>
            <w:tcW w:w="4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2019</w:t>
            </w:r>
          </w:p>
        </w:tc>
        <w:tc>
          <w:tcPr>
            <w:tcW w:w="4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2021-2025</w:t>
            </w:r>
          </w:p>
        </w:tc>
      </w:tr>
      <w:tr>
        <w:trPr>
          <w:trHeight w:val="265"/>
        </w:trPr>
        <w:tc>
          <w:tcPr>
            <w:tcW w:w="2840" w:type="dxa"/>
            <w:vAlign w:val="bottom"/>
            <w:shd w:val="clear" w:color="auto" w:fill="D8D8D8"/>
          </w:tcPr>
          <w:p>
            <w:pPr>
              <w:ind w:left="40"/>
              <w:spacing w:after="0"/>
              <w:rPr>
                <w:sz w:val="20"/>
                <w:szCs w:val="20"/>
                <w:color w:val="auto"/>
              </w:rPr>
            </w:pPr>
            <w:r>
              <w:rPr>
                <w:rFonts w:ascii="Arial" w:cs="Arial" w:eastAsia="Arial" w:hAnsi="Arial"/>
                <w:sz w:val="18"/>
                <w:szCs w:val="18"/>
                <w:color w:val="auto"/>
              </w:rPr>
              <w:t>Defined benefit pension plans</w:t>
            </w:r>
          </w:p>
        </w:tc>
        <w:tc>
          <w:tcPr>
            <w:tcW w:w="720" w:type="dxa"/>
            <w:vAlign w:val="bottom"/>
            <w:shd w:val="clear" w:color="auto" w:fill="D8D8D8"/>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shd w:val="clear" w:color="auto" w:fill="D8D8D8"/>
          </w:tcPr>
          <w:p>
            <w:pPr>
              <w:jc w:val="right"/>
              <w:ind w:right="36"/>
              <w:spacing w:after="0"/>
              <w:rPr>
                <w:sz w:val="20"/>
                <w:szCs w:val="20"/>
                <w:color w:val="auto"/>
              </w:rPr>
            </w:pPr>
            <w:r>
              <w:rPr>
                <w:rFonts w:ascii="Arial" w:cs="Arial" w:eastAsia="Arial" w:hAnsi="Arial"/>
                <w:sz w:val="18"/>
                <w:szCs w:val="18"/>
                <w:color w:val="auto"/>
              </w:rPr>
              <w:t>458.4</w:t>
            </w:r>
          </w:p>
        </w:tc>
        <w:tc>
          <w:tcPr>
            <w:tcW w:w="400" w:type="dxa"/>
            <w:vAlign w:val="bottom"/>
            <w:shd w:val="clear" w:color="auto" w:fill="D8D8D8"/>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shd w:val="clear" w:color="auto" w:fill="D8D8D8"/>
          </w:tcPr>
          <w:p>
            <w:pPr>
              <w:jc w:val="right"/>
              <w:ind w:right="36"/>
              <w:spacing w:after="0"/>
              <w:rPr>
                <w:sz w:val="20"/>
                <w:szCs w:val="20"/>
                <w:color w:val="auto"/>
              </w:rPr>
            </w:pPr>
            <w:r>
              <w:rPr>
                <w:rFonts w:ascii="Arial" w:cs="Arial" w:eastAsia="Arial" w:hAnsi="Arial"/>
                <w:sz w:val="18"/>
                <w:szCs w:val="18"/>
                <w:color w:val="auto"/>
              </w:rPr>
              <w:t>465.2</w:t>
            </w:r>
          </w:p>
        </w:tc>
        <w:tc>
          <w:tcPr>
            <w:tcW w:w="400" w:type="dxa"/>
            <w:vAlign w:val="bottom"/>
            <w:shd w:val="clear" w:color="auto" w:fill="D8D8D8"/>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shd w:val="clear" w:color="auto" w:fill="D8D8D8"/>
          </w:tcPr>
          <w:p>
            <w:pPr>
              <w:jc w:val="right"/>
              <w:ind w:right="36"/>
              <w:spacing w:after="0"/>
              <w:rPr>
                <w:sz w:val="20"/>
                <w:szCs w:val="20"/>
                <w:color w:val="auto"/>
              </w:rPr>
            </w:pPr>
            <w:r>
              <w:rPr>
                <w:rFonts w:ascii="Arial" w:cs="Arial" w:eastAsia="Arial" w:hAnsi="Arial"/>
                <w:sz w:val="18"/>
                <w:szCs w:val="18"/>
                <w:color w:val="auto"/>
              </w:rPr>
              <w:t>480.3</w:t>
            </w:r>
          </w:p>
        </w:tc>
        <w:tc>
          <w:tcPr>
            <w:tcW w:w="400" w:type="dxa"/>
            <w:vAlign w:val="bottom"/>
            <w:shd w:val="clear" w:color="auto" w:fill="D8D8D8"/>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shd w:val="clear" w:color="auto" w:fill="D8D8D8"/>
          </w:tcPr>
          <w:p>
            <w:pPr>
              <w:jc w:val="right"/>
              <w:ind w:right="36"/>
              <w:spacing w:after="0"/>
              <w:rPr>
                <w:sz w:val="20"/>
                <w:szCs w:val="20"/>
                <w:color w:val="auto"/>
              </w:rPr>
            </w:pPr>
            <w:r>
              <w:rPr>
                <w:rFonts w:ascii="Arial" w:cs="Arial" w:eastAsia="Arial" w:hAnsi="Arial"/>
                <w:sz w:val="18"/>
                <w:szCs w:val="18"/>
                <w:color w:val="auto"/>
              </w:rPr>
              <w:t>498.8</w:t>
            </w:r>
          </w:p>
        </w:tc>
        <w:tc>
          <w:tcPr>
            <w:tcW w:w="400" w:type="dxa"/>
            <w:vAlign w:val="bottom"/>
            <w:shd w:val="clear" w:color="auto" w:fill="D8D8D8"/>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shd w:val="clear" w:color="auto" w:fill="D8D8D8"/>
          </w:tcPr>
          <w:p>
            <w:pPr>
              <w:jc w:val="right"/>
              <w:ind w:right="36"/>
              <w:spacing w:after="0"/>
              <w:rPr>
                <w:sz w:val="20"/>
                <w:szCs w:val="20"/>
                <w:color w:val="auto"/>
              </w:rPr>
            </w:pPr>
            <w:r>
              <w:rPr>
                <w:rFonts w:ascii="Arial" w:cs="Arial" w:eastAsia="Arial" w:hAnsi="Arial"/>
                <w:sz w:val="18"/>
                <w:szCs w:val="18"/>
                <w:color w:val="auto"/>
              </w:rPr>
              <w:t>518.5</w:t>
            </w:r>
          </w:p>
        </w:tc>
        <w:tc>
          <w:tcPr>
            <w:tcW w:w="3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D8D8D8"/>
          </w:tcPr>
          <w:p>
            <w:pPr>
              <w:jc w:val="right"/>
              <w:ind w:right="16"/>
              <w:spacing w:after="0"/>
              <w:rPr>
                <w:sz w:val="20"/>
                <w:szCs w:val="20"/>
                <w:color w:val="auto"/>
              </w:rPr>
            </w:pPr>
            <w:r>
              <w:rPr>
                <w:rFonts w:ascii="Arial" w:cs="Arial" w:eastAsia="Arial" w:hAnsi="Arial"/>
                <w:sz w:val="18"/>
                <w:szCs w:val="18"/>
                <w:color w:val="auto"/>
              </w:rPr>
              <w:t>2,987.5</w:t>
            </w:r>
          </w:p>
        </w:tc>
      </w:tr>
      <w:tr>
        <w:trPr>
          <w:trHeight w:val="261"/>
        </w:trPr>
        <w:tc>
          <w:tcPr>
            <w:tcW w:w="2840" w:type="dxa"/>
            <w:vAlign w:val="bottom"/>
          </w:tcPr>
          <w:p>
            <w:pPr>
              <w:ind w:left="40"/>
              <w:spacing w:after="0"/>
              <w:rPr>
                <w:sz w:val="20"/>
                <w:szCs w:val="20"/>
                <w:color w:val="auto"/>
              </w:rPr>
            </w:pPr>
            <w:r>
              <w:rPr>
                <w:rFonts w:ascii="Arial" w:cs="Arial" w:eastAsia="Arial" w:hAnsi="Arial"/>
                <w:sz w:val="18"/>
                <w:szCs w:val="18"/>
                <w:color w:val="auto"/>
              </w:rPr>
              <w:t>Retiree health benefit plans</w:t>
            </w:r>
          </w:p>
        </w:tc>
        <w:tc>
          <w:tcPr>
            <w:tcW w:w="720" w:type="dxa"/>
            <w:vAlign w:val="bottom"/>
          </w:tcPr>
          <w:p>
            <w:pPr>
              <w:spacing w:after="0"/>
              <w:rPr>
                <w:sz w:val="22"/>
                <w:szCs w:val="22"/>
                <w:color w:val="auto"/>
              </w:rPr>
            </w:pPr>
          </w:p>
        </w:tc>
        <w:tc>
          <w:tcPr>
            <w:tcW w:w="980" w:type="dxa"/>
            <w:vAlign w:val="bottom"/>
          </w:tcPr>
          <w:p>
            <w:pPr>
              <w:jc w:val="right"/>
              <w:ind w:right="36"/>
              <w:spacing w:after="0"/>
              <w:rPr>
                <w:sz w:val="20"/>
                <w:szCs w:val="20"/>
                <w:color w:val="auto"/>
              </w:rPr>
            </w:pPr>
            <w:r>
              <w:rPr>
                <w:rFonts w:ascii="Arial" w:cs="Arial" w:eastAsia="Arial" w:hAnsi="Arial"/>
                <w:sz w:val="18"/>
                <w:szCs w:val="18"/>
                <w:color w:val="auto"/>
              </w:rPr>
              <w:t>70.7</w:t>
            </w:r>
          </w:p>
        </w:tc>
        <w:tc>
          <w:tcPr>
            <w:tcW w:w="400" w:type="dxa"/>
            <w:vAlign w:val="bottom"/>
          </w:tcPr>
          <w:p>
            <w:pPr>
              <w:spacing w:after="0"/>
              <w:rPr>
                <w:sz w:val="22"/>
                <w:szCs w:val="22"/>
                <w:color w:val="auto"/>
              </w:rPr>
            </w:pPr>
          </w:p>
        </w:tc>
        <w:tc>
          <w:tcPr>
            <w:tcW w:w="980" w:type="dxa"/>
            <w:vAlign w:val="bottom"/>
          </w:tcPr>
          <w:p>
            <w:pPr>
              <w:jc w:val="right"/>
              <w:ind w:right="36"/>
              <w:spacing w:after="0"/>
              <w:rPr>
                <w:sz w:val="20"/>
                <w:szCs w:val="20"/>
                <w:color w:val="auto"/>
              </w:rPr>
            </w:pPr>
            <w:r>
              <w:rPr>
                <w:rFonts w:ascii="Arial" w:cs="Arial" w:eastAsia="Arial" w:hAnsi="Arial"/>
                <w:sz w:val="18"/>
                <w:szCs w:val="18"/>
                <w:color w:val="auto"/>
              </w:rPr>
              <w:t>75.3</w:t>
            </w:r>
          </w:p>
        </w:tc>
        <w:tc>
          <w:tcPr>
            <w:tcW w:w="400" w:type="dxa"/>
            <w:vAlign w:val="bottom"/>
          </w:tcPr>
          <w:p>
            <w:pPr>
              <w:spacing w:after="0"/>
              <w:rPr>
                <w:sz w:val="22"/>
                <w:szCs w:val="22"/>
                <w:color w:val="auto"/>
              </w:rPr>
            </w:pPr>
          </w:p>
        </w:tc>
        <w:tc>
          <w:tcPr>
            <w:tcW w:w="980" w:type="dxa"/>
            <w:vAlign w:val="bottom"/>
          </w:tcPr>
          <w:p>
            <w:pPr>
              <w:jc w:val="right"/>
              <w:ind w:right="36"/>
              <w:spacing w:after="0"/>
              <w:rPr>
                <w:sz w:val="20"/>
                <w:szCs w:val="20"/>
                <w:color w:val="auto"/>
              </w:rPr>
            </w:pPr>
            <w:r>
              <w:rPr>
                <w:rFonts w:ascii="Arial" w:cs="Arial" w:eastAsia="Arial" w:hAnsi="Arial"/>
                <w:sz w:val="18"/>
                <w:szCs w:val="18"/>
                <w:color w:val="auto"/>
              </w:rPr>
              <w:t>78.3</w:t>
            </w:r>
          </w:p>
        </w:tc>
        <w:tc>
          <w:tcPr>
            <w:tcW w:w="400" w:type="dxa"/>
            <w:vAlign w:val="bottom"/>
          </w:tcPr>
          <w:p>
            <w:pPr>
              <w:spacing w:after="0"/>
              <w:rPr>
                <w:sz w:val="22"/>
                <w:szCs w:val="22"/>
                <w:color w:val="auto"/>
              </w:rPr>
            </w:pPr>
          </w:p>
        </w:tc>
        <w:tc>
          <w:tcPr>
            <w:tcW w:w="980" w:type="dxa"/>
            <w:vAlign w:val="bottom"/>
          </w:tcPr>
          <w:p>
            <w:pPr>
              <w:jc w:val="right"/>
              <w:ind w:right="36"/>
              <w:spacing w:after="0"/>
              <w:rPr>
                <w:sz w:val="20"/>
                <w:szCs w:val="20"/>
                <w:color w:val="auto"/>
              </w:rPr>
            </w:pPr>
            <w:r>
              <w:rPr>
                <w:rFonts w:ascii="Arial" w:cs="Arial" w:eastAsia="Arial" w:hAnsi="Arial"/>
                <w:sz w:val="18"/>
                <w:szCs w:val="18"/>
                <w:color w:val="auto"/>
              </w:rPr>
              <w:t>81.1</w:t>
            </w:r>
          </w:p>
        </w:tc>
        <w:tc>
          <w:tcPr>
            <w:tcW w:w="400" w:type="dxa"/>
            <w:vAlign w:val="bottom"/>
          </w:tcPr>
          <w:p>
            <w:pPr>
              <w:spacing w:after="0"/>
              <w:rPr>
                <w:sz w:val="22"/>
                <w:szCs w:val="22"/>
                <w:color w:val="auto"/>
              </w:rPr>
            </w:pPr>
          </w:p>
        </w:tc>
        <w:tc>
          <w:tcPr>
            <w:tcW w:w="980" w:type="dxa"/>
            <w:vAlign w:val="bottom"/>
          </w:tcPr>
          <w:p>
            <w:pPr>
              <w:jc w:val="right"/>
              <w:ind w:right="36"/>
              <w:spacing w:after="0"/>
              <w:rPr>
                <w:sz w:val="20"/>
                <w:szCs w:val="20"/>
                <w:color w:val="auto"/>
              </w:rPr>
            </w:pPr>
            <w:r>
              <w:rPr>
                <w:rFonts w:ascii="Arial" w:cs="Arial" w:eastAsia="Arial" w:hAnsi="Arial"/>
                <w:sz w:val="18"/>
                <w:szCs w:val="18"/>
                <w:color w:val="auto"/>
              </w:rPr>
              <w:t>84.0</w:t>
            </w:r>
          </w:p>
        </w:tc>
        <w:tc>
          <w:tcPr>
            <w:tcW w:w="300" w:type="dxa"/>
            <w:vAlign w:val="bottom"/>
          </w:tcPr>
          <w:p>
            <w:pPr>
              <w:spacing w:after="0"/>
              <w:rPr>
                <w:sz w:val="22"/>
                <w:szCs w:val="22"/>
                <w:color w:val="auto"/>
              </w:rPr>
            </w:pPr>
          </w:p>
        </w:tc>
        <w:tc>
          <w:tcPr>
            <w:tcW w:w="1060" w:type="dxa"/>
            <w:vAlign w:val="bottom"/>
          </w:tcPr>
          <w:p>
            <w:pPr>
              <w:jc w:val="right"/>
              <w:ind w:right="16"/>
              <w:spacing w:after="0"/>
              <w:rPr>
                <w:sz w:val="20"/>
                <w:szCs w:val="20"/>
                <w:color w:val="auto"/>
              </w:rPr>
            </w:pPr>
            <w:r>
              <w:rPr>
                <w:rFonts w:ascii="Arial" w:cs="Arial" w:eastAsia="Arial" w:hAnsi="Arial"/>
                <w:sz w:val="18"/>
                <w:szCs w:val="18"/>
                <w:color w:val="auto"/>
              </w:rPr>
              <w:t>464.2</w:t>
            </w:r>
          </w:p>
        </w:tc>
      </w:tr>
    </w:tbl>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Amounts relating to defined benefit pension plans with projected benefit obligations in excess of plan assets were as follows at December 31:</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500" w:type="dxa"/>
            <w:vAlign w:val="bottom"/>
            <w:tcBorders>
              <w:bottom w:val="single" w:sz="8" w:color="auto"/>
            </w:tcBorders>
          </w:tcPr>
          <w:p>
            <w:pPr>
              <w:spacing w:after="0"/>
              <w:rPr>
                <w:sz w:val="17"/>
                <w:szCs w:val="17"/>
                <w:color w:val="auto"/>
              </w:rPr>
            </w:pPr>
          </w:p>
        </w:tc>
        <w:tc>
          <w:tcPr>
            <w:tcW w:w="35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2015</w:t>
            </w:r>
          </w:p>
        </w:tc>
        <w:tc>
          <w:tcPr>
            <w:tcW w:w="3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2014</w:t>
            </w:r>
          </w:p>
        </w:tc>
      </w:tr>
      <w:tr>
        <w:trPr>
          <w:trHeight w:val="265"/>
        </w:trPr>
        <w:tc>
          <w:tcPr>
            <w:tcW w:w="5500" w:type="dxa"/>
            <w:vAlign w:val="bottom"/>
            <w:shd w:val="clear" w:color="auto" w:fill="D8D8D8"/>
          </w:tcPr>
          <w:p>
            <w:pPr>
              <w:ind w:left="40"/>
              <w:spacing w:after="0"/>
              <w:rPr>
                <w:sz w:val="20"/>
                <w:szCs w:val="20"/>
                <w:color w:val="auto"/>
              </w:rPr>
            </w:pPr>
            <w:r>
              <w:rPr>
                <w:rFonts w:ascii="Arial" w:cs="Arial" w:eastAsia="Arial" w:hAnsi="Arial"/>
                <w:sz w:val="18"/>
                <w:szCs w:val="18"/>
                <w:color w:val="auto"/>
              </w:rPr>
              <w:t>Projected benefit obligation</w:t>
            </w:r>
          </w:p>
        </w:tc>
        <w:tc>
          <w:tcPr>
            <w:tcW w:w="3560" w:type="dxa"/>
            <w:vAlign w:val="bottom"/>
            <w:shd w:val="clear" w:color="auto" w:fill="D8D8D8"/>
          </w:tcPr>
          <w:p>
            <w:pPr>
              <w:jc w:val="right"/>
              <w:ind w:right="70"/>
              <w:spacing w:after="0"/>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D8D8D8"/>
          </w:tcPr>
          <w:p>
            <w:pPr>
              <w:jc w:val="right"/>
              <w:ind w:right="36"/>
              <w:spacing w:after="0"/>
              <w:rPr>
                <w:sz w:val="20"/>
                <w:szCs w:val="20"/>
                <w:color w:val="auto"/>
              </w:rPr>
            </w:pPr>
            <w:r>
              <w:rPr>
                <w:rFonts w:ascii="Arial" w:cs="Arial" w:eastAsia="Arial" w:hAnsi="Arial"/>
                <w:sz w:val="18"/>
                <w:szCs w:val="18"/>
                <w:b w:val="1"/>
                <w:bCs w:val="1"/>
                <w:color w:val="auto"/>
              </w:rPr>
              <w:t>10,054.1</w:t>
            </w:r>
          </w:p>
        </w:tc>
        <w:tc>
          <w:tcPr>
            <w:tcW w:w="380" w:type="dxa"/>
            <w:vAlign w:val="bottom"/>
            <w:shd w:val="clear" w:color="auto" w:fill="D8D8D8"/>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shd w:val="clear" w:color="auto" w:fill="D8D8D8"/>
          </w:tcPr>
          <w:p>
            <w:pPr>
              <w:jc w:val="right"/>
              <w:ind w:right="16"/>
              <w:spacing w:after="0"/>
              <w:rPr>
                <w:sz w:val="20"/>
                <w:szCs w:val="20"/>
                <w:color w:val="auto"/>
              </w:rPr>
            </w:pPr>
            <w:r>
              <w:rPr>
                <w:rFonts w:ascii="Arial" w:cs="Arial" w:eastAsia="Arial" w:hAnsi="Arial"/>
                <w:sz w:val="18"/>
                <w:szCs w:val="18"/>
                <w:color w:val="auto"/>
              </w:rPr>
              <w:t>10,537.2</w:t>
            </w:r>
          </w:p>
        </w:tc>
      </w:tr>
      <w:tr>
        <w:trPr>
          <w:trHeight w:val="269"/>
        </w:trPr>
        <w:tc>
          <w:tcPr>
            <w:tcW w:w="5500" w:type="dxa"/>
            <w:vAlign w:val="bottom"/>
          </w:tcPr>
          <w:p>
            <w:pPr>
              <w:ind w:left="40"/>
              <w:spacing w:after="0"/>
              <w:rPr>
                <w:sz w:val="20"/>
                <w:szCs w:val="20"/>
                <w:color w:val="auto"/>
              </w:rPr>
            </w:pPr>
            <w:r>
              <w:rPr>
                <w:rFonts w:ascii="Arial" w:cs="Arial" w:eastAsia="Arial" w:hAnsi="Arial"/>
                <w:sz w:val="18"/>
                <w:szCs w:val="18"/>
                <w:color w:val="auto"/>
              </w:rPr>
              <w:t>Fair value of plan assets</w:t>
            </w:r>
          </w:p>
        </w:tc>
        <w:tc>
          <w:tcPr>
            <w:tcW w:w="3560" w:type="dxa"/>
            <w:vAlign w:val="bottom"/>
          </w:tcPr>
          <w:p>
            <w:pPr>
              <w:spacing w:after="0"/>
              <w:rPr>
                <w:sz w:val="23"/>
                <w:szCs w:val="23"/>
                <w:color w:val="auto"/>
              </w:rPr>
            </w:pPr>
          </w:p>
        </w:tc>
        <w:tc>
          <w:tcPr>
            <w:tcW w:w="1000" w:type="dxa"/>
            <w:vAlign w:val="bottom"/>
          </w:tcPr>
          <w:p>
            <w:pPr>
              <w:jc w:val="right"/>
              <w:ind w:right="36"/>
              <w:spacing w:after="0"/>
              <w:rPr>
                <w:sz w:val="20"/>
                <w:szCs w:val="20"/>
                <w:color w:val="auto"/>
              </w:rPr>
            </w:pPr>
            <w:r>
              <w:rPr>
                <w:rFonts w:ascii="Arial" w:cs="Arial" w:eastAsia="Arial" w:hAnsi="Arial"/>
                <w:sz w:val="18"/>
                <w:szCs w:val="18"/>
                <w:b w:val="1"/>
                <w:bCs w:val="1"/>
                <w:color w:val="auto"/>
              </w:rPr>
              <w:t>8,069.7</w:t>
            </w:r>
          </w:p>
        </w:tc>
        <w:tc>
          <w:tcPr>
            <w:tcW w:w="380" w:type="dxa"/>
            <w:vAlign w:val="bottom"/>
          </w:tcPr>
          <w:p>
            <w:pPr>
              <w:spacing w:after="0"/>
              <w:rPr>
                <w:sz w:val="23"/>
                <w:szCs w:val="23"/>
                <w:color w:val="auto"/>
              </w:rPr>
            </w:pPr>
          </w:p>
        </w:tc>
        <w:tc>
          <w:tcPr>
            <w:tcW w:w="980" w:type="dxa"/>
            <w:vAlign w:val="bottom"/>
          </w:tcPr>
          <w:p>
            <w:pPr>
              <w:jc w:val="right"/>
              <w:ind w:right="16"/>
              <w:spacing w:after="0"/>
              <w:rPr>
                <w:sz w:val="20"/>
                <w:szCs w:val="20"/>
                <w:color w:val="auto"/>
              </w:rPr>
            </w:pPr>
            <w:r>
              <w:rPr>
                <w:rFonts w:ascii="Arial" w:cs="Arial" w:eastAsia="Arial" w:hAnsi="Arial"/>
                <w:sz w:val="18"/>
                <w:szCs w:val="18"/>
                <w:color w:val="auto"/>
              </w:rPr>
              <w:t>8,149.2</w:t>
            </w:r>
          </w:p>
        </w:tc>
      </w:tr>
    </w:tbl>
    <w:p>
      <w:pPr>
        <w:spacing w:after="0" w:line="141" w:lineRule="exact"/>
        <w:rPr>
          <w:sz w:val="20"/>
          <w:szCs w:val="20"/>
          <w:color w:val="auto"/>
        </w:rPr>
      </w:pPr>
    </w:p>
    <w:p>
      <w:pPr>
        <w:ind w:right="40"/>
        <w:spacing w:after="0" w:line="292" w:lineRule="auto"/>
        <w:rPr>
          <w:sz w:val="20"/>
          <w:szCs w:val="20"/>
          <w:color w:val="auto"/>
        </w:rPr>
      </w:pPr>
      <w:r>
        <w:rPr>
          <w:rFonts w:ascii="Arial" w:cs="Arial" w:eastAsia="Arial" w:hAnsi="Arial"/>
          <w:sz w:val="18"/>
          <w:szCs w:val="18"/>
          <w:color w:val="auto"/>
        </w:rPr>
        <w:t>Amounts relating to defined benefit pension plans and retiree health benefit plans with accumulated benefit obligations in excess of plan assets were as follows at December 31:</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60" w:type="dxa"/>
            <w:vAlign w:val="bottom"/>
            <w:gridSpan w:val="3"/>
          </w:tcPr>
          <w:p>
            <w:pPr>
              <w:jc w:val="center"/>
              <w:ind w:right="216"/>
              <w:spacing w:after="0"/>
              <w:rPr>
                <w:sz w:val="20"/>
                <w:szCs w:val="20"/>
                <w:color w:val="auto"/>
              </w:rPr>
            </w:pPr>
            <w:r>
              <w:rPr>
                <w:rFonts w:ascii="Arial" w:cs="Arial" w:eastAsia="Arial" w:hAnsi="Arial"/>
                <w:sz w:val="14"/>
                <w:szCs w:val="14"/>
                <w:b w:val="1"/>
                <w:bCs w:val="1"/>
                <w:color w:val="auto"/>
              </w:rPr>
              <w:t>Defined Benefit</w:t>
            </w:r>
          </w:p>
        </w:tc>
        <w:tc>
          <w:tcPr>
            <w:tcW w:w="400" w:type="dxa"/>
            <w:vAlign w:val="bottom"/>
          </w:tcPr>
          <w:p>
            <w:pPr>
              <w:spacing w:after="0"/>
              <w:rPr>
                <w:sz w:val="14"/>
                <w:szCs w:val="14"/>
                <w:color w:val="auto"/>
              </w:rPr>
            </w:pPr>
          </w:p>
        </w:tc>
        <w:tc>
          <w:tcPr>
            <w:tcW w:w="1520" w:type="dxa"/>
            <w:vAlign w:val="bottom"/>
            <w:gridSpan w:val="2"/>
          </w:tcPr>
          <w:p>
            <w:pPr>
              <w:jc w:val="center"/>
              <w:ind w:left="461"/>
              <w:spacing w:after="0"/>
              <w:rPr>
                <w:sz w:val="20"/>
                <w:szCs w:val="20"/>
                <w:color w:val="auto"/>
              </w:rPr>
            </w:pPr>
            <w:r>
              <w:rPr>
                <w:rFonts w:ascii="Arial" w:cs="Arial" w:eastAsia="Arial" w:hAnsi="Arial"/>
                <w:sz w:val="14"/>
                <w:szCs w:val="14"/>
                <w:b w:val="1"/>
                <w:bCs w:val="1"/>
                <w:color w:val="auto"/>
              </w:rPr>
              <w:t>Retiree Health</w:t>
            </w:r>
          </w:p>
        </w:tc>
        <w:tc>
          <w:tcPr>
            <w:tcW w:w="820" w:type="dxa"/>
            <w:vAlign w:val="bottom"/>
          </w:tcPr>
          <w:p>
            <w:pPr>
              <w:spacing w:after="0"/>
              <w:rPr>
                <w:sz w:val="14"/>
                <w:szCs w:val="14"/>
                <w:color w:val="auto"/>
              </w:rPr>
            </w:pPr>
          </w:p>
        </w:tc>
      </w:tr>
      <w:tr>
        <w:trPr>
          <w:trHeight w:val="203"/>
        </w:trPr>
        <w:tc>
          <w:tcPr>
            <w:tcW w:w="60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2"/>
          </w:tcPr>
          <w:p>
            <w:pPr>
              <w:jc w:val="center"/>
              <w:ind w:left="441"/>
              <w:spacing w:after="0"/>
              <w:rPr>
                <w:sz w:val="20"/>
                <w:szCs w:val="20"/>
                <w:color w:val="auto"/>
              </w:rPr>
            </w:pPr>
            <w:r>
              <w:rPr>
                <w:rFonts w:ascii="Arial" w:cs="Arial" w:eastAsia="Arial" w:hAnsi="Arial"/>
                <w:sz w:val="14"/>
                <w:szCs w:val="14"/>
                <w:b w:val="1"/>
                <w:bCs w:val="1"/>
                <w:color w:val="auto"/>
              </w:rPr>
              <w:t>Pension Plans</w:t>
            </w:r>
          </w:p>
        </w:tc>
        <w:tc>
          <w:tcPr>
            <w:tcW w:w="8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2"/>
          </w:tcPr>
          <w:p>
            <w:pPr>
              <w:jc w:val="center"/>
              <w:ind w:left="461"/>
              <w:spacing w:after="0"/>
              <w:rPr>
                <w:sz w:val="20"/>
                <w:szCs w:val="20"/>
                <w:color w:val="auto"/>
              </w:rPr>
            </w:pPr>
            <w:r>
              <w:rPr>
                <w:rFonts w:ascii="Arial" w:cs="Arial" w:eastAsia="Arial" w:hAnsi="Arial"/>
                <w:sz w:val="14"/>
                <w:szCs w:val="14"/>
                <w:b w:val="1"/>
                <w:bCs w:val="1"/>
                <w:color w:val="auto"/>
              </w:rPr>
              <w:t>Benefit Plans</w:t>
            </w:r>
          </w:p>
        </w:tc>
        <w:tc>
          <w:tcPr>
            <w:tcW w:w="820" w:type="dxa"/>
            <w:vAlign w:val="bottom"/>
            <w:tcBorders>
              <w:bottom w:val="single" w:sz="8" w:color="auto"/>
            </w:tcBorders>
          </w:tcPr>
          <w:p>
            <w:pPr>
              <w:spacing w:after="0"/>
              <w:rPr>
                <w:sz w:val="17"/>
                <w:szCs w:val="17"/>
                <w:color w:val="auto"/>
              </w:rPr>
            </w:pPr>
          </w:p>
        </w:tc>
      </w:tr>
      <w:tr>
        <w:trPr>
          <w:trHeight w:val="264"/>
        </w:trPr>
        <w:tc>
          <w:tcPr>
            <w:tcW w:w="60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2015</w:t>
            </w:r>
          </w:p>
        </w:tc>
        <w:tc>
          <w:tcPr>
            <w:tcW w:w="5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2014</w:t>
            </w:r>
          </w:p>
        </w:tc>
        <w:tc>
          <w:tcPr>
            <w:tcW w:w="4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2015</w:t>
            </w:r>
          </w:p>
        </w:tc>
        <w:tc>
          <w:tcPr>
            <w:tcW w:w="5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2014</w:t>
            </w:r>
          </w:p>
        </w:tc>
      </w:tr>
      <w:tr>
        <w:trPr>
          <w:trHeight w:val="264"/>
        </w:trPr>
        <w:tc>
          <w:tcPr>
            <w:tcW w:w="6020" w:type="dxa"/>
            <w:vAlign w:val="bottom"/>
          </w:tcPr>
          <w:p>
            <w:pPr>
              <w:ind w:left="40"/>
              <w:spacing w:after="0"/>
              <w:rPr>
                <w:sz w:val="20"/>
                <w:szCs w:val="20"/>
                <w:color w:val="auto"/>
              </w:rPr>
            </w:pPr>
            <w:r>
              <w:rPr>
                <w:rFonts w:ascii="Arial" w:cs="Arial" w:eastAsia="Arial" w:hAnsi="Arial"/>
                <w:sz w:val="18"/>
                <w:szCs w:val="18"/>
                <w:color w:val="auto"/>
              </w:rPr>
              <w:t>Accumulated benefit obligation</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ind w:right="41"/>
              <w:spacing w:after="0"/>
              <w:rPr>
                <w:sz w:val="20"/>
                <w:szCs w:val="20"/>
                <w:color w:val="auto"/>
              </w:rPr>
            </w:pPr>
            <w:r>
              <w:rPr>
                <w:rFonts w:ascii="Arial" w:cs="Arial" w:eastAsia="Arial" w:hAnsi="Arial"/>
                <w:sz w:val="18"/>
                <w:szCs w:val="18"/>
                <w:b w:val="1"/>
                <w:bCs w:val="1"/>
                <w:color w:val="auto"/>
              </w:rPr>
              <w:t>2,028.1</w:t>
            </w:r>
          </w:p>
        </w:tc>
        <w:tc>
          <w:tcPr>
            <w:tcW w:w="56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6"/>
              <w:spacing w:after="0"/>
              <w:rPr>
                <w:sz w:val="20"/>
                <w:szCs w:val="20"/>
                <w:color w:val="auto"/>
              </w:rPr>
            </w:pPr>
            <w:r>
              <w:rPr>
                <w:rFonts w:ascii="Arial" w:cs="Arial" w:eastAsia="Arial" w:hAnsi="Arial"/>
                <w:sz w:val="18"/>
                <w:szCs w:val="18"/>
                <w:color w:val="auto"/>
              </w:rPr>
              <w:t>2,179.8</w:t>
            </w:r>
          </w:p>
        </w:tc>
        <w:tc>
          <w:tcPr>
            <w:tcW w:w="400" w:type="dxa"/>
            <w:vAlign w:val="bottom"/>
          </w:tcPr>
          <w:p>
            <w:pPr>
              <w:jc w:val="right"/>
              <w:ind w:right="9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41"/>
              <w:spacing w:after="0"/>
              <w:rPr>
                <w:sz w:val="20"/>
                <w:szCs w:val="20"/>
                <w:color w:val="auto"/>
              </w:rPr>
            </w:pPr>
            <w:r>
              <w:rPr>
                <w:rFonts w:ascii="Arial" w:cs="Arial" w:eastAsia="Arial" w:hAnsi="Arial"/>
                <w:sz w:val="18"/>
                <w:szCs w:val="18"/>
                <w:b w:val="1"/>
                <w:bCs w:val="1"/>
                <w:color w:val="auto"/>
              </w:rPr>
              <w:t>245.8</w:t>
            </w:r>
          </w:p>
        </w:tc>
        <w:tc>
          <w:tcPr>
            <w:tcW w:w="5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6"/>
              <w:spacing w:after="0"/>
              <w:rPr>
                <w:sz w:val="20"/>
                <w:szCs w:val="20"/>
                <w:color w:val="auto"/>
              </w:rPr>
            </w:pPr>
            <w:r>
              <w:rPr>
                <w:rFonts w:ascii="Arial" w:cs="Arial" w:eastAsia="Arial" w:hAnsi="Arial"/>
                <w:sz w:val="18"/>
                <w:szCs w:val="18"/>
                <w:color w:val="auto"/>
              </w:rPr>
              <w:t>244.2</w:t>
            </w:r>
          </w:p>
        </w:tc>
      </w:tr>
      <w:tr>
        <w:trPr>
          <w:trHeight w:val="271"/>
        </w:trPr>
        <w:tc>
          <w:tcPr>
            <w:tcW w:w="6020" w:type="dxa"/>
            <w:vAlign w:val="bottom"/>
            <w:shd w:val="clear" w:color="auto" w:fill="D8D8D8"/>
          </w:tcPr>
          <w:p>
            <w:pPr>
              <w:ind w:left="40"/>
              <w:spacing w:after="0"/>
              <w:rPr>
                <w:sz w:val="20"/>
                <w:szCs w:val="20"/>
                <w:color w:val="auto"/>
              </w:rPr>
            </w:pPr>
            <w:r>
              <w:rPr>
                <w:rFonts w:ascii="Arial" w:cs="Arial" w:eastAsia="Arial" w:hAnsi="Arial"/>
                <w:sz w:val="18"/>
                <w:szCs w:val="18"/>
                <w:color w:val="auto"/>
              </w:rPr>
              <w:t>Fair value of plan assets</w:t>
            </w:r>
          </w:p>
        </w:tc>
        <w:tc>
          <w:tcPr>
            <w:tcW w:w="300" w:type="dxa"/>
            <w:vAlign w:val="bottom"/>
            <w:shd w:val="clear" w:color="auto" w:fill="D8D8D8"/>
          </w:tcPr>
          <w:p>
            <w:pPr>
              <w:spacing w:after="0"/>
              <w:rPr>
                <w:sz w:val="23"/>
                <w:szCs w:val="23"/>
                <w:color w:val="auto"/>
              </w:rPr>
            </w:pPr>
          </w:p>
        </w:tc>
        <w:tc>
          <w:tcPr>
            <w:tcW w:w="980" w:type="dxa"/>
            <w:vAlign w:val="bottom"/>
            <w:shd w:val="clear" w:color="auto" w:fill="D8D8D8"/>
          </w:tcPr>
          <w:p>
            <w:pPr>
              <w:jc w:val="right"/>
              <w:ind w:right="41"/>
              <w:spacing w:after="0"/>
              <w:rPr>
                <w:sz w:val="20"/>
                <w:szCs w:val="20"/>
                <w:color w:val="auto"/>
              </w:rPr>
            </w:pPr>
            <w:r>
              <w:rPr>
                <w:rFonts w:ascii="Arial" w:cs="Arial" w:eastAsia="Arial" w:hAnsi="Arial"/>
                <w:sz w:val="18"/>
                <w:szCs w:val="18"/>
                <w:b w:val="1"/>
                <w:bCs w:val="1"/>
                <w:color w:val="auto"/>
              </w:rPr>
              <w:t>844.9</w:t>
            </w:r>
          </w:p>
        </w:tc>
        <w:tc>
          <w:tcPr>
            <w:tcW w:w="560" w:type="dxa"/>
            <w:vAlign w:val="bottom"/>
            <w:shd w:val="clear" w:color="auto" w:fill="D8D8D8"/>
          </w:tcPr>
          <w:p>
            <w:pPr>
              <w:spacing w:after="0"/>
              <w:rPr>
                <w:sz w:val="23"/>
                <w:szCs w:val="23"/>
                <w:color w:val="auto"/>
              </w:rPr>
            </w:pPr>
          </w:p>
        </w:tc>
        <w:tc>
          <w:tcPr>
            <w:tcW w:w="820" w:type="dxa"/>
            <w:vAlign w:val="bottom"/>
            <w:shd w:val="clear" w:color="auto" w:fill="D8D8D8"/>
          </w:tcPr>
          <w:p>
            <w:pPr>
              <w:jc w:val="right"/>
              <w:ind w:right="36"/>
              <w:spacing w:after="0"/>
              <w:rPr>
                <w:sz w:val="20"/>
                <w:szCs w:val="20"/>
                <w:color w:val="auto"/>
              </w:rPr>
            </w:pPr>
            <w:r>
              <w:rPr>
                <w:rFonts w:ascii="Arial" w:cs="Arial" w:eastAsia="Arial" w:hAnsi="Arial"/>
                <w:sz w:val="18"/>
                <w:szCs w:val="18"/>
                <w:color w:val="auto"/>
              </w:rPr>
              <w:t>700.9</w:t>
            </w:r>
          </w:p>
        </w:tc>
        <w:tc>
          <w:tcPr>
            <w:tcW w:w="400" w:type="dxa"/>
            <w:vAlign w:val="bottom"/>
            <w:shd w:val="clear" w:color="auto" w:fill="D8D8D8"/>
          </w:tcPr>
          <w:p>
            <w:pPr>
              <w:spacing w:after="0"/>
              <w:rPr>
                <w:sz w:val="23"/>
                <w:szCs w:val="23"/>
                <w:color w:val="auto"/>
              </w:rPr>
            </w:pPr>
          </w:p>
        </w:tc>
        <w:tc>
          <w:tcPr>
            <w:tcW w:w="980" w:type="dxa"/>
            <w:vAlign w:val="bottom"/>
            <w:shd w:val="clear" w:color="auto" w:fill="D8D8D8"/>
          </w:tcPr>
          <w:p>
            <w:pPr>
              <w:jc w:val="right"/>
              <w:ind w:right="41"/>
              <w:spacing w:after="0"/>
              <w:rPr>
                <w:sz w:val="20"/>
                <w:szCs w:val="20"/>
                <w:color w:val="auto"/>
              </w:rPr>
            </w:pPr>
            <w:r>
              <w:rPr>
                <w:rFonts w:ascii="Arial" w:cs="Arial" w:eastAsia="Arial" w:hAnsi="Arial"/>
                <w:sz w:val="18"/>
                <w:szCs w:val="18"/>
                <w:b w:val="1"/>
                <w:bCs w:val="1"/>
                <w:color w:val="auto"/>
              </w:rPr>
              <w:t>—</w:t>
            </w:r>
          </w:p>
        </w:tc>
        <w:tc>
          <w:tcPr>
            <w:tcW w:w="540" w:type="dxa"/>
            <w:vAlign w:val="bottom"/>
            <w:shd w:val="clear" w:color="auto" w:fill="D8D8D8"/>
          </w:tcPr>
          <w:p>
            <w:pPr>
              <w:spacing w:after="0"/>
              <w:rPr>
                <w:sz w:val="23"/>
                <w:szCs w:val="23"/>
                <w:color w:val="auto"/>
              </w:rPr>
            </w:pPr>
          </w:p>
        </w:tc>
        <w:tc>
          <w:tcPr>
            <w:tcW w:w="820" w:type="dxa"/>
            <w:vAlign w:val="bottom"/>
            <w:shd w:val="clear" w:color="auto" w:fill="D8D8D8"/>
          </w:tcPr>
          <w:p>
            <w:pPr>
              <w:jc w:val="right"/>
              <w:ind w:right="16"/>
              <w:spacing w:after="0"/>
              <w:rPr>
                <w:sz w:val="20"/>
                <w:szCs w:val="20"/>
                <w:color w:val="auto"/>
              </w:rPr>
            </w:pPr>
            <w:r>
              <w:rPr>
                <w:rFonts w:ascii="Arial" w:cs="Arial" w:eastAsia="Arial" w:hAnsi="Arial"/>
                <w:sz w:val="18"/>
                <w:szCs w:val="18"/>
                <w:color w:val="auto"/>
              </w:rPr>
              <w:t>—</w:t>
            </w:r>
          </w:p>
        </w:tc>
      </w:tr>
    </w:tbl>
    <w:p>
      <w:pPr>
        <w:spacing w:after="0" w:line="139" w:lineRule="exact"/>
        <w:rPr>
          <w:sz w:val="20"/>
          <w:szCs w:val="20"/>
          <w:color w:val="auto"/>
        </w:rPr>
      </w:pPr>
    </w:p>
    <w:p>
      <w:pPr>
        <w:ind w:right="140"/>
        <w:spacing w:after="0" w:line="292" w:lineRule="auto"/>
        <w:rPr>
          <w:sz w:val="20"/>
          <w:szCs w:val="20"/>
          <w:color w:val="auto"/>
        </w:rPr>
      </w:pPr>
      <w:r>
        <w:rPr>
          <w:rFonts w:ascii="Arial" w:cs="Arial" w:eastAsia="Arial" w:hAnsi="Arial"/>
          <w:sz w:val="18"/>
          <w:szCs w:val="18"/>
          <w:color w:val="auto"/>
        </w:rPr>
        <w:t>The total accumulated benefit obligation for our defined benefit pension plans was $10.75 billion and $10.88 billion at December 31, 2015 and 2014,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88</w:t>
      </w:r>
    </w:p>
    <w:p>
      <w:pPr>
        <w:sectPr>
          <w:pgSz w:w="11900" w:h="16838" w:orient="portrait"/>
          <w:cols w:equalWidth="0" w:num="1">
            <w:col w:w="11420"/>
          </w:cols>
          <w:pgMar w:left="240" w:top="684" w:right="239" w:bottom="1440" w:gutter="0" w:footer="0" w:header="0"/>
        </w:sectPr>
      </w:pPr>
    </w:p>
    <w:bookmarkStart w:id="88" w:name="page89"/>
    <w:bookmarkEnd w:id="88"/>
    <w:p>
      <w:pPr>
        <w:spacing w:after="0"/>
        <w:rPr>
          <w:sz w:val="20"/>
          <w:szCs w:val="20"/>
          <w:color w:val="auto"/>
        </w:rPr>
      </w:pPr>
      <w:r>
        <w:rPr>
          <w:rFonts w:ascii="Arial" w:cs="Arial" w:eastAsia="Arial" w:hAnsi="Arial"/>
          <w:sz w:val="18"/>
          <w:szCs w:val="18"/>
          <w:color w:val="auto"/>
        </w:rPr>
        <w:t>Net pension and retiree health benefit expense included the following components: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80" w:type="dxa"/>
            <w:vAlign w:val="bottom"/>
            <w:gridSpan w:val="2"/>
          </w:tcPr>
          <w:p>
            <w:pPr>
              <w:ind w:left="80"/>
              <w:spacing w:after="0"/>
              <w:rPr>
                <w:sz w:val="20"/>
                <w:szCs w:val="20"/>
                <w:color w:val="auto"/>
              </w:rPr>
            </w:pPr>
            <w:r>
              <w:rPr>
                <w:rFonts w:ascii="Arial" w:cs="Arial" w:eastAsia="Arial" w:hAnsi="Arial"/>
                <w:sz w:val="14"/>
                <w:szCs w:val="14"/>
                <w:b w:val="1"/>
                <w:bCs w:val="1"/>
                <w:color w:val="auto"/>
              </w:rPr>
              <w:t>Defined Benefit</w:t>
            </w: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60" w:type="dxa"/>
            <w:vAlign w:val="bottom"/>
            <w:gridSpan w:val="2"/>
          </w:tcPr>
          <w:p>
            <w:pPr>
              <w:ind w:left="120"/>
              <w:spacing w:after="0"/>
              <w:rPr>
                <w:sz w:val="20"/>
                <w:szCs w:val="20"/>
                <w:color w:val="auto"/>
              </w:rPr>
            </w:pPr>
            <w:r>
              <w:rPr>
                <w:rFonts w:ascii="Arial" w:cs="Arial" w:eastAsia="Arial" w:hAnsi="Arial"/>
                <w:sz w:val="14"/>
                <w:szCs w:val="14"/>
                <w:b w:val="1"/>
                <w:bCs w:val="1"/>
                <w:color w:val="auto"/>
              </w:rPr>
              <w:t>Retiree Health</w:t>
            </w: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203"/>
        </w:trPr>
        <w:tc>
          <w:tcPr>
            <w:tcW w:w="46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Pension Plans</w:t>
            </w:r>
          </w:p>
        </w:tc>
        <w:tc>
          <w:tcPr>
            <w:tcW w:w="2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2"/>
          </w:tcPr>
          <w:p>
            <w:pPr>
              <w:jc w:val="right"/>
              <w:ind w:right="13"/>
              <w:spacing w:after="0"/>
              <w:rPr>
                <w:sz w:val="20"/>
                <w:szCs w:val="20"/>
                <w:color w:val="auto"/>
              </w:rPr>
            </w:pPr>
            <w:r>
              <w:rPr>
                <w:rFonts w:ascii="Arial" w:cs="Arial" w:eastAsia="Arial" w:hAnsi="Arial"/>
                <w:sz w:val="14"/>
                <w:szCs w:val="14"/>
                <w:b w:val="1"/>
                <w:bCs w:val="1"/>
                <w:color w:val="auto"/>
              </w:rPr>
              <w:t>Benefit Plans</w:t>
            </w:r>
          </w:p>
        </w:tc>
        <w:tc>
          <w:tcPr>
            <w:tcW w:w="3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r>
      <w:tr>
        <w:trPr>
          <w:trHeight w:val="264"/>
        </w:trPr>
        <w:tc>
          <w:tcPr>
            <w:tcW w:w="464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2015</w:t>
            </w:r>
          </w:p>
        </w:tc>
        <w:tc>
          <w:tcPr>
            <w:tcW w:w="3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2013</w:t>
            </w:r>
          </w:p>
        </w:tc>
        <w:tc>
          <w:tcPr>
            <w:tcW w:w="3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2015</w:t>
            </w:r>
          </w:p>
        </w:tc>
        <w:tc>
          <w:tcPr>
            <w:tcW w:w="3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2014</w:t>
            </w:r>
          </w:p>
        </w:tc>
        <w:tc>
          <w:tcPr>
            <w:tcW w:w="3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2013</w:t>
            </w:r>
          </w:p>
        </w:tc>
      </w:tr>
      <w:tr>
        <w:trPr>
          <w:trHeight w:val="245"/>
        </w:trPr>
        <w:tc>
          <w:tcPr>
            <w:tcW w:w="4640" w:type="dxa"/>
            <w:vAlign w:val="bottom"/>
            <w:tcBorders>
              <w:bottom w:val="single" w:sz="8" w:color="D8D8D8"/>
            </w:tcBorders>
            <w:shd w:val="clear" w:color="auto" w:fill="D8D8D8"/>
          </w:tcPr>
          <w:p>
            <w:pPr>
              <w:ind w:left="40"/>
              <w:spacing w:after="0"/>
              <w:rPr>
                <w:sz w:val="20"/>
                <w:szCs w:val="20"/>
                <w:color w:val="auto"/>
              </w:rPr>
            </w:pPr>
            <w:r>
              <w:rPr>
                <w:rFonts w:ascii="Arial" w:cs="Arial" w:eastAsia="Arial" w:hAnsi="Arial"/>
                <w:sz w:val="18"/>
                <w:szCs w:val="18"/>
                <w:color w:val="auto"/>
              </w:rPr>
              <w:t>Components of net periodic (benefit) cost:</w:t>
            </w:r>
          </w:p>
        </w:tc>
        <w:tc>
          <w:tcPr>
            <w:tcW w:w="240" w:type="dxa"/>
            <w:vAlign w:val="bottom"/>
            <w:tcBorders>
              <w:bottom w:val="single" w:sz="8" w:color="D8D8D8"/>
            </w:tcBorders>
            <w:shd w:val="clear" w:color="auto" w:fill="D8D8D8"/>
          </w:tcPr>
          <w:p>
            <w:pPr>
              <w:spacing w:after="0"/>
              <w:rPr>
                <w:sz w:val="21"/>
                <w:szCs w:val="21"/>
                <w:color w:val="auto"/>
              </w:rPr>
            </w:pPr>
          </w:p>
        </w:tc>
        <w:tc>
          <w:tcPr>
            <w:tcW w:w="840" w:type="dxa"/>
            <w:vAlign w:val="bottom"/>
            <w:tcBorders>
              <w:bottom w:val="single" w:sz="8" w:color="D8D8D8"/>
            </w:tcBorders>
            <w:shd w:val="clear" w:color="auto" w:fill="D8D8D8"/>
          </w:tcPr>
          <w:p>
            <w:pPr>
              <w:spacing w:after="0"/>
              <w:rPr>
                <w:sz w:val="21"/>
                <w:szCs w:val="21"/>
                <w:color w:val="auto"/>
              </w:rPr>
            </w:pPr>
          </w:p>
        </w:tc>
        <w:tc>
          <w:tcPr>
            <w:tcW w:w="320" w:type="dxa"/>
            <w:vAlign w:val="bottom"/>
            <w:tcBorders>
              <w:bottom w:val="single" w:sz="8" w:color="D8D8D8"/>
            </w:tcBorders>
            <w:shd w:val="clear" w:color="auto" w:fill="D8D8D8"/>
          </w:tcPr>
          <w:p>
            <w:pPr>
              <w:spacing w:after="0"/>
              <w:rPr>
                <w:sz w:val="21"/>
                <w:szCs w:val="21"/>
                <w:color w:val="auto"/>
              </w:rPr>
            </w:pPr>
          </w:p>
        </w:tc>
        <w:tc>
          <w:tcPr>
            <w:tcW w:w="860" w:type="dxa"/>
            <w:vAlign w:val="bottom"/>
            <w:tcBorders>
              <w:bottom w:val="single" w:sz="8" w:color="D8D8D8"/>
            </w:tcBorders>
            <w:shd w:val="clear" w:color="auto" w:fill="D8D8D8"/>
          </w:tcPr>
          <w:p>
            <w:pPr>
              <w:spacing w:after="0"/>
              <w:rPr>
                <w:sz w:val="21"/>
                <w:szCs w:val="21"/>
                <w:color w:val="auto"/>
              </w:rPr>
            </w:pPr>
          </w:p>
        </w:tc>
        <w:tc>
          <w:tcPr>
            <w:tcW w:w="280" w:type="dxa"/>
            <w:vAlign w:val="bottom"/>
            <w:tcBorders>
              <w:bottom w:val="single" w:sz="8" w:color="D8D8D8"/>
            </w:tcBorders>
            <w:shd w:val="clear" w:color="auto" w:fill="D8D8D8"/>
          </w:tcPr>
          <w:p>
            <w:pPr>
              <w:spacing w:after="0"/>
              <w:rPr>
                <w:sz w:val="21"/>
                <w:szCs w:val="21"/>
                <w:color w:val="auto"/>
              </w:rPr>
            </w:pPr>
          </w:p>
        </w:tc>
        <w:tc>
          <w:tcPr>
            <w:tcW w:w="840" w:type="dxa"/>
            <w:vAlign w:val="bottom"/>
            <w:tcBorders>
              <w:bottom w:val="single" w:sz="8" w:color="D8D8D8"/>
            </w:tcBorders>
            <w:shd w:val="clear" w:color="auto" w:fill="D8D8D8"/>
          </w:tcPr>
          <w:p>
            <w:pPr>
              <w:spacing w:after="0"/>
              <w:rPr>
                <w:sz w:val="21"/>
                <w:szCs w:val="21"/>
                <w:color w:val="auto"/>
              </w:rPr>
            </w:pPr>
          </w:p>
        </w:tc>
        <w:tc>
          <w:tcPr>
            <w:tcW w:w="300" w:type="dxa"/>
            <w:vAlign w:val="bottom"/>
            <w:tcBorders>
              <w:bottom w:val="single" w:sz="8" w:color="D8D8D8"/>
            </w:tcBorders>
            <w:shd w:val="clear" w:color="auto" w:fill="D8D8D8"/>
          </w:tcPr>
          <w:p>
            <w:pPr>
              <w:spacing w:after="0"/>
              <w:rPr>
                <w:sz w:val="21"/>
                <w:szCs w:val="21"/>
                <w:color w:val="auto"/>
              </w:rPr>
            </w:pPr>
          </w:p>
        </w:tc>
        <w:tc>
          <w:tcPr>
            <w:tcW w:w="840" w:type="dxa"/>
            <w:vAlign w:val="bottom"/>
            <w:tcBorders>
              <w:bottom w:val="single" w:sz="8" w:color="D8D8D8"/>
            </w:tcBorders>
            <w:shd w:val="clear" w:color="auto" w:fill="D8D8D8"/>
          </w:tcPr>
          <w:p>
            <w:pPr>
              <w:spacing w:after="0"/>
              <w:rPr>
                <w:sz w:val="21"/>
                <w:szCs w:val="21"/>
                <w:color w:val="auto"/>
              </w:rPr>
            </w:pPr>
          </w:p>
        </w:tc>
        <w:tc>
          <w:tcPr>
            <w:tcW w:w="320" w:type="dxa"/>
            <w:vAlign w:val="bottom"/>
            <w:tcBorders>
              <w:bottom w:val="single" w:sz="8" w:color="D8D8D8"/>
            </w:tcBorders>
            <w:shd w:val="clear" w:color="auto" w:fill="D8D8D8"/>
          </w:tcPr>
          <w:p>
            <w:pPr>
              <w:spacing w:after="0"/>
              <w:rPr>
                <w:sz w:val="21"/>
                <w:szCs w:val="21"/>
                <w:color w:val="auto"/>
              </w:rPr>
            </w:pPr>
          </w:p>
        </w:tc>
        <w:tc>
          <w:tcPr>
            <w:tcW w:w="840" w:type="dxa"/>
            <w:vAlign w:val="bottom"/>
            <w:tcBorders>
              <w:bottom w:val="single" w:sz="8" w:color="D8D8D8"/>
            </w:tcBorders>
            <w:shd w:val="clear" w:color="auto" w:fill="D8D8D8"/>
          </w:tcPr>
          <w:p>
            <w:pPr>
              <w:spacing w:after="0"/>
              <w:rPr>
                <w:sz w:val="21"/>
                <w:szCs w:val="21"/>
                <w:color w:val="auto"/>
              </w:rPr>
            </w:pPr>
          </w:p>
        </w:tc>
        <w:tc>
          <w:tcPr>
            <w:tcW w:w="300" w:type="dxa"/>
            <w:vAlign w:val="bottom"/>
            <w:tcBorders>
              <w:bottom w:val="single" w:sz="8" w:color="D8D8D8"/>
            </w:tcBorders>
            <w:shd w:val="clear" w:color="auto" w:fill="D8D8D8"/>
          </w:tcPr>
          <w:p>
            <w:pPr>
              <w:spacing w:after="0"/>
              <w:rPr>
                <w:sz w:val="21"/>
                <w:szCs w:val="21"/>
                <w:color w:val="auto"/>
              </w:rPr>
            </w:pPr>
          </w:p>
        </w:tc>
        <w:tc>
          <w:tcPr>
            <w:tcW w:w="800" w:type="dxa"/>
            <w:vAlign w:val="bottom"/>
            <w:tcBorders>
              <w:bottom w:val="single" w:sz="8" w:color="D8D8D8"/>
            </w:tcBorders>
            <w:shd w:val="clear" w:color="auto" w:fill="D8D8D8"/>
          </w:tcPr>
          <w:p>
            <w:pPr>
              <w:spacing w:after="0"/>
              <w:rPr>
                <w:sz w:val="21"/>
                <w:szCs w:val="21"/>
                <w:color w:val="auto"/>
              </w:rPr>
            </w:pPr>
          </w:p>
        </w:tc>
      </w:tr>
      <w:tr>
        <w:trPr>
          <w:trHeight w:val="269"/>
        </w:trPr>
        <w:tc>
          <w:tcPr>
            <w:tcW w:w="4640" w:type="dxa"/>
            <w:vAlign w:val="bottom"/>
          </w:tcPr>
          <w:p>
            <w:pPr>
              <w:ind w:left="180"/>
              <w:spacing w:after="0"/>
              <w:rPr>
                <w:sz w:val="20"/>
                <w:szCs w:val="20"/>
                <w:color w:val="auto"/>
              </w:rPr>
            </w:pPr>
            <w:r>
              <w:rPr>
                <w:rFonts w:ascii="Arial" w:cs="Arial" w:eastAsia="Arial" w:hAnsi="Arial"/>
                <w:sz w:val="18"/>
                <w:szCs w:val="18"/>
                <w:color w:val="auto"/>
              </w:rPr>
              <w:t>Service cost</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Pr>
          <w:p>
            <w:pPr>
              <w:jc w:val="right"/>
              <w:ind w:right="53"/>
              <w:spacing w:after="0"/>
              <w:rPr>
                <w:sz w:val="20"/>
                <w:szCs w:val="20"/>
                <w:color w:val="auto"/>
              </w:rPr>
            </w:pPr>
            <w:r>
              <w:rPr>
                <w:rFonts w:ascii="Arial" w:cs="Arial" w:eastAsia="Arial" w:hAnsi="Arial"/>
                <w:sz w:val="18"/>
                <w:szCs w:val="18"/>
                <w:b w:val="1"/>
                <w:bCs w:val="1"/>
                <w:color w:val="auto"/>
              </w:rPr>
              <w:t>315.7</w:t>
            </w:r>
          </w:p>
        </w:tc>
        <w:tc>
          <w:tcPr>
            <w:tcW w:w="320" w:type="dxa"/>
            <w:vAlign w:val="bottom"/>
          </w:tcPr>
          <w:p>
            <w:pPr>
              <w:ind w:left="10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93"/>
              <w:spacing w:after="0"/>
              <w:rPr>
                <w:sz w:val="20"/>
                <w:szCs w:val="20"/>
                <w:color w:val="auto"/>
              </w:rPr>
            </w:pPr>
            <w:r>
              <w:rPr>
                <w:rFonts w:ascii="Arial" w:cs="Arial" w:eastAsia="Arial" w:hAnsi="Arial"/>
                <w:sz w:val="18"/>
                <w:szCs w:val="18"/>
                <w:color w:val="auto"/>
              </w:rPr>
              <w:t>240.9</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73"/>
              <w:spacing w:after="0"/>
              <w:rPr>
                <w:sz w:val="20"/>
                <w:szCs w:val="20"/>
                <w:color w:val="auto"/>
              </w:rPr>
            </w:pPr>
            <w:r>
              <w:rPr>
                <w:rFonts w:ascii="Arial" w:cs="Arial" w:eastAsia="Arial" w:hAnsi="Arial"/>
                <w:sz w:val="18"/>
                <w:szCs w:val="18"/>
                <w:color w:val="auto"/>
              </w:rPr>
              <w:t>287.1</w:t>
            </w:r>
          </w:p>
        </w:tc>
        <w:tc>
          <w:tcPr>
            <w:tcW w:w="30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ind w:right="53"/>
              <w:spacing w:after="0"/>
              <w:rPr>
                <w:sz w:val="20"/>
                <w:szCs w:val="20"/>
                <w:color w:val="auto"/>
              </w:rPr>
            </w:pPr>
            <w:r>
              <w:rPr>
                <w:rFonts w:ascii="Arial" w:cs="Arial" w:eastAsia="Arial" w:hAnsi="Arial"/>
                <w:sz w:val="18"/>
                <w:szCs w:val="18"/>
                <w:b w:val="1"/>
                <w:bCs w:val="1"/>
                <w:color w:val="auto"/>
              </w:rPr>
              <w:t>45.1</w:t>
            </w:r>
          </w:p>
        </w:tc>
        <w:tc>
          <w:tcPr>
            <w:tcW w:w="320" w:type="dxa"/>
            <w:vAlign w:val="bottom"/>
          </w:tcPr>
          <w:p>
            <w:pPr>
              <w:ind w:left="10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73"/>
              <w:spacing w:after="0"/>
              <w:rPr>
                <w:sz w:val="20"/>
                <w:szCs w:val="20"/>
                <w:color w:val="auto"/>
              </w:rPr>
            </w:pPr>
            <w:r>
              <w:rPr>
                <w:rFonts w:ascii="Arial" w:cs="Arial" w:eastAsia="Arial" w:hAnsi="Arial"/>
                <w:sz w:val="18"/>
                <w:szCs w:val="18"/>
                <w:color w:val="auto"/>
              </w:rPr>
              <w:t>33.0</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49.9</w:t>
            </w:r>
          </w:p>
        </w:tc>
      </w:tr>
      <w:tr>
        <w:trPr>
          <w:trHeight w:val="271"/>
        </w:trPr>
        <w:tc>
          <w:tcPr>
            <w:tcW w:w="4640" w:type="dxa"/>
            <w:vAlign w:val="bottom"/>
            <w:shd w:val="clear" w:color="auto" w:fill="D8D8D8"/>
          </w:tcPr>
          <w:p>
            <w:pPr>
              <w:ind w:left="180"/>
              <w:spacing w:after="0"/>
              <w:rPr>
                <w:sz w:val="20"/>
                <w:szCs w:val="20"/>
                <w:color w:val="auto"/>
              </w:rPr>
            </w:pPr>
            <w:r>
              <w:rPr>
                <w:rFonts w:ascii="Arial" w:cs="Arial" w:eastAsia="Arial" w:hAnsi="Arial"/>
                <w:sz w:val="18"/>
                <w:szCs w:val="18"/>
                <w:color w:val="auto"/>
              </w:rPr>
              <w:t>Interest cost</w:t>
            </w:r>
          </w:p>
        </w:tc>
        <w:tc>
          <w:tcPr>
            <w:tcW w:w="240" w:type="dxa"/>
            <w:vAlign w:val="bottom"/>
            <w:shd w:val="clear" w:color="auto" w:fill="D8D8D8"/>
          </w:tcPr>
          <w:p>
            <w:pPr>
              <w:spacing w:after="0"/>
              <w:rPr>
                <w:sz w:val="23"/>
                <w:szCs w:val="23"/>
                <w:color w:val="auto"/>
              </w:rPr>
            </w:pPr>
          </w:p>
        </w:tc>
        <w:tc>
          <w:tcPr>
            <w:tcW w:w="840" w:type="dxa"/>
            <w:vAlign w:val="bottom"/>
            <w:shd w:val="clear" w:color="auto" w:fill="D8D8D8"/>
          </w:tcPr>
          <w:p>
            <w:pPr>
              <w:jc w:val="right"/>
              <w:ind w:right="53"/>
              <w:spacing w:after="0"/>
              <w:rPr>
                <w:sz w:val="20"/>
                <w:szCs w:val="20"/>
                <w:color w:val="auto"/>
              </w:rPr>
            </w:pPr>
            <w:r>
              <w:rPr>
                <w:rFonts w:ascii="Arial" w:cs="Arial" w:eastAsia="Arial" w:hAnsi="Arial"/>
                <w:sz w:val="18"/>
                <w:szCs w:val="18"/>
                <w:b w:val="1"/>
                <w:bCs w:val="1"/>
                <w:color w:val="auto"/>
              </w:rPr>
              <w:t>476.8</w:t>
            </w:r>
          </w:p>
        </w:tc>
        <w:tc>
          <w:tcPr>
            <w:tcW w:w="320" w:type="dxa"/>
            <w:vAlign w:val="bottom"/>
            <w:shd w:val="clear" w:color="auto" w:fill="D8D8D8"/>
          </w:tcPr>
          <w:p>
            <w:pPr>
              <w:spacing w:after="0"/>
              <w:rPr>
                <w:sz w:val="23"/>
                <w:szCs w:val="23"/>
                <w:color w:val="auto"/>
              </w:rPr>
            </w:pPr>
          </w:p>
        </w:tc>
        <w:tc>
          <w:tcPr>
            <w:tcW w:w="860" w:type="dxa"/>
            <w:vAlign w:val="bottom"/>
            <w:shd w:val="clear" w:color="auto" w:fill="D8D8D8"/>
          </w:tcPr>
          <w:p>
            <w:pPr>
              <w:jc w:val="right"/>
              <w:ind w:right="93"/>
              <w:spacing w:after="0"/>
              <w:rPr>
                <w:sz w:val="20"/>
                <w:szCs w:val="20"/>
                <w:color w:val="auto"/>
              </w:rPr>
            </w:pPr>
            <w:r>
              <w:rPr>
                <w:rFonts w:ascii="Arial" w:cs="Arial" w:eastAsia="Arial" w:hAnsi="Arial"/>
                <w:sz w:val="18"/>
                <w:szCs w:val="18"/>
                <w:color w:val="auto"/>
              </w:rPr>
              <w:t>472.6</w:t>
            </w:r>
          </w:p>
        </w:tc>
        <w:tc>
          <w:tcPr>
            <w:tcW w:w="280" w:type="dxa"/>
            <w:vAlign w:val="bottom"/>
            <w:shd w:val="clear" w:color="auto" w:fill="D8D8D8"/>
          </w:tcPr>
          <w:p>
            <w:pPr>
              <w:spacing w:after="0"/>
              <w:rPr>
                <w:sz w:val="23"/>
                <w:szCs w:val="23"/>
                <w:color w:val="auto"/>
              </w:rPr>
            </w:pPr>
          </w:p>
        </w:tc>
        <w:tc>
          <w:tcPr>
            <w:tcW w:w="840" w:type="dxa"/>
            <w:vAlign w:val="bottom"/>
            <w:shd w:val="clear" w:color="auto" w:fill="D8D8D8"/>
          </w:tcPr>
          <w:p>
            <w:pPr>
              <w:jc w:val="right"/>
              <w:ind w:right="73"/>
              <w:spacing w:after="0"/>
              <w:rPr>
                <w:sz w:val="20"/>
                <w:szCs w:val="20"/>
                <w:color w:val="auto"/>
              </w:rPr>
            </w:pPr>
            <w:r>
              <w:rPr>
                <w:rFonts w:ascii="Arial" w:cs="Arial" w:eastAsia="Arial" w:hAnsi="Arial"/>
                <w:sz w:val="18"/>
                <w:szCs w:val="18"/>
                <w:color w:val="auto"/>
              </w:rPr>
              <w:t>437.2</w:t>
            </w:r>
          </w:p>
        </w:tc>
        <w:tc>
          <w:tcPr>
            <w:tcW w:w="300" w:type="dxa"/>
            <w:vAlign w:val="bottom"/>
            <w:shd w:val="clear" w:color="auto" w:fill="D8D8D8"/>
          </w:tcPr>
          <w:p>
            <w:pPr>
              <w:spacing w:after="0"/>
              <w:rPr>
                <w:sz w:val="23"/>
                <w:szCs w:val="23"/>
                <w:color w:val="auto"/>
              </w:rPr>
            </w:pPr>
          </w:p>
        </w:tc>
        <w:tc>
          <w:tcPr>
            <w:tcW w:w="840" w:type="dxa"/>
            <w:vAlign w:val="bottom"/>
            <w:shd w:val="clear" w:color="auto" w:fill="D8D8D8"/>
          </w:tcPr>
          <w:p>
            <w:pPr>
              <w:jc w:val="right"/>
              <w:ind w:right="53"/>
              <w:spacing w:after="0"/>
              <w:rPr>
                <w:sz w:val="20"/>
                <w:szCs w:val="20"/>
                <w:color w:val="auto"/>
              </w:rPr>
            </w:pPr>
            <w:r>
              <w:rPr>
                <w:rFonts w:ascii="Arial" w:cs="Arial" w:eastAsia="Arial" w:hAnsi="Arial"/>
                <w:sz w:val="18"/>
                <w:szCs w:val="18"/>
                <w:b w:val="1"/>
                <w:bCs w:val="1"/>
                <w:color w:val="auto"/>
              </w:rPr>
              <w:t>62.6</w:t>
            </w:r>
          </w:p>
        </w:tc>
        <w:tc>
          <w:tcPr>
            <w:tcW w:w="320" w:type="dxa"/>
            <w:vAlign w:val="bottom"/>
            <w:shd w:val="clear" w:color="auto" w:fill="D8D8D8"/>
          </w:tcPr>
          <w:p>
            <w:pPr>
              <w:spacing w:after="0"/>
              <w:rPr>
                <w:sz w:val="23"/>
                <w:szCs w:val="23"/>
                <w:color w:val="auto"/>
              </w:rPr>
            </w:pPr>
          </w:p>
        </w:tc>
        <w:tc>
          <w:tcPr>
            <w:tcW w:w="840" w:type="dxa"/>
            <w:vAlign w:val="bottom"/>
            <w:shd w:val="clear" w:color="auto" w:fill="D8D8D8"/>
          </w:tcPr>
          <w:p>
            <w:pPr>
              <w:jc w:val="right"/>
              <w:ind w:right="73"/>
              <w:spacing w:after="0"/>
              <w:rPr>
                <w:sz w:val="20"/>
                <w:szCs w:val="20"/>
                <w:color w:val="auto"/>
              </w:rPr>
            </w:pPr>
            <w:r>
              <w:rPr>
                <w:rFonts w:ascii="Arial" w:cs="Arial" w:eastAsia="Arial" w:hAnsi="Arial"/>
                <w:sz w:val="18"/>
                <w:szCs w:val="18"/>
                <w:color w:val="auto"/>
              </w:rPr>
              <w:t>85.6</w:t>
            </w:r>
          </w:p>
        </w:tc>
        <w:tc>
          <w:tcPr>
            <w:tcW w:w="300" w:type="dxa"/>
            <w:vAlign w:val="bottom"/>
            <w:shd w:val="clear" w:color="auto" w:fill="D8D8D8"/>
          </w:tcPr>
          <w:p>
            <w:pPr>
              <w:spacing w:after="0"/>
              <w:rPr>
                <w:sz w:val="23"/>
                <w:szCs w:val="23"/>
                <w:color w:val="auto"/>
              </w:rPr>
            </w:pPr>
          </w:p>
        </w:tc>
        <w:tc>
          <w:tcPr>
            <w:tcW w:w="800" w:type="dxa"/>
            <w:vAlign w:val="bottom"/>
            <w:shd w:val="clear" w:color="auto" w:fill="D8D8D8"/>
          </w:tcPr>
          <w:p>
            <w:pPr>
              <w:jc w:val="right"/>
              <w:ind w:right="13"/>
              <w:spacing w:after="0"/>
              <w:rPr>
                <w:sz w:val="20"/>
                <w:szCs w:val="20"/>
                <w:color w:val="auto"/>
              </w:rPr>
            </w:pPr>
            <w:r>
              <w:rPr>
                <w:rFonts w:ascii="Arial" w:cs="Arial" w:eastAsia="Arial" w:hAnsi="Arial"/>
                <w:sz w:val="18"/>
                <w:szCs w:val="18"/>
                <w:color w:val="auto"/>
              </w:rPr>
              <w:t>98.1</w:t>
            </w:r>
          </w:p>
        </w:tc>
      </w:tr>
      <w:tr>
        <w:trPr>
          <w:trHeight w:val="269"/>
        </w:trPr>
        <w:tc>
          <w:tcPr>
            <w:tcW w:w="4640" w:type="dxa"/>
            <w:vAlign w:val="bottom"/>
          </w:tcPr>
          <w:p>
            <w:pPr>
              <w:ind w:left="180"/>
              <w:spacing w:after="0"/>
              <w:rPr>
                <w:sz w:val="20"/>
                <w:szCs w:val="20"/>
                <w:color w:val="auto"/>
              </w:rPr>
            </w:pPr>
            <w:r>
              <w:rPr>
                <w:rFonts w:ascii="Arial" w:cs="Arial" w:eastAsia="Arial" w:hAnsi="Arial"/>
                <w:sz w:val="18"/>
                <w:szCs w:val="18"/>
                <w:color w:val="auto"/>
              </w:rPr>
              <w:t>Expected return on plan assets</w:t>
            </w:r>
          </w:p>
        </w:tc>
        <w:tc>
          <w:tcPr>
            <w:tcW w:w="2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(782.3)</w:t>
            </w:r>
          </w:p>
        </w:tc>
        <w:tc>
          <w:tcPr>
            <w:tcW w:w="320" w:type="dxa"/>
            <w:vAlign w:val="bottom"/>
          </w:tcPr>
          <w:p>
            <w:pPr>
              <w:spacing w:after="0"/>
              <w:rPr>
                <w:sz w:val="23"/>
                <w:szCs w:val="23"/>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(756.6)</w:t>
            </w:r>
          </w:p>
        </w:tc>
        <w:tc>
          <w:tcPr>
            <w:tcW w:w="280" w:type="dxa"/>
            <w:vAlign w:val="bottom"/>
          </w:tcPr>
          <w:p>
            <w:pPr>
              <w:spacing w:after="0"/>
              <w:rPr>
                <w:sz w:val="23"/>
                <w:szCs w:val="23"/>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(701.9)</w:t>
            </w:r>
          </w:p>
        </w:tc>
        <w:tc>
          <w:tcPr>
            <w:tcW w:w="30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(150.0)</w:t>
            </w:r>
          </w:p>
        </w:tc>
        <w:tc>
          <w:tcPr>
            <w:tcW w:w="320" w:type="dxa"/>
            <w:vAlign w:val="bottom"/>
          </w:tcPr>
          <w:p>
            <w:pPr>
              <w:spacing w:after="0"/>
              <w:rPr>
                <w:sz w:val="23"/>
                <w:szCs w:val="23"/>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(146.4)</w:t>
            </w:r>
          </w:p>
        </w:tc>
        <w:tc>
          <w:tcPr>
            <w:tcW w:w="3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(130.7)</w:t>
            </w:r>
          </w:p>
        </w:tc>
      </w:tr>
      <w:tr>
        <w:trPr>
          <w:trHeight w:val="271"/>
        </w:trPr>
        <w:tc>
          <w:tcPr>
            <w:tcW w:w="4640" w:type="dxa"/>
            <w:vAlign w:val="bottom"/>
            <w:shd w:val="clear" w:color="auto" w:fill="D8D8D8"/>
          </w:tcPr>
          <w:p>
            <w:pPr>
              <w:ind w:left="180"/>
              <w:spacing w:after="0"/>
              <w:rPr>
                <w:sz w:val="20"/>
                <w:szCs w:val="20"/>
                <w:color w:val="auto"/>
              </w:rPr>
            </w:pPr>
            <w:r>
              <w:rPr>
                <w:rFonts w:ascii="Arial" w:cs="Arial" w:eastAsia="Arial" w:hAnsi="Arial"/>
                <w:sz w:val="18"/>
                <w:szCs w:val="18"/>
                <w:color w:val="auto"/>
              </w:rPr>
              <w:t>Amortization of prior service (benefit) cost</w:t>
            </w:r>
          </w:p>
        </w:tc>
        <w:tc>
          <w:tcPr>
            <w:tcW w:w="240" w:type="dxa"/>
            <w:vAlign w:val="bottom"/>
            <w:shd w:val="clear" w:color="auto" w:fill="D8D8D8"/>
          </w:tcPr>
          <w:p>
            <w:pPr>
              <w:spacing w:after="0"/>
              <w:rPr>
                <w:sz w:val="23"/>
                <w:szCs w:val="23"/>
                <w:color w:val="auto"/>
              </w:rPr>
            </w:pPr>
          </w:p>
        </w:tc>
        <w:tc>
          <w:tcPr>
            <w:tcW w:w="840" w:type="dxa"/>
            <w:vAlign w:val="bottom"/>
            <w:shd w:val="clear" w:color="auto" w:fill="D8D8D8"/>
          </w:tcPr>
          <w:p>
            <w:pPr>
              <w:jc w:val="right"/>
              <w:ind w:right="53"/>
              <w:spacing w:after="0"/>
              <w:rPr>
                <w:sz w:val="20"/>
                <w:szCs w:val="20"/>
                <w:color w:val="auto"/>
              </w:rPr>
            </w:pPr>
            <w:r>
              <w:rPr>
                <w:rFonts w:ascii="Arial" w:cs="Arial" w:eastAsia="Arial" w:hAnsi="Arial"/>
                <w:sz w:val="18"/>
                <w:szCs w:val="18"/>
                <w:b w:val="1"/>
                <w:bCs w:val="1"/>
                <w:color w:val="auto"/>
              </w:rPr>
              <w:t>10.4</w:t>
            </w:r>
          </w:p>
        </w:tc>
        <w:tc>
          <w:tcPr>
            <w:tcW w:w="320" w:type="dxa"/>
            <w:vAlign w:val="bottom"/>
            <w:shd w:val="clear" w:color="auto" w:fill="D8D8D8"/>
          </w:tcPr>
          <w:p>
            <w:pPr>
              <w:spacing w:after="0"/>
              <w:rPr>
                <w:sz w:val="23"/>
                <w:szCs w:val="23"/>
                <w:color w:val="auto"/>
              </w:rPr>
            </w:pPr>
          </w:p>
        </w:tc>
        <w:tc>
          <w:tcPr>
            <w:tcW w:w="860" w:type="dxa"/>
            <w:vAlign w:val="bottom"/>
            <w:shd w:val="clear" w:color="auto" w:fill="D8D8D8"/>
          </w:tcPr>
          <w:p>
            <w:pPr>
              <w:jc w:val="right"/>
              <w:ind w:right="93"/>
              <w:spacing w:after="0"/>
              <w:rPr>
                <w:sz w:val="20"/>
                <w:szCs w:val="20"/>
                <w:color w:val="auto"/>
              </w:rPr>
            </w:pPr>
            <w:r>
              <w:rPr>
                <w:rFonts w:ascii="Arial" w:cs="Arial" w:eastAsia="Arial" w:hAnsi="Arial"/>
                <w:sz w:val="18"/>
                <w:szCs w:val="18"/>
                <w:color w:val="auto"/>
              </w:rPr>
              <w:t>3.6</w:t>
            </w:r>
          </w:p>
        </w:tc>
        <w:tc>
          <w:tcPr>
            <w:tcW w:w="280" w:type="dxa"/>
            <w:vAlign w:val="bottom"/>
            <w:shd w:val="clear" w:color="auto" w:fill="D8D8D8"/>
          </w:tcPr>
          <w:p>
            <w:pPr>
              <w:spacing w:after="0"/>
              <w:rPr>
                <w:sz w:val="23"/>
                <w:szCs w:val="23"/>
                <w:color w:val="auto"/>
              </w:rPr>
            </w:pPr>
          </w:p>
        </w:tc>
        <w:tc>
          <w:tcPr>
            <w:tcW w:w="840" w:type="dxa"/>
            <w:vAlign w:val="bottom"/>
            <w:shd w:val="clear" w:color="auto" w:fill="D8D8D8"/>
          </w:tcPr>
          <w:p>
            <w:pPr>
              <w:jc w:val="right"/>
              <w:ind w:right="73"/>
              <w:spacing w:after="0"/>
              <w:rPr>
                <w:sz w:val="20"/>
                <w:szCs w:val="20"/>
                <w:color w:val="auto"/>
              </w:rPr>
            </w:pPr>
            <w:r>
              <w:rPr>
                <w:rFonts w:ascii="Arial" w:cs="Arial" w:eastAsia="Arial" w:hAnsi="Arial"/>
                <w:sz w:val="18"/>
                <w:szCs w:val="18"/>
                <w:color w:val="auto"/>
              </w:rPr>
              <w:t>3.7</w:t>
            </w:r>
          </w:p>
        </w:tc>
        <w:tc>
          <w:tcPr>
            <w:tcW w:w="300" w:type="dxa"/>
            <w:vAlign w:val="bottom"/>
            <w:shd w:val="clear" w:color="auto" w:fill="D8D8D8"/>
          </w:tcPr>
          <w:p>
            <w:pPr>
              <w:spacing w:after="0"/>
              <w:rPr>
                <w:sz w:val="23"/>
                <w:szCs w:val="23"/>
                <w:color w:val="auto"/>
              </w:rPr>
            </w:pPr>
          </w:p>
        </w:tc>
        <w:tc>
          <w:tcPr>
            <w:tcW w:w="840" w:type="dxa"/>
            <w:vAlign w:val="bottom"/>
            <w:shd w:val="clear" w:color="auto" w:fill="D8D8D8"/>
          </w:tcPr>
          <w:p>
            <w:pPr>
              <w:jc w:val="right"/>
              <w:spacing w:after="0"/>
              <w:rPr>
                <w:sz w:val="20"/>
                <w:szCs w:val="20"/>
                <w:color w:val="auto"/>
              </w:rPr>
            </w:pPr>
            <w:r>
              <w:rPr>
                <w:rFonts w:ascii="Arial" w:cs="Arial" w:eastAsia="Arial" w:hAnsi="Arial"/>
                <w:sz w:val="18"/>
                <w:szCs w:val="18"/>
                <w:b w:val="1"/>
                <w:bCs w:val="1"/>
                <w:color w:val="auto"/>
              </w:rPr>
              <w:t>(91.1)</w:t>
            </w:r>
          </w:p>
        </w:tc>
        <w:tc>
          <w:tcPr>
            <w:tcW w:w="320" w:type="dxa"/>
            <w:vAlign w:val="bottom"/>
            <w:shd w:val="clear" w:color="auto" w:fill="D8D8D8"/>
          </w:tcPr>
          <w:p>
            <w:pPr>
              <w:spacing w:after="0"/>
              <w:rPr>
                <w:sz w:val="23"/>
                <w:szCs w:val="23"/>
                <w:color w:val="auto"/>
              </w:rPr>
            </w:pPr>
          </w:p>
        </w:tc>
        <w:tc>
          <w:tcPr>
            <w:tcW w:w="840" w:type="dxa"/>
            <w:vAlign w:val="bottom"/>
            <w:shd w:val="clear" w:color="auto" w:fill="D8D8D8"/>
          </w:tcPr>
          <w:p>
            <w:pPr>
              <w:jc w:val="right"/>
              <w:ind w:right="13"/>
              <w:spacing w:after="0"/>
              <w:rPr>
                <w:sz w:val="20"/>
                <w:szCs w:val="20"/>
                <w:color w:val="auto"/>
              </w:rPr>
            </w:pPr>
            <w:r>
              <w:rPr>
                <w:rFonts w:ascii="Arial" w:cs="Arial" w:eastAsia="Arial" w:hAnsi="Arial"/>
                <w:sz w:val="18"/>
                <w:szCs w:val="18"/>
                <w:color w:val="auto"/>
              </w:rPr>
              <w:t>(37.6)</w:t>
            </w:r>
          </w:p>
        </w:tc>
        <w:tc>
          <w:tcPr>
            <w:tcW w:w="300" w:type="dxa"/>
            <w:vAlign w:val="bottom"/>
            <w:shd w:val="clear" w:color="auto" w:fill="D8D8D8"/>
          </w:tcPr>
          <w:p>
            <w:pPr>
              <w:spacing w:after="0"/>
              <w:rPr>
                <w:sz w:val="23"/>
                <w:szCs w:val="23"/>
                <w:color w:val="auto"/>
              </w:rPr>
            </w:pPr>
          </w:p>
        </w:tc>
        <w:tc>
          <w:tcPr>
            <w:tcW w:w="8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(35.6)</w:t>
            </w:r>
          </w:p>
        </w:tc>
      </w:tr>
      <w:tr>
        <w:trPr>
          <w:trHeight w:val="269"/>
        </w:trPr>
        <w:tc>
          <w:tcPr>
            <w:tcW w:w="4640" w:type="dxa"/>
            <w:vAlign w:val="bottom"/>
            <w:tcBorders>
              <w:bottom w:val="single" w:sz="8" w:color="D8D8D8"/>
            </w:tcBorders>
          </w:tcPr>
          <w:p>
            <w:pPr>
              <w:ind w:left="180"/>
              <w:spacing w:after="0"/>
              <w:rPr>
                <w:sz w:val="20"/>
                <w:szCs w:val="20"/>
                <w:color w:val="auto"/>
              </w:rPr>
            </w:pPr>
            <w:r>
              <w:rPr>
                <w:rFonts w:ascii="Arial" w:cs="Arial" w:eastAsia="Arial" w:hAnsi="Arial"/>
                <w:sz w:val="18"/>
                <w:szCs w:val="18"/>
                <w:color w:val="auto"/>
              </w:rPr>
              <w:t>Recognized actuarial loss</w:t>
            </w:r>
          </w:p>
        </w:tc>
        <w:tc>
          <w:tcPr>
            <w:tcW w:w="24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rPr>
              <w:t>383.2</w:t>
            </w:r>
          </w:p>
        </w:tc>
        <w:tc>
          <w:tcPr>
            <w:tcW w:w="32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282.3</w:t>
            </w:r>
          </w:p>
        </w:tc>
        <w:tc>
          <w:tcPr>
            <w:tcW w:w="28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414.7</w:t>
            </w:r>
          </w:p>
        </w:tc>
        <w:tc>
          <w:tcPr>
            <w:tcW w:w="30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rPr>
              <w:t>38.0</w:t>
            </w:r>
          </w:p>
        </w:tc>
        <w:tc>
          <w:tcPr>
            <w:tcW w:w="3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20.7</w:t>
            </w:r>
          </w:p>
        </w:tc>
        <w:tc>
          <w:tcPr>
            <w:tcW w:w="30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100.5</w:t>
            </w:r>
          </w:p>
        </w:tc>
      </w:tr>
      <w:tr>
        <w:trPr>
          <w:trHeight w:val="271"/>
        </w:trPr>
        <w:tc>
          <w:tcPr>
            <w:tcW w:w="4640" w:type="dxa"/>
            <w:vAlign w:val="bottom"/>
            <w:tcBorders>
              <w:bottom w:val="single" w:sz="8" w:color="D8D8D8"/>
            </w:tcBorders>
            <w:shd w:val="clear" w:color="auto" w:fill="D8D8D8"/>
          </w:tcPr>
          <w:p>
            <w:pPr>
              <w:ind w:left="180"/>
              <w:spacing w:after="0"/>
              <w:rPr>
                <w:sz w:val="20"/>
                <w:szCs w:val="20"/>
                <w:color w:val="auto"/>
              </w:rPr>
            </w:pPr>
            <w:r>
              <w:rPr>
                <w:rFonts w:ascii="Arial" w:cs="Arial" w:eastAsia="Arial" w:hAnsi="Arial"/>
                <w:sz w:val="18"/>
                <w:szCs w:val="18"/>
                <w:color w:val="auto"/>
              </w:rPr>
              <w:t>Net periodic (benefit) cost</w:t>
            </w:r>
          </w:p>
        </w:tc>
        <w:tc>
          <w:tcPr>
            <w:tcW w:w="240" w:type="dxa"/>
            <w:vAlign w:val="bottom"/>
            <w:tcBorders>
              <w:bottom w:val="single" w:sz="8" w:color="auto"/>
            </w:tcBorders>
            <w:shd w:val="clear" w:color="auto" w:fill="D8D8D8"/>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auto"/>
            </w:tcBorders>
            <w:shd w:val="clear" w:color="auto" w:fill="D8D8D8"/>
          </w:tcPr>
          <w:p>
            <w:pPr>
              <w:jc w:val="right"/>
              <w:ind w:right="53"/>
              <w:spacing w:after="0"/>
              <w:rPr>
                <w:sz w:val="20"/>
                <w:szCs w:val="20"/>
                <w:color w:val="auto"/>
              </w:rPr>
            </w:pPr>
            <w:r>
              <w:rPr>
                <w:rFonts w:ascii="Arial" w:cs="Arial" w:eastAsia="Arial" w:hAnsi="Arial"/>
                <w:sz w:val="18"/>
                <w:szCs w:val="18"/>
                <w:b w:val="1"/>
                <w:bCs w:val="1"/>
                <w:color w:val="auto"/>
              </w:rPr>
              <w:t>403.8</w:t>
            </w:r>
          </w:p>
        </w:tc>
        <w:tc>
          <w:tcPr>
            <w:tcW w:w="320" w:type="dxa"/>
            <w:vAlign w:val="bottom"/>
            <w:tcBorders>
              <w:bottom w:val="single" w:sz="8" w:color="auto"/>
            </w:tcBorders>
            <w:shd w:val="clear" w:color="auto" w:fill="D8D8D8"/>
          </w:tcPr>
          <w:p>
            <w:pPr>
              <w:ind w:left="10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D8D8D8"/>
          </w:tcPr>
          <w:p>
            <w:pPr>
              <w:jc w:val="right"/>
              <w:ind w:right="93"/>
              <w:spacing w:after="0"/>
              <w:rPr>
                <w:sz w:val="20"/>
                <w:szCs w:val="20"/>
                <w:color w:val="auto"/>
              </w:rPr>
            </w:pPr>
            <w:r>
              <w:rPr>
                <w:rFonts w:ascii="Arial" w:cs="Arial" w:eastAsia="Arial" w:hAnsi="Arial"/>
                <w:sz w:val="18"/>
                <w:szCs w:val="18"/>
                <w:color w:val="auto"/>
              </w:rPr>
              <w:t>242.8</w:t>
            </w:r>
          </w:p>
        </w:tc>
        <w:tc>
          <w:tcPr>
            <w:tcW w:w="280" w:type="dxa"/>
            <w:vAlign w:val="bottom"/>
            <w:tcBorders>
              <w:bottom w:val="single" w:sz="8" w:color="auto"/>
            </w:tcBorders>
            <w:shd w:val="clear" w:color="auto" w:fill="D8D8D8"/>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D8D8D8"/>
          </w:tcPr>
          <w:p>
            <w:pPr>
              <w:jc w:val="right"/>
              <w:ind w:right="73"/>
              <w:spacing w:after="0"/>
              <w:rPr>
                <w:sz w:val="20"/>
                <w:szCs w:val="20"/>
                <w:color w:val="auto"/>
              </w:rPr>
            </w:pPr>
            <w:r>
              <w:rPr>
                <w:rFonts w:ascii="Arial" w:cs="Arial" w:eastAsia="Arial" w:hAnsi="Arial"/>
                <w:sz w:val="18"/>
                <w:szCs w:val="18"/>
                <w:color w:val="auto"/>
              </w:rPr>
              <w:t>440.8</w:t>
            </w:r>
          </w:p>
        </w:tc>
        <w:tc>
          <w:tcPr>
            <w:tcW w:w="300" w:type="dxa"/>
            <w:vAlign w:val="bottom"/>
            <w:tcBorders>
              <w:bottom w:val="single" w:sz="8" w:color="auto"/>
            </w:tcBorders>
            <w:shd w:val="clear" w:color="auto" w:fill="D8D8D8"/>
          </w:tcPr>
          <w:p>
            <w:pPr>
              <w:jc w:val="right"/>
              <w:ind w:right="10"/>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b w:val="1"/>
                <w:bCs w:val="1"/>
                <w:color w:val="auto"/>
              </w:rPr>
              <w:t>(95.4)</w:t>
            </w:r>
          </w:p>
        </w:tc>
        <w:tc>
          <w:tcPr>
            <w:tcW w:w="320" w:type="dxa"/>
            <w:vAlign w:val="bottom"/>
            <w:tcBorders>
              <w:bottom w:val="single" w:sz="8" w:color="auto"/>
            </w:tcBorders>
            <w:shd w:val="clear" w:color="auto" w:fill="D8D8D8"/>
          </w:tcPr>
          <w:p>
            <w:pPr>
              <w:ind w:left="10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D8D8D8"/>
          </w:tcPr>
          <w:p>
            <w:pPr>
              <w:jc w:val="right"/>
              <w:ind w:right="13"/>
              <w:spacing w:after="0"/>
              <w:rPr>
                <w:sz w:val="20"/>
                <w:szCs w:val="20"/>
                <w:color w:val="auto"/>
              </w:rPr>
            </w:pPr>
            <w:r>
              <w:rPr>
                <w:rFonts w:ascii="Arial" w:cs="Arial" w:eastAsia="Arial" w:hAnsi="Arial"/>
                <w:sz w:val="18"/>
                <w:szCs w:val="18"/>
                <w:color w:val="auto"/>
              </w:rPr>
              <w:t>(44.7)</w:t>
            </w:r>
          </w:p>
        </w:tc>
        <w:tc>
          <w:tcPr>
            <w:tcW w:w="300" w:type="dxa"/>
            <w:vAlign w:val="bottom"/>
            <w:tcBorders>
              <w:bottom w:val="single" w:sz="8" w:color="auto"/>
            </w:tcBorders>
            <w:shd w:val="clear" w:color="auto" w:fill="D8D8D8"/>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D8D8D8"/>
          </w:tcPr>
          <w:p>
            <w:pPr>
              <w:jc w:val="right"/>
              <w:ind w:right="13"/>
              <w:spacing w:after="0"/>
              <w:rPr>
                <w:sz w:val="20"/>
                <w:szCs w:val="20"/>
                <w:color w:val="auto"/>
              </w:rPr>
            </w:pPr>
            <w:r>
              <w:rPr>
                <w:rFonts w:ascii="Arial" w:cs="Arial" w:eastAsia="Arial" w:hAnsi="Arial"/>
                <w:sz w:val="18"/>
                <w:szCs w:val="18"/>
                <w:color w:val="auto"/>
              </w:rPr>
              <w:t>82.2</w:t>
            </w:r>
          </w:p>
        </w:tc>
      </w:tr>
    </w:tbl>
    <w:p>
      <w:pPr>
        <w:spacing w:after="0" w:line="8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As of January 1, 2016, we changed the method used to estimate the service and interest cost components of the net periodic pension and retiree health benefit plan costs. This new method uses the spot yield curve approach to estimate the service and interest costs by applying the specific spot rates along the yield curve to the projected cash outflows of our obligations. Previously, those costs were determined using a single weighted-average discount rate. The new method provides a more precise measure of interest and service costs by improving the correlation between the projected benefit cash flows and the specific spot yield curve rates. The change does not affect the measurement of the total benefit obligations as the change in service and interest costs is recorded in the actuarial gains and losses recorded in accumulated other comprehensive loss. We will account for this change as a change in estimate prospectively beginning in the first quarter of 2016.</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represents the amounts recognized in other comprehensive income (loss) for the year ended December 31, 2015:</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tcPr>
          <w:p>
            <w:pPr>
              <w:jc w:val="right"/>
              <w:ind w:right="214"/>
              <w:spacing w:after="0"/>
              <w:rPr>
                <w:sz w:val="20"/>
                <w:szCs w:val="20"/>
                <w:color w:val="auto"/>
              </w:rPr>
            </w:pPr>
            <w:r>
              <w:rPr>
                <w:rFonts w:ascii="Arial" w:cs="Arial" w:eastAsia="Arial" w:hAnsi="Arial"/>
                <w:sz w:val="14"/>
                <w:szCs w:val="14"/>
                <w:b w:val="1"/>
                <w:bCs w:val="1"/>
                <w:color w:val="auto"/>
              </w:rPr>
              <w:t>Defined Benefit</w:t>
            </w:r>
          </w:p>
        </w:tc>
        <w:tc>
          <w:tcPr>
            <w:tcW w:w="320" w:type="dxa"/>
            <w:vAlign w:val="bottom"/>
          </w:tcPr>
          <w:p>
            <w:pPr>
              <w:spacing w:after="0"/>
              <w:rPr>
                <w:sz w:val="14"/>
                <w:szCs w:val="14"/>
                <w:color w:val="auto"/>
              </w:rPr>
            </w:pPr>
          </w:p>
        </w:tc>
        <w:tc>
          <w:tcPr>
            <w:tcW w:w="1380" w:type="dxa"/>
            <w:vAlign w:val="bottom"/>
          </w:tcPr>
          <w:p>
            <w:pPr>
              <w:jc w:val="right"/>
              <w:ind w:right="234"/>
              <w:spacing w:after="0"/>
              <w:rPr>
                <w:sz w:val="20"/>
                <w:szCs w:val="20"/>
                <w:color w:val="auto"/>
              </w:rPr>
            </w:pPr>
            <w:r>
              <w:rPr>
                <w:rFonts w:ascii="Arial" w:cs="Arial" w:eastAsia="Arial" w:hAnsi="Arial"/>
                <w:sz w:val="14"/>
                <w:szCs w:val="14"/>
                <w:b w:val="1"/>
                <w:bCs w:val="1"/>
                <w:color w:val="auto"/>
              </w:rPr>
              <w:t>Retiree Health</w:t>
            </w:r>
          </w:p>
        </w:tc>
      </w:tr>
      <w:tr>
        <w:trPr>
          <w:trHeight w:val="203"/>
        </w:trPr>
        <w:tc>
          <w:tcPr>
            <w:tcW w:w="8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Pension Plans</w:t>
            </w:r>
          </w:p>
        </w:tc>
        <w:tc>
          <w:tcPr>
            <w:tcW w:w="3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Benefit Plans</w:t>
            </w:r>
          </w:p>
        </w:tc>
      </w:tr>
      <w:tr>
        <w:trPr>
          <w:trHeight w:val="265"/>
        </w:trPr>
        <w:tc>
          <w:tcPr>
            <w:tcW w:w="8100" w:type="dxa"/>
            <w:vAlign w:val="bottom"/>
            <w:shd w:val="clear" w:color="auto" w:fill="D8D8D8"/>
          </w:tcPr>
          <w:p>
            <w:pPr>
              <w:ind w:left="40"/>
              <w:spacing w:after="0"/>
              <w:rPr>
                <w:sz w:val="20"/>
                <w:szCs w:val="20"/>
                <w:color w:val="auto"/>
              </w:rPr>
            </w:pPr>
            <w:r>
              <w:rPr>
                <w:rFonts w:ascii="Arial" w:cs="Arial" w:eastAsia="Arial" w:hAnsi="Arial"/>
                <w:sz w:val="18"/>
                <w:szCs w:val="18"/>
                <w:color w:val="auto"/>
              </w:rPr>
              <w:t>Actuarial gain arising during period</w:t>
            </w:r>
          </w:p>
        </w:tc>
        <w:tc>
          <w:tcPr>
            <w:tcW w:w="200" w:type="dxa"/>
            <w:vAlign w:val="bottom"/>
            <w:shd w:val="clear" w:color="auto" w:fill="D8D8D8"/>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D8D8D8"/>
          </w:tcPr>
          <w:p>
            <w:pPr>
              <w:jc w:val="right"/>
              <w:ind w:right="34"/>
              <w:spacing w:after="0"/>
              <w:rPr>
                <w:sz w:val="20"/>
                <w:szCs w:val="20"/>
                <w:color w:val="auto"/>
              </w:rPr>
            </w:pPr>
            <w:r>
              <w:rPr>
                <w:rFonts w:ascii="Arial" w:cs="Arial" w:eastAsia="Arial" w:hAnsi="Arial"/>
                <w:sz w:val="18"/>
                <w:szCs w:val="18"/>
                <w:color w:val="auto"/>
              </w:rPr>
              <w:t>120.4</w:t>
            </w:r>
          </w:p>
        </w:tc>
        <w:tc>
          <w:tcPr>
            <w:tcW w:w="320" w:type="dxa"/>
            <w:vAlign w:val="bottom"/>
            <w:shd w:val="clear" w:color="auto" w:fill="D8D8D8"/>
          </w:tcPr>
          <w:p>
            <w:pPr>
              <w:jc w:val="right"/>
              <w:ind w:right="10"/>
              <w:spacing w:after="0"/>
              <w:rPr>
                <w:sz w:val="20"/>
                <w:szCs w:val="20"/>
                <w:color w:val="auto"/>
              </w:rPr>
            </w:pPr>
            <w:r>
              <w:rPr>
                <w:rFonts w:ascii="Arial" w:cs="Arial" w:eastAsia="Arial" w:hAnsi="Arial"/>
                <w:sz w:val="18"/>
                <w:szCs w:val="18"/>
                <w:color w:val="auto"/>
              </w:rPr>
              <w:t>$</w:t>
            </w:r>
          </w:p>
        </w:tc>
        <w:tc>
          <w:tcPr>
            <w:tcW w:w="1380" w:type="dxa"/>
            <w:vAlign w:val="bottom"/>
            <w:shd w:val="clear" w:color="auto" w:fill="D8D8D8"/>
          </w:tcPr>
          <w:p>
            <w:pPr>
              <w:jc w:val="right"/>
              <w:ind w:right="14"/>
              <w:spacing w:after="0"/>
              <w:rPr>
                <w:sz w:val="20"/>
                <w:szCs w:val="20"/>
                <w:color w:val="auto"/>
              </w:rPr>
            </w:pPr>
            <w:r>
              <w:rPr>
                <w:rFonts w:ascii="Arial" w:cs="Arial" w:eastAsia="Arial" w:hAnsi="Arial"/>
                <w:sz w:val="18"/>
                <w:szCs w:val="18"/>
                <w:color w:val="auto"/>
              </w:rPr>
              <w:t>48.6</w:t>
            </w:r>
          </w:p>
        </w:tc>
      </w:tr>
      <w:tr>
        <w:trPr>
          <w:trHeight w:val="265"/>
        </w:trPr>
        <w:tc>
          <w:tcPr>
            <w:tcW w:w="8100" w:type="dxa"/>
            <w:vAlign w:val="bottom"/>
          </w:tcPr>
          <w:p>
            <w:pPr>
              <w:ind w:left="40"/>
              <w:spacing w:after="0"/>
              <w:rPr>
                <w:sz w:val="20"/>
                <w:szCs w:val="20"/>
                <w:color w:val="auto"/>
              </w:rPr>
            </w:pPr>
            <w:r>
              <w:rPr>
                <w:rFonts w:ascii="Arial" w:cs="Arial" w:eastAsia="Arial" w:hAnsi="Arial"/>
                <w:sz w:val="18"/>
                <w:szCs w:val="18"/>
                <w:color w:val="auto"/>
              </w:rPr>
              <w:t>Plan amendments during period</w:t>
            </w:r>
          </w:p>
        </w:tc>
        <w:tc>
          <w:tcPr>
            <w:tcW w:w="200" w:type="dxa"/>
            <w:vAlign w:val="bottom"/>
          </w:tcPr>
          <w:p>
            <w:pPr>
              <w:spacing w:after="0"/>
              <w:rPr>
                <w:sz w:val="23"/>
                <w:szCs w:val="23"/>
                <w:color w:val="auto"/>
              </w:rPr>
            </w:pPr>
          </w:p>
        </w:tc>
        <w:tc>
          <w:tcPr>
            <w:tcW w:w="1420" w:type="dxa"/>
            <w:vAlign w:val="bottom"/>
          </w:tcPr>
          <w:p>
            <w:pPr>
              <w:jc w:val="right"/>
              <w:ind w:right="34"/>
              <w:spacing w:after="0"/>
              <w:rPr>
                <w:sz w:val="20"/>
                <w:szCs w:val="20"/>
                <w:color w:val="auto"/>
              </w:rPr>
            </w:pPr>
            <w:r>
              <w:rPr>
                <w:rFonts w:ascii="Arial" w:cs="Arial" w:eastAsia="Arial" w:hAnsi="Arial"/>
                <w:sz w:val="18"/>
                <w:szCs w:val="18"/>
                <w:color w:val="auto"/>
              </w:rPr>
              <w:t>0.4</w:t>
            </w:r>
          </w:p>
        </w:tc>
        <w:tc>
          <w:tcPr>
            <w:tcW w:w="320" w:type="dxa"/>
            <w:vAlign w:val="bottom"/>
          </w:tcPr>
          <w:p>
            <w:pPr>
              <w:spacing w:after="0"/>
              <w:rPr>
                <w:sz w:val="23"/>
                <w:szCs w:val="23"/>
                <w:color w:val="auto"/>
              </w:rPr>
            </w:pP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5"/>
        </w:trPr>
        <w:tc>
          <w:tcPr>
            <w:tcW w:w="8100" w:type="dxa"/>
            <w:vAlign w:val="bottom"/>
            <w:shd w:val="clear" w:color="auto" w:fill="D8D8D8"/>
          </w:tcPr>
          <w:p>
            <w:pPr>
              <w:ind w:left="40"/>
              <w:spacing w:after="0"/>
              <w:rPr>
                <w:sz w:val="20"/>
                <w:szCs w:val="20"/>
                <w:color w:val="auto"/>
              </w:rPr>
            </w:pPr>
            <w:r>
              <w:rPr>
                <w:rFonts w:ascii="Arial" w:cs="Arial" w:eastAsia="Arial" w:hAnsi="Arial"/>
                <w:sz w:val="18"/>
                <w:szCs w:val="18"/>
                <w:color w:val="auto"/>
              </w:rPr>
              <w:t>Amortization of prior service (benefit) cost included in net income</w:t>
            </w:r>
          </w:p>
        </w:tc>
        <w:tc>
          <w:tcPr>
            <w:tcW w:w="200" w:type="dxa"/>
            <w:vAlign w:val="bottom"/>
            <w:shd w:val="clear" w:color="auto" w:fill="D8D8D8"/>
          </w:tcPr>
          <w:p>
            <w:pPr>
              <w:spacing w:after="0"/>
              <w:rPr>
                <w:sz w:val="23"/>
                <w:szCs w:val="23"/>
                <w:color w:val="auto"/>
              </w:rPr>
            </w:pPr>
          </w:p>
        </w:tc>
        <w:tc>
          <w:tcPr>
            <w:tcW w:w="1420" w:type="dxa"/>
            <w:vAlign w:val="bottom"/>
            <w:shd w:val="clear" w:color="auto" w:fill="D8D8D8"/>
          </w:tcPr>
          <w:p>
            <w:pPr>
              <w:jc w:val="right"/>
              <w:ind w:right="34"/>
              <w:spacing w:after="0"/>
              <w:rPr>
                <w:sz w:val="20"/>
                <w:szCs w:val="20"/>
                <w:color w:val="auto"/>
              </w:rPr>
            </w:pPr>
            <w:r>
              <w:rPr>
                <w:rFonts w:ascii="Arial" w:cs="Arial" w:eastAsia="Arial" w:hAnsi="Arial"/>
                <w:sz w:val="18"/>
                <w:szCs w:val="18"/>
                <w:color w:val="auto"/>
              </w:rPr>
              <w:t>10.4</w:t>
            </w:r>
          </w:p>
        </w:tc>
        <w:tc>
          <w:tcPr>
            <w:tcW w:w="320" w:type="dxa"/>
            <w:vAlign w:val="bottom"/>
            <w:shd w:val="clear" w:color="auto" w:fill="D8D8D8"/>
          </w:tcPr>
          <w:p>
            <w:pPr>
              <w:spacing w:after="0"/>
              <w:rPr>
                <w:sz w:val="23"/>
                <w:szCs w:val="23"/>
                <w:color w:val="auto"/>
              </w:rPr>
            </w:pPr>
          </w:p>
        </w:tc>
        <w:tc>
          <w:tcPr>
            <w:tcW w:w="13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(91.1)</w:t>
            </w:r>
          </w:p>
        </w:tc>
      </w:tr>
      <w:tr>
        <w:trPr>
          <w:trHeight w:val="265"/>
        </w:trPr>
        <w:tc>
          <w:tcPr>
            <w:tcW w:w="8100" w:type="dxa"/>
            <w:vAlign w:val="bottom"/>
          </w:tcPr>
          <w:p>
            <w:pPr>
              <w:ind w:left="40"/>
              <w:spacing w:after="0"/>
              <w:rPr>
                <w:sz w:val="20"/>
                <w:szCs w:val="20"/>
                <w:color w:val="auto"/>
              </w:rPr>
            </w:pPr>
            <w:r>
              <w:rPr>
                <w:rFonts w:ascii="Arial" w:cs="Arial" w:eastAsia="Arial" w:hAnsi="Arial"/>
                <w:sz w:val="18"/>
                <w:szCs w:val="18"/>
                <w:color w:val="auto"/>
              </w:rPr>
              <w:t>Amortization of net actuarial loss included in net income</w:t>
            </w:r>
          </w:p>
        </w:tc>
        <w:tc>
          <w:tcPr>
            <w:tcW w:w="200" w:type="dxa"/>
            <w:vAlign w:val="bottom"/>
          </w:tcPr>
          <w:p>
            <w:pPr>
              <w:spacing w:after="0"/>
              <w:rPr>
                <w:sz w:val="23"/>
                <w:szCs w:val="23"/>
                <w:color w:val="auto"/>
              </w:rPr>
            </w:pPr>
          </w:p>
        </w:tc>
        <w:tc>
          <w:tcPr>
            <w:tcW w:w="1420" w:type="dxa"/>
            <w:vAlign w:val="bottom"/>
          </w:tcPr>
          <w:p>
            <w:pPr>
              <w:jc w:val="right"/>
              <w:ind w:right="34"/>
              <w:spacing w:after="0"/>
              <w:rPr>
                <w:sz w:val="20"/>
                <w:szCs w:val="20"/>
                <w:color w:val="auto"/>
              </w:rPr>
            </w:pPr>
            <w:r>
              <w:rPr>
                <w:rFonts w:ascii="Arial" w:cs="Arial" w:eastAsia="Arial" w:hAnsi="Arial"/>
                <w:sz w:val="18"/>
                <w:szCs w:val="18"/>
                <w:color w:val="auto"/>
              </w:rPr>
              <w:t>383.2</w:t>
            </w:r>
          </w:p>
        </w:tc>
        <w:tc>
          <w:tcPr>
            <w:tcW w:w="320" w:type="dxa"/>
            <w:vAlign w:val="bottom"/>
          </w:tcPr>
          <w:p>
            <w:pPr>
              <w:spacing w:after="0"/>
              <w:rPr>
                <w:sz w:val="23"/>
                <w:szCs w:val="23"/>
                <w:color w:val="auto"/>
              </w:rPr>
            </w:pP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38.0</w:t>
            </w:r>
          </w:p>
        </w:tc>
      </w:tr>
      <w:tr>
        <w:trPr>
          <w:trHeight w:val="275"/>
        </w:trPr>
        <w:tc>
          <w:tcPr>
            <w:tcW w:w="8100" w:type="dxa"/>
            <w:vAlign w:val="bottom"/>
            <w:shd w:val="clear" w:color="auto" w:fill="D8D8D8"/>
          </w:tcPr>
          <w:p>
            <w:pPr>
              <w:ind w:left="40"/>
              <w:spacing w:after="0"/>
              <w:rPr>
                <w:sz w:val="20"/>
                <w:szCs w:val="20"/>
                <w:color w:val="auto"/>
              </w:rPr>
            </w:pPr>
            <w:r>
              <w:rPr>
                <w:rFonts w:ascii="Arial" w:cs="Arial" w:eastAsia="Arial" w:hAnsi="Arial"/>
                <w:sz w:val="18"/>
                <w:szCs w:val="18"/>
                <w:color w:val="auto"/>
              </w:rPr>
              <w:t>Foreign currency exchange rate changes and other</w:t>
            </w:r>
          </w:p>
        </w:tc>
        <w:tc>
          <w:tcPr>
            <w:tcW w:w="200" w:type="dxa"/>
            <w:vAlign w:val="bottom"/>
            <w:tcBorders>
              <w:bottom w:val="single" w:sz="8" w:color="auto"/>
            </w:tcBorders>
            <w:shd w:val="clear" w:color="auto" w:fill="D8D8D8"/>
          </w:tcPr>
          <w:p>
            <w:pPr>
              <w:spacing w:after="0"/>
              <w:rPr>
                <w:sz w:val="23"/>
                <w:szCs w:val="23"/>
                <w:color w:val="auto"/>
              </w:rPr>
            </w:pPr>
          </w:p>
        </w:tc>
        <w:tc>
          <w:tcPr>
            <w:tcW w:w="1420" w:type="dxa"/>
            <w:vAlign w:val="bottom"/>
            <w:tcBorders>
              <w:bottom w:val="single" w:sz="8" w:color="auto"/>
            </w:tcBorders>
            <w:shd w:val="clear" w:color="auto" w:fill="D8D8D8"/>
          </w:tcPr>
          <w:p>
            <w:pPr>
              <w:jc w:val="right"/>
              <w:ind w:right="34"/>
              <w:spacing w:after="0"/>
              <w:rPr>
                <w:sz w:val="20"/>
                <w:szCs w:val="20"/>
                <w:color w:val="auto"/>
              </w:rPr>
            </w:pPr>
            <w:r>
              <w:rPr>
                <w:rFonts w:ascii="Arial" w:cs="Arial" w:eastAsia="Arial" w:hAnsi="Arial"/>
                <w:sz w:val="18"/>
                <w:szCs w:val="18"/>
                <w:color w:val="auto"/>
              </w:rPr>
              <w:t>58.8</w:t>
            </w:r>
          </w:p>
        </w:tc>
        <w:tc>
          <w:tcPr>
            <w:tcW w:w="320" w:type="dxa"/>
            <w:vAlign w:val="bottom"/>
            <w:tcBorders>
              <w:bottom w:val="single" w:sz="8" w:color="auto"/>
            </w:tcBorders>
            <w:shd w:val="clear" w:color="auto" w:fill="D8D8D8"/>
          </w:tcPr>
          <w:p>
            <w:pPr>
              <w:spacing w:after="0"/>
              <w:rPr>
                <w:sz w:val="23"/>
                <w:szCs w:val="23"/>
                <w:color w:val="auto"/>
              </w:rPr>
            </w:pPr>
          </w:p>
        </w:tc>
        <w:tc>
          <w:tcPr>
            <w:tcW w:w="1380" w:type="dxa"/>
            <w:vAlign w:val="bottom"/>
            <w:tcBorders>
              <w:bottom w:val="single" w:sz="8" w:color="auto"/>
            </w:tcBorders>
            <w:shd w:val="clear" w:color="auto" w:fill="D8D8D8"/>
          </w:tcPr>
          <w:p>
            <w:pPr>
              <w:jc w:val="right"/>
              <w:ind w:right="14"/>
              <w:spacing w:after="0"/>
              <w:rPr>
                <w:sz w:val="20"/>
                <w:szCs w:val="20"/>
                <w:color w:val="auto"/>
              </w:rPr>
            </w:pPr>
            <w:r>
              <w:rPr>
                <w:rFonts w:ascii="Arial" w:cs="Arial" w:eastAsia="Arial" w:hAnsi="Arial"/>
                <w:sz w:val="18"/>
                <w:szCs w:val="18"/>
                <w:color w:val="auto"/>
              </w:rPr>
              <w:t>4.2</w:t>
            </w:r>
          </w:p>
        </w:tc>
      </w:tr>
      <w:tr>
        <w:trPr>
          <w:trHeight w:val="271"/>
        </w:trPr>
        <w:tc>
          <w:tcPr>
            <w:tcW w:w="8100" w:type="dxa"/>
            <w:vAlign w:val="bottom"/>
          </w:tcPr>
          <w:p>
            <w:pPr>
              <w:ind w:left="40"/>
              <w:spacing w:after="0"/>
              <w:rPr>
                <w:sz w:val="20"/>
                <w:szCs w:val="20"/>
                <w:color w:val="auto"/>
              </w:rPr>
            </w:pPr>
            <w:r>
              <w:rPr>
                <w:rFonts w:ascii="Arial" w:cs="Arial" w:eastAsia="Arial" w:hAnsi="Arial"/>
                <w:sz w:val="18"/>
                <w:szCs w:val="18"/>
                <w:color w:val="auto"/>
              </w:rPr>
              <w:t>Total other comprehensive income (loss) during period</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573.2</w:t>
            </w:r>
          </w:p>
        </w:tc>
        <w:tc>
          <w:tcPr>
            <w:tcW w:w="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r>
    </w:tbl>
    <w:p>
      <w:pPr>
        <w:spacing w:after="0" w:line="85"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We have defined contribution savings plans that cover our eligible employees worldwide. The purpose of these plans is generally to provide additional financial security during retirement by providing employees with an incentive to save. Our contributions to the plans are based on employee contributions and the level of our match. Expenses under the plans totaled $162.4 million, $153.3 million, and $147.7 million for the years ended December 31, 2015, 2014, and 2013, respectively.</w:t>
      </w:r>
    </w:p>
    <w:p>
      <w:pPr>
        <w:spacing w:after="0" w:line="62" w:lineRule="exact"/>
        <w:rPr>
          <w:sz w:val="20"/>
          <w:szCs w:val="20"/>
          <w:color w:val="auto"/>
        </w:rPr>
      </w:pPr>
    </w:p>
    <w:p>
      <w:pPr>
        <w:ind w:right="40"/>
        <w:spacing w:after="0" w:line="292" w:lineRule="auto"/>
        <w:rPr>
          <w:sz w:val="20"/>
          <w:szCs w:val="20"/>
          <w:color w:val="auto"/>
        </w:rPr>
      </w:pPr>
      <w:r>
        <w:rPr>
          <w:rFonts w:ascii="Arial" w:cs="Arial" w:eastAsia="Arial" w:hAnsi="Arial"/>
          <w:sz w:val="18"/>
          <w:szCs w:val="18"/>
          <w:color w:val="auto"/>
        </w:rPr>
        <w:t>We provide certain other postemployment benefits primarily related to disability benefits and accrue for the related cost over the service lives of employees. Expenses associated with these benefit plans for the years ended December 31, 2015, 2014, and 2013 were not material.</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Benefit Plan Investments</w:t>
      </w:r>
    </w:p>
    <w:p>
      <w:pPr>
        <w:spacing w:after="0" w:line="119"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Our benefit plan investment policies are set with specific consideration of return and risk requirements in relationship to the respective liabilities. U.S. and Puerto Rico plans represent approximately 75 percent of our global investments. Given the long-term nature of our liabilities, these plans have the flexibility to manage an above-average degree of risk in the asset portfolios. At the investment-policy level, there are no specifically prohibited investments. However, within individual investment manager mandates, restrictions and limitations are contractually set to align with our investment objectives, ensure risk control, and limit concentrations.</w:t>
      </w:r>
    </w:p>
    <w:p>
      <w:pPr>
        <w:spacing w:after="0" w:line="67" w:lineRule="exact"/>
        <w:rPr>
          <w:sz w:val="20"/>
          <w:szCs w:val="20"/>
          <w:color w:val="auto"/>
        </w:rPr>
      </w:pPr>
    </w:p>
    <w:p>
      <w:pPr>
        <w:ind w:right="400"/>
        <w:spacing w:after="0" w:line="292" w:lineRule="auto"/>
        <w:rPr>
          <w:sz w:val="20"/>
          <w:szCs w:val="20"/>
          <w:color w:val="auto"/>
        </w:rPr>
      </w:pPr>
      <w:r>
        <w:rPr>
          <w:rFonts w:ascii="Arial" w:cs="Arial" w:eastAsia="Arial" w:hAnsi="Arial"/>
          <w:sz w:val="18"/>
          <w:szCs w:val="18"/>
          <w:color w:val="auto"/>
        </w:rPr>
        <w:t>We manage our portfolio to minimize concentration of risk by allocating funds within asset categories. In addition, within a category we use different managers with various management objectives to eliminate any significant concentration of risk.</w:t>
      </w:r>
    </w:p>
    <w:p>
      <w:pPr>
        <w:spacing w:after="0" w:line="37" w:lineRule="exact"/>
        <w:rPr>
          <w:sz w:val="20"/>
          <w:szCs w:val="20"/>
          <w:color w:val="auto"/>
        </w:rPr>
      </w:pPr>
    </w:p>
    <w:p>
      <w:pPr>
        <w:ind w:right="260"/>
        <w:spacing w:after="0" w:line="292" w:lineRule="auto"/>
        <w:rPr>
          <w:sz w:val="20"/>
          <w:szCs w:val="20"/>
          <w:color w:val="auto"/>
        </w:rPr>
      </w:pPr>
      <w:r>
        <w:rPr>
          <w:rFonts w:ascii="Arial" w:cs="Arial" w:eastAsia="Arial" w:hAnsi="Arial"/>
          <w:sz w:val="18"/>
          <w:szCs w:val="18"/>
          <w:color w:val="auto"/>
        </w:rPr>
        <w:t>Our global benefit plans may enter into contractual arrangements (derivatives) to implement the local investment policy or manage particular portfolio risks. Derivatives are principally used to increase or decrease</w:t>
      </w:r>
    </w:p>
    <w:p>
      <w:pPr>
        <w:spacing w:after="0" w:line="17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89</w:t>
      </w:r>
    </w:p>
    <w:p>
      <w:pPr>
        <w:sectPr>
          <w:pgSz w:w="11900" w:h="16838" w:orient="portrait"/>
          <w:cols w:equalWidth="0" w:num="1">
            <w:col w:w="11420"/>
          </w:cols>
          <w:pgMar w:left="240" w:top="684" w:right="239" w:bottom="1440" w:gutter="0" w:footer="0" w:header="0"/>
        </w:sectPr>
      </w:pPr>
    </w:p>
    <w:bookmarkStart w:id="89" w:name="page90"/>
    <w:bookmarkEnd w:id="89"/>
    <w:p>
      <w:pPr>
        <w:ind w:right="240"/>
        <w:spacing w:after="0" w:line="260" w:lineRule="auto"/>
        <w:rPr>
          <w:sz w:val="20"/>
          <w:szCs w:val="20"/>
          <w:color w:val="auto"/>
        </w:rPr>
      </w:pPr>
      <w:r>
        <w:rPr>
          <w:rFonts w:ascii="Arial" w:cs="Arial" w:eastAsia="Arial" w:hAnsi="Arial"/>
          <w:sz w:val="18"/>
          <w:szCs w:val="18"/>
          <w:color w:val="auto"/>
        </w:rPr>
        <w:t>exposure to a particular public equity, fixed income, commodity, or currency market more rapidly or less expensively than could be accomplished through the use of the cash markets. The plans utilize both exchange-traded and over-the-counter instruments. The maximum exposure to either a market or counterparty credit loss is limited to the carrying value of the receivable, and is managed within contractual limits. We expect all of our counterparties to meet their obligations. The gross values of these derivative receivables and payables are not material to the global asset portfolio, and their values are reflected within the tables below.</w:t>
      </w:r>
    </w:p>
    <w:p>
      <w:pPr>
        <w:spacing w:after="0" w:line="6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defined benefit pension and retiree health benefit plan allocation for the U.S. and Puerto Rico currently comprises approximately 80 percent growth investments and 20 percent fixed-income investments. The growth investment allocation encompasses U.S. and international public equity securities, hedge funds, private equity-like investments, and real estate. These portfolio allocations are intended to reduce overall risk by providing diversification, while seeking moderate to high returns over the long term.</w:t>
      </w:r>
    </w:p>
    <w:p>
      <w:pPr>
        <w:spacing w:after="0" w:line="62" w:lineRule="exact"/>
        <w:rPr>
          <w:sz w:val="20"/>
          <w:szCs w:val="20"/>
          <w:color w:val="auto"/>
        </w:rPr>
      </w:pPr>
    </w:p>
    <w:p>
      <w:pPr>
        <w:ind w:right="60"/>
        <w:spacing w:after="0" w:line="292" w:lineRule="auto"/>
        <w:rPr>
          <w:sz w:val="20"/>
          <w:szCs w:val="20"/>
          <w:color w:val="auto"/>
        </w:rPr>
      </w:pPr>
      <w:r>
        <w:rPr>
          <w:rFonts w:ascii="Arial" w:cs="Arial" w:eastAsia="Arial" w:hAnsi="Arial"/>
          <w:sz w:val="18"/>
          <w:szCs w:val="18"/>
          <w:color w:val="auto"/>
        </w:rPr>
        <w:t>Public equity securities are well diversified and invested in U.S. and international small-to-large companies across various asset managers and styles. The remaining portion of the growth portfolio is invested in private alternative investments.</w:t>
      </w:r>
    </w:p>
    <w:p>
      <w:pPr>
        <w:spacing w:after="0" w:line="37" w:lineRule="exact"/>
        <w:rPr>
          <w:sz w:val="20"/>
          <w:szCs w:val="20"/>
          <w:color w:val="auto"/>
        </w:rPr>
      </w:pPr>
    </w:p>
    <w:p>
      <w:pPr>
        <w:ind w:right="540"/>
        <w:spacing w:after="0" w:line="292" w:lineRule="auto"/>
        <w:rPr>
          <w:sz w:val="20"/>
          <w:szCs w:val="20"/>
          <w:color w:val="auto"/>
        </w:rPr>
      </w:pPr>
      <w:r>
        <w:rPr>
          <w:rFonts w:ascii="Arial" w:cs="Arial" w:eastAsia="Arial" w:hAnsi="Arial"/>
          <w:sz w:val="18"/>
          <w:szCs w:val="18"/>
          <w:color w:val="auto"/>
        </w:rPr>
        <w:t>Fixed-income investments primarily consist of fixed-income securities in U.S. treasuries and agencies, emerging market debt obligations, corporate bonds, mortgage-backed securities, and commercial mortgage-backed obligations.</w:t>
      </w:r>
    </w:p>
    <w:p>
      <w:pPr>
        <w:spacing w:after="0" w:line="3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Hedge funds are privately owned institutional investment funds that generally have moderate liquidity. Hedge funds seek specified levels of absolute return regardless of overall market conditions, and generally have low correlations to public equity and debt markets. Hedge funds often invest substantially in financial market instruments (stocks, bonds, commodities, currencies, derivatives, etc.) using a very broad range of trading activities to manage portfolio risks. Hedge fund strategies focus primarily on security selection and seek to be neutral with respect to market moves. Common groupings of hedge fund strategies include relative value, tactical, and event driven. Relative value strategies include arbitrage, when the same asset can simultaneously be bought and sold at different prices, achieving an immediate profit. Tactical strategies often take long and short positions to reduce or eliminate overall market risks while seeking a particular investment opportunity. Event strategy opportunities can evolve from specific company announcements such as mergers and acquisitions, and typically have little correlation to overall market directional movements. Our hedge fund investments are made through limited partnership interests primarily in fund-of-funds structures to ensure diversification across many strategies and many individual managers. Plan holdings in hedge funds are valued based on net asset values (NAVs) calculated by each fund or general partner, as applicable, and we have the ability to redeem these investments at NAV.</w:t>
      </w:r>
    </w:p>
    <w:p>
      <w:pPr>
        <w:spacing w:after="0" w:line="7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Private equity-like investment funds typically have low liquidity and are made through long-term partnerships or joint ventures that invest in pools of capital invested in primarily non-publicly traded entities. Underlying investments include venture capital (early stage investing), buyout, and special situation investing. Private equity management firms typically acquire and then reorganize private companies to create increased long term value. Private equity-like funds usually have a limited life of approximately 10 -15 years, and require a minimum investment commitment from their limited partners. Our private investments are made both directly into funds and through fund-of-funds structures to ensure broad diversification of management styles and assets across the portfolio. Plan holdings in private equity-like investments are valued using the value reported by the partnership, adjusted for known cash flows and significant events through our reporting date. Values provided by the partnerships are primarily based on analysis of and judgments about the underlying investments. Inputs to these valuations include underlying NAVs, discounted cash flow valuations, comparable market valuations, and may also include adjustments for currency, credit, liquidity and other risks as applicable. The vast majority of these private partnerships provide us with annual audited financial statements including their compliance with fair valuation procedures consistent with applicable accounting standards.</w:t>
      </w:r>
    </w:p>
    <w:p>
      <w:pPr>
        <w:spacing w:after="0" w:line="75" w:lineRule="exact"/>
        <w:rPr>
          <w:sz w:val="20"/>
          <w:szCs w:val="20"/>
          <w:color w:val="auto"/>
        </w:rPr>
      </w:pPr>
    </w:p>
    <w:p>
      <w:pPr>
        <w:jc w:val="both"/>
        <w:ind w:right="300"/>
        <w:spacing w:after="0" w:line="264" w:lineRule="auto"/>
        <w:rPr>
          <w:sz w:val="20"/>
          <w:szCs w:val="20"/>
          <w:color w:val="auto"/>
        </w:rPr>
      </w:pPr>
      <w:r>
        <w:rPr>
          <w:rFonts w:ascii="Arial" w:cs="Arial" w:eastAsia="Arial" w:hAnsi="Arial"/>
          <w:sz w:val="18"/>
          <w:szCs w:val="18"/>
          <w:color w:val="auto"/>
        </w:rPr>
        <w:t>Real estate is composed of both public and private holdings. Real estate investments in registered investment companies that trade on an exchange are classified as Level 1 on the fair value hierarchy. Real estate investments in funds measured at fair value on the basis of NAV provided by the fund manager are classified as Level 3. These NAVs are developed with inputs including discounted cash flow, independent appraisal, and market comparable analyses.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90</w:t>
      </w:r>
    </w:p>
    <w:p>
      <w:pPr>
        <w:sectPr>
          <w:pgSz w:w="11900" w:h="16838" w:orient="portrait"/>
          <w:cols w:equalWidth="0" w:num="1">
            <w:col w:w="11420"/>
          </w:cols>
          <w:pgMar w:left="240" w:top="684" w:right="239" w:bottom="1440" w:gutter="0" w:footer="0" w:header="0"/>
        </w:sectPr>
      </w:pPr>
    </w:p>
    <w:bookmarkStart w:id="90" w:name="page91"/>
    <w:bookmarkEnd w:id="90"/>
    <w:p>
      <w:pPr>
        <w:spacing w:after="0"/>
        <w:rPr>
          <w:sz w:val="20"/>
          <w:szCs w:val="20"/>
          <w:color w:val="auto"/>
        </w:rPr>
      </w:pPr>
      <w:r>
        <w:rPr>
          <w:rFonts w:ascii="Arial" w:cs="Arial" w:eastAsia="Arial" w:hAnsi="Arial"/>
          <w:sz w:val="18"/>
          <w:szCs w:val="18"/>
          <w:color w:val="auto"/>
        </w:rPr>
        <w:t>Other assets include cash and cash equivalents and mark-to-market value of derivatives.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cash value of the trust-owned insurance contract is invested in investment-grade publicly traded equity and fixed-income securities.</w:t>
      </w:r>
    </w:p>
    <w:p>
      <w:pPr>
        <w:spacing w:after="0" w:line="117"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color w:val="auto"/>
        </w:rPr>
        <w:t>Other than hedge funds, private equity-like investments, and real estate, which are discussed above, we determine fair values based on a market approach using quoted market values, significant other observable inputs for identical or comparable assets or liabilities, or discounted cash flow analyses.</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color w:val="auto"/>
        </w:rPr>
        <w:t>The fair values of our defined benefit pension plan and retiree health plan assets as of December 31, 2015 by asset category are as follows: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6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96"/>
              </w:rPr>
              <w:t>Fair Value Measurements Using</w:t>
            </w:r>
          </w:p>
        </w:tc>
        <w:tc>
          <w:tcPr>
            <w:tcW w:w="14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46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540" w:type="dxa"/>
            <w:vAlign w:val="bottom"/>
            <w:gridSpan w:val="2"/>
          </w:tcPr>
          <w:p>
            <w:pPr>
              <w:jc w:val="center"/>
              <w:spacing w:after="0" w:line="136" w:lineRule="exact"/>
              <w:rPr>
                <w:sz w:val="20"/>
                <w:szCs w:val="20"/>
                <w:color w:val="auto"/>
              </w:rPr>
            </w:pPr>
            <w:r>
              <w:rPr>
                <w:rFonts w:ascii="Arial" w:cs="Arial" w:eastAsia="Arial" w:hAnsi="Arial"/>
                <w:sz w:val="13"/>
                <w:szCs w:val="13"/>
                <w:b w:val="1"/>
                <w:bCs w:val="1"/>
                <w:color w:val="auto"/>
                <w:w w:val="97"/>
              </w:rPr>
              <w:t>Quoted Prices in Active</w:t>
            </w:r>
          </w:p>
        </w:tc>
        <w:tc>
          <w:tcPr>
            <w:tcW w:w="360" w:type="dxa"/>
            <w:vAlign w:val="bottom"/>
          </w:tcPr>
          <w:p>
            <w:pPr>
              <w:spacing w:after="0"/>
              <w:rPr>
                <w:sz w:val="11"/>
                <w:szCs w:val="11"/>
                <w:color w:val="auto"/>
              </w:rPr>
            </w:pPr>
          </w:p>
        </w:tc>
        <w:tc>
          <w:tcPr>
            <w:tcW w:w="1440" w:type="dxa"/>
            <w:vAlign w:val="bottom"/>
            <w:vMerge w:val="restart"/>
          </w:tcPr>
          <w:p>
            <w:pPr>
              <w:jc w:val="center"/>
              <w:ind w:right="114"/>
              <w:spacing w:after="0"/>
              <w:rPr>
                <w:sz w:val="20"/>
                <w:szCs w:val="20"/>
                <w:color w:val="auto"/>
              </w:rPr>
            </w:pPr>
            <w:r>
              <w:rPr>
                <w:rFonts w:ascii="Arial" w:cs="Arial" w:eastAsia="Arial" w:hAnsi="Arial"/>
                <w:sz w:val="13"/>
                <w:szCs w:val="13"/>
                <w:b w:val="1"/>
                <w:bCs w:val="1"/>
                <w:color w:val="auto"/>
                <w:w w:val="96"/>
              </w:rPr>
              <w:t>Significant</w:t>
            </w:r>
          </w:p>
        </w:tc>
        <w:tc>
          <w:tcPr>
            <w:tcW w:w="240" w:type="dxa"/>
            <w:vAlign w:val="bottom"/>
          </w:tcPr>
          <w:p>
            <w:pPr>
              <w:spacing w:after="0"/>
              <w:rPr>
                <w:sz w:val="11"/>
                <w:szCs w:val="11"/>
                <w:color w:val="auto"/>
              </w:rPr>
            </w:pPr>
          </w:p>
        </w:tc>
        <w:tc>
          <w:tcPr>
            <w:tcW w:w="1460" w:type="dxa"/>
            <w:vAlign w:val="bottom"/>
            <w:vMerge w:val="restart"/>
          </w:tcPr>
          <w:p>
            <w:pPr>
              <w:jc w:val="center"/>
              <w:ind w:right="54"/>
              <w:spacing w:after="0"/>
              <w:rPr>
                <w:sz w:val="20"/>
                <w:szCs w:val="20"/>
                <w:color w:val="auto"/>
              </w:rPr>
            </w:pPr>
            <w:r>
              <w:rPr>
                <w:rFonts w:ascii="Arial" w:cs="Arial" w:eastAsia="Arial" w:hAnsi="Arial"/>
                <w:sz w:val="13"/>
                <w:szCs w:val="13"/>
                <w:b w:val="1"/>
                <w:bCs w:val="1"/>
                <w:color w:val="auto"/>
                <w:w w:val="96"/>
              </w:rPr>
              <w:t>Significant</w:t>
            </w:r>
          </w:p>
        </w:tc>
        <w:tc>
          <w:tcPr>
            <w:tcW w:w="0" w:type="dxa"/>
            <w:vAlign w:val="bottom"/>
          </w:tcPr>
          <w:p>
            <w:pPr>
              <w:spacing w:after="0"/>
              <w:rPr>
                <w:sz w:val="1"/>
                <w:szCs w:val="1"/>
                <w:color w:val="auto"/>
              </w:rPr>
            </w:pPr>
          </w:p>
        </w:tc>
      </w:tr>
      <w:tr>
        <w:trPr>
          <w:trHeight w:val="135"/>
        </w:trPr>
        <w:tc>
          <w:tcPr>
            <w:tcW w:w="46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20" w:type="dxa"/>
            <w:vAlign w:val="bottom"/>
          </w:tcPr>
          <w:p>
            <w:pPr>
              <w:jc w:val="center"/>
              <w:ind w:right="74"/>
              <w:spacing w:after="0" w:line="135" w:lineRule="exact"/>
              <w:rPr>
                <w:sz w:val="20"/>
                <w:szCs w:val="20"/>
                <w:color w:val="auto"/>
              </w:rPr>
            </w:pPr>
            <w:r>
              <w:rPr>
                <w:rFonts w:ascii="Arial" w:cs="Arial" w:eastAsia="Arial" w:hAnsi="Arial"/>
                <w:sz w:val="13"/>
                <w:szCs w:val="13"/>
                <w:b w:val="1"/>
                <w:bCs w:val="1"/>
                <w:color w:val="auto"/>
                <w:w w:val="96"/>
              </w:rPr>
              <w:t>Markets for</w:t>
            </w:r>
          </w:p>
        </w:tc>
        <w:tc>
          <w:tcPr>
            <w:tcW w:w="360" w:type="dxa"/>
            <w:vAlign w:val="bottom"/>
          </w:tcPr>
          <w:p>
            <w:pPr>
              <w:spacing w:after="0"/>
              <w:rPr>
                <w:sz w:val="11"/>
                <w:szCs w:val="11"/>
                <w:color w:val="auto"/>
              </w:rPr>
            </w:pPr>
          </w:p>
        </w:tc>
        <w:tc>
          <w:tcPr>
            <w:tcW w:w="144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14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60" w:type="dxa"/>
            <w:vAlign w:val="bottom"/>
            <w:vMerge w:val="restart"/>
          </w:tcPr>
          <w:p>
            <w:pPr>
              <w:ind w:left="40"/>
              <w:spacing w:after="0"/>
              <w:rPr>
                <w:sz w:val="20"/>
                <w:szCs w:val="20"/>
                <w:color w:val="auto"/>
              </w:rPr>
            </w:pPr>
            <w:r>
              <w:rPr>
                <w:rFonts w:ascii="Arial" w:cs="Arial" w:eastAsia="Arial" w:hAnsi="Arial"/>
                <w:sz w:val="13"/>
                <w:szCs w:val="13"/>
                <w:b w:val="1"/>
                <w:bCs w:val="1"/>
                <w:color w:val="auto"/>
              </w:rPr>
              <w:t>Asset Class</w:t>
            </w:r>
          </w:p>
        </w:tc>
        <w:tc>
          <w:tcPr>
            <w:tcW w:w="400" w:type="dxa"/>
            <w:vAlign w:val="bottom"/>
          </w:tcPr>
          <w:p>
            <w:pPr>
              <w:spacing w:after="0"/>
              <w:rPr>
                <w:sz w:val="11"/>
                <w:szCs w:val="11"/>
                <w:color w:val="auto"/>
              </w:rPr>
            </w:pPr>
          </w:p>
        </w:tc>
        <w:tc>
          <w:tcPr>
            <w:tcW w:w="1320" w:type="dxa"/>
            <w:vAlign w:val="bottom"/>
            <w:vMerge w:val="restart"/>
          </w:tcPr>
          <w:p>
            <w:pPr>
              <w:jc w:val="right"/>
              <w:ind w:right="671"/>
              <w:spacing w:after="0"/>
              <w:rPr>
                <w:sz w:val="20"/>
                <w:szCs w:val="20"/>
                <w:color w:val="auto"/>
              </w:rPr>
            </w:pPr>
            <w:r>
              <w:rPr>
                <w:rFonts w:ascii="Arial" w:cs="Arial" w:eastAsia="Arial" w:hAnsi="Arial"/>
                <w:sz w:val="13"/>
                <w:szCs w:val="13"/>
                <w:b w:val="1"/>
                <w:bCs w:val="1"/>
                <w:color w:val="auto"/>
              </w:rPr>
              <w:t>Total</w:t>
            </w:r>
          </w:p>
        </w:tc>
        <w:tc>
          <w:tcPr>
            <w:tcW w:w="220" w:type="dxa"/>
            <w:vAlign w:val="bottom"/>
          </w:tcPr>
          <w:p>
            <w:pPr>
              <w:spacing w:after="0"/>
              <w:rPr>
                <w:sz w:val="11"/>
                <w:szCs w:val="11"/>
                <w:color w:val="auto"/>
              </w:rPr>
            </w:pPr>
          </w:p>
        </w:tc>
        <w:tc>
          <w:tcPr>
            <w:tcW w:w="1320" w:type="dxa"/>
            <w:vAlign w:val="bottom"/>
          </w:tcPr>
          <w:p>
            <w:pPr>
              <w:jc w:val="center"/>
              <w:ind w:right="74"/>
              <w:spacing w:after="0" w:line="135" w:lineRule="exact"/>
              <w:rPr>
                <w:sz w:val="20"/>
                <w:szCs w:val="20"/>
                <w:color w:val="auto"/>
              </w:rPr>
            </w:pPr>
            <w:r>
              <w:rPr>
                <w:rFonts w:ascii="Arial" w:cs="Arial" w:eastAsia="Arial" w:hAnsi="Arial"/>
                <w:sz w:val="13"/>
                <w:szCs w:val="13"/>
                <w:b w:val="1"/>
                <w:bCs w:val="1"/>
                <w:color w:val="auto"/>
                <w:w w:val="96"/>
              </w:rPr>
              <w:t>Identical Assets</w:t>
            </w:r>
          </w:p>
        </w:tc>
        <w:tc>
          <w:tcPr>
            <w:tcW w:w="360" w:type="dxa"/>
            <w:vAlign w:val="bottom"/>
          </w:tcPr>
          <w:p>
            <w:pPr>
              <w:spacing w:after="0"/>
              <w:rPr>
                <w:sz w:val="11"/>
                <w:szCs w:val="11"/>
                <w:color w:val="auto"/>
              </w:rPr>
            </w:pPr>
          </w:p>
        </w:tc>
        <w:tc>
          <w:tcPr>
            <w:tcW w:w="1440" w:type="dxa"/>
            <w:vAlign w:val="bottom"/>
          </w:tcPr>
          <w:p>
            <w:pPr>
              <w:jc w:val="center"/>
              <w:ind w:right="94"/>
              <w:spacing w:after="0" w:line="135" w:lineRule="exact"/>
              <w:rPr>
                <w:sz w:val="20"/>
                <w:szCs w:val="20"/>
                <w:color w:val="auto"/>
              </w:rPr>
            </w:pPr>
            <w:r>
              <w:rPr>
                <w:rFonts w:ascii="Arial" w:cs="Arial" w:eastAsia="Arial" w:hAnsi="Arial"/>
                <w:sz w:val="13"/>
                <w:szCs w:val="13"/>
                <w:b w:val="1"/>
                <w:bCs w:val="1"/>
                <w:color w:val="auto"/>
                <w:w w:val="96"/>
              </w:rPr>
              <w:t>Observable Inputs</w:t>
            </w:r>
          </w:p>
        </w:tc>
        <w:tc>
          <w:tcPr>
            <w:tcW w:w="240" w:type="dxa"/>
            <w:vAlign w:val="bottom"/>
          </w:tcPr>
          <w:p>
            <w:pPr>
              <w:spacing w:after="0"/>
              <w:rPr>
                <w:sz w:val="11"/>
                <w:szCs w:val="11"/>
                <w:color w:val="auto"/>
              </w:rPr>
            </w:pPr>
          </w:p>
        </w:tc>
        <w:tc>
          <w:tcPr>
            <w:tcW w:w="1460" w:type="dxa"/>
            <w:vAlign w:val="bottom"/>
          </w:tcPr>
          <w:p>
            <w:pPr>
              <w:jc w:val="center"/>
              <w:ind w:right="54"/>
              <w:spacing w:after="0" w:line="135" w:lineRule="exact"/>
              <w:rPr>
                <w:sz w:val="20"/>
                <w:szCs w:val="20"/>
                <w:color w:val="auto"/>
              </w:rPr>
            </w:pPr>
            <w:r>
              <w:rPr>
                <w:rFonts w:ascii="Arial" w:cs="Arial" w:eastAsia="Arial" w:hAnsi="Arial"/>
                <w:sz w:val="13"/>
                <w:szCs w:val="13"/>
                <w:b w:val="1"/>
                <w:bCs w:val="1"/>
                <w:color w:val="auto"/>
                <w:w w:val="96"/>
              </w:rPr>
              <w:t>Unobservable Inputs</w:t>
            </w:r>
          </w:p>
        </w:tc>
        <w:tc>
          <w:tcPr>
            <w:tcW w:w="0" w:type="dxa"/>
            <w:vAlign w:val="bottom"/>
          </w:tcPr>
          <w:p>
            <w:pPr>
              <w:spacing w:after="0"/>
              <w:rPr>
                <w:sz w:val="1"/>
                <w:szCs w:val="1"/>
                <w:color w:val="auto"/>
              </w:rPr>
            </w:pPr>
          </w:p>
        </w:tc>
      </w:tr>
      <w:tr>
        <w:trPr>
          <w:trHeight w:val="182"/>
        </w:trPr>
        <w:tc>
          <w:tcPr>
            <w:tcW w:w="4660" w:type="dxa"/>
            <w:vAlign w:val="bottom"/>
            <w:tcBorders>
              <w:bottom w:val="single" w:sz="8" w:color="auto"/>
            </w:tcBorders>
            <w:vMerge w:val="continue"/>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center"/>
              <w:ind w:right="54"/>
              <w:spacing w:after="0"/>
              <w:rPr>
                <w:sz w:val="20"/>
                <w:szCs w:val="20"/>
                <w:color w:val="auto"/>
              </w:rPr>
            </w:pPr>
            <w:r>
              <w:rPr>
                <w:rFonts w:ascii="Arial" w:cs="Arial" w:eastAsia="Arial" w:hAnsi="Arial"/>
                <w:sz w:val="13"/>
                <w:szCs w:val="13"/>
                <w:b w:val="1"/>
                <w:bCs w:val="1"/>
                <w:color w:val="auto"/>
                <w:w w:val="94"/>
              </w:rPr>
              <w:t>(Level 1)</w:t>
            </w:r>
          </w:p>
        </w:tc>
        <w:tc>
          <w:tcPr>
            <w:tcW w:w="3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center"/>
              <w:ind w:right="114"/>
              <w:spacing w:after="0"/>
              <w:rPr>
                <w:sz w:val="20"/>
                <w:szCs w:val="20"/>
                <w:color w:val="auto"/>
              </w:rPr>
            </w:pPr>
            <w:r>
              <w:rPr>
                <w:rFonts w:ascii="Arial" w:cs="Arial" w:eastAsia="Arial" w:hAnsi="Arial"/>
                <w:sz w:val="13"/>
                <w:szCs w:val="13"/>
                <w:b w:val="1"/>
                <w:bCs w:val="1"/>
                <w:color w:val="auto"/>
                <w:w w:val="98"/>
              </w:rPr>
              <w:t>(Level 2)</w:t>
            </w:r>
          </w:p>
        </w:tc>
        <w:tc>
          <w:tcPr>
            <w:tcW w:w="2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center"/>
              <w:ind w:right="54"/>
              <w:spacing w:after="0"/>
              <w:rPr>
                <w:sz w:val="20"/>
                <w:szCs w:val="20"/>
                <w:color w:val="auto"/>
              </w:rPr>
            </w:pPr>
            <w:r>
              <w:rPr>
                <w:rFonts w:ascii="Arial" w:cs="Arial" w:eastAsia="Arial" w:hAnsi="Arial"/>
                <w:sz w:val="13"/>
                <w:szCs w:val="13"/>
                <w:b w:val="1"/>
                <w:bCs w:val="1"/>
                <w:color w:val="auto"/>
                <w:w w:val="98"/>
              </w:rPr>
              <w:t>(Level 3)</w:t>
            </w:r>
          </w:p>
        </w:tc>
        <w:tc>
          <w:tcPr>
            <w:tcW w:w="0" w:type="dxa"/>
            <w:vAlign w:val="bottom"/>
          </w:tcPr>
          <w:p>
            <w:pPr>
              <w:spacing w:after="0"/>
              <w:rPr>
                <w:sz w:val="1"/>
                <w:szCs w:val="1"/>
                <w:color w:val="auto"/>
              </w:rPr>
            </w:pPr>
          </w:p>
        </w:tc>
      </w:tr>
      <w:tr>
        <w:trPr>
          <w:trHeight w:val="268"/>
        </w:trPr>
        <w:tc>
          <w:tcPr>
            <w:tcW w:w="4660" w:type="dxa"/>
            <w:vAlign w:val="bottom"/>
            <w:shd w:val="clear" w:color="auto" w:fill="D8D8D8"/>
          </w:tcPr>
          <w:p>
            <w:pPr>
              <w:ind w:left="40"/>
              <w:spacing w:after="0"/>
              <w:rPr>
                <w:sz w:val="20"/>
                <w:szCs w:val="20"/>
                <w:color w:val="auto"/>
              </w:rPr>
            </w:pPr>
            <w:r>
              <w:rPr>
                <w:rFonts w:ascii="Arial" w:cs="Arial" w:eastAsia="Arial" w:hAnsi="Arial"/>
                <w:sz w:val="18"/>
                <w:szCs w:val="18"/>
                <w:b w:val="1"/>
                <w:bCs w:val="1"/>
                <w:color w:val="auto"/>
              </w:rPr>
              <w:t>Defined Benefit Pension Plans</w:t>
            </w:r>
          </w:p>
        </w:tc>
        <w:tc>
          <w:tcPr>
            <w:tcW w:w="400" w:type="dxa"/>
            <w:vAlign w:val="bottom"/>
            <w:shd w:val="clear" w:color="auto" w:fill="D8D8D8"/>
          </w:tcPr>
          <w:p>
            <w:pPr>
              <w:spacing w:after="0"/>
              <w:rPr>
                <w:sz w:val="23"/>
                <w:szCs w:val="23"/>
                <w:color w:val="auto"/>
              </w:rPr>
            </w:pPr>
          </w:p>
        </w:tc>
        <w:tc>
          <w:tcPr>
            <w:tcW w:w="1320" w:type="dxa"/>
            <w:vAlign w:val="bottom"/>
            <w:shd w:val="clear" w:color="auto" w:fill="D8D8D8"/>
          </w:tcPr>
          <w:p>
            <w:pPr>
              <w:spacing w:after="0"/>
              <w:rPr>
                <w:sz w:val="23"/>
                <w:szCs w:val="23"/>
                <w:color w:val="auto"/>
              </w:rPr>
            </w:pPr>
          </w:p>
        </w:tc>
        <w:tc>
          <w:tcPr>
            <w:tcW w:w="220" w:type="dxa"/>
            <w:vAlign w:val="bottom"/>
            <w:shd w:val="clear" w:color="auto" w:fill="D8D8D8"/>
          </w:tcPr>
          <w:p>
            <w:pPr>
              <w:spacing w:after="0"/>
              <w:rPr>
                <w:sz w:val="23"/>
                <w:szCs w:val="23"/>
                <w:color w:val="auto"/>
              </w:rPr>
            </w:pPr>
          </w:p>
        </w:tc>
        <w:tc>
          <w:tcPr>
            <w:tcW w:w="1320" w:type="dxa"/>
            <w:vAlign w:val="bottom"/>
            <w:shd w:val="clear" w:color="auto" w:fill="D8D8D8"/>
          </w:tcPr>
          <w:p>
            <w:pPr>
              <w:spacing w:after="0"/>
              <w:rPr>
                <w:sz w:val="23"/>
                <w:szCs w:val="23"/>
                <w:color w:val="auto"/>
              </w:rPr>
            </w:pPr>
          </w:p>
        </w:tc>
        <w:tc>
          <w:tcPr>
            <w:tcW w:w="360" w:type="dxa"/>
            <w:vAlign w:val="bottom"/>
            <w:shd w:val="clear" w:color="auto" w:fill="D8D8D8"/>
          </w:tcPr>
          <w:p>
            <w:pPr>
              <w:spacing w:after="0"/>
              <w:rPr>
                <w:sz w:val="23"/>
                <w:szCs w:val="23"/>
                <w:color w:val="auto"/>
              </w:rPr>
            </w:pPr>
          </w:p>
        </w:tc>
        <w:tc>
          <w:tcPr>
            <w:tcW w:w="1440" w:type="dxa"/>
            <w:vAlign w:val="bottom"/>
            <w:shd w:val="clear" w:color="auto" w:fill="D8D8D8"/>
          </w:tcPr>
          <w:p>
            <w:pPr>
              <w:spacing w:after="0"/>
              <w:rPr>
                <w:sz w:val="23"/>
                <w:szCs w:val="23"/>
                <w:color w:val="auto"/>
              </w:rPr>
            </w:pPr>
          </w:p>
        </w:tc>
        <w:tc>
          <w:tcPr>
            <w:tcW w:w="240" w:type="dxa"/>
            <w:vAlign w:val="bottom"/>
            <w:shd w:val="clear" w:color="auto" w:fill="D8D8D8"/>
          </w:tcPr>
          <w:p>
            <w:pPr>
              <w:spacing w:after="0"/>
              <w:rPr>
                <w:sz w:val="23"/>
                <w:szCs w:val="23"/>
                <w:color w:val="auto"/>
              </w:rPr>
            </w:pPr>
          </w:p>
        </w:tc>
        <w:tc>
          <w:tcPr>
            <w:tcW w:w="1460" w:type="dxa"/>
            <w:vAlign w:val="bottom"/>
            <w:shd w:val="clear" w:color="auto" w:fill="D8D8D8"/>
          </w:tcPr>
          <w:p>
            <w:pPr>
              <w:spacing w:after="0"/>
              <w:rPr>
                <w:sz w:val="23"/>
                <w:szCs w:val="23"/>
                <w:color w:val="auto"/>
              </w:rPr>
            </w:pPr>
          </w:p>
        </w:tc>
        <w:tc>
          <w:tcPr>
            <w:tcW w:w="0" w:type="dxa"/>
            <w:vAlign w:val="bottom"/>
          </w:tcPr>
          <w:p>
            <w:pPr>
              <w:spacing w:after="0"/>
              <w:rPr>
                <w:sz w:val="1"/>
                <w:szCs w:val="1"/>
                <w:color w:val="auto"/>
              </w:rPr>
            </w:pPr>
          </w:p>
        </w:tc>
      </w:tr>
      <w:tr>
        <w:trPr>
          <w:trHeight w:val="247"/>
        </w:trPr>
        <w:tc>
          <w:tcPr>
            <w:tcW w:w="4660" w:type="dxa"/>
            <w:vAlign w:val="bottom"/>
          </w:tcPr>
          <w:p>
            <w:pPr>
              <w:ind w:left="40"/>
              <w:spacing w:after="0"/>
              <w:rPr>
                <w:sz w:val="20"/>
                <w:szCs w:val="20"/>
                <w:color w:val="auto"/>
              </w:rPr>
            </w:pPr>
            <w:r>
              <w:rPr>
                <w:rFonts w:ascii="Arial" w:cs="Arial" w:eastAsia="Arial" w:hAnsi="Arial"/>
                <w:sz w:val="18"/>
                <w:szCs w:val="18"/>
                <w:color w:val="auto"/>
              </w:rPr>
              <w:t>Public equity securities:</w:t>
            </w:r>
          </w:p>
        </w:tc>
        <w:tc>
          <w:tcPr>
            <w:tcW w:w="4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46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60" w:type="dxa"/>
            <w:vAlign w:val="bottom"/>
            <w:shd w:val="clear" w:color="auto" w:fill="D8D8D8"/>
          </w:tcPr>
          <w:p>
            <w:pPr>
              <w:ind w:left="180"/>
              <w:spacing w:after="0"/>
              <w:rPr>
                <w:sz w:val="20"/>
                <w:szCs w:val="20"/>
                <w:color w:val="auto"/>
              </w:rPr>
            </w:pPr>
            <w:r>
              <w:rPr>
                <w:rFonts w:ascii="Arial" w:cs="Arial" w:eastAsia="Arial" w:hAnsi="Arial"/>
                <w:sz w:val="18"/>
                <w:szCs w:val="18"/>
                <w:color w:val="auto"/>
              </w:rPr>
              <w:t>U.S.</w:t>
            </w:r>
          </w:p>
        </w:tc>
        <w:tc>
          <w:tcPr>
            <w:tcW w:w="400" w:type="dxa"/>
            <w:vAlign w:val="bottom"/>
            <w:shd w:val="clear" w:color="auto" w:fill="D8D8D8"/>
          </w:tcPr>
          <w:p>
            <w:pPr>
              <w:jc w:val="right"/>
              <w:ind w:right="170"/>
              <w:spacing w:after="0"/>
              <w:rPr>
                <w:sz w:val="20"/>
                <w:szCs w:val="20"/>
                <w:color w:val="auto"/>
              </w:rPr>
            </w:pPr>
            <w:r>
              <w:rPr>
                <w:rFonts w:ascii="Arial" w:cs="Arial" w:eastAsia="Arial" w:hAnsi="Arial"/>
                <w:sz w:val="18"/>
                <w:szCs w:val="18"/>
                <w:color w:val="auto"/>
              </w:rPr>
              <w:t>$</w:t>
            </w:r>
          </w:p>
        </w:tc>
        <w:tc>
          <w:tcPr>
            <w:tcW w:w="1320" w:type="dxa"/>
            <w:vAlign w:val="bottom"/>
            <w:shd w:val="clear" w:color="auto" w:fill="D8D8D8"/>
          </w:tcPr>
          <w:p>
            <w:pPr>
              <w:jc w:val="right"/>
              <w:ind w:right="131"/>
              <w:spacing w:after="0"/>
              <w:rPr>
                <w:sz w:val="20"/>
                <w:szCs w:val="20"/>
                <w:color w:val="auto"/>
              </w:rPr>
            </w:pPr>
            <w:r>
              <w:rPr>
                <w:rFonts w:ascii="Arial" w:cs="Arial" w:eastAsia="Arial" w:hAnsi="Arial"/>
                <w:sz w:val="18"/>
                <w:szCs w:val="18"/>
                <w:color w:val="auto"/>
              </w:rPr>
              <w:t>414.8</w:t>
            </w:r>
          </w:p>
        </w:tc>
        <w:tc>
          <w:tcPr>
            <w:tcW w:w="220" w:type="dxa"/>
            <w:vAlign w:val="bottom"/>
            <w:shd w:val="clear" w:color="auto" w:fill="D8D8D8"/>
          </w:tcPr>
          <w:p>
            <w:pPr>
              <w:jc w:val="right"/>
              <w:ind w:right="15"/>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D8D8D8"/>
          </w:tcPr>
          <w:p>
            <w:pPr>
              <w:jc w:val="right"/>
              <w:spacing w:after="0"/>
              <w:rPr>
                <w:sz w:val="20"/>
                <w:szCs w:val="20"/>
                <w:color w:val="auto"/>
              </w:rPr>
            </w:pPr>
            <w:r>
              <w:rPr>
                <w:rFonts w:ascii="Arial" w:cs="Arial" w:eastAsia="Arial" w:hAnsi="Arial"/>
                <w:sz w:val="18"/>
                <w:szCs w:val="18"/>
                <w:color w:val="auto"/>
              </w:rPr>
              <w:t>187.1</w:t>
            </w:r>
          </w:p>
        </w:tc>
        <w:tc>
          <w:tcPr>
            <w:tcW w:w="360" w:type="dxa"/>
            <w:vAlign w:val="bottom"/>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D8D8D8"/>
          </w:tcPr>
          <w:p>
            <w:pPr>
              <w:jc w:val="right"/>
              <w:ind w:right="34"/>
              <w:spacing w:after="0"/>
              <w:rPr>
                <w:sz w:val="20"/>
                <w:szCs w:val="20"/>
                <w:color w:val="auto"/>
              </w:rPr>
            </w:pPr>
            <w:r>
              <w:rPr>
                <w:rFonts w:ascii="Arial" w:cs="Arial" w:eastAsia="Arial" w:hAnsi="Arial"/>
                <w:sz w:val="18"/>
                <w:szCs w:val="18"/>
                <w:color w:val="auto"/>
              </w:rPr>
              <w:t>227.7</w:t>
            </w:r>
          </w:p>
        </w:tc>
        <w:tc>
          <w:tcPr>
            <w:tcW w:w="240" w:type="dxa"/>
            <w:vAlign w:val="bottom"/>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D8D8D8"/>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5"/>
        </w:trPr>
        <w:tc>
          <w:tcPr>
            <w:tcW w:w="4660" w:type="dxa"/>
            <w:vAlign w:val="bottom"/>
          </w:tcPr>
          <w:p>
            <w:pPr>
              <w:ind w:left="180"/>
              <w:spacing w:after="0"/>
              <w:rPr>
                <w:sz w:val="20"/>
                <w:szCs w:val="20"/>
                <w:color w:val="auto"/>
              </w:rPr>
            </w:pPr>
            <w:r>
              <w:rPr>
                <w:rFonts w:ascii="Arial" w:cs="Arial" w:eastAsia="Arial" w:hAnsi="Arial"/>
                <w:sz w:val="18"/>
                <w:szCs w:val="18"/>
                <w:color w:val="auto"/>
              </w:rPr>
              <w:t>International</w:t>
            </w:r>
          </w:p>
        </w:tc>
        <w:tc>
          <w:tcPr>
            <w:tcW w:w="400" w:type="dxa"/>
            <w:vAlign w:val="bottom"/>
          </w:tcPr>
          <w:p>
            <w:pPr>
              <w:spacing w:after="0"/>
              <w:rPr>
                <w:sz w:val="23"/>
                <w:szCs w:val="23"/>
                <w:color w:val="auto"/>
              </w:rPr>
            </w:pPr>
          </w:p>
        </w:tc>
        <w:tc>
          <w:tcPr>
            <w:tcW w:w="1320" w:type="dxa"/>
            <w:vAlign w:val="bottom"/>
          </w:tcPr>
          <w:p>
            <w:pPr>
              <w:jc w:val="right"/>
              <w:ind w:right="131"/>
              <w:spacing w:after="0"/>
              <w:rPr>
                <w:sz w:val="20"/>
                <w:szCs w:val="20"/>
                <w:color w:val="auto"/>
              </w:rPr>
            </w:pPr>
            <w:r>
              <w:rPr>
                <w:rFonts w:ascii="Arial" w:cs="Arial" w:eastAsia="Arial" w:hAnsi="Arial"/>
                <w:sz w:val="18"/>
                <w:szCs w:val="18"/>
                <w:color w:val="auto"/>
              </w:rPr>
              <w:t>2,340.6</w:t>
            </w:r>
          </w:p>
        </w:tc>
        <w:tc>
          <w:tcPr>
            <w:tcW w:w="22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956.3</w:t>
            </w:r>
          </w:p>
        </w:tc>
        <w:tc>
          <w:tcPr>
            <w:tcW w:w="360" w:type="dxa"/>
            <w:vAlign w:val="bottom"/>
          </w:tcPr>
          <w:p>
            <w:pPr>
              <w:spacing w:after="0"/>
              <w:rPr>
                <w:sz w:val="23"/>
                <w:szCs w:val="23"/>
                <w:color w:val="auto"/>
              </w:rPr>
            </w:pPr>
          </w:p>
        </w:tc>
        <w:tc>
          <w:tcPr>
            <w:tcW w:w="1440" w:type="dxa"/>
            <w:vAlign w:val="bottom"/>
          </w:tcPr>
          <w:p>
            <w:pPr>
              <w:jc w:val="right"/>
              <w:ind w:right="34"/>
              <w:spacing w:after="0"/>
              <w:rPr>
                <w:sz w:val="20"/>
                <w:szCs w:val="20"/>
                <w:color w:val="auto"/>
              </w:rPr>
            </w:pPr>
            <w:r>
              <w:rPr>
                <w:rFonts w:ascii="Arial" w:cs="Arial" w:eastAsia="Arial" w:hAnsi="Arial"/>
                <w:sz w:val="18"/>
                <w:szCs w:val="18"/>
                <w:color w:val="auto"/>
              </w:rPr>
              <w:t>1,384.3</w:t>
            </w:r>
          </w:p>
        </w:tc>
        <w:tc>
          <w:tcPr>
            <w:tcW w:w="240" w:type="dxa"/>
            <w:vAlign w:val="bottom"/>
          </w:tcPr>
          <w:p>
            <w:pPr>
              <w:spacing w:after="0"/>
              <w:rPr>
                <w:sz w:val="23"/>
                <w:szCs w:val="23"/>
                <w:color w:val="auto"/>
              </w:rPr>
            </w:pPr>
          </w:p>
        </w:tc>
        <w:tc>
          <w:tcPr>
            <w:tcW w:w="14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5"/>
        </w:trPr>
        <w:tc>
          <w:tcPr>
            <w:tcW w:w="4660" w:type="dxa"/>
            <w:vAlign w:val="bottom"/>
            <w:tcBorders>
              <w:bottom w:val="single" w:sz="8" w:color="D8D8D8"/>
            </w:tcBorders>
            <w:shd w:val="clear" w:color="auto" w:fill="D8D8D8"/>
          </w:tcPr>
          <w:p>
            <w:pPr>
              <w:ind w:left="40"/>
              <w:spacing w:after="0"/>
              <w:rPr>
                <w:sz w:val="20"/>
                <w:szCs w:val="20"/>
                <w:color w:val="auto"/>
              </w:rPr>
            </w:pPr>
            <w:r>
              <w:rPr>
                <w:rFonts w:ascii="Arial" w:cs="Arial" w:eastAsia="Arial" w:hAnsi="Arial"/>
                <w:sz w:val="18"/>
                <w:szCs w:val="18"/>
                <w:color w:val="auto"/>
              </w:rPr>
              <w:t>Fixed income:</w:t>
            </w:r>
          </w:p>
        </w:tc>
        <w:tc>
          <w:tcPr>
            <w:tcW w:w="400" w:type="dxa"/>
            <w:vAlign w:val="bottom"/>
            <w:tcBorders>
              <w:bottom w:val="single" w:sz="8" w:color="D8D8D8"/>
            </w:tcBorders>
            <w:shd w:val="clear" w:color="auto" w:fill="D8D8D8"/>
          </w:tcPr>
          <w:p>
            <w:pPr>
              <w:spacing w:after="0"/>
              <w:rPr>
                <w:sz w:val="22"/>
                <w:szCs w:val="22"/>
                <w:color w:val="auto"/>
              </w:rPr>
            </w:pPr>
          </w:p>
        </w:tc>
        <w:tc>
          <w:tcPr>
            <w:tcW w:w="1320" w:type="dxa"/>
            <w:vAlign w:val="bottom"/>
            <w:tcBorders>
              <w:bottom w:val="single" w:sz="8" w:color="D8D8D8"/>
            </w:tcBorders>
            <w:shd w:val="clear" w:color="auto" w:fill="D8D8D8"/>
          </w:tcPr>
          <w:p>
            <w:pPr>
              <w:spacing w:after="0"/>
              <w:rPr>
                <w:sz w:val="22"/>
                <w:szCs w:val="22"/>
                <w:color w:val="auto"/>
              </w:rPr>
            </w:pPr>
          </w:p>
        </w:tc>
        <w:tc>
          <w:tcPr>
            <w:tcW w:w="220" w:type="dxa"/>
            <w:vAlign w:val="bottom"/>
            <w:tcBorders>
              <w:bottom w:val="single" w:sz="8" w:color="D8D8D8"/>
            </w:tcBorders>
            <w:shd w:val="clear" w:color="auto" w:fill="D8D8D8"/>
          </w:tcPr>
          <w:p>
            <w:pPr>
              <w:spacing w:after="0"/>
              <w:rPr>
                <w:sz w:val="22"/>
                <w:szCs w:val="22"/>
                <w:color w:val="auto"/>
              </w:rPr>
            </w:pPr>
          </w:p>
        </w:tc>
        <w:tc>
          <w:tcPr>
            <w:tcW w:w="1320" w:type="dxa"/>
            <w:vAlign w:val="bottom"/>
            <w:tcBorders>
              <w:bottom w:val="single" w:sz="8" w:color="D8D8D8"/>
            </w:tcBorders>
            <w:shd w:val="clear" w:color="auto" w:fill="D8D8D8"/>
          </w:tcPr>
          <w:p>
            <w:pPr>
              <w:spacing w:after="0"/>
              <w:rPr>
                <w:sz w:val="22"/>
                <w:szCs w:val="22"/>
                <w:color w:val="auto"/>
              </w:rPr>
            </w:pPr>
          </w:p>
        </w:tc>
        <w:tc>
          <w:tcPr>
            <w:tcW w:w="360" w:type="dxa"/>
            <w:vAlign w:val="bottom"/>
            <w:tcBorders>
              <w:bottom w:val="single" w:sz="8" w:color="D8D8D8"/>
            </w:tcBorders>
            <w:shd w:val="clear" w:color="auto" w:fill="D8D8D8"/>
          </w:tcPr>
          <w:p>
            <w:pPr>
              <w:spacing w:after="0"/>
              <w:rPr>
                <w:sz w:val="22"/>
                <w:szCs w:val="22"/>
                <w:color w:val="auto"/>
              </w:rPr>
            </w:pPr>
          </w:p>
        </w:tc>
        <w:tc>
          <w:tcPr>
            <w:tcW w:w="1440" w:type="dxa"/>
            <w:vAlign w:val="bottom"/>
            <w:tcBorders>
              <w:bottom w:val="single" w:sz="8" w:color="D8D8D8"/>
            </w:tcBorders>
            <w:shd w:val="clear" w:color="auto" w:fill="D8D8D8"/>
          </w:tcPr>
          <w:p>
            <w:pPr>
              <w:spacing w:after="0"/>
              <w:rPr>
                <w:sz w:val="22"/>
                <w:szCs w:val="22"/>
                <w:color w:val="auto"/>
              </w:rPr>
            </w:pPr>
          </w:p>
        </w:tc>
        <w:tc>
          <w:tcPr>
            <w:tcW w:w="240" w:type="dxa"/>
            <w:vAlign w:val="bottom"/>
            <w:tcBorders>
              <w:bottom w:val="single" w:sz="8" w:color="D8D8D8"/>
            </w:tcBorders>
            <w:shd w:val="clear" w:color="auto" w:fill="D8D8D8"/>
          </w:tcPr>
          <w:p>
            <w:pPr>
              <w:spacing w:after="0"/>
              <w:rPr>
                <w:sz w:val="22"/>
                <w:szCs w:val="22"/>
                <w:color w:val="auto"/>
              </w:rPr>
            </w:pPr>
          </w:p>
        </w:tc>
        <w:tc>
          <w:tcPr>
            <w:tcW w:w="1460" w:type="dxa"/>
            <w:vAlign w:val="bottom"/>
            <w:tcBorders>
              <w:bottom w:val="single" w:sz="8" w:color="D8D8D8"/>
            </w:tcBorders>
            <w:shd w:val="clear" w:color="auto" w:fill="D8D8D8"/>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660" w:type="dxa"/>
            <w:vAlign w:val="bottom"/>
          </w:tcPr>
          <w:p>
            <w:pPr>
              <w:ind w:left="180"/>
              <w:spacing w:after="0"/>
              <w:rPr>
                <w:sz w:val="20"/>
                <w:szCs w:val="20"/>
                <w:color w:val="auto"/>
              </w:rPr>
            </w:pPr>
            <w:r>
              <w:rPr>
                <w:rFonts w:ascii="Arial" w:cs="Arial" w:eastAsia="Arial" w:hAnsi="Arial"/>
                <w:sz w:val="18"/>
                <w:szCs w:val="18"/>
                <w:color w:val="auto"/>
              </w:rPr>
              <w:t>Developed markets</w:t>
            </w:r>
          </w:p>
        </w:tc>
        <w:tc>
          <w:tcPr>
            <w:tcW w:w="400" w:type="dxa"/>
            <w:vAlign w:val="bottom"/>
          </w:tcPr>
          <w:p>
            <w:pPr>
              <w:spacing w:after="0"/>
              <w:rPr>
                <w:sz w:val="23"/>
                <w:szCs w:val="23"/>
                <w:color w:val="auto"/>
              </w:rPr>
            </w:pPr>
          </w:p>
        </w:tc>
        <w:tc>
          <w:tcPr>
            <w:tcW w:w="1320" w:type="dxa"/>
            <w:vAlign w:val="bottom"/>
          </w:tcPr>
          <w:p>
            <w:pPr>
              <w:jc w:val="right"/>
              <w:ind w:right="131"/>
              <w:spacing w:after="0"/>
              <w:rPr>
                <w:sz w:val="20"/>
                <w:szCs w:val="20"/>
                <w:color w:val="auto"/>
              </w:rPr>
            </w:pPr>
            <w:r>
              <w:rPr>
                <w:rFonts w:ascii="Arial" w:cs="Arial" w:eastAsia="Arial" w:hAnsi="Arial"/>
                <w:sz w:val="18"/>
                <w:szCs w:val="18"/>
                <w:color w:val="auto"/>
              </w:rPr>
              <w:t>1,316.6</w:t>
            </w:r>
          </w:p>
        </w:tc>
        <w:tc>
          <w:tcPr>
            <w:tcW w:w="22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175.7</w:t>
            </w:r>
          </w:p>
        </w:tc>
        <w:tc>
          <w:tcPr>
            <w:tcW w:w="360" w:type="dxa"/>
            <w:vAlign w:val="bottom"/>
          </w:tcPr>
          <w:p>
            <w:pPr>
              <w:spacing w:after="0"/>
              <w:rPr>
                <w:sz w:val="23"/>
                <w:szCs w:val="23"/>
                <w:color w:val="auto"/>
              </w:rPr>
            </w:pPr>
          </w:p>
        </w:tc>
        <w:tc>
          <w:tcPr>
            <w:tcW w:w="1440" w:type="dxa"/>
            <w:vAlign w:val="bottom"/>
          </w:tcPr>
          <w:p>
            <w:pPr>
              <w:jc w:val="right"/>
              <w:ind w:right="34"/>
              <w:spacing w:after="0"/>
              <w:rPr>
                <w:sz w:val="20"/>
                <w:szCs w:val="20"/>
                <w:color w:val="auto"/>
              </w:rPr>
            </w:pPr>
            <w:r>
              <w:rPr>
                <w:rFonts w:ascii="Arial" w:cs="Arial" w:eastAsia="Arial" w:hAnsi="Arial"/>
                <w:sz w:val="18"/>
                <w:szCs w:val="18"/>
                <w:color w:val="auto"/>
              </w:rPr>
              <w:t>1,140.9</w:t>
            </w:r>
          </w:p>
        </w:tc>
        <w:tc>
          <w:tcPr>
            <w:tcW w:w="240" w:type="dxa"/>
            <w:vAlign w:val="bottom"/>
          </w:tcPr>
          <w:p>
            <w:pPr>
              <w:spacing w:after="0"/>
              <w:rPr>
                <w:sz w:val="23"/>
                <w:szCs w:val="23"/>
                <w:color w:val="auto"/>
              </w:rPr>
            </w:pPr>
          </w:p>
        </w:tc>
        <w:tc>
          <w:tcPr>
            <w:tcW w:w="14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5"/>
        </w:trPr>
        <w:tc>
          <w:tcPr>
            <w:tcW w:w="4660" w:type="dxa"/>
            <w:vAlign w:val="bottom"/>
            <w:shd w:val="clear" w:color="auto" w:fill="D8D8D8"/>
          </w:tcPr>
          <w:p>
            <w:pPr>
              <w:ind w:left="180"/>
              <w:spacing w:after="0"/>
              <w:rPr>
                <w:sz w:val="20"/>
                <w:szCs w:val="20"/>
                <w:color w:val="auto"/>
              </w:rPr>
            </w:pPr>
            <w:r>
              <w:rPr>
                <w:rFonts w:ascii="Arial" w:cs="Arial" w:eastAsia="Arial" w:hAnsi="Arial"/>
                <w:sz w:val="18"/>
                <w:szCs w:val="18"/>
                <w:color w:val="auto"/>
              </w:rPr>
              <w:t>Emerging markets</w:t>
            </w:r>
          </w:p>
        </w:tc>
        <w:tc>
          <w:tcPr>
            <w:tcW w:w="400" w:type="dxa"/>
            <w:vAlign w:val="bottom"/>
            <w:shd w:val="clear" w:color="auto" w:fill="D8D8D8"/>
          </w:tcPr>
          <w:p>
            <w:pPr>
              <w:spacing w:after="0"/>
              <w:rPr>
                <w:sz w:val="23"/>
                <w:szCs w:val="23"/>
                <w:color w:val="auto"/>
              </w:rPr>
            </w:pPr>
          </w:p>
        </w:tc>
        <w:tc>
          <w:tcPr>
            <w:tcW w:w="1320" w:type="dxa"/>
            <w:vAlign w:val="bottom"/>
            <w:shd w:val="clear" w:color="auto" w:fill="D8D8D8"/>
          </w:tcPr>
          <w:p>
            <w:pPr>
              <w:jc w:val="right"/>
              <w:ind w:right="131"/>
              <w:spacing w:after="0"/>
              <w:rPr>
                <w:sz w:val="20"/>
                <w:szCs w:val="20"/>
                <w:color w:val="auto"/>
              </w:rPr>
            </w:pPr>
            <w:r>
              <w:rPr>
                <w:rFonts w:ascii="Arial" w:cs="Arial" w:eastAsia="Arial" w:hAnsi="Arial"/>
                <w:sz w:val="18"/>
                <w:szCs w:val="18"/>
                <w:color w:val="auto"/>
              </w:rPr>
              <w:t>385.7</w:t>
            </w:r>
          </w:p>
        </w:tc>
        <w:tc>
          <w:tcPr>
            <w:tcW w:w="220" w:type="dxa"/>
            <w:vAlign w:val="bottom"/>
            <w:shd w:val="clear" w:color="auto" w:fill="D8D8D8"/>
          </w:tcPr>
          <w:p>
            <w:pPr>
              <w:spacing w:after="0"/>
              <w:rPr>
                <w:sz w:val="23"/>
                <w:szCs w:val="23"/>
                <w:color w:val="auto"/>
              </w:rPr>
            </w:pPr>
          </w:p>
        </w:tc>
        <w:tc>
          <w:tcPr>
            <w:tcW w:w="1320" w:type="dxa"/>
            <w:vAlign w:val="bottom"/>
            <w:shd w:val="clear" w:color="auto" w:fill="D8D8D8"/>
          </w:tcPr>
          <w:p>
            <w:pPr>
              <w:jc w:val="right"/>
              <w:spacing w:after="0"/>
              <w:rPr>
                <w:sz w:val="20"/>
                <w:szCs w:val="20"/>
                <w:color w:val="auto"/>
              </w:rPr>
            </w:pPr>
            <w:r>
              <w:rPr>
                <w:rFonts w:ascii="Arial" w:cs="Arial" w:eastAsia="Arial" w:hAnsi="Arial"/>
                <w:sz w:val="18"/>
                <w:szCs w:val="18"/>
                <w:color w:val="auto"/>
              </w:rPr>
              <w:t>10.1</w:t>
            </w:r>
          </w:p>
        </w:tc>
        <w:tc>
          <w:tcPr>
            <w:tcW w:w="360" w:type="dxa"/>
            <w:vAlign w:val="bottom"/>
            <w:shd w:val="clear" w:color="auto" w:fill="D8D8D8"/>
          </w:tcPr>
          <w:p>
            <w:pPr>
              <w:spacing w:after="0"/>
              <w:rPr>
                <w:sz w:val="23"/>
                <w:szCs w:val="23"/>
                <w:color w:val="auto"/>
              </w:rPr>
            </w:pPr>
          </w:p>
        </w:tc>
        <w:tc>
          <w:tcPr>
            <w:tcW w:w="1440" w:type="dxa"/>
            <w:vAlign w:val="bottom"/>
            <w:shd w:val="clear" w:color="auto" w:fill="D8D8D8"/>
          </w:tcPr>
          <w:p>
            <w:pPr>
              <w:jc w:val="right"/>
              <w:ind w:right="34"/>
              <w:spacing w:after="0"/>
              <w:rPr>
                <w:sz w:val="20"/>
                <w:szCs w:val="20"/>
                <w:color w:val="auto"/>
              </w:rPr>
            </w:pPr>
            <w:r>
              <w:rPr>
                <w:rFonts w:ascii="Arial" w:cs="Arial" w:eastAsia="Arial" w:hAnsi="Arial"/>
                <w:sz w:val="18"/>
                <w:szCs w:val="18"/>
                <w:color w:val="auto"/>
              </w:rPr>
              <w:t>375.3</w:t>
            </w:r>
          </w:p>
        </w:tc>
        <w:tc>
          <w:tcPr>
            <w:tcW w:w="240" w:type="dxa"/>
            <w:vAlign w:val="bottom"/>
            <w:shd w:val="clear" w:color="auto" w:fill="D8D8D8"/>
          </w:tcPr>
          <w:p>
            <w:pPr>
              <w:spacing w:after="0"/>
              <w:rPr>
                <w:sz w:val="23"/>
                <w:szCs w:val="23"/>
                <w:color w:val="auto"/>
              </w:rPr>
            </w:pPr>
          </w:p>
        </w:tc>
        <w:tc>
          <w:tcPr>
            <w:tcW w:w="1460" w:type="dxa"/>
            <w:vAlign w:val="bottom"/>
            <w:shd w:val="clear" w:color="auto" w:fill="D8D8D8"/>
          </w:tcPr>
          <w:p>
            <w:pPr>
              <w:jc w:val="right"/>
              <w:ind w:right="14"/>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47"/>
        </w:trPr>
        <w:tc>
          <w:tcPr>
            <w:tcW w:w="4660" w:type="dxa"/>
            <w:vAlign w:val="bottom"/>
          </w:tcPr>
          <w:p>
            <w:pPr>
              <w:ind w:left="40"/>
              <w:spacing w:after="0"/>
              <w:rPr>
                <w:sz w:val="20"/>
                <w:szCs w:val="20"/>
                <w:color w:val="auto"/>
              </w:rPr>
            </w:pPr>
            <w:r>
              <w:rPr>
                <w:rFonts w:ascii="Arial" w:cs="Arial" w:eastAsia="Arial" w:hAnsi="Arial"/>
                <w:sz w:val="18"/>
                <w:szCs w:val="18"/>
                <w:color w:val="auto"/>
              </w:rPr>
              <w:t>Private alternative investments:</w:t>
            </w:r>
          </w:p>
        </w:tc>
        <w:tc>
          <w:tcPr>
            <w:tcW w:w="4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46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60" w:type="dxa"/>
            <w:vAlign w:val="bottom"/>
            <w:shd w:val="clear" w:color="auto" w:fill="D8D8D8"/>
          </w:tcPr>
          <w:p>
            <w:pPr>
              <w:ind w:left="180"/>
              <w:spacing w:after="0"/>
              <w:rPr>
                <w:sz w:val="20"/>
                <w:szCs w:val="20"/>
                <w:color w:val="auto"/>
              </w:rPr>
            </w:pPr>
            <w:r>
              <w:rPr>
                <w:rFonts w:ascii="Arial" w:cs="Arial" w:eastAsia="Arial" w:hAnsi="Arial"/>
                <w:sz w:val="18"/>
                <w:szCs w:val="18"/>
                <w:color w:val="auto"/>
              </w:rPr>
              <w:t>Hedge funds</w:t>
            </w:r>
          </w:p>
        </w:tc>
        <w:tc>
          <w:tcPr>
            <w:tcW w:w="400" w:type="dxa"/>
            <w:vAlign w:val="bottom"/>
            <w:shd w:val="clear" w:color="auto" w:fill="D8D8D8"/>
          </w:tcPr>
          <w:p>
            <w:pPr>
              <w:spacing w:after="0"/>
              <w:rPr>
                <w:sz w:val="23"/>
                <w:szCs w:val="23"/>
                <w:color w:val="auto"/>
              </w:rPr>
            </w:pPr>
          </w:p>
        </w:tc>
        <w:tc>
          <w:tcPr>
            <w:tcW w:w="1320" w:type="dxa"/>
            <w:vAlign w:val="bottom"/>
            <w:shd w:val="clear" w:color="auto" w:fill="D8D8D8"/>
          </w:tcPr>
          <w:p>
            <w:pPr>
              <w:jc w:val="right"/>
              <w:ind w:right="131"/>
              <w:spacing w:after="0"/>
              <w:rPr>
                <w:sz w:val="20"/>
                <w:szCs w:val="20"/>
                <w:color w:val="auto"/>
              </w:rPr>
            </w:pPr>
            <w:r>
              <w:rPr>
                <w:rFonts w:ascii="Arial" w:cs="Arial" w:eastAsia="Arial" w:hAnsi="Arial"/>
                <w:sz w:val="18"/>
                <w:szCs w:val="18"/>
                <w:color w:val="auto"/>
              </w:rPr>
              <w:t>3,073.3</w:t>
            </w:r>
          </w:p>
        </w:tc>
        <w:tc>
          <w:tcPr>
            <w:tcW w:w="220" w:type="dxa"/>
            <w:vAlign w:val="bottom"/>
            <w:shd w:val="clear" w:color="auto" w:fill="D8D8D8"/>
          </w:tcPr>
          <w:p>
            <w:pPr>
              <w:spacing w:after="0"/>
              <w:rPr>
                <w:sz w:val="23"/>
                <w:szCs w:val="23"/>
                <w:color w:val="auto"/>
              </w:rPr>
            </w:pPr>
          </w:p>
        </w:tc>
        <w:tc>
          <w:tcPr>
            <w:tcW w:w="1320" w:type="dxa"/>
            <w:vAlign w:val="bottom"/>
            <w:shd w:val="clear" w:color="auto" w:fill="D8D8D8"/>
          </w:tcPr>
          <w:p>
            <w:pPr>
              <w:jc w:val="right"/>
              <w:spacing w:after="0"/>
              <w:rPr>
                <w:sz w:val="20"/>
                <w:szCs w:val="20"/>
                <w:color w:val="auto"/>
              </w:rPr>
            </w:pPr>
            <w:r>
              <w:rPr>
                <w:rFonts w:ascii="Arial" w:cs="Arial" w:eastAsia="Arial" w:hAnsi="Arial"/>
                <w:sz w:val="18"/>
                <w:szCs w:val="18"/>
                <w:color w:val="auto"/>
              </w:rPr>
              <w:t>14.5</w:t>
            </w:r>
          </w:p>
        </w:tc>
        <w:tc>
          <w:tcPr>
            <w:tcW w:w="360" w:type="dxa"/>
            <w:vAlign w:val="bottom"/>
            <w:shd w:val="clear" w:color="auto" w:fill="D8D8D8"/>
          </w:tcPr>
          <w:p>
            <w:pPr>
              <w:spacing w:after="0"/>
              <w:rPr>
                <w:sz w:val="23"/>
                <w:szCs w:val="23"/>
                <w:color w:val="auto"/>
              </w:rPr>
            </w:pPr>
          </w:p>
        </w:tc>
        <w:tc>
          <w:tcPr>
            <w:tcW w:w="1440" w:type="dxa"/>
            <w:vAlign w:val="bottom"/>
            <w:shd w:val="clear" w:color="auto" w:fill="D8D8D8"/>
          </w:tcPr>
          <w:p>
            <w:pPr>
              <w:jc w:val="right"/>
              <w:ind w:right="34"/>
              <w:spacing w:after="0"/>
              <w:rPr>
                <w:sz w:val="20"/>
                <w:szCs w:val="20"/>
                <w:color w:val="auto"/>
              </w:rPr>
            </w:pPr>
            <w:r>
              <w:rPr>
                <w:rFonts w:ascii="Arial" w:cs="Arial" w:eastAsia="Arial" w:hAnsi="Arial"/>
                <w:sz w:val="18"/>
                <w:szCs w:val="18"/>
                <w:color w:val="auto"/>
              </w:rPr>
              <w:t>1,537.9</w:t>
            </w:r>
          </w:p>
        </w:tc>
        <w:tc>
          <w:tcPr>
            <w:tcW w:w="240" w:type="dxa"/>
            <w:vAlign w:val="bottom"/>
            <w:shd w:val="clear" w:color="auto" w:fill="D8D8D8"/>
          </w:tcPr>
          <w:p>
            <w:pPr>
              <w:spacing w:after="0"/>
              <w:rPr>
                <w:sz w:val="23"/>
                <w:szCs w:val="23"/>
                <w:color w:val="auto"/>
              </w:rPr>
            </w:pPr>
          </w:p>
        </w:tc>
        <w:tc>
          <w:tcPr>
            <w:tcW w:w="1460" w:type="dxa"/>
            <w:vAlign w:val="bottom"/>
            <w:shd w:val="clear" w:color="auto" w:fill="D8D8D8"/>
          </w:tcPr>
          <w:p>
            <w:pPr>
              <w:jc w:val="right"/>
              <w:ind w:right="14"/>
              <w:spacing w:after="0"/>
              <w:rPr>
                <w:sz w:val="20"/>
                <w:szCs w:val="20"/>
                <w:color w:val="auto"/>
              </w:rPr>
            </w:pPr>
            <w:r>
              <w:rPr>
                <w:rFonts w:ascii="Arial" w:cs="Arial" w:eastAsia="Arial" w:hAnsi="Arial"/>
                <w:sz w:val="18"/>
                <w:szCs w:val="18"/>
                <w:color w:val="auto"/>
              </w:rPr>
              <w:t>1,520.9</w:t>
            </w:r>
          </w:p>
        </w:tc>
        <w:tc>
          <w:tcPr>
            <w:tcW w:w="0" w:type="dxa"/>
            <w:vAlign w:val="bottom"/>
          </w:tcPr>
          <w:p>
            <w:pPr>
              <w:spacing w:after="0"/>
              <w:rPr>
                <w:sz w:val="1"/>
                <w:szCs w:val="1"/>
                <w:color w:val="auto"/>
              </w:rPr>
            </w:pPr>
          </w:p>
        </w:tc>
      </w:tr>
      <w:tr>
        <w:trPr>
          <w:trHeight w:val="265"/>
        </w:trPr>
        <w:tc>
          <w:tcPr>
            <w:tcW w:w="4660" w:type="dxa"/>
            <w:vAlign w:val="bottom"/>
          </w:tcPr>
          <w:p>
            <w:pPr>
              <w:ind w:left="180"/>
              <w:spacing w:after="0"/>
              <w:rPr>
                <w:sz w:val="20"/>
                <w:szCs w:val="20"/>
                <w:color w:val="auto"/>
              </w:rPr>
            </w:pPr>
            <w:r>
              <w:rPr>
                <w:rFonts w:ascii="Arial" w:cs="Arial" w:eastAsia="Arial" w:hAnsi="Arial"/>
                <w:sz w:val="18"/>
                <w:szCs w:val="18"/>
                <w:color w:val="auto"/>
              </w:rPr>
              <w:t>Equity-like funds</w:t>
            </w:r>
          </w:p>
        </w:tc>
        <w:tc>
          <w:tcPr>
            <w:tcW w:w="400" w:type="dxa"/>
            <w:vAlign w:val="bottom"/>
          </w:tcPr>
          <w:p>
            <w:pPr>
              <w:spacing w:after="0"/>
              <w:rPr>
                <w:sz w:val="23"/>
                <w:szCs w:val="23"/>
                <w:color w:val="auto"/>
              </w:rPr>
            </w:pPr>
          </w:p>
        </w:tc>
        <w:tc>
          <w:tcPr>
            <w:tcW w:w="1320" w:type="dxa"/>
            <w:vAlign w:val="bottom"/>
          </w:tcPr>
          <w:p>
            <w:pPr>
              <w:jc w:val="right"/>
              <w:ind w:right="131"/>
              <w:spacing w:after="0"/>
              <w:rPr>
                <w:sz w:val="20"/>
                <w:szCs w:val="20"/>
                <w:color w:val="auto"/>
              </w:rPr>
            </w:pPr>
            <w:r>
              <w:rPr>
                <w:rFonts w:ascii="Arial" w:cs="Arial" w:eastAsia="Arial" w:hAnsi="Arial"/>
                <w:sz w:val="18"/>
                <w:szCs w:val="18"/>
                <w:color w:val="auto"/>
              </w:rPr>
              <w:t>1,221.3</w:t>
            </w:r>
          </w:p>
        </w:tc>
        <w:tc>
          <w:tcPr>
            <w:tcW w:w="22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1440" w:type="dxa"/>
            <w:vAlign w:val="bottom"/>
          </w:tcPr>
          <w:p>
            <w:pPr>
              <w:jc w:val="right"/>
              <w:ind w:right="34"/>
              <w:spacing w:after="0"/>
              <w:rPr>
                <w:sz w:val="20"/>
                <w:szCs w:val="20"/>
                <w:color w:val="auto"/>
              </w:rPr>
            </w:pPr>
            <w:r>
              <w:rPr>
                <w:rFonts w:ascii="Arial" w:cs="Arial" w:eastAsia="Arial" w:hAnsi="Arial"/>
                <w:sz w:val="18"/>
                <w:szCs w:val="18"/>
                <w:color w:val="auto"/>
              </w:rPr>
              <w:t>67.4</w:t>
            </w:r>
          </w:p>
        </w:tc>
        <w:tc>
          <w:tcPr>
            <w:tcW w:w="240" w:type="dxa"/>
            <w:vAlign w:val="bottom"/>
          </w:tcPr>
          <w:p>
            <w:pPr>
              <w:spacing w:after="0"/>
              <w:rPr>
                <w:sz w:val="23"/>
                <w:szCs w:val="23"/>
                <w:color w:val="auto"/>
              </w:rPr>
            </w:pPr>
          </w:p>
        </w:tc>
        <w:tc>
          <w:tcPr>
            <w:tcW w:w="1460" w:type="dxa"/>
            <w:vAlign w:val="bottom"/>
          </w:tcPr>
          <w:p>
            <w:pPr>
              <w:jc w:val="right"/>
              <w:ind w:right="14"/>
              <w:spacing w:after="0"/>
              <w:rPr>
                <w:sz w:val="20"/>
                <w:szCs w:val="20"/>
                <w:color w:val="auto"/>
              </w:rPr>
            </w:pPr>
            <w:r>
              <w:rPr>
                <w:rFonts w:ascii="Arial" w:cs="Arial" w:eastAsia="Arial" w:hAnsi="Arial"/>
                <w:sz w:val="18"/>
                <w:szCs w:val="18"/>
                <w:color w:val="auto"/>
              </w:rPr>
              <w:t>1,153.9</w:t>
            </w:r>
          </w:p>
        </w:tc>
        <w:tc>
          <w:tcPr>
            <w:tcW w:w="0" w:type="dxa"/>
            <w:vAlign w:val="bottom"/>
          </w:tcPr>
          <w:p>
            <w:pPr>
              <w:spacing w:after="0"/>
              <w:rPr>
                <w:sz w:val="1"/>
                <w:szCs w:val="1"/>
                <w:color w:val="auto"/>
              </w:rPr>
            </w:pPr>
          </w:p>
        </w:tc>
      </w:tr>
      <w:tr>
        <w:trPr>
          <w:trHeight w:val="275"/>
        </w:trPr>
        <w:tc>
          <w:tcPr>
            <w:tcW w:w="4660" w:type="dxa"/>
            <w:vAlign w:val="bottom"/>
            <w:shd w:val="clear" w:color="auto" w:fill="D8D8D8"/>
          </w:tcPr>
          <w:p>
            <w:pPr>
              <w:ind w:left="40"/>
              <w:spacing w:after="0"/>
              <w:rPr>
                <w:sz w:val="20"/>
                <w:szCs w:val="20"/>
                <w:color w:val="auto"/>
              </w:rPr>
            </w:pPr>
            <w:r>
              <w:rPr>
                <w:rFonts w:ascii="Arial" w:cs="Arial" w:eastAsia="Arial" w:hAnsi="Arial"/>
                <w:sz w:val="18"/>
                <w:szCs w:val="18"/>
                <w:color w:val="auto"/>
              </w:rPr>
              <w:t>Real estate</w:t>
            </w:r>
          </w:p>
        </w:tc>
        <w:tc>
          <w:tcPr>
            <w:tcW w:w="400" w:type="dxa"/>
            <w:vAlign w:val="bottom"/>
            <w:shd w:val="clear" w:color="auto" w:fill="D8D8D8"/>
          </w:tcPr>
          <w:p>
            <w:pPr>
              <w:spacing w:after="0"/>
              <w:rPr>
                <w:sz w:val="23"/>
                <w:szCs w:val="23"/>
                <w:color w:val="auto"/>
              </w:rPr>
            </w:pPr>
          </w:p>
        </w:tc>
        <w:tc>
          <w:tcPr>
            <w:tcW w:w="1320" w:type="dxa"/>
            <w:vAlign w:val="bottom"/>
            <w:shd w:val="clear" w:color="auto" w:fill="D8D8D8"/>
          </w:tcPr>
          <w:p>
            <w:pPr>
              <w:jc w:val="right"/>
              <w:ind w:right="131"/>
              <w:spacing w:after="0"/>
              <w:rPr>
                <w:sz w:val="20"/>
                <w:szCs w:val="20"/>
                <w:color w:val="auto"/>
              </w:rPr>
            </w:pPr>
            <w:r>
              <w:rPr>
                <w:rFonts w:ascii="Arial" w:cs="Arial" w:eastAsia="Arial" w:hAnsi="Arial"/>
                <w:sz w:val="18"/>
                <w:szCs w:val="18"/>
                <w:color w:val="auto"/>
              </w:rPr>
              <w:t>516.3</w:t>
            </w:r>
          </w:p>
        </w:tc>
        <w:tc>
          <w:tcPr>
            <w:tcW w:w="220" w:type="dxa"/>
            <w:vAlign w:val="bottom"/>
            <w:shd w:val="clear" w:color="auto" w:fill="D8D8D8"/>
          </w:tcPr>
          <w:p>
            <w:pPr>
              <w:spacing w:after="0"/>
              <w:rPr>
                <w:sz w:val="23"/>
                <w:szCs w:val="23"/>
                <w:color w:val="auto"/>
              </w:rPr>
            </w:pPr>
          </w:p>
        </w:tc>
        <w:tc>
          <w:tcPr>
            <w:tcW w:w="1320" w:type="dxa"/>
            <w:vAlign w:val="bottom"/>
            <w:shd w:val="clear" w:color="auto" w:fill="D8D8D8"/>
          </w:tcPr>
          <w:p>
            <w:pPr>
              <w:jc w:val="right"/>
              <w:spacing w:after="0"/>
              <w:rPr>
                <w:sz w:val="20"/>
                <w:szCs w:val="20"/>
                <w:color w:val="auto"/>
              </w:rPr>
            </w:pPr>
            <w:r>
              <w:rPr>
                <w:rFonts w:ascii="Arial" w:cs="Arial" w:eastAsia="Arial" w:hAnsi="Arial"/>
                <w:sz w:val="18"/>
                <w:szCs w:val="18"/>
                <w:color w:val="auto"/>
              </w:rPr>
              <w:t>329.5</w:t>
            </w:r>
          </w:p>
        </w:tc>
        <w:tc>
          <w:tcPr>
            <w:tcW w:w="360" w:type="dxa"/>
            <w:vAlign w:val="bottom"/>
            <w:shd w:val="clear" w:color="auto" w:fill="D8D8D8"/>
          </w:tcPr>
          <w:p>
            <w:pPr>
              <w:spacing w:after="0"/>
              <w:rPr>
                <w:sz w:val="23"/>
                <w:szCs w:val="23"/>
                <w:color w:val="auto"/>
              </w:rPr>
            </w:pPr>
          </w:p>
        </w:tc>
        <w:tc>
          <w:tcPr>
            <w:tcW w:w="1440" w:type="dxa"/>
            <w:vAlign w:val="bottom"/>
            <w:shd w:val="clear" w:color="auto" w:fill="D8D8D8"/>
          </w:tcPr>
          <w:p>
            <w:pPr>
              <w:jc w:val="right"/>
              <w:ind w:right="34"/>
              <w:spacing w:after="0"/>
              <w:rPr>
                <w:sz w:val="20"/>
                <w:szCs w:val="20"/>
                <w:color w:val="auto"/>
              </w:rPr>
            </w:pPr>
            <w:r>
              <w:rPr>
                <w:rFonts w:ascii="Arial" w:cs="Arial" w:eastAsia="Arial" w:hAnsi="Arial"/>
                <w:sz w:val="18"/>
                <w:szCs w:val="18"/>
                <w:color w:val="auto"/>
              </w:rPr>
              <w:t>10.8</w:t>
            </w:r>
          </w:p>
        </w:tc>
        <w:tc>
          <w:tcPr>
            <w:tcW w:w="240" w:type="dxa"/>
            <w:vAlign w:val="bottom"/>
            <w:shd w:val="clear" w:color="auto" w:fill="D8D8D8"/>
          </w:tcPr>
          <w:p>
            <w:pPr>
              <w:spacing w:after="0"/>
              <w:rPr>
                <w:sz w:val="23"/>
                <w:szCs w:val="23"/>
                <w:color w:val="auto"/>
              </w:rPr>
            </w:pPr>
          </w:p>
        </w:tc>
        <w:tc>
          <w:tcPr>
            <w:tcW w:w="1460" w:type="dxa"/>
            <w:vAlign w:val="bottom"/>
            <w:shd w:val="clear" w:color="auto" w:fill="D8D8D8"/>
          </w:tcPr>
          <w:p>
            <w:pPr>
              <w:jc w:val="right"/>
              <w:ind w:right="14"/>
              <w:spacing w:after="0"/>
              <w:rPr>
                <w:sz w:val="20"/>
                <w:szCs w:val="20"/>
                <w:color w:val="auto"/>
              </w:rPr>
            </w:pPr>
            <w:r>
              <w:rPr>
                <w:rFonts w:ascii="Arial" w:cs="Arial" w:eastAsia="Arial" w:hAnsi="Arial"/>
                <w:sz w:val="18"/>
                <w:szCs w:val="18"/>
                <w:color w:val="auto"/>
              </w:rPr>
              <w:t>176.0</w:t>
            </w:r>
          </w:p>
        </w:tc>
        <w:tc>
          <w:tcPr>
            <w:tcW w:w="0" w:type="dxa"/>
            <w:vAlign w:val="bottom"/>
          </w:tcPr>
          <w:p>
            <w:pPr>
              <w:spacing w:after="0"/>
              <w:rPr>
                <w:sz w:val="1"/>
                <w:szCs w:val="1"/>
                <w:color w:val="auto"/>
              </w:rPr>
            </w:pPr>
          </w:p>
        </w:tc>
      </w:tr>
      <w:tr>
        <w:trPr>
          <w:trHeight w:val="265"/>
        </w:trPr>
        <w:tc>
          <w:tcPr>
            <w:tcW w:w="4660" w:type="dxa"/>
            <w:vAlign w:val="bottom"/>
            <w:tcBorders>
              <w:bottom w:val="single" w:sz="8" w:color="D8D8D8"/>
            </w:tcBorders>
          </w:tcPr>
          <w:p>
            <w:pPr>
              <w:ind w:left="40"/>
              <w:spacing w:after="0"/>
              <w:rPr>
                <w:sz w:val="20"/>
                <w:szCs w:val="20"/>
                <w:color w:val="auto"/>
              </w:rPr>
            </w:pPr>
            <w:r>
              <w:rPr>
                <w:rFonts w:ascii="Arial" w:cs="Arial" w:eastAsia="Arial" w:hAnsi="Arial"/>
                <w:sz w:val="18"/>
                <w:szCs w:val="18"/>
                <w:color w:val="auto"/>
              </w:rPr>
              <w:t>Other</w:t>
            </w:r>
          </w:p>
        </w:tc>
        <w:tc>
          <w:tcPr>
            <w:tcW w:w="40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727.0</w:t>
            </w:r>
          </w:p>
        </w:tc>
        <w:tc>
          <w:tcPr>
            <w:tcW w:w="22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431.3</w:t>
            </w:r>
          </w:p>
        </w:tc>
        <w:tc>
          <w:tcPr>
            <w:tcW w:w="36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295.7</w:t>
            </w:r>
          </w:p>
        </w:tc>
        <w:tc>
          <w:tcPr>
            <w:tcW w:w="240" w:type="dxa"/>
            <w:vAlign w:val="bottom"/>
            <w:tcBorders>
              <w:bottom w:val="single" w:sz="8" w:color="auto"/>
            </w:tcBorders>
          </w:tcPr>
          <w:p>
            <w:pPr>
              <w:spacing w:after="0"/>
              <w:rPr>
                <w:sz w:val="23"/>
                <w:szCs w:val="23"/>
                <w:color w:val="auto"/>
              </w:rPr>
            </w:pPr>
          </w:p>
        </w:tc>
        <w:tc>
          <w:tcPr>
            <w:tcW w:w="14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4"/>
        </w:trPr>
        <w:tc>
          <w:tcPr>
            <w:tcW w:w="4660" w:type="dxa"/>
            <w:vAlign w:val="bottom"/>
            <w:tcBorders>
              <w:bottom w:val="single" w:sz="8" w:color="D8D8D8"/>
            </w:tcBorders>
            <w:shd w:val="clear" w:color="auto" w:fill="D8D8D8"/>
          </w:tcPr>
          <w:p>
            <w:pPr>
              <w:ind w:left="40"/>
              <w:spacing w:after="0"/>
              <w:rPr>
                <w:sz w:val="20"/>
                <w:szCs w:val="20"/>
                <w:color w:val="auto"/>
              </w:rPr>
            </w:pPr>
            <w:r>
              <w:rPr>
                <w:rFonts w:ascii="Arial" w:cs="Arial" w:eastAsia="Arial" w:hAnsi="Arial"/>
                <w:sz w:val="18"/>
                <w:szCs w:val="18"/>
                <w:color w:val="auto"/>
              </w:rPr>
              <w:t>Total</w:t>
            </w:r>
          </w:p>
        </w:tc>
        <w:tc>
          <w:tcPr>
            <w:tcW w:w="400" w:type="dxa"/>
            <w:vAlign w:val="bottom"/>
            <w:tcBorders>
              <w:bottom w:val="single" w:sz="8" w:color="auto"/>
            </w:tcBorders>
            <w:shd w:val="clear" w:color="auto" w:fill="D8D8D8"/>
          </w:tcPr>
          <w:p>
            <w:pPr>
              <w:jc w:val="right"/>
              <w:ind w:right="17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D8D8D8"/>
          </w:tcPr>
          <w:p>
            <w:pPr>
              <w:jc w:val="right"/>
              <w:ind w:right="131"/>
              <w:spacing w:after="0"/>
              <w:rPr>
                <w:sz w:val="20"/>
                <w:szCs w:val="20"/>
                <w:color w:val="auto"/>
              </w:rPr>
            </w:pPr>
            <w:r>
              <w:rPr>
                <w:rFonts w:ascii="Arial" w:cs="Arial" w:eastAsia="Arial" w:hAnsi="Arial"/>
                <w:sz w:val="18"/>
                <w:szCs w:val="18"/>
                <w:color w:val="auto"/>
              </w:rPr>
              <w:t>9,995.6</w:t>
            </w:r>
          </w:p>
        </w:tc>
        <w:tc>
          <w:tcPr>
            <w:tcW w:w="220" w:type="dxa"/>
            <w:vAlign w:val="bottom"/>
            <w:tcBorders>
              <w:bottom w:val="single" w:sz="8" w:color="auto"/>
            </w:tcBorders>
            <w:shd w:val="clear" w:color="auto" w:fill="D8D8D8"/>
          </w:tcPr>
          <w:p>
            <w:pPr>
              <w:jc w:val="right"/>
              <w:ind w:right="15"/>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2,104.5</w:t>
            </w:r>
          </w:p>
        </w:tc>
        <w:tc>
          <w:tcPr>
            <w:tcW w:w="36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shd w:val="clear" w:color="auto" w:fill="D8D8D8"/>
          </w:tcPr>
          <w:p>
            <w:pPr>
              <w:jc w:val="right"/>
              <w:ind w:right="34"/>
              <w:spacing w:after="0"/>
              <w:rPr>
                <w:sz w:val="20"/>
                <w:szCs w:val="20"/>
                <w:color w:val="auto"/>
              </w:rPr>
            </w:pPr>
            <w:r>
              <w:rPr>
                <w:rFonts w:ascii="Arial" w:cs="Arial" w:eastAsia="Arial" w:hAnsi="Arial"/>
                <w:sz w:val="18"/>
                <w:szCs w:val="18"/>
                <w:color w:val="auto"/>
              </w:rPr>
              <w:t>5,040.0</w:t>
            </w:r>
          </w:p>
        </w:tc>
        <w:tc>
          <w:tcPr>
            <w:tcW w:w="24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shd w:val="clear" w:color="auto" w:fill="D8D8D8"/>
          </w:tcPr>
          <w:p>
            <w:pPr>
              <w:jc w:val="right"/>
              <w:ind w:right="14"/>
              <w:spacing w:after="0"/>
              <w:rPr>
                <w:sz w:val="20"/>
                <w:szCs w:val="20"/>
                <w:color w:val="auto"/>
              </w:rPr>
            </w:pPr>
            <w:r>
              <w:rPr>
                <w:rFonts w:ascii="Arial" w:cs="Arial" w:eastAsia="Arial" w:hAnsi="Arial"/>
                <w:sz w:val="18"/>
                <w:szCs w:val="18"/>
                <w:color w:val="auto"/>
              </w:rPr>
              <w:t>2,851.1</w:t>
            </w:r>
          </w:p>
        </w:tc>
        <w:tc>
          <w:tcPr>
            <w:tcW w:w="0" w:type="dxa"/>
            <w:vAlign w:val="bottom"/>
          </w:tcPr>
          <w:p>
            <w:pPr>
              <w:spacing w:after="0"/>
              <w:rPr>
                <w:sz w:val="1"/>
                <w:szCs w:val="1"/>
                <w:color w:val="auto"/>
              </w:rPr>
            </w:pPr>
          </w:p>
        </w:tc>
      </w:tr>
      <w:tr>
        <w:trPr>
          <w:trHeight w:val="261"/>
        </w:trPr>
        <w:tc>
          <w:tcPr>
            <w:tcW w:w="4660" w:type="dxa"/>
            <w:vAlign w:val="bottom"/>
          </w:tcPr>
          <w:p>
            <w:pPr>
              <w:ind w:left="40"/>
              <w:spacing w:after="0"/>
              <w:rPr>
                <w:sz w:val="20"/>
                <w:szCs w:val="20"/>
                <w:color w:val="auto"/>
              </w:rPr>
            </w:pPr>
            <w:r>
              <w:rPr>
                <w:rFonts w:ascii="Arial" w:cs="Arial" w:eastAsia="Arial" w:hAnsi="Arial"/>
                <w:sz w:val="18"/>
                <w:szCs w:val="18"/>
                <w:b w:val="1"/>
                <w:bCs w:val="1"/>
                <w:color w:val="auto"/>
              </w:rPr>
              <w:t>Retiree Health Benefit Plans</w:t>
            </w:r>
          </w:p>
        </w:tc>
        <w:tc>
          <w:tcPr>
            <w:tcW w:w="4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1"/>
        </w:trPr>
        <w:tc>
          <w:tcPr>
            <w:tcW w:w="4660" w:type="dxa"/>
            <w:vAlign w:val="bottom"/>
            <w:tcBorders>
              <w:bottom w:val="single" w:sz="8" w:color="D8D8D8"/>
            </w:tcBorders>
            <w:shd w:val="clear" w:color="auto" w:fill="D8D8D8"/>
          </w:tcPr>
          <w:p>
            <w:pPr>
              <w:ind w:left="40"/>
              <w:spacing w:after="0"/>
              <w:rPr>
                <w:sz w:val="20"/>
                <w:szCs w:val="20"/>
                <w:color w:val="auto"/>
              </w:rPr>
            </w:pPr>
            <w:r>
              <w:rPr>
                <w:rFonts w:ascii="Arial" w:cs="Arial" w:eastAsia="Arial" w:hAnsi="Arial"/>
                <w:sz w:val="18"/>
                <w:szCs w:val="18"/>
                <w:color w:val="auto"/>
              </w:rPr>
              <w:t>Public equity securities:</w:t>
            </w:r>
          </w:p>
        </w:tc>
        <w:tc>
          <w:tcPr>
            <w:tcW w:w="400" w:type="dxa"/>
            <w:vAlign w:val="bottom"/>
            <w:tcBorders>
              <w:bottom w:val="single" w:sz="8" w:color="D8D8D8"/>
            </w:tcBorders>
            <w:shd w:val="clear" w:color="auto" w:fill="D8D8D8"/>
          </w:tcPr>
          <w:p>
            <w:pPr>
              <w:spacing w:after="0"/>
              <w:rPr>
                <w:sz w:val="21"/>
                <w:szCs w:val="21"/>
                <w:color w:val="auto"/>
              </w:rPr>
            </w:pPr>
          </w:p>
        </w:tc>
        <w:tc>
          <w:tcPr>
            <w:tcW w:w="1320" w:type="dxa"/>
            <w:vAlign w:val="bottom"/>
            <w:tcBorders>
              <w:bottom w:val="single" w:sz="8" w:color="D8D8D8"/>
            </w:tcBorders>
            <w:shd w:val="clear" w:color="auto" w:fill="D8D8D8"/>
          </w:tcPr>
          <w:p>
            <w:pPr>
              <w:spacing w:after="0"/>
              <w:rPr>
                <w:sz w:val="21"/>
                <w:szCs w:val="21"/>
                <w:color w:val="auto"/>
              </w:rPr>
            </w:pPr>
          </w:p>
        </w:tc>
        <w:tc>
          <w:tcPr>
            <w:tcW w:w="220" w:type="dxa"/>
            <w:vAlign w:val="bottom"/>
            <w:tcBorders>
              <w:bottom w:val="single" w:sz="8" w:color="D8D8D8"/>
            </w:tcBorders>
            <w:shd w:val="clear" w:color="auto" w:fill="D8D8D8"/>
          </w:tcPr>
          <w:p>
            <w:pPr>
              <w:spacing w:after="0"/>
              <w:rPr>
                <w:sz w:val="21"/>
                <w:szCs w:val="21"/>
                <w:color w:val="auto"/>
              </w:rPr>
            </w:pPr>
          </w:p>
        </w:tc>
        <w:tc>
          <w:tcPr>
            <w:tcW w:w="1320" w:type="dxa"/>
            <w:vAlign w:val="bottom"/>
            <w:tcBorders>
              <w:bottom w:val="single" w:sz="8" w:color="D8D8D8"/>
            </w:tcBorders>
            <w:shd w:val="clear" w:color="auto" w:fill="D8D8D8"/>
          </w:tcPr>
          <w:p>
            <w:pPr>
              <w:spacing w:after="0"/>
              <w:rPr>
                <w:sz w:val="21"/>
                <w:szCs w:val="21"/>
                <w:color w:val="auto"/>
              </w:rPr>
            </w:pPr>
          </w:p>
        </w:tc>
        <w:tc>
          <w:tcPr>
            <w:tcW w:w="360" w:type="dxa"/>
            <w:vAlign w:val="bottom"/>
            <w:tcBorders>
              <w:bottom w:val="single" w:sz="8" w:color="D8D8D8"/>
            </w:tcBorders>
            <w:shd w:val="clear" w:color="auto" w:fill="D8D8D8"/>
          </w:tcPr>
          <w:p>
            <w:pPr>
              <w:spacing w:after="0"/>
              <w:rPr>
                <w:sz w:val="21"/>
                <w:szCs w:val="21"/>
                <w:color w:val="auto"/>
              </w:rPr>
            </w:pPr>
          </w:p>
        </w:tc>
        <w:tc>
          <w:tcPr>
            <w:tcW w:w="1440" w:type="dxa"/>
            <w:vAlign w:val="bottom"/>
            <w:tcBorders>
              <w:bottom w:val="single" w:sz="8" w:color="D8D8D8"/>
            </w:tcBorders>
            <w:shd w:val="clear" w:color="auto" w:fill="D8D8D8"/>
          </w:tcPr>
          <w:p>
            <w:pPr>
              <w:spacing w:after="0"/>
              <w:rPr>
                <w:sz w:val="21"/>
                <w:szCs w:val="21"/>
                <w:color w:val="auto"/>
              </w:rPr>
            </w:pPr>
          </w:p>
        </w:tc>
        <w:tc>
          <w:tcPr>
            <w:tcW w:w="240" w:type="dxa"/>
            <w:vAlign w:val="bottom"/>
            <w:tcBorders>
              <w:bottom w:val="single" w:sz="8" w:color="D8D8D8"/>
            </w:tcBorders>
            <w:shd w:val="clear" w:color="auto" w:fill="D8D8D8"/>
          </w:tcPr>
          <w:p>
            <w:pPr>
              <w:spacing w:after="0"/>
              <w:rPr>
                <w:sz w:val="21"/>
                <w:szCs w:val="21"/>
                <w:color w:val="auto"/>
              </w:rPr>
            </w:pPr>
          </w:p>
        </w:tc>
        <w:tc>
          <w:tcPr>
            <w:tcW w:w="1460" w:type="dxa"/>
            <w:vAlign w:val="bottom"/>
            <w:tcBorders>
              <w:bottom w:val="single" w:sz="8" w:color="D8D8D8"/>
            </w:tcBorders>
            <w:shd w:val="clear" w:color="auto" w:fill="D8D8D8"/>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4660" w:type="dxa"/>
            <w:vAlign w:val="bottom"/>
          </w:tcPr>
          <w:p>
            <w:pPr>
              <w:ind w:left="180"/>
              <w:spacing w:after="0"/>
              <w:rPr>
                <w:sz w:val="20"/>
                <w:szCs w:val="20"/>
                <w:color w:val="auto"/>
              </w:rPr>
            </w:pPr>
            <w:r>
              <w:rPr>
                <w:rFonts w:ascii="Arial" w:cs="Arial" w:eastAsia="Arial" w:hAnsi="Arial"/>
                <w:sz w:val="18"/>
                <w:szCs w:val="18"/>
                <w:color w:val="auto"/>
              </w:rPr>
              <w:t>U.S.</w:t>
            </w:r>
          </w:p>
        </w:tc>
        <w:tc>
          <w:tcPr>
            <w:tcW w:w="4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31"/>
              <w:spacing w:after="0"/>
              <w:rPr>
                <w:sz w:val="20"/>
                <w:szCs w:val="20"/>
                <w:color w:val="auto"/>
              </w:rPr>
            </w:pPr>
            <w:r>
              <w:rPr>
                <w:rFonts w:ascii="Arial" w:cs="Arial" w:eastAsia="Arial" w:hAnsi="Arial"/>
                <w:sz w:val="18"/>
                <w:szCs w:val="18"/>
                <w:color w:val="auto"/>
              </w:rPr>
              <w:t>40.0</w:t>
            </w:r>
          </w:p>
        </w:tc>
        <w:tc>
          <w:tcPr>
            <w:tcW w:w="220" w:type="dxa"/>
            <w:vAlign w:val="bottom"/>
          </w:tcPr>
          <w:p>
            <w:pPr>
              <w:jc w:val="right"/>
              <w:ind w:right="15"/>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18.2</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34"/>
              <w:spacing w:after="0"/>
              <w:rPr>
                <w:sz w:val="20"/>
                <w:szCs w:val="20"/>
                <w:color w:val="auto"/>
              </w:rPr>
            </w:pPr>
            <w:r>
              <w:rPr>
                <w:rFonts w:ascii="Arial" w:cs="Arial" w:eastAsia="Arial" w:hAnsi="Arial"/>
                <w:sz w:val="18"/>
                <w:szCs w:val="18"/>
                <w:color w:val="auto"/>
              </w:rPr>
              <w:t>21.8</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5"/>
        </w:trPr>
        <w:tc>
          <w:tcPr>
            <w:tcW w:w="4660" w:type="dxa"/>
            <w:vAlign w:val="bottom"/>
            <w:shd w:val="clear" w:color="auto" w:fill="D8D8D8"/>
          </w:tcPr>
          <w:p>
            <w:pPr>
              <w:ind w:left="180"/>
              <w:spacing w:after="0"/>
              <w:rPr>
                <w:sz w:val="20"/>
                <w:szCs w:val="20"/>
                <w:color w:val="auto"/>
              </w:rPr>
            </w:pPr>
            <w:r>
              <w:rPr>
                <w:rFonts w:ascii="Arial" w:cs="Arial" w:eastAsia="Arial" w:hAnsi="Arial"/>
                <w:sz w:val="18"/>
                <w:szCs w:val="18"/>
                <w:color w:val="auto"/>
              </w:rPr>
              <w:t>International</w:t>
            </w:r>
          </w:p>
        </w:tc>
        <w:tc>
          <w:tcPr>
            <w:tcW w:w="400" w:type="dxa"/>
            <w:vAlign w:val="bottom"/>
            <w:shd w:val="clear" w:color="auto" w:fill="D8D8D8"/>
          </w:tcPr>
          <w:p>
            <w:pPr>
              <w:spacing w:after="0"/>
              <w:rPr>
                <w:sz w:val="23"/>
                <w:szCs w:val="23"/>
                <w:color w:val="auto"/>
              </w:rPr>
            </w:pPr>
          </w:p>
        </w:tc>
        <w:tc>
          <w:tcPr>
            <w:tcW w:w="1320" w:type="dxa"/>
            <w:vAlign w:val="bottom"/>
            <w:shd w:val="clear" w:color="auto" w:fill="D8D8D8"/>
          </w:tcPr>
          <w:p>
            <w:pPr>
              <w:jc w:val="right"/>
              <w:ind w:right="131"/>
              <w:spacing w:after="0"/>
              <w:rPr>
                <w:sz w:val="20"/>
                <w:szCs w:val="20"/>
                <w:color w:val="auto"/>
              </w:rPr>
            </w:pPr>
            <w:r>
              <w:rPr>
                <w:rFonts w:ascii="Arial" w:cs="Arial" w:eastAsia="Arial" w:hAnsi="Arial"/>
                <w:sz w:val="18"/>
                <w:szCs w:val="18"/>
                <w:color w:val="auto"/>
              </w:rPr>
              <w:t>144.7</w:t>
            </w:r>
          </w:p>
        </w:tc>
        <w:tc>
          <w:tcPr>
            <w:tcW w:w="220" w:type="dxa"/>
            <w:vAlign w:val="bottom"/>
            <w:shd w:val="clear" w:color="auto" w:fill="D8D8D8"/>
          </w:tcPr>
          <w:p>
            <w:pPr>
              <w:spacing w:after="0"/>
              <w:rPr>
                <w:sz w:val="23"/>
                <w:szCs w:val="23"/>
                <w:color w:val="auto"/>
              </w:rPr>
            </w:pPr>
          </w:p>
        </w:tc>
        <w:tc>
          <w:tcPr>
            <w:tcW w:w="1320" w:type="dxa"/>
            <w:vAlign w:val="bottom"/>
            <w:shd w:val="clear" w:color="auto" w:fill="D8D8D8"/>
          </w:tcPr>
          <w:p>
            <w:pPr>
              <w:jc w:val="right"/>
              <w:spacing w:after="0"/>
              <w:rPr>
                <w:sz w:val="20"/>
                <w:szCs w:val="20"/>
                <w:color w:val="auto"/>
              </w:rPr>
            </w:pPr>
            <w:r>
              <w:rPr>
                <w:rFonts w:ascii="Arial" w:cs="Arial" w:eastAsia="Arial" w:hAnsi="Arial"/>
                <w:sz w:val="18"/>
                <w:szCs w:val="18"/>
                <w:color w:val="auto"/>
              </w:rPr>
              <w:t>51.5</w:t>
            </w:r>
          </w:p>
        </w:tc>
        <w:tc>
          <w:tcPr>
            <w:tcW w:w="360" w:type="dxa"/>
            <w:vAlign w:val="bottom"/>
            <w:shd w:val="clear" w:color="auto" w:fill="D8D8D8"/>
          </w:tcPr>
          <w:p>
            <w:pPr>
              <w:spacing w:after="0"/>
              <w:rPr>
                <w:sz w:val="23"/>
                <w:szCs w:val="23"/>
                <w:color w:val="auto"/>
              </w:rPr>
            </w:pPr>
          </w:p>
        </w:tc>
        <w:tc>
          <w:tcPr>
            <w:tcW w:w="1440" w:type="dxa"/>
            <w:vAlign w:val="bottom"/>
            <w:shd w:val="clear" w:color="auto" w:fill="D8D8D8"/>
          </w:tcPr>
          <w:p>
            <w:pPr>
              <w:jc w:val="right"/>
              <w:ind w:right="34"/>
              <w:spacing w:after="0"/>
              <w:rPr>
                <w:sz w:val="20"/>
                <w:szCs w:val="20"/>
                <w:color w:val="auto"/>
              </w:rPr>
            </w:pPr>
            <w:r>
              <w:rPr>
                <w:rFonts w:ascii="Arial" w:cs="Arial" w:eastAsia="Arial" w:hAnsi="Arial"/>
                <w:sz w:val="18"/>
                <w:szCs w:val="18"/>
                <w:color w:val="auto"/>
              </w:rPr>
              <w:t>93.2</w:t>
            </w:r>
          </w:p>
        </w:tc>
        <w:tc>
          <w:tcPr>
            <w:tcW w:w="240" w:type="dxa"/>
            <w:vAlign w:val="bottom"/>
            <w:shd w:val="clear" w:color="auto" w:fill="D8D8D8"/>
          </w:tcPr>
          <w:p>
            <w:pPr>
              <w:spacing w:after="0"/>
              <w:rPr>
                <w:sz w:val="23"/>
                <w:szCs w:val="23"/>
                <w:color w:val="auto"/>
              </w:rPr>
            </w:pPr>
          </w:p>
        </w:tc>
        <w:tc>
          <w:tcPr>
            <w:tcW w:w="1460" w:type="dxa"/>
            <w:vAlign w:val="bottom"/>
            <w:shd w:val="clear" w:color="auto" w:fill="D8D8D8"/>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7"/>
        </w:trPr>
        <w:tc>
          <w:tcPr>
            <w:tcW w:w="4660" w:type="dxa"/>
            <w:vAlign w:val="bottom"/>
          </w:tcPr>
          <w:p>
            <w:pPr>
              <w:ind w:left="40"/>
              <w:spacing w:after="0"/>
              <w:rPr>
                <w:sz w:val="20"/>
                <w:szCs w:val="20"/>
                <w:color w:val="auto"/>
              </w:rPr>
            </w:pPr>
            <w:r>
              <w:rPr>
                <w:rFonts w:ascii="Arial" w:cs="Arial" w:eastAsia="Arial" w:hAnsi="Arial"/>
                <w:sz w:val="18"/>
                <w:szCs w:val="18"/>
                <w:color w:val="auto"/>
              </w:rPr>
              <w:t>Fixed income:</w:t>
            </w:r>
          </w:p>
        </w:tc>
        <w:tc>
          <w:tcPr>
            <w:tcW w:w="4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46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60" w:type="dxa"/>
            <w:vAlign w:val="bottom"/>
            <w:shd w:val="clear" w:color="auto" w:fill="D8D8D8"/>
          </w:tcPr>
          <w:p>
            <w:pPr>
              <w:ind w:left="180"/>
              <w:spacing w:after="0"/>
              <w:rPr>
                <w:sz w:val="20"/>
                <w:szCs w:val="20"/>
                <w:color w:val="auto"/>
              </w:rPr>
            </w:pPr>
            <w:r>
              <w:rPr>
                <w:rFonts w:ascii="Arial" w:cs="Arial" w:eastAsia="Arial" w:hAnsi="Arial"/>
                <w:sz w:val="18"/>
                <w:szCs w:val="18"/>
                <w:color w:val="auto"/>
              </w:rPr>
              <w:t>Developed markets</w:t>
            </w:r>
          </w:p>
        </w:tc>
        <w:tc>
          <w:tcPr>
            <w:tcW w:w="400" w:type="dxa"/>
            <w:vAlign w:val="bottom"/>
            <w:shd w:val="clear" w:color="auto" w:fill="D8D8D8"/>
          </w:tcPr>
          <w:p>
            <w:pPr>
              <w:spacing w:after="0"/>
              <w:rPr>
                <w:sz w:val="23"/>
                <w:szCs w:val="23"/>
                <w:color w:val="auto"/>
              </w:rPr>
            </w:pPr>
          </w:p>
        </w:tc>
        <w:tc>
          <w:tcPr>
            <w:tcW w:w="1320" w:type="dxa"/>
            <w:vAlign w:val="bottom"/>
            <w:shd w:val="clear" w:color="auto" w:fill="D8D8D8"/>
          </w:tcPr>
          <w:p>
            <w:pPr>
              <w:jc w:val="right"/>
              <w:ind w:right="131"/>
              <w:spacing w:after="0"/>
              <w:rPr>
                <w:sz w:val="20"/>
                <w:szCs w:val="20"/>
                <w:color w:val="auto"/>
              </w:rPr>
            </w:pPr>
            <w:r>
              <w:rPr>
                <w:rFonts w:ascii="Arial" w:cs="Arial" w:eastAsia="Arial" w:hAnsi="Arial"/>
                <w:sz w:val="18"/>
                <w:szCs w:val="18"/>
                <w:color w:val="auto"/>
              </w:rPr>
              <w:t>61.3</w:t>
            </w:r>
          </w:p>
        </w:tc>
        <w:tc>
          <w:tcPr>
            <w:tcW w:w="220" w:type="dxa"/>
            <w:vAlign w:val="bottom"/>
            <w:shd w:val="clear" w:color="auto" w:fill="D8D8D8"/>
          </w:tcPr>
          <w:p>
            <w:pPr>
              <w:spacing w:after="0"/>
              <w:rPr>
                <w:sz w:val="23"/>
                <w:szCs w:val="23"/>
                <w:color w:val="auto"/>
              </w:rPr>
            </w:pPr>
          </w:p>
        </w:tc>
        <w:tc>
          <w:tcPr>
            <w:tcW w:w="1320" w:type="dxa"/>
            <w:vAlign w:val="bottom"/>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D8D8D8"/>
          </w:tcPr>
          <w:p>
            <w:pPr>
              <w:spacing w:after="0"/>
              <w:rPr>
                <w:sz w:val="23"/>
                <w:szCs w:val="23"/>
                <w:color w:val="auto"/>
              </w:rPr>
            </w:pPr>
          </w:p>
        </w:tc>
        <w:tc>
          <w:tcPr>
            <w:tcW w:w="1440" w:type="dxa"/>
            <w:vAlign w:val="bottom"/>
            <w:shd w:val="clear" w:color="auto" w:fill="D8D8D8"/>
          </w:tcPr>
          <w:p>
            <w:pPr>
              <w:jc w:val="right"/>
              <w:ind w:right="34"/>
              <w:spacing w:after="0"/>
              <w:rPr>
                <w:sz w:val="20"/>
                <w:szCs w:val="20"/>
                <w:color w:val="auto"/>
              </w:rPr>
            </w:pPr>
            <w:r>
              <w:rPr>
                <w:rFonts w:ascii="Arial" w:cs="Arial" w:eastAsia="Arial" w:hAnsi="Arial"/>
                <w:sz w:val="18"/>
                <w:szCs w:val="18"/>
                <w:color w:val="auto"/>
              </w:rPr>
              <w:t>61.3</w:t>
            </w:r>
          </w:p>
        </w:tc>
        <w:tc>
          <w:tcPr>
            <w:tcW w:w="240" w:type="dxa"/>
            <w:vAlign w:val="bottom"/>
            <w:shd w:val="clear" w:color="auto" w:fill="D8D8D8"/>
          </w:tcPr>
          <w:p>
            <w:pPr>
              <w:spacing w:after="0"/>
              <w:rPr>
                <w:sz w:val="23"/>
                <w:szCs w:val="23"/>
                <w:color w:val="auto"/>
              </w:rPr>
            </w:pPr>
          </w:p>
        </w:tc>
        <w:tc>
          <w:tcPr>
            <w:tcW w:w="1460" w:type="dxa"/>
            <w:vAlign w:val="bottom"/>
            <w:shd w:val="clear" w:color="auto" w:fill="D8D8D8"/>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5"/>
        </w:trPr>
        <w:tc>
          <w:tcPr>
            <w:tcW w:w="4660" w:type="dxa"/>
            <w:vAlign w:val="bottom"/>
          </w:tcPr>
          <w:p>
            <w:pPr>
              <w:ind w:left="180"/>
              <w:spacing w:after="0"/>
              <w:rPr>
                <w:sz w:val="20"/>
                <w:szCs w:val="20"/>
                <w:color w:val="auto"/>
              </w:rPr>
            </w:pPr>
            <w:r>
              <w:rPr>
                <w:rFonts w:ascii="Arial" w:cs="Arial" w:eastAsia="Arial" w:hAnsi="Arial"/>
                <w:sz w:val="18"/>
                <w:szCs w:val="18"/>
                <w:color w:val="auto"/>
              </w:rPr>
              <w:t>Emerging markets</w:t>
            </w:r>
          </w:p>
        </w:tc>
        <w:tc>
          <w:tcPr>
            <w:tcW w:w="400" w:type="dxa"/>
            <w:vAlign w:val="bottom"/>
          </w:tcPr>
          <w:p>
            <w:pPr>
              <w:spacing w:after="0"/>
              <w:rPr>
                <w:sz w:val="23"/>
                <w:szCs w:val="23"/>
                <w:color w:val="auto"/>
              </w:rPr>
            </w:pPr>
          </w:p>
        </w:tc>
        <w:tc>
          <w:tcPr>
            <w:tcW w:w="1320" w:type="dxa"/>
            <w:vAlign w:val="bottom"/>
          </w:tcPr>
          <w:p>
            <w:pPr>
              <w:jc w:val="right"/>
              <w:ind w:right="131"/>
              <w:spacing w:after="0"/>
              <w:rPr>
                <w:sz w:val="20"/>
                <w:szCs w:val="20"/>
                <w:color w:val="auto"/>
              </w:rPr>
            </w:pPr>
            <w:r>
              <w:rPr>
                <w:rFonts w:ascii="Arial" w:cs="Arial" w:eastAsia="Arial" w:hAnsi="Arial"/>
                <w:sz w:val="18"/>
                <w:szCs w:val="18"/>
                <w:color w:val="auto"/>
              </w:rPr>
              <w:t>36.9</w:t>
            </w:r>
          </w:p>
        </w:tc>
        <w:tc>
          <w:tcPr>
            <w:tcW w:w="22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1440" w:type="dxa"/>
            <w:vAlign w:val="bottom"/>
          </w:tcPr>
          <w:p>
            <w:pPr>
              <w:jc w:val="right"/>
              <w:ind w:right="34"/>
              <w:spacing w:after="0"/>
              <w:rPr>
                <w:sz w:val="20"/>
                <w:szCs w:val="20"/>
                <w:color w:val="auto"/>
              </w:rPr>
            </w:pPr>
            <w:r>
              <w:rPr>
                <w:rFonts w:ascii="Arial" w:cs="Arial" w:eastAsia="Arial" w:hAnsi="Arial"/>
                <w:sz w:val="18"/>
                <w:szCs w:val="18"/>
                <w:color w:val="auto"/>
              </w:rPr>
              <w:t>36.9</w:t>
            </w:r>
          </w:p>
        </w:tc>
        <w:tc>
          <w:tcPr>
            <w:tcW w:w="240" w:type="dxa"/>
            <w:vAlign w:val="bottom"/>
          </w:tcPr>
          <w:p>
            <w:pPr>
              <w:spacing w:after="0"/>
              <w:rPr>
                <w:sz w:val="23"/>
                <w:szCs w:val="23"/>
                <w:color w:val="auto"/>
              </w:rPr>
            </w:pPr>
          </w:p>
        </w:tc>
        <w:tc>
          <w:tcPr>
            <w:tcW w:w="14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5"/>
        </w:trPr>
        <w:tc>
          <w:tcPr>
            <w:tcW w:w="4660" w:type="dxa"/>
            <w:vAlign w:val="bottom"/>
            <w:tcBorders>
              <w:bottom w:val="single" w:sz="8" w:color="D8D8D8"/>
            </w:tcBorders>
            <w:shd w:val="clear" w:color="auto" w:fill="D8D8D8"/>
          </w:tcPr>
          <w:p>
            <w:pPr>
              <w:ind w:left="40"/>
              <w:spacing w:after="0"/>
              <w:rPr>
                <w:sz w:val="20"/>
                <w:szCs w:val="20"/>
                <w:color w:val="auto"/>
              </w:rPr>
            </w:pPr>
            <w:r>
              <w:rPr>
                <w:rFonts w:ascii="Arial" w:cs="Arial" w:eastAsia="Arial" w:hAnsi="Arial"/>
                <w:sz w:val="18"/>
                <w:szCs w:val="18"/>
                <w:color w:val="auto"/>
              </w:rPr>
              <w:t>Private alternative investments:</w:t>
            </w:r>
          </w:p>
        </w:tc>
        <w:tc>
          <w:tcPr>
            <w:tcW w:w="400" w:type="dxa"/>
            <w:vAlign w:val="bottom"/>
            <w:tcBorders>
              <w:bottom w:val="single" w:sz="8" w:color="D8D8D8"/>
            </w:tcBorders>
            <w:shd w:val="clear" w:color="auto" w:fill="D8D8D8"/>
          </w:tcPr>
          <w:p>
            <w:pPr>
              <w:spacing w:after="0"/>
              <w:rPr>
                <w:sz w:val="22"/>
                <w:szCs w:val="22"/>
                <w:color w:val="auto"/>
              </w:rPr>
            </w:pPr>
          </w:p>
        </w:tc>
        <w:tc>
          <w:tcPr>
            <w:tcW w:w="1320" w:type="dxa"/>
            <w:vAlign w:val="bottom"/>
            <w:tcBorders>
              <w:bottom w:val="single" w:sz="8" w:color="D8D8D8"/>
            </w:tcBorders>
            <w:shd w:val="clear" w:color="auto" w:fill="D8D8D8"/>
          </w:tcPr>
          <w:p>
            <w:pPr>
              <w:spacing w:after="0"/>
              <w:rPr>
                <w:sz w:val="22"/>
                <w:szCs w:val="22"/>
                <w:color w:val="auto"/>
              </w:rPr>
            </w:pPr>
          </w:p>
        </w:tc>
        <w:tc>
          <w:tcPr>
            <w:tcW w:w="220" w:type="dxa"/>
            <w:vAlign w:val="bottom"/>
            <w:tcBorders>
              <w:bottom w:val="single" w:sz="8" w:color="D8D8D8"/>
            </w:tcBorders>
            <w:shd w:val="clear" w:color="auto" w:fill="D8D8D8"/>
          </w:tcPr>
          <w:p>
            <w:pPr>
              <w:spacing w:after="0"/>
              <w:rPr>
                <w:sz w:val="22"/>
                <w:szCs w:val="22"/>
                <w:color w:val="auto"/>
              </w:rPr>
            </w:pPr>
          </w:p>
        </w:tc>
        <w:tc>
          <w:tcPr>
            <w:tcW w:w="1320" w:type="dxa"/>
            <w:vAlign w:val="bottom"/>
            <w:tcBorders>
              <w:bottom w:val="single" w:sz="8" w:color="D8D8D8"/>
            </w:tcBorders>
            <w:shd w:val="clear" w:color="auto" w:fill="D8D8D8"/>
          </w:tcPr>
          <w:p>
            <w:pPr>
              <w:spacing w:after="0"/>
              <w:rPr>
                <w:sz w:val="22"/>
                <w:szCs w:val="22"/>
                <w:color w:val="auto"/>
              </w:rPr>
            </w:pPr>
          </w:p>
        </w:tc>
        <w:tc>
          <w:tcPr>
            <w:tcW w:w="360" w:type="dxa"/>
            <w:vAlign w:val="bottom"/>
            <w:tcBorders>
              <w:bottom w:val="single" w:sz="8" w:color="D8D8D8"/>
            </w:tcBorders>
            <w:shd w:val="clear" w:color="auto" w:fill="D8D8D8"/>
          </w:tcPr>
          <w:p>
            <w:pPr>
              <w:spacing w:after="0"/>
              <w:rPr>
                <w:sz w:val="22"/>
                <w:szCs w:val="22"/>
                <w:color w:val="auto"/>
              </w:rPr>
            </w:pPr>
          </w:p>
        </w:tc>
        <w:tc>
          <w:tcPr>
            <w:tcW w:w="1440" w:type="dxa"/>
            <w:vAlign w:val="bottom"/>
            <w:tcBorders>
              <w:bottom w:val="single" w:sz="8" w:color="D8D8D8"/>
            </w:tcBorders>
            <w:shd w:val="clear" w:color="auto" w:fill="D8D8D8"/>
          </w:tcPr>
          <w:p>
            <w:pPr>
              <w:spacing w:after="0"/>
              <w:rPr>
                <w:sz w:val="22"/>
                <w:szCs w:val="22"/>
                <w:color w:val="auto"/>
              </w:rPr>
            </w:pPr>
          </w:p>
        </w:tc>
        <w:tc>
          <w:tcPr>
            <w:tcW w:w="240" w:type="dxa"/>
            <w:vAlign w:val="bottom"/>
            <w:tcBorders>
              <w:bottom w:val="single" w:sz="8" w:color="D8D8D8"/>
            </w:tcBorders>
            <w:shd w:val="clear" w:color="auto" w:fill="D8D8D8"/>
          </w:tcPr>
          <w:p>
            <w:pPr>
              <w:spacing w:after="0"/>
              <w:rPr>
                <w:sz w:val="22"/>
                <w:szCs w:val="22"/>
                <w:color w:val="auto"/>
              </w:rPr>
            </w:pPr>
          </w:p>
        </w:tc>
        <w:tc>
          <w:tcPr>
            <w:tcW w:w="1460" w:type="dxa"/>
            <w:vAlign w:val="bottom"/>
            <w:tcBorders>
              <w:bottom w:val="single" w:sz="8" w:color="D8D8D8"/>
            </w:tcBorders>
            <w:shd w:val="clear" w:color="auto" w:fill="D8D8D8"/>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660" w:type="dxa"/>
            <w:vAlign w:val="bottom"/>
          </w:tcPr>
          <w:p>
            <w:pPr>
              <w:ind w:left="180"/>
              <w:spacing w:after="0"/>
              <w:rPr>
                <w:sz w:val="20"/>
                <w:szCs w:val="20"/>
                <w:color w:val="auto"/>
              </w:rPr>
            </w:pPr>
            <w:r>
              <w:rPr>
                <w:rFonts w:ascii="Arial" w:cs="Arial" w:eastAsia="Arial" w:hAnsi="Arial"/>
                <w:sz w:val="18"/>
                <w:szCs w:val="18"/>
                <w:color w:val="auto"/>
              </w:rPr>
              <w:t>Hedge funds</w:t>
            </w:r>
          </w:p>
        </w:tc>
        <w:tc>
          <w:tcPr>
            <w:tcW w:w="400" w:type="dxa"/>
            <w:vAlign w:val="bottom"/>
          </w:tcPr>
          <w:p>
            <w:pPr>
              <w:spacing w:after="0"/>
              <w:rPr>
                <w:sz w:val="23"/>
                <w:szCs w:val="23"/>
                <w:color w:val="auto"/>
              </w:rPr>
            </w:pPr>
          </w:p>
        </w:tc>
        <w:tc>
          <w:tcPr>
            <w:tcW w:w="1320" w:type="dxa"/>
            <w:vAlign w:val="bottom"/>
          </w:tcPr>
          <w:p>
            <w:pPr>
              <w:jc w:val="right"/>
              <w:ind w:right="131"/>
              <w:spacing w:after="0"/>
              <w:rPr>
                <w:sz w:val="20"/>
                <w:szCs w:val="20"/>
                <w:color w:val="auto"/>
              </w:rPr>
            </w:pPr>
            <w:r>
              <w:rPr>
                <w:rFonts w:ascii="Arial" w:cs="Arial" w:eastAsia="Arial" w:hAnsi="Arial"/>
                <w:sz w:val="18"/>
                <w:szCs w:val="18"/>
                <w:color w:val="auto"/>
              </w:rPr>
              <w:t>272.3</w:t>
            </w:r>
          </w:p>
        </w:tc>
        <w:tc>
          <w:tcPr>
            <w:tcW w:w="22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1440" w:type="dxa"/>
            <w:vAlign w:val="bottom"/>
          </w:tcPr>
          <w:p>
            <w:pPr>
              <w:jc w:val="right"/>
              <w:ind w:right="34"/>
              <w:spacing w:after="0"/>
              <w:rPr>
                <w:sz w:val="20"/>
                <w:szCs w:val="20"/>
                <w:color w:val="auto"/>
              </w:rPr>
            </w:pPr>
            <w:r>
              <w:rPr>
                <w:rFonts w:ascii="Arial" w:cs="Arial" w:eastAsia="Arial" w:hAnsi="Arial"/>
                <w:sz w:val="18"/>
                <w:szCs w:val="18"/>
                <w:color w:val="auto"/>
              </w:rPr>
              <w:t>148.7</w:t>
            </w:r>
          </w:p>
        </w:tc>
        <w:tc>
          <w:tcPr>
            <w:tcW w:w="240" w:type="dxa"/>
            <w:vAlign w:val="bottom"/>
          </w:tcPr>
          <w:p>
            <w:pPr>
              <w:spacing w:after="0"/>
              <w:rPr>
                <w:sz w:val="23"/>
                <w:szCs w:val="23"/>
                <w:color w:val="auto"/>
              </w:rPr>
            </w:pPr>
          </w:p>
        </w:tc>
        <w:tc>
          <w:tcPr>
            <w:tcW w:w="1460" w:type="dxa"/>
            <w:vAlign w:val="bottom"/>
          </w:tcPr>
          <w:p>
            <w:pPr>
              <w:jc w:val="right"/>
              <w:ind w:right="14"/>
              <w:spacing w:after="0"/>
              <w:rPr>
                <w:sz w:val="20"/>
                <w:szCs w:val="20"/>
                <w:color w:val="auto"/>
              </w:rPr>
            </w:pPr>
            <w:r>
              <w:rPr>
                <w:rFonts w:ascii="Arial" w:cs="Arial" w:eastAsia="Arial" w:hAnsi="Arial"/>
                <w:sz w:val="18"/>
                <w:szCs w:val="18"/>
                <w:color w:val="auto"/>
              </w:rPr>
              <w:t>123.6</w:t>
            </w:r>
          </w:p>
        </w:tc>
        <w:tc>
          <w:tcPr>
            <w:tcW w:w="0" w:type="dxa"/>
            <w:vAlign w:val="bottom"/>
          </w:tcPr>
          <w:p>
            <w:pPr>
              <w:spacing w:after="0"/>
              <w:rPr>
                <w:sz w:val="1"/>
                <w:szCs w:val="1"/>
                <w:color w:val="auto"/>
              </w:rPr>
            </w:pPr>
          </w:p>
        </w:tc>
      </w:tr>
      <w:tr>
        <w:trPr>
          <w:trHeight w:val="275"/>
        </w:trPr>
        <w:tc>
          <w:tcPr>
            <w:tcW w:w="4660" w:type="dxa"/>
            <w:vAlign w:val="bottom"/>
            <w:shd w:val="clear" w:color="auto" w:fill="D8D8D8"/>
          </w:tcPr>
          <w:p>
            <w:pPr>
              <w:ind w:left="180"/>
              <w:spacing w:after="0"/>
              <w:rPr>
                <w:sz w:val="20"/>
                <w:szCs w:val="20"/>
                <w:color w:val="auto"/>
              </w:rPr>
            </w:pPr>
            <w:r>
              <w:rPr>
                <w:rFonts w:ascii="Arial" w:cs="Arial" w:eastAsia="Arial" w:hAnsi="Arial"/>
                <w:sz w:val="18"/>
                <w:szCs w:val="18"/>
                <w:color w:val="auto"/>
              </w:rPr>
              <w:t>Equity-like funds</w:t>
            </w:r>
          </w:p>
        </w:tc>
        <w:tc>
          <w:tcPr>
            <w:tcW w:w="400" w:type="dxa"/>
            <w:vAlign w:val="bottom"/>
            <w:shd w:val="clear" w:color="auto" w:fill="D8D8D8"/>
          </w:tcPr>
          <w:p>
            <w:pPr>
              <w:spacing w:after="0"/>
              <w:rPr>
                <w:sz w:val="23"/>
                <w:szCs w:val="23"/>
                <w:color w:val="auto"/>
              </w:rPr>
            </w:pPr>
          </w:p>
        </w:tc>
        <w:tc>
          <w:tcPr>
            <w:tcW w:w="1320" w:type="dxa"/>
            <w:vAlign w:val="bottom"/>
            <w:shd w:val="clear" w:color="auto" w:fill="D8D8D8"/>
          </w:tcPr>
          <w:p>
            <w:pPr>
              <w:jc w:val="right"/>
              <w:ind w:right="131"/>
              <w:spacing w:after="0"/>
              <w:rPr>
                <w:sz w:val="20"/>
                <w:szCs w:val="20"/>
                <w:color w:val="auto"/>
              </w:rPr>
            </w:pPr>
            <w:r>
              <w:rPr>
                <w:rFonts w:ascii="Arial" w:cs="Arial" w:eastAsia="Arial" w:hAnsi="Arial"/>
                <w:sz w:val="18"/>
                <w:szCs w:val="18"/>
                <w:color w:val="auto"/>
              </w:rPr>
              <w:t>104.5</w:t>
            </w:r>
          </w:p>
        </w:tc>
        <w:tc>
          <w:tcPr>
            <w:tcW w:w="220" w:type="dxa"/>
            <w:vAlign w:val="bottom"/>
            <w:shd w:val="clear" w:color="auto" w:fill="D8D8D8"/>
          </w:tcPr>
          <w:p>
            <w:pPr>
              <w:spacing w:after="0"/>
              <w:rPr>
                <w:sz w:val="23"/>
                <w:szCs w:val="23"/>
                <w:color w:val="auto"/>
              </w:rPr>
            </w:pPr>
          </w:p>
        </w:tc>
        <w:tc>
          <w:tcPr>
            <w:tcW w:w="1320" w:type="dxa"/>
            <w:vAlign w:val="bottom"/>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D8D8D8"/>
          </w:tcPr>
          <w:p>
            <w:pPr>
              <w:spacing w:after="0"/>
              <w:rPr>
                <w:sz w:val="23"/>
                <w:szCs w:val="23"/>
                <w:color w:val="auto"/>
              </w:rPr>
            </w:pPr>
          </w:p>
        </w:tc>
        <w:tc>
          <w:tcPr>
            <w:tcW w:w="1440" w:type="dxa"/>
            <w:vAlign w:val="bottom"/>
            <w:shd w:val="clear" w:color="auto" w:fill="D8D8D8"/>
          </w:tcPr>
          <w:p>
            <w:pPr>
              <w:jc w:val="right"/>
              <w:ind w:right="34"/>
              <w:spacing w:after="0"/>
              <w:rPr>
                <w:sz w:val="20"/>
                <w:szCs w:val="20"/>
                <w:color w:val="auto"/>
              </w:rPr>
            </w:pPr>
            <w:r>
              <w:rPr>
                <w:rFonts w:ascii="Arial" w:cs="Arial" w:eastAsia="Arial" w:hAnsi="Arial"/>
                <w:sz w:val="18"/>
                <w:szCs w:val="18"/>
                <w:color w:val="auto"/>
              </w:rPr>
              <w:t>—</w:t>
            </w:r>
          </w:p>
        </w:tc>
        <w:tc>
          <w:tcPr>
            <w:tcW w:w="240" w:type="dxa"/>
            <w:vAlign w:val="bottom"/>
            <w:shd w:val="clear" w:color="auto" w:fill="D8D8D8"/>
          </w:tcPr>
          <w:p>
            <w:pPr>
              <w:spacing w:after="0"/>
              <w:rPr>
                <w:sz w:val="23"/>
                <w:szCs w:val="23"/>
                <w:color w:val="auto"/>
              </w:rPr>
            </w:pPr>
          </w:p>
        </w:tc>
        <w:tc>
          <w:tcPr>
            <w:tcW w:w="1460" w:type="dxa"/>
            <w:vAlign w:val="bottom"/>
            <w:shd w:val="clear" w:color="auto" w:fill="D8D8D8"/>
          </w:tcPr>
          <w:p>
            <w:pPr>
              <w:jc w:val="right"/>
              <w:ind w:right="14"/>
              <w:spacing w:after="0"/>
              <w:rPr>
                <w:sz w:val="20"/>
                <w:szCs w:val="20"/>
                <w:color w:val="auto"/>
              </w:rPr>
            </w:pPr>
            <w:r>
              <w:rPr>
                <w:rFonts w:ascii="Arial" w:cs="Arial" w:eastAsia="Arial" w:hAnsi="Arial"/>
                <w:sz w:val="18"/>
                <w:szCs w:val="18"/>
                <w:color w:val="auto"/>
              </w:rPr>
              <w:t>104.5</w:t>
            </w:r>
          </w:p>
        </w:tc>
        <w:tc>
          <w:tcPr>
            <w:tcW w:w="0" w:type="dxa"/>
            <w:vAlign w:val="bottom"/>
          </w:tcPr>
          <w:p>
            <w:pPr>
              <w:spacing w:after="0"/>
              <w:rPr>
                <w:sz w:val="1"/>
                <w:szCs w:val="1"/>
                <w:color w:val="auto"/>
              </w:rPr>
            </w:pPr>
          </w:p>
        </w:tc>
      </w:tr>
      <w:tr>
        <w:trPr>
          <w:trHeight w:val="265"/>
        </w:trPr>
        <w:tc>
          <w:tcPr>
            <w:tcW w:w="4660" w:type="dxa"/>
            <w:vAlign w:val="bottom"/>
          </w:tcPr>
          <w:p>
            <w:pPr>
              <w:ind w:left="40"/>
              <w:spacing w:after="0"/>
              <w:rPr>
                <w:sz w:val="20"/>
                <w:szCs w:val="20"/>
                <w:color w:val="auto"/>
              </w:rPr>
            </w:pPr>
            <w:r>
              <w:rPr>
                <w:rFonts w:ascii="Arial" w:cs="Arial" w:eastAsia="Arial" w:hAnsi="Arial"/>
                <w:sz w:val="18"/>
                <w:szCs w:val="18"/>
                <w:color w:val="auto"/>
              </w:rPr>
              <w:t>Cash value of trust owned insurance contract</w:t>
            </w:r>
          </w:p>
        </w:tc>
        <w:tc>
          <w:tcPr>
            <w:tcW w:w="400" w:type="dxa"/>
            <w:vAlign w:val="bottom"/>
          </w:tcPr>
          <w:p>
            <w:pPr>
              <w:spacing w:after="0"/>
              <w:rPr>
                <w:sz w:val="23"/>
                <w:szCs w:val="23"/>
                <w:color w:val="auto"/>
              </w:rPr>
            </w:pPr>
          </w:p>
        </w:tc>
        <w:tc>
          <w:tcPr>
            <w:tcW w:w="1320" w:type="dxa"/>
            <w:vAlign w:val="bottom"/>
          </w:tcPr>
          <w:p>
            <w:pPr>
              <w:jc w:val="right"/>
              <w:ind w:right="131"/>
              <w:spacing w:after="0"/>
              <w:rPr>
                <w:sz w:val="20"/>
                <w:szCs w:val="20"/>
                <w:color w:val="auto"/>
              </w:rPr>
            </w:pPr>
            <w:r>
              <w:rPr>
                <w:rFonts w:ascii="Arial" w:cs="Arial" w:eastAsia="Arial" w:hAnsi="Arial"/>
                <w:sz w:val="18"/>
                <w:szCs w:val="18"/>
                <w:color w:val="auto"/>
              </w:rPr>
              <w:t>1,209.7</w:t>
            </w:r>
          </w:p>
        </w:tc>
        <w:tc>
          <w:tcPr>
            <w:tcW w:w="22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1440" w:type="dxa"/>
            <w:vAlign w:val="bottom"/>
          </w:tcPr>
          <w:p>
            <w:pPr>
              <w:jc w:val="right"/>
              <w:ind w:right="34"/>
              <w:spacing w:after="0"/>
              <w:rPr>
                <w:sz w:val="20"/>
                <w:szCs w:val="20"/>
                <w:color w:val="auto"/>
              </w:rPr>
            </w:pPr>
            <w:r>
              <w:rPr>
                <w:rFonts w:ascii="Arial" w:cs="Arial" w:eastAsia="Arial" w:hAnsi="Arial"/>
                <w:sz w:val="18"/>
                <w:szCs w:val="18"/>
                <w:color w:val="auto"/>
              </w:rPr>
              <w:t>1,209.7</w:t>
            </w:r>
          </w:p>
        </w:tc>
        <w:tc>
          <w:tcPr>
            <w:tcW w:w="240" w:type="dxa"/>
            <w:vAlign w:val="bottom"/>
          </w:tcPr>
          <w:p>
            <w:pPr>
              <w:spacing w:after="0"/>
              <w:rPr>
                <w:sz w:val="23"/>
                <w:szCs w:val="23"/>
                <w:color w:val="auto"/>
              </w:rPr>
            </w:pPr>
          </w:p>
        </w:tc>
        <w:tc>
          <w:tcPr>
            <w:tcW w:w="14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5"/>
        </w:trPr>
        <w:tc>
          <w:tcPr>
            <w:tcW w:w="4660" w:type="dxa"/>
            <w:vAlign w:val="bottom"/>
            <w:shd w:val="clear" w:color="auto" w:fill="D8D8D8"/>
          </w:tcPr>
          <w:p>
            <w:pPr>
              <w:ind w:left="40"/>
              <w:spacing w:after="0"/>
              <w:rPr>
                <w:sz w:val="20"/>
                <w:szCs w:val="20"/>
                <w:color w:val="auto"/>
              </w:rPr>
            </w:pPr>
            <w:r>
              <w:rPr>
                <w:rFonts w:ascii="Arial" w:cs="Arial" w:eastAsia="Arial" w:hAnsi="Arial"/>
                <w:sz w:val="18"/>
                <w:szCs w:val="18"/>
                <w:color w:val="auto"/>
              </w:rPr>
              <w:t>Real estate</w:t>
            </w:r>
          </w:p>
        </w:tc>
        <w:tc>
          <w:tcPr>
            <w:tcW w:w="400" w:type="dxa"/>
            <w:vAlign w:val="bottom"/>
            <w:shd w:val="clear" w:color="auto" w:fill="D8D8D8"/>
          </w:tcPr>
          <w:p>
            <w:pPr>
              <w:spacing w:after="0"/>
              <w:rPr>
                <w:sz w:val="23"/>
                <w:szCs w:val="23"/>
                <w:color w:val="auto"/>
              </w:rPr>
            </w:pPr>
          </w:p>
        </w:tc>
        <w:tc>
          <w:tcPr>
            <w:tcW w:w="1320" w:type="dxa"/>
            <w:vAlign w:val="bottom"/>
            <w:shd w:val="clear" w:color="auto" w:fill="D8D8D8"/>
          </w:tcPr>
          <w:p>
            <w:pPr>
              <w:jc w:val="right"/>
              <w:ind w:right="131"/>
              <w:spacing w:after="0"/>
              <w:rPr>
                <w:sz w:val="20"/>
                <w:szCs w:val="20"/>
                <w:color w:val="auto"/>
              </w:rPr>
            </w:pPr>
            <w:r>
              <w:rPr>
                <w:rFonts w:ascii="Arial" w:cs="Arial" w:eastAsia="Arial" w:hAnsi="Arial"/>
                <w:sz w:val="18"/>
                <w:szCs w:val="18"/>
                <w:color w:val="auto"/>
              </w:rPr>
              <w:t>33.2</w:t>
            </w:r>
          </w:p>
        </w:tc>
        <w:tc>
          <w:tcPr>
            <w:tcW w:w="220" w:type="dxa"/>
            <w:vAlign w:val="bottom"/>
            <w:shd w:val="clear" w:color="auto" w:fill="D8D8D8"/>
          </w:tcPr>
          <w:p>
            <w:pPr>
              <w:spacing w:after="0"/>
              <w:rPr>
                <w:sz w:val="23"/>
                <w:szCs w:val="23"/>
                <w:color w:val="auto"/>
              </w:rPr>
            </w:pPr>
          </w:p>
        </w:tc>
        <w:tc>
          <w:tcPr>
            <w:tcW w:w="1320" w:type="dxa"/>
            <w:vAlign w:val="bottom"/>
            <w:shd w:val="clear" w:color="auto" w:fill="D8D8D8"/>
          </w:tcPr>
          <w:p>
            <w:pPr>
              <w:jc w:val="right"/>
              <w:spacing w:after="0"/>
              <w:rPr>
                <w:sz w:val="20"/>
                <w:szCs w:val="20"/>
                <w:color w:val="auto"/>
              </w:rPr>
            </w:pPr>
            <w:r>
              <w:rPr>
                <w:rFonts w:ascii="Arial" w:cs="Arial" w:eastAsia="Arial" w:hAnsi="Arial"/>
                <w:sz w:val="18"/>
                <w:szCs w:val="18"/>
                <w:color w:val="auto"/>
              </w:rPr>
              <w:t>33.2</w:t>
            </w:r>
          </w:p>
        </w:tc>
        <w:tc>
          <w:tcPr>
            <w:tcW w:w="360" w:type="dxa"/>
            <w:vAlign w:val="bottom"/>
            <w:shd w:val="clear" w:color="auto" w:fill="D8D8D8"/>
          </w:tcPr>
          <w:p>
            <w:pPr>
              <w:spacing w:after="0"/>
              <w:rPr>
                <w:sz w:val="23"/>
                <w:szCs w:val="23"/>
                <w:color w:val="auto"/>
              </w:rPr>
            </w:pPr>
          </w:p>
        </w:tc>
        <w:tc>
          <w:tcPr>
            <w:tcW w:w="1440" w:type="dxa"/>
            <w:vAlign w:val="bottom"/>
            <w:shd w:val="clear" w:color="auto" w:fill="D8D8D8"/>
          </w:tcPr>
          <w:p>
            <w:pPr>
              <w:jc w:val="right"/>
              <w:ind w:right="34"/>
              <w:spacing w:after="0"/>
              <w:rPr>
                <w:sz w:val="20"/>
                <w:szCs w:val="20"/>
                <w:color w:val="auto"/>
              </w:rPr>
            </w:pPr>
            <w:r>
              <w:rPr>
                <w:rFonts w:ascii="Arial" w:cs="Arial" w:eastAsia="Arial" w:hAnsi="Arial"/>
                <w:sz w:val="18"/>
                <w:szCs w:val="18"/>
                <w:color w:val="auto"/>
              </w:rPr>
              <w:t>—</w:t>
            </w:r>
          </w:p>
        </w:tc>
        <w:tc>
          <w:tcPr>
            <w:tcW w:w="240" w:type="dxa"/>
            <w:vAlign w:val="bottom"/>
            <w:shd w:val="clear" w:color="auto" w:fill="D8D8D8"/>
          </w:tcPr>
          <w:p>
            <w:pPr>
              <w:spacing w:after="0"/>
              <w:rPr>
                <w:sz w:val="23"/>
                <w:szCs w:val="23"/>
                <w:color w:val="auto"/>
              </w:rPr>
            </w:pPr>
          </w:p>
        </w:tc>
        <w:tc>
          <w:tcPr>
            <w:tcW w:w="1460" w:type="dxa"/>
            <w:vAlign w:val="bottom"/>
            <w:shd w:val="clear" w:color="auto" w:fill="D8D8D8"/>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5"/>
        </w:trPr>
        <w:tc>
          <w:tcPr>
            <w:tcW w:w="4660" w:type="dxa"/>
            <w:vAlign w:val="bottom"/>
            <w:tcBorders>
              <w:bottom w:val="single" w:sz="8" w:color="D8D8D8"/>
            </w:tcBorders>
          </w:tcPr>
          <w:p>
            <w:pPr>
              <w:ind w:left="40"/>
              <w:spacing w:after="0"/>
              <w:rPr>
                <w:sz w:val="20"/>
                <w:szCs w:val="20"/>
                <w:color w:val="auto"/>
              </w:rPr>
            </w:pPr>
            <w:r>
              <w:rPr>
                <w:rFonts w:ascii="Arial" w:cs="Arial" w:eastAsia="Arial" w:hAnsi="Arial"/>
                <w:sz w:val="18"/>
                <w:szCs w:val="18"/>
                <w:color w:val="auto"/>
              </w:rPr>
              <w:t>Other</w:t>
            </w:r>
          </w:p>
        </w:tc>
        <w:tc>
          <w:tcPr>
            <w:tcW w:w="40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41.1</w:t>
            </w:r>
          </w:p>
        </w:tc>
        <w:tc>
          <w:tcPr>
            <w:tcW w:w="22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w:t>
            </w:r>
          </w:p>
        </w:tc>
        <w:tc>
          <w:tcPr>
            <w:tcW w:w="36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16.1</w:t>
            </w:r>
          </w:p>
        </w:tc>
        <w:tc>
          <w:tcPr>
            <w:tcW w:w="240" w:type="dxa"/>
            <w:vAlign w:val="bottom"/>
            <w:tcBorders>
              <w:bottom w:val="single" w:sz="8" w:color="auto"/>
            </w:tcBorders>
          </w:tcPr>
          <w:p>
            <w:pPr>
              <w:spacing w:after="0"/>
              <w:rPr>
                <w:sz w:val="23"/>
                <w:szCs w:val="23"/>
                <w:color w:val="auto"/>
              </w:rPr>
            </w:pPr>
          </w:p>
        </w:tc>
        <w:tc>
          <w:tcPr>
            <w:tcW w:w="14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5"/>
        </w:trPr>
        <w:tc>
          <w:tcPr>
            <w:tcW w:w="4660" w:type="dxa"/>
            <w:vAlign w:val="bottom"/>
            <w:tcBorders>
              <w:bottom w:val="single" w:sz="8" w:color="D8D8D8"/>
            </w:tcBorders>
            <w:shd w:val="clear" w:color="auto" w:fill="D8D8D8"/>
          </w:tcPr>
          <w:p>
            <w:pPr>
              <w:ind w:left="40"/>
              <w:spacing w:after="0"/>
              <w:rPr>
                <w:sz w:val="20"/>
                <w:szCs w:val="20"/>
                <w:color w:val="auto"/>
              </w:rPr>
            </w:pPr>
            <w:r>
              <w:rPr>
                <w:rFonts w:ascii="Arial" w:cs="Arial" w:eastAsia="Arial" w:hAnsi="Arial"/>
                <w:sz w:val="18"/>
                <w:szCs w:val="18"/>
                <w:color w:val="auto"/>
              </w:rPr>
              <w:t>Total</w:t>
            </w:r>
          </w:p>
        </w:tc>
        <w:tc>
          <w:tcPr>
            <w:tcW w:w="400" w:type="dxa"/>
            <w:vAlign w:val="bottom"/>
            <w:tcBorders>
              <w:bottom w:val="single" w:sz="8" w:color="auto"/>
            </w:tcBorders>
            <w:shd w:val="clear" w:color="auto" w:fill="D8D8D8"/>
          </w:tcPr>
          <w:p>
            <w:pPr>
              <w:jc w:val="right"/>
              <w:ind w:right="17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D8D8D8"/>
          </w:tcPr>
          <w:p>
            <w:pPr>
              <w:jc w:val="right"/>
              <w:ind w:right="131"/>
              <w:spacing w:after="0"/>
              <w:rPr>
                <w:sz w:val="20"/>
                <w:szCs w:val="20"/>
                <w:color w:val="auto"/>
              </w:rPr>
            </w:pPr>
            <w:r>
              <w:rPr>
                <w:rFonts w:ascii="Arial" w:cs="Arial" w:eastAsia="Arial" w:hAnsi="Arial"/>
                <w:sz w:val="18"/>
                <w:szCs w:val="18"/>
                <w:color w:val="auto"/>
              </w:rPr>
              <w:t>1,943.7</w:t>
            </w:r>
          </w:p>
        </w:tc>
        <w:tc>
          <w:tcPr>
            <w:tcW w:w="220" w:type="dxa"/>
            <w:vAlign w:val="bottom"/>
            <w:tcBorders>
              <w:bottom w:val="single" w:sz="8" w:color="auto"/>
            </w:tcBorders>
            <w:shd w:val="clear" w:color="auto" w:fill="D8D8D8"/>
          </w:tcPr>
          <w:p>
            <w:pPr>
              <w:jc w:val="right"/>
              <w:ind w:right="15"/>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127.9</w:t>
            </w:r>
          </w:p>
        </w:tc>
        <w:tc>
          <w:tcPr>
            <w:tcW w:w="36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shd w:val="clear" w:color="auto" w:fill="D8D8D8"/>
          </w:tcPr>
          <w:p>
            <w:pPr>
              <w:jc w:val="right"/>
              <w:ind w:right="34"/>
              <w:spacing w:after="0"/>
              <w:rPr>
                <w:sz w:val="20"/>
                <w:szCs w:val="20"/>
                <w:color w:val="auto"/>
              </w:rPr>
            </w:pPr>
            <w:r>
              <w:rPr>
                <w:rFonts w:ascii="Arial" w:cs="Arial" w:eastAsia="Arial" w:hAnsi="Arial"/>
                <w:sz w:val="18"/>
                <w:szCs w:val="18"/>
                <w:color w:val="auto"/>
              </w:rPr>
              <w:t>1,587.7</w:t>
            </w:r>
          </w:p>
        </w:tc>
        <w:tc>
          <w:tcPr>
            <w:tcW w:w="24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shd w:val="clear" w:color="auto" w:fill="D8D8D8"/>
          </w:tcPr>
          <w:p>
            <w:pPr>
              <w:jc w:val="right"/>
              <w:ind w:right="14"/>
              <w:spacing w:after="0"/>
              <w:rPr>
                <w:sz w:val="20"/>
                <w:szCs w:val="20"/>
                <w:color w:val="auto"/>
              </w:rPr>
            </w:pPr>
            <w:r>
              <w:rPr>
                <w:rFonts w:ascii="Arial" w:cs="Arial" w:eastAsia="Arial" w:hAnsi="Arial"/>
                <w:sz w:val="18"/>
                <w:szCs w:val="18"/>
                <w:color w:val="auto"/>
              </w:rPr>
              <w:t>228.1</w:t>
            </w:r>
          </w:p>
        </w:tc>
        <w:tc>
          <w:tcPr>
            <w:tcW w:w="0" w:type="dxa"/>
            <w:vAlign w:val="bottom"/>
          </w:tcPr>
          <w:p>
            <w:pPr>
              <w:spacing w:after="0"/>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No material transfers between Level 1, Level 2, or Level 3 occurred during the year ended December 31, 2015.</w:t>
      </w:r>
    </w:p>
    <w:p>
      <w:pPr>
        <w:spacing w:after="0" w:line="25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91</w:t>
      </w:r>
    </w:p>
    <w:p>
      <w:pPr>
        <w:sectPr>
          <w:pgSz w:w="11900" w:h="16838" w:orient="portrait"/>
          <w:cols w:equalWidth="0" w:num="1">
            <w:col w:w="11420"/>
          </w:cols>
          <w:pgMar w:left="240" w:top="684" w:right="239" w:bottom="1440" w:gutter="0" w:footer="0" w:header="0"/>
        </w:sectPr>
      </w:pPr>
    </w:p>
    <w:bookmarkStart w:id="91" w:name="page92"/>
    <w:bookmarkEnd w:id="91"/>
    <w:p>
      <w:pPr>
        <w:spacing w:after="0"/>
        <w:rPr>
          <w:sz w:val="20"/>
          <w:szCs w:val="20"/>
          <w:color w:val="auto"/>
        </w:rPr>
      </w:pPr>
      <w:r>
        <w:rPr>
          <w:rFonts w:ascii="Arial" w:cs="Arial" w:eastAsia="Arial" w:hAnsi="Arial"/>
          <w:sz w:val="18"/>
          <w:szCs w:val="18"/>
          <w:color w:val="auto"/>
        </w:rPr>
        <w:t>The activity in the Level 3 investments during the year ended December 31, 2015 was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40" w:type="dxa"/>
            <w:vAlign w:val="bottom"/>
          </w:tcPr>
          <w:p>
            <w:pPr>
              <w:spacing w:after="0"/>
              <w:rPr>
                <w:sz w:val="14"/>
                <w:szCs w:val="14"/>
                <w:color w:val="auto"/>
              </w:rPr>
            </w:pPr>
          </w:p>
        </w:tc>
        <w:tc>
          <w:tcPr>
            <w:tcW w:w="1200" w:type="dxa"/>
            <w:vAlign w:val="bottom"/>
            <w:gridSpan w:val="2"/>
          </w:tcPr>
          <w:p>
            <w:pPr>
              <w:jc w:val="center"/>
              <w:spacing w:after="0"/>
              <w:rPr>
                <w:sz w:val="20"/>
                <w:szCs w:val="20"/>
                <w:color w:val="auto"/>
              </w:rPr>
            </w:pPr>
            <w:r>
              <w:rPr>
                <w:rFonts w:ascii="Arial" w:cs="Arial" w:eastAsia="Arial" w:hAnsi="Arial"/>
                <w:sz w:val="14"/>
                <w:szCs w:val="14"/>
                <w:b w:val="1"/>
                <w:bCs w:val="1"/>
                <w:color w:val="auto"/>
              </w:rPr>
              <w:t>Fixed Income:</w:t>
            </w: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2"/>
        </w:trPr>
        <w:tc>
          <w:tcPr>
            <w:tcW w:w="5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jc w:val="center"/>
              <w:ind w:right="133"/>
              <w:spacing w:after="0"/>
              <w:rPr>
                <w:sz w:val="20"/>
                <w:szCs w:val="20"/>
                <w:color w:val="auto"/>
              </w:rPr>
            </w:pPr>
            <w:r>
              <w:rPr>
                <w:rFonts w:ascii="Arial" w:cs="Arial" w:eastAsia="Arial" w:hAnsi="Arial"/>
                <w:sz w:val="14"/>
                <w:szCs w:val="14"/>
                <w:b w:val="1"/>
                <w:bCs w:val="1"/>
                <w:color w:val="auto"/>
              </w:rPr>
              <w:t>Emerging</w:t>
            </w:r>
          </w:p>
        </w:tc>
        <w:tc>
          <w:tcPr>
            <w:tcW w:w="300" w:type="dxa"/>
            <w:vAlign w:val="bottom"/>
          </w:tcPr>
          <w:p>
            <w:pPr>
              <w:spacing w:after="0"/>
              <w:rPr>
                <w:sz w:val="14"/>
                <w:szCs w:val="14"/>
                <w:color w:val="auto"/>
              </w:rPr>
            </w:pPr>
          </w:p>
        </w:tc>
        <w:tc>
          <w:tcPr>
            <w:tcW w:w="960" w:type="dxa"/>
            <w:vAlign w:val="bottom"/>
          </w:tcPr>
          <w:p>
            <w:pPr>
              <w:jc w:val="right"/>
              <w:ind w:right="313"/>
              <w:spacing w:after="0"/>
              <w:rPr>
                <w:sz w:val="20"/>
                <w:szCs w:val="20"/>
                <w:color w:val="auto"/>
              </w:rPr>
            </w:pPr>
            <w:r>
              <w:rPr>
                <w:rFonts w:ascii="Arial" w:cs="Arial" w:eastAsia="Arial" w:hAnsi="Arial"/>
                <w:sz w:val="14"/>
                <w:szCs w:val="14"/>
                <w:b w:val="1"/>
                <w:bCs w:val="1"/>
                <w:color w:val="auto"/>
              </w:rPr>
              <w:t>Hedge</w:t>
            </w:r>
          </w:p>
        </w:tc>
        <w:tc>
          <w:tcPr>
            <w:tcW w:w="220" w:type="dxa"/>
            <w:vAlign w:val="bottom"/>
          </w:tcPr>
          <w:p>
            <w:pPr>
              <w:spacing w:after="0"/>
              <w:rPr>
                <w:sz w:val="14"/>
                <w:szCs w:val="14"/>
                <w:color w:val="auto"/>
              </w:rPr>
            </w:pPr>
          </w:p>
        </w:tc>
        <w:tc>
          <w:tcPr>
            <w:tcW w:w="1000" w:type="dxa"/>
            <w:vAlign w:val="bottom"/>
          </w:tcPr>
          <w:p>
            <w:pPr>
              <w:jc w:val="right"/>
              <w:ind w:right="133"/>
              <w:spacing w:after="0"/>
              <w:rPr>
                <w:sz w:val="20"/>
                <w:szCs w:val="20"/>
                <w:color w:val="auto"/>
              </w:rPr>
            </w:pPr>
            <w:r>
              <w:rPr>
                <w:rFonts w:ascii="Arial" w:cs="Arial" w:eastAsia="Arial" w:hAnsi="Arial"/>
                <w:sz w:val="14"/>
                <w:szCs w:val="14"/>
                <w:b w:val="1"/>
                <w:bCs w:val="1"/>
                <w:color w:val="auto"/>
              </w:rPr>
              <w:t>Equity-like</w:t>
            </w:r>
          </w:p>
        </w:tc>
        <w:tc>
          <w:tcPr>
            <w:tcW w:w="340" w:type="dxa"/>
            <w:vAlign w:val="bottom"/>
          </w:tcPr>
          <w:p>
            <w:pPr>
              <w:spacing w:after="0"/>
              <w:rPr>
                <w:sz w:val="14"/>
                <w:szCs w:val="14"/>
                <w:color w:val="auto"/>
              </w:rPr>
            </w:pPr>
          </w:p>
        </w:tc>
        <w:tc>
          <w:tcPr>
            <w:tcW w:w="940" w:type="dxa"/>
            <w:vAlign w:val="bottom"/>
          </w:tcPr>
          <w:p>
            <w:pPr>
              <w:jc w:val="right"/>
              <w:ind w:right="373"/>
              <w:spacing w:after="0"/>
              <w:rPr>
                <w:sz w:val="20"/>
                <w:szCs w:val="20"/>
                <w:color w:val="auto"/>
              </w:rPr>
            </w:pPr>
            <w:r>
              <w:rPr>
                <w:rFonts w:ascii="Arial" w:cs="Arial" w:eastAsia="Arial" w:hAnsi="Arial"/>
                <w:sz w:val="14"/>
                <w:szCs w:val="14"/>
                <w:b w:val="1"/>
                <w:bCs w:val="1"/>
                <w:color w:val="auto"/>
              </w:rPr>
              <w:t>Real</w:t>
            </w: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203"/>
        </w:trPr>
        <w:tc>
          <w:tcPr>
            <w:tcW w:w="52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133"/>
              <w:spacing w:after="0"/>
              <w:rPr>
                <w:sz w:val="20"/>
                <w:szCs w:val="20"/>
                <w:color w:val="auto"/>
              </w:rPr>
            </w:pPr>
            <w:r>
              <w:rPr>
                <w:rFonts w:ascii="Arial" w:cs="Arial" w:eastAsia="Arial" w:hAnsi="Arial"/>
                <w:sz w:val="14"/>
                <w:szCs w:val="14"/>
                <w:b w:val="1"/>
                <w:bCs w:val="1"/>
                <w:color w:val="auto"/>
              </w:rPr>
              <w:t>Markets</w:t>
            </w: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Funds</w:t>
            </w:r>
          </w:p>
        </w:tc>
        <w:tc>
          <w:tcPr>
            <w:tcW w:w="2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Funds</w:t>
            </w:r>
          </w:p>
        </w:tc>
        <w:tc>
          <w:tcPr>
            <w:tcW w:w="3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Estate</w:t>
            </w:r>
          </w:p>
        </w:tc>
        <w:tc>
          <w:tcPr>
            <w:tcW w:w="3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Total</w:t>
            </w:r>
          </w:p>
        </w:tc>
      </w:tr>
      <w:tr>
        <w:trPr>
          <w:trHeight w:val="265"/>
        </w:trPr>
        <w:tc>
          <w:tcPr>
            <w:tcW w:w="5240" w:type="dxa"/>
            <w:vAlign w:val="bottom"/>
            <w:shd w:val="clear" w:color="auto" w:fill="D8D8D8"/>
          </w:tcPr>
          <w:p>
            <w:pPr>
              <w:ind w:left="40"/>
              <w:spacing w:after="0"/>
              <w:rPr>
                <w:sz w:val="20"/>
                <w:szCs w:val="20"/>
                <w:color w:val="auto"/>
              </w:rPr>
            </w:pPr>
            <w:r>
              <w:rPr>
                <w:rFonts w:ascii="Arial" w:cs="Arial" w:eastAsia="Arial" w:hAnsi="Arial"/>
                <w:sz w:val="18"/>
                <w:szCs w:val="18"/>
                <w:b w:val="1"/>
                <w:bCs w:val="1"/>
                <w:color w:val="auto"/>
              </w:rPr>
              <w:t>Defined Benefit Pension Plans</w:t>
            </w:r>
          </w:p>
        </w:tc>
        <w:tc>
          <w:tcPr>
            <w:tcW w:w="200" w:type="dxa"/>
            <w:vAlign w:val="bottom"/>
            <w:shd w:val="clear" w:color="auto" w:fill="D8D8D8"/>
          </w:tcPr>
          <w:p>
            <w:pPr>
              <w:spacing w:after="0"/>
              <w:rPr>
                <w:sz w:val="23"/>
                <w:szCs w:val="23"/>
                <w:color w:val="auto"/>
              </w:rPr>
            </w:pPr>
          </w:p>
        </w:tc>
        <w:tc>
          <w:tcPr>
            <w:tcW w:w="1000" w:type="dxa"/>
            <w:vAlign w:val="bottom"/>
            <w:shd w:val="clear" w:color="auto" w:fill="D8D8D8"/>
          </w:tcPr>
          <w:p>
            <w:pPr>
              <w:spacing w:after="0"/>
              <w:rPr>
                <w:sz w:val="23"/>
                <w:szCs w:val="23"/>
                <w:color w:val="auto"/>
              </w:rPr>
            </w:pPr>
          </w:p>
        </w:tc>
        <w:tc>
          <w:tcPr>
            <w:tcW w:w="300" w:type="dxa"/>
            <w:vAlign w:val="bottom"/>
            <w:shd w:val="clear" w:color="auto" w:fill="D8D8D8"/>
          </w:tcPr>
          <w:p>
            <w:pPr>
              <w:spacing w:after="0"/>
              <w:rPr>
                <w:sz w:val="23"/>
                <w:szCs w:val="23"/>
                <w:color w:val="auto"/>
              </w:rPr>
            </w:pPr>
          </w:p>
        </w:tc>
        <w:tc>
          <w:tcPr>
            <w:tcW w:w="960" w:type="dxa"/>
            <w:vAlign w:val="bottom"/>
            <w:shd w:val="clear" w:color="auto" w:fill="D8D8D8"/>
          </w:tcPr>
          <w:p>
            <w:pPr>
              <w:spacing w:after="0"/>
              <w:rPr>
                <w:sz w:val="23"/>
                <w:szCs w:val="23"/>
                <w:color w:val="auto"/>
              </w:rPr>
            </w:pPr>
          </w:p>
        </w:tc>
        <w:tc>
          <w:tcPr>
            <w:tcW w:w="220" w:type="dxa"/>
            <w:vAlign w:val="bottom"/>
            <w:shd w:val="clear" w:color="auto" w:fill="D8D8D8"/>
          </w:tcPr>
          <w:p>
            <w:pPr>
              <w:spacing w:after="0"/>
              <w:rPr>
                <w:sz w:val="23"/>
                <w:szCs w:val="23"/>
                <w:color w:val="auto"/>
              </w:rPr>
            </w:pPr>
          </w:p>
        </w:tc>
        <w:tc>
          <w:tcPr>
            <w:tcW w:w="1000" w:type="dxa"/>
            <w:vAlign w:val="bottom"/>
            <w:shd w:val="clear" w:color="auto" w:fill="D8D8D8"/>
          </w:tcPr>
          <w:p>
            <w:pPr>
              <w:spacing w:after="0"/>
              <w:rPr>
                <w:sz w:val="23"/>
                <w:szCs w:val="23"/>
                <w:color w:val="auto"/>
              </w:rPr>
            </w:pPr>
          </w:p>
        </w:tc>
        <w:tc>
          <w:tcPr>
            <w:tcW w:w="340" w:type="dxa"/>
            <w:vAlign w:val="bottom"/>
            <w:shd w:val="clear" w:color="auto" w:fill="D8D8D8"/>
          </w:tcPr>
          <w:p>
            <w:pPr>
              <w:spacing w:after="0"/>
              <w:rPr>
                <w:sz w:val="23"/>
                <w:szCs w:val="23"/>
                <w:color w:val="auto"/>
              </w:rPr>
            </w:pPr>
          </w:p>
        </w:tc>
        <w:tc>
          <w:tcPr>
            <w:tcW w:w="940" w:type="dxa"/>
            <w:vAlign w:val="bottom"/>
            <w:shd w:val="clear" w:color="auto" w:fill="D8D8D8"/>
          </w:tcPr>
          <w:p>
            <w:pPr>
              <w:spacing w:after="0"/>
              <w:rPr>
                <w:sz w:val="23"/>
                <w:szCs w:val="23"/>
                <w:color w:val="auto"/>
              </w:rPr>
            </w:pPr>
          </w:p>
        </w:tc>
        <w:tc>
          <w:tcPr>
            <w:tcW w:w="340" w:type="dxa"/>
            <w:vAlign w:val="bottom"/>
            <w:shd w:val="clear" w:color="auto" w:fill="D8D8D8"/>
          </w:tcPr>
          <w:p>
            <w:pPr>
              <w:spacing w:after="0"/>
              <w:rPr>
                <w:sz w:val="23"/>
                <w:szCs w:val="23"/>
                <w:color w:val="auto"/>
              </w:rPr>
            </w:pPr>
          </w:p>
        </w:tc>
        <w:tc>
          <w:tcPr>
            <w:tcW w:w="880" w:type="dxa"/>
            <w:vAlign w:val="bottom"/>
            <w:shd w:val="clear" w:color="auto" w:fill="D8D8D8"/>
          </w:tcPr>
          <w:p>
            <w:pPr>
              <w:spacing w:after="0"/>
              <w:rPr>
                <w:sz w:val="23"/>
                <w:szCs w:val="23"/>
                <w:color w:val="auto"/>
              </w:rPr>
            </w:pPr>
          </w:p>
        </w:tc>
      </w:tr>
      <w:tr>
        <w:trPr>
          <w:trHeight w:val="265"/>
        </w:trPr>
        <w:tc>
          <w:tcPr>
            <w:tcW w:w="5240" w:type="dxa"/>
            <w:vAlign w:val="bottom"/>
          </w:tcPr>
          <w:p>
            <w:pPr>
              <w:ind w:left="40"/>
              <w:spacing w:after="0"/>
              <w:rPr>
                <w:sz w:val="20"/>
                <w:szCs w:val="20"/>
                <w:color w:val="auto"/>
              </w:rPr>
            </w:pPr>
            <w:r>
              <w:rPr>
                <w:rFonts w:ascii="Arial" w:cs="Arial" w:eastAsia="Arial" w:hAnsi="Arial"/>
                <w:sz w:val="18"/>
                <w:szCs w:val="18"/>
                <w:color w:val="auto"/>
              </w:rPr>
              <w:t>Beginning balance at January 1, 2015</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73"/>
              <w:spacing w:after="0"/>
              <w:rPr>
                <w:sz w:val="20"/>
                <w:szCs w:val="20"/>
                <w:color w:val="auto"/>
              </w:rPr>
            </w:pPr>
            <w:r>
              <w:rPr>
                <w:rFonts w:ascii="Arial" w:cs="Arial" w:eastAsia="Arial" w:hAnsi="Arial"/>
                <w:sz w:val="18"/>
                <w:szCs w:val="18"/>
                <w:color w:val="auto"/>
              </w:rPr>
              <w:t>1.8</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73"/>
              <w:spacing w:after="0"/>
              <w:rPr>
                <w:sz w:val="20"/>
                <w:szCs w:val="20"/>
                <w:color w:val="auto"/>
              </w:rPr>
            </w:pPr>
            <w:r>
              <w:rPr>
                <w:rFonts w:ascii="Arial" w:cs="Arial" w:eastAsia="Arial" w:hAnsi="Arial"/>
                <w:sz w:val="18"/>
                <w:szCs w:val="18"/>
                <w:color w:val="auto"/>
              </w:rPr>
              <w:t>1,583.1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1,071.4</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53"/>
              <w:spacing w:after="0"/>
              <w:rPr>
                <w:sz w:val="20"/>
                <w:szCs w:val="20"/>
                <w:color w:val="auto"/>
              </w:rPr>
            </w:pPr>
            <w:r>
              <w:rPr>
                <w:rFonts w:ascii="Arial" w:cs="Arial" w:eastAsia="Arial" w:hAnsi="Arial"/>
                <w:sz w:val="18"/>
                <w:szCs w:val="18"/>
                <w:color w:val="auto"/>
              </w:rPr>
              <w:t>165.9</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2,822.2</w:t>
            </w:r>
          </w:p>
        </w:tc>
      </w:tr>
      <w:tr>
        <w:trPr>
          <w:trHeight w:val="211"/>
        </w:trPr>
        <w:tc>
          <w:tcPr>
            <w:tcW w:w="5240" w:type="dxa"/>
            <w:vAlign w:val="bottom"/>
            <w:shd w:val="clear" w:color="auto" w:fill="D8D8D8"/>
          </w:tcPr>
          <w:p>
            <w:pPr>
              <w:ind w:left="40"/>
              <w:spacing w:after="0"/>
              <w:rPr>
                <w:sz w:val="20"/>
                <w:szCs w:val="20"/>
                <w:color w:val="auto"/>
              </w:rPr>
            </w:pPr>
            <w:r>
              <w:rPr>
                <w:rFonts w:ascii="Arial" w:cs="Arial" w:eastAsia="Arial" w:hAnsi="Arial"/>
                <w:sz w:val="18"/>
                <w:szCs w:val="18"/>
                <w:color w:val="auto"/>
              </w:rPr>
              <w:t>Actual return on plan assets, including changes in foreign</w:t>
            </w:r>
          </w:p>
        </w:tc>
        <w:tc>
          <w:tcPr>
            <w:tcW w:w="200" w:type="dxa"/>
            <w:vAlign w:val="bottom"/>
            <w:shd w:val="clear" w:color="auto" w:fill="D8D8D8"/>
          </w:tcPr>
          <w:p>
            <w:pPr>
              <w:spacing w:after="0"/>
              <w:rPr>
                <w:sz w:val="18"/>
                <w:szCs w:val="18"/>
                <w:color w:val="auto"/>
              </w:rPr>
            </w:pPr>
          </w:p>
        </w:tc>
        <w:tc>
          <w:tcPr>
            <w:tcW w:w="1000" w:type="dxa"/>
            <w:vAlign w:val="bottom"/>
            <w:shd w:val="clear" w:color="auto" w:fill="D8D8D8"/>
          </w:tcPr>
          <w:p>
            <w:pPr>
              <w:spacing w:after="0"/>
              <w:rPr>
                <w:sz w:val="18"/>
                <w:szCs w:val="18"/>
                <w:color w:val="auto"/>
              </w:rPr>
            </w:pPr>
          </w:p>
        </w:tc>
        <w:tc>
          <w:tcPr>
            <w:tcW w:w="300" w:type="dxa"/>
            <w:vAlign w:val="bottom"/>
            <w:shd w:val="clear" w:color="auto" w:fill="D8D8D8"/>
          </w:tcPr>
          <w:p>
            <w:pPr>
              <w:spacing w:after="0"/>
              <w:rPr>
                <w:sz w:val="18"/>
                <w:szCs w:val="18"/>
                <w:color w:val="auto"/>
              </w:rPr>
            </w:pPr>
          </w:p>
        </w:tc>
        <w:tc>
          <w:tcPr>
            <w:tcW w:w="960" w:type="dxa"/>
            <w:vAlign w:val="bottom"/>
            <w:shd w:val="clear" w:color="auto" w:fill="D8D8D8"/>
          </w:tcPr>
          <w:p>
            <w:pPr>
              <w:spacing w:after="0"/>
              <w:rPr>
                <w:sz w:val="18"/>
                <w:szCs w:val="18"/>
                <w:color w:val="auto"/>
              </w:rPr>
            </w:pPr>
          </w:p>
        </w:tc>
        <w:tc>
          <w:tcPr>
            <w:tcW w:w="220" w:type="dxa"/>
            <w:vAlign w:val="bottom"/>
            <w:shd w:val="clear" w:color="auto" w:fill="D8D8D8"/>
          </w:tcPr>
          <w:p>
            <w:pPr>
              <w:spacing w:after="0"/>
              <w:rPr>
                <w:sz w:val="18"/>
                <w:szCs w:val="18"/>
                <w:color w:val="auto"/>
              </w:rPr>
            </w:pPr>
          </w:p>
        </w:tc>
        <w:tc>
          <w:tcPr>
            <w:tcW w:w="1000" w:type="dxa"/>
            <w:vAlign w:val="bottom"/>
            <w:shd w:val="clear" w:color="auto" w:fill="D8D8D8"/>
          </w:tcPr>
          <w:p>
            <w:pPr>
              <w:spacing w:after="0"/>
              <w:rPr>
                <w:sz w:val="18"/>
                <w:szCs w:val="18"/>
                <w:color w:val="auto"/>
              </w:rPr>
            </w:pPr>
          </w:p>
        </w:tc>
        <w:tc>
          <w:tcPr>
            <w:tcW w:w="340" w:type="dxa"/>
            <w:vAlign w:val="bottom"/>
            <w:shd w:val="clear" w:color="auto" w:fill="D8D8D8"/>
          </w:tcPr>
          <w:p>
            <w:pPr>
              <w:spacing w:after="0"/>
              <w:rPr>
                <w:sz w:val="18"/>
                <w:szCs w:val="18"/>
                <w:color w:val="auto"/>
              </w:rPr>
            </w:pPr>
          </w:p>
        </w:tc>
        <w:tc>
          <w:tcPr>
            <w:tcW w:w="940" w:type="dxa"/>
            <w:vAlign w:val="bottom"/>
            <w:shd w:val="clear" w:color="auto" w:fill="D8D8D8"/>
          </w:tcPr>
          <w:p>
            <w:pPr>
              <w:spacing w:after="0"/>
              <w:rPr>
                <w:sz w:val="18"/>
                <w:szCs w:val="18"/>
                <w:color w:val="auto"/>
              </w:rPr>
            </w:pPr>
          </w:p>
        </w:tc>
        <w:tc>
          <w:tcPr>
            <w:tcW w:w="340" w:type="dxa"/>
            <w:vAlign w:val="bottom"/>
            <w:shd w:val="clear" w:color="auto" w:fill="D8D8D8"/>
          </w:tcPr>
          <w:p>
            <w:pPr>
              <w:spacing w:after="0"/>
              <w:rPr>
                <w:sz w:val="18"/>
                <w:szCs w:val="18"/>
                <w:color w:val="auto"/>
              </w:rPr>
            </w:pPr>
          </w:p>
        </w:tc>
        <w:tc>
          <w:tcPr>
            <w:tcW w:w="880" w:type="dxa"/>
            <w:vAlign w:val="bottom"/>
            <w:shd w:val="clear" w:color="auto" w:fill="D8D8D8"/>
          </w:tcPr>
          <w:p>
            <w:pPr>
              <w:spacing w:after="0"/>
              <w:rPr>
                <w:sz w:val="18"/>
                <w:szCs w:val="18"/>
                <w:color w:val="auto"/>
              </w:rPr>
            </w:pPr>
          </w:p>
        </w:tc>
      </w:tr>
      <w:tr>
        <w:trPr>
          <w:trHeight w:val="252"/>
        </w:trPr>
        <w:tc>
          <w:tcPr>
            <w:tcW w:w="5240" w:type="dxa"/>
            <w:vAlign w:val="bottom"/>
            <w:shd w:val="clear" w:color="auto" w:fill="D8D8D8"/>
          </w:tcPr>
          <w:p>
            <w:pPr>
              <w:ind w:left="200"/>
              <w:spacing w:after="0"/>
              <w:rPr>
                <w:sz w:val="20"/>
                <w:szCs w:val="20"/>
                <w:color w:val="auto"/>
              </w:rPr>
            </w:pPr>
            <w:r>
              <w:rPr>
                <w:rFonts w:ascii="Arial" w:cs="Arial" w:eastAsia="Arial" w:hAnsi="Arial"/>
                <w:sz w:val="18"/>
                <w:szCs w:val="18"/>
                <w:color w:val="auto"/>
              </w:rPr>
              <w:t>exchange rates:</w:t>
            </w:r>
          </w:p>
        </w:tc>
        <w:tc>
          <w:tcPr>
            <w:tcW w:w="200" w:type="dxa"/>
            <w:vAlign w:val="bottom"/>
            <w:shd w:val="clear" w:color="auto" w:fill="D8D8D8"/>
          </w:tcPr>
          <w:p>
            <w:pPr>
              <w:spacing w:after="0"/>
              <w:rPr>
                <w:sz w:val="21"/>
                <w:szCs w:val="21"/>
                <w:color w:val="auto"/>
              </w:rPr>
            </w:pPr>
          </w:p>
        </w:tc>
        <w:tc>
          <w:tcPr>
            <w:tcW w:w="1000" w:type="dxa"/>
            <w:vAlign w:val="bottom"/>
            <w:shd w:val="clear" w:color="auto" w:fill="D8D8D8"/>
          </w:tcPr>
          <w:p>
            <w:pPr>
              <w:spacing w:after="0"/>
              <w:rPr>
                <w:sz w:val="21"/>
                <w:szCs w:val="21"/>
                <w:color w:val="auto"/>
              </w:rPr>
            </w:pPr>
          </w:p>
        </w:tc>
        <w:tc>
          <w:tcPr>
            <w:tcW w:w="300" w:type="dxa"/>
            <w:vAlign w:val="bottom"/>
            <w:shd w:val="clear" w:color="auto" w:fill="D8D8D8"/>
          </w:tcPr>
          <w:p>
            <w:pPr>
              <w:spacing w:after="0"/>
              <w:rPr>
                <w:sz w:val="21"/>
                <w:szCs w:val="21"/>
                <w:color w:val="auto"/>
              </w:rPr>
            </w:pPr>
          </w:p>
        </w:tc>
        <w:tc>
          <w:tcPr>
            <w:tcW w:w="960" w:type="dxa"/>
            <w:vAlign w:val="bottom"/>
            <w:shd w:val="clear" w:color="auto" w:fill="D8D8D8"/>
          </w:tcPr>
          <w:p>
            <w:pPr>
              <w:spacing w:after="0"/>
              <w:rPr>
                <w:sz w:val="21"/>
                <w:szCs w:val="21"/>
                <w:color w:val="auto"/>
              </w:rPr>
            </w:pPr>
          </w:p>
        </w:tc>
        <w:tc>
          <w:tcPr>
            <w:tcW w:w="220" w:type="dxa"/>
            <w:vAlign w:val="bottom"/>
            <w:shd w:val="clear" w:color="auto" w:fill="D8D8D8"/>
          </w:tcPr>
          <w:p>
            <w:pPr>
              <w:spacing w:after="0"/>
              <w:rPr>
                <w:sz w:val="21"/>
                <w:szCs w:val="21"/>
                <w:color w:val="auto"/>
              </w:rPr>
            </w:pPr>
          </w:p>
        </w:tc>
        <w:tc>
          <w:tcPr>
            <w:tcW w:w="1000" w:type="dxa"/>
            <w:vAlign w:val="bottom"/>
            <w:shd w:val="clear" w:color="auto" w:fill="D8D8D8"/>
          </w:tcPr>
          <w:p>
            <w:pPr>
              <w:spacing w:after="0"/>
              <w:rPr>
                <w:sz w:val="21"/>
                <w:szCs w:val="21"/>
                <w:color w:val="auto"/>
              </w:rPr>
            </w:pPr>
          </w:p>
        </w:tc>
        <w:tc>
          <w:tcPr>
            <w:tcW w:w="340" w:type="dxa"/>
            <w:vAlign w:val="bottom"/>
            <w:shd w:val="clear" w:color="auto" w:fill="D8D8D8"/>
          </w:tcPr>
          <w:p>
            <w:pPr>
              <w:spacing w:after="0"/>
              <w:rPr>
                <w:sz w:val="21"/>
                <w:szCs w:val="21"/>
                <w:color w:val="auto"/>
              </w:rPr>
            </w:pPr>
          </w:p>
        </w:tc>
        <w:tc>
          <w:tcPr>
            <w:tcW w:w="940" w:type="dxa"/>
            <w:vAlign w:val="bottom"/>
            <w:shd w:val="clear" w:color="auto" w:fill="D8D8D8"/>
          </w:tcPr>
          <w:p>
            <w:pPr>
              <w:spacing w:after="0"/>
              <w:rPr>
                <w:sz w:val="21"/>
                <w:szCs w:val="21"/>
                <w:color w:val="auto"/>
              </w:rPr>
            </w:pPr>
          </w:p>
        </w:tc>
        <w:tc>
          <w:tcPr>
            <w:tcW w:w="340" w:type="dxa"/>
            <w:vAlign w:val="bottom"/>
            <w:shd w:val="clear" w:color="auto" w:fill="D8D8D8"/>
          </w:tcPr>
          <w:p>
            <w:pPr>
              <w:spacing w:after="0"/>
              <w:rPr>
                <w:sz w:val="21"/>
                <w:szCs w:val="21"/>
                <w:color w:val="auto"/>
              </w:rPr>
            </w:pPr>
          </w:p>
        </w:tc>
        <w:tc>
          <w:tcPr>
            <w:tcW w:w="880" w:type="dxa"/>
            <w:vAlign w:val="bottom"/>
            <w:shd w:val="clear" w:color="auto" w:fill="D8D8D8"/>
          </w:tcPr>
          <w:p>
            <w:pPr>
              <w:spacing w:after="0"/>
              <w:rPr>
                <w:sz w:val="21"/>
                <w:szCs w:val="21"/>
                <w:color w:val="auto"/>
              </w:rPr>
            </w:pPr>
          </w:p>
        </w:tc>
      </w:tr>
      <w:tr>
        <w:trPr>
          <w:trHeight w:val="265"/>
        </w:trPr>
        <w:tc>
          <w:tcPr>
            <w:tcW w:w="5240" w:type="dxa"/>
            <w:vAlign w:val="bottom"/>
          </w:tcPr>
          <w:p>
            <w:pPr>
              <w:ind w:left="180"/>
              <w:spacing w:after="0"/>
              <w:rPr>
                <w:sz w:val="20"/>
                <w:szCs w:val="20"/>
                <w:color w:val="auto"/>
              </w:rPr>
            </w:pPr>
            <w:r>
              <w:rPr>
                <w:rFonts w:ascii="Arial" w:cs="Arial" w:eastAsia="Arial" w:hAnsi="Arial"/>
                <w:sz w:val="18"/>
                <w:szCs w:val="18"/>
                <w:color w:val="auto"/>
              </w:rPr>
              <w:t>Relating to assets still held at the reporting date</w:t>
            </w:r>
          </w:p>
        </w:tc>
        <w:tc>
          <w:tcPr>
            <w:tcW w:w="200" w:type="dxa"/>
            <w:vAlign w:val="bottom"/>
          </w:tcPr>
          <w:p>
            <w:pPr>
              <w:spacing w:after="0"/>
              <w:rPr>
                <w:sz w:val="23"/>
                <w:szCs w:val="23"/>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(0.1)</w:t>
            </w:r>
          </w:p>
        </w:tc>
        <w:tc>
          <w:tcPr>
            <w:tcW w:w="300" w:type="dxa"/>
            <w:vAlign w:val="bottom"/>
          </w:tcPr>
          <w:p>
            <w:pPr>
              <w:spacing w:after="0"/>
              <w:rPr>
                <w:sz w:val="23"/>
                <w:szCs w:val="23"/>
                <w:color w:val="auto"/>
              </w:rPr>
            </w:pPr>
          </w:p>
        </w:tc>
        <w:tc>
          <w:tcPr>
            <w:tcW w:w="960" w:type="dxa"/>
            <w:vAlign w:val="bottom"/>
          </w:tcPr>
          <w:p>
            <w:pPr>
              <w:jc w:val="right"/>
              <w:ind w:right="73"/>
              <w:spacing w:after="0"/>
              <w:rPr>
                <w:sz w:val="20"/>
                <w:szCs w:val="20"/>
                <w:color w:val="auto"/>
              </w:rPr>
            </w:pPr>
            <w:r>
              <w:rPr>
                <w:rFonts w:ascii="Arial" w:cs="Arial" w:eastAsia="Arial" w:hAnsi="Arial"/>
                <w:sz w:val="18"/>
                <w:szCs w:val="18"/>
                <w:color w:val="auto"/>
              </w:rPr>
              <w:t>89.4</w:t>
            </w:r>
          </w:p>
        </w:tc>
        <w:tc>
          <w:tcPr>
            <w:tcW w:w="220" w:type="dxa"/>
            <w:vAlign w:val="bottom"/>
          </w:tcPr>
          <w:p>
            <w:pPr>
              <w:spacing w:after="0"/>
              <w:rPr>
                <w:sz w:val="23"/>
                <w:szCs w:val="23"/>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78.3</w:t>
            </w:r>
          </w:p>
        </w:tc>
        <w:tc>
          <w:tcPr>
            <w:tcW w:w="34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(6.1)</w:t>
            </w:r>
          </w:p>
        </w:tc>
        <w:tc>
          <w:tcPr>
            <w:tcW w:w="340" w:type="dxa"/>
            <w:vAlign w:val="bottom"/>
          </w:tcPr>
          <w:p>
            <w:pPr>
              <w:spacing w:after="0"/>
              <w:rPr>
                <w:sz w:val="23"/>
                <w:szCs w:val="23"/>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161.5</w:t>
            </w:r>
          </w:p>
        </w:tc>
      </w:tr>
      <w:tr>
        <w:trPr>
          <w:trHeight w:val="275"/>
        </w:trPr>
        <w:tc>
          <w:tcPr>
            <w:tcW w:w="5240" w:type="dxa"/>
            <w:vAlign w:val="bottom"/>
            <w:shd w:val="clear" w:color="auto" w:fill="D8D8D8"/>
          </w:tcPr>
          <w:p>
            <w:pPr>
              <w:ind w:left="180"/>
              <w:spacing w:after="0"/>
              <w:rPr>
                <w:sz w:val="20"/>
                <w:szCs w:val="20"/>
                <w:color w:val="auto"/>
              </w:rPr>
            </w:pPr>
            <w:r>
              <w:rPr>
                <w:rFonts w:ascii="Arial" w:cs="Arial" w:eastAsia="Arial" w:hAnsi="Arial"/>
                <w:sz w:val="18"/>
                <w:szCs w:val="18"/>
                <w:color w:val="auto"/>
              </w:rPr>
              <w:t>Relating to assets sold during the period</w:t>
            </w:r>
          </w:p>
        </w:tc>
        <w:tc>
          <w:tcPr>
            <w:tcW w:w="200" w:type="dxa"/>
            <w:vAlign w:val="bottom"/>
            <w:shd w:val="clear" w:color="auto" w:fill="D8D8D8"/>
          </w:tcPr>
          <w:p>
            <w:pPr>
              <w:spacing w:after="0"/>
              <w:rPr>
                <w:sz w:val="23"/>
                <w:szCs w:val="23"/>
                <w:color w:val="auto"/>
              </w:rPr>
            </w:pPr>
          </w:p>
        </w:tc>
        <w:tc>
          <w:tcPr>
            <w:tcW w:w="1000" w:type="dxa"/>
            <w:vAlign w:val="bottom"/>
            <w:shd w:val="clear" w:color="auto" w:fill="D8D8D8"/>
          </w:tcPr>
          <w:p>
            <w:pPr>
              <w:jc w:val="right"/>
              <w:ind w:right="73"/>
              <w:spacing w:after="0"/>
              <w:rPr>
                <w:sz w:val="20"/>
                <w:szCs w:val="20"/>
                <w:color w:val="auto"/>
              </w:rPr>
            </w:pPr>
            <w:r>
              <w:rPr>
                <w:rFonts w:ascii="Arial" w:cs="Arial" w:eastAsia="Arial" w:hAnsi="Arial"/>
                <w:sz w:val="18"/>
                <w:szCs w:val="18"/>
                <w:color w:val="auto"/>
              </w:rPr>
              <w:t>—</w:t>
            </w:r>
          </w:p>
        </w:tc>
        <w:tc>
          <w:tcPr>
            <w:tcW w:w="300" w:type="dxa"/>
            <w:vAlign w:val="bottom"/>
            <w:shd w:val="clear" w:color="auto" w:fill="D8D8D8"/>
          </w:tcPr>
          <w:p>
            <w:pPr>
              <w:spacing w:after="0"/>
              <w:rPr>
                <w:sz w:val="23"/>
                <w:szCs w:val="23"/>
                <w:color w:val="auto"/>
              </w:rPr>
            </w:pPr>
          </w:p>
        </w:tc>
        <w:tc>
          <w:tcPr>
            <w:tcW w:w="960" w:type="dxa"/>
            <w:vAlign w:val="bottom"/>
            <w:shd w:val="clear" w:color="auto" w:fill="D8D8D8"/>
          </w:tcPr>
          <w:p>
            <w:pPr>
              <w:jc w:val="right"/>
              <w:ind w:right="13"/>
              <w:spacing w:after="0"/>
              <w:rPr>
                <w:sz w:val="20"/>
                <w:szCs w:val="20"/>
                <w:color w:val="auto"/>
              </w:rPr>
            </w:pPr>
            <w:r>
              <w:rPr>
                <w:rFonts w:ascii="Arial" w:cs="Arial" w:eastAsia="Arial" w:hAnsi="Arial"/>
                <w:sz w:val="18"/>
                <w:szCs w:val="18"/>
                <w:color w:val="auto"/>
              </w:rPr>
              <w:t>(111.5)</w:t>
            </w:r>
          </w:p>
        </w:tc>
        <w:tc>
          <w:tcPr>
            <w:tcW w:w="220" w:type="dxa"/>
            <w:vAlign w:val="bottom"/>
            <w:shd w:val="clear" w:color="auto" w:fill="D8D8D8"/>
          </w:tcPr>
          <w:p>
            <w:pPr>
              <w:spacing w:after="0"/>
              <w:rPr>
                <w:sz w:val="23"/>
                <w:szCs w:val="23"/>
                <w:color w:val="auto"/>
              </w:rPr>
            </w:pPr>
          </w:p>
        </w:tc>
        <w:tc>
          <w:tcPr>
            <w:tcW w:w="1000" w:type="dxa"/>
            <w:vAlign w:val="bottom"/>
            <w:shd w:val="clear" w:color="auto" w:fill="D8D8D8"/>
          </w:tcPr>
          <w:p>
            <w:pPr>
              <w:jc w:val="right"/>
              <w:ind w:right="33"/>
              <w:spacing w:after="0"/>
              <w:rPr>
                <w:sz w:val="20"/>
                <w:szCs w:val="20"/>
                <w:color w:val="auto"/>
              </w:rPr>
            </w:pPr>
            <w:r>
              <w:rPr>
                <w:rFonts w:ascii="Arial" w:cs="Arial" w:eastAsia="Arial" w:hAnsi="Arial"/>
                <w:sz w:val="18"/>
                <w:szCs w:val="18"/>
                <w:color w:val="auto"/>
              </w:rPr>
              <w:t>—</w:t>
            </w:r>
          </w:p>
        </w:tc>
        <w:tc>
          <w:tcPr>
            <w:tcW w:w="340" w:type="dxa"/>
            <w:vAlign w:val="bottom"/>
            <w:shd w:val="clear" w:color="auto" w:fill="D8D8D8"/>
          </w:tcPr>
          <w:p>
            <w:pPr>
              <w:spacing w:after="0"/>
              <w:rPr>
                <w:sz w:val="23"/>
                <w:szCs w:val="23"/>
                <w:color w:val="auto"/>
              </w:rPr>
            </w:pPr>
          </w:p>
        </w:tc>
        <w:tc>
          <w:tcPr>
            <w:tcW w:w="940" w:type="dxa"/>
            <w:vAlign w:val="bottom"/>
            <w:shd w:val="clear" w:color="auto" w:fill="D8D8D8"/>
          </w:tcPr>
          <w:p>
            <w:pPr>
              <w:jc w:val="right"/>
              <w:ind w:right="53"/>
              <w:spacing w:after="0"/>
              <w:rPr>
                <w:sz w:val="20"/>
                <w:szCs w:val="20"/>
                <w:color w:val="auto"/>
              </w:rPr>
            </w:pPr>
            <w:r>
              <w:rPr>
                <w:rFonts w:ascii="Arial" w:cs="Arial" w:eastAsia="Arial" w:hAnsi="Arial"/>
                <w:sz w:val="18"/>
                <w:szCs w:val="18"/>
                <w:color w:val="auto"/>
              </w:rPr>
              <w:t>—</w:t>
            </w:r>
          </w:p>
        </w:tc>
        <w:tc>
          <w:tcPr>
            <w:tcW w:w="340" w:type="dxa"/>
            <w:vAlign w:val="bottom"/>
            <w:shd w:val="clear" w:color="auto" w:fill="D8D8D8"/>
          </w:tcPr>
          <w:p>
            <w:pPr>
              <w:spacing w:after="0"/>
              <w:rPr>
                <w:sz w:val="23"/>
                <w:szCs w:val="23"/>
                <w:color w:val="auto"/>
              </w:rPr>
            </w:pPr>
          </w:p>
        </w:tc>
        <w:tc>
          <w:tcPr>
            <w:tcW w:w="8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(111.5)</w:t>
            </w:r>
          </w:p>
        </w:tc>
      </w:tr>
      <w:tr>
        <w:trPr>
          <w:trHeight w:val="265"/>
        </w:trPr>
        <w:tc>
          <w:tcPr>
            <w:tcW w:w="5240" w:type="dxa"/>
            <w:vAlign w:val="bottom"/>
          </w:tcPr>
          <w:p>
            <w:pPr>
              <w:ind w:left="40"/>
              <w:spacing w:after="0"/>
              <w:rPr>
                <w:sz w:val="20"/>
                <w:szCs w:val="20"/>
                <w:color w:val="auto"/>
              </w:rPr>
            </w:pPr>
            <w:r>
              <w:rPr>
                <w:rFonts w:ascii="Arial" w:cs="Arial" w:eastAsia="Arial" w:hAnsi="Arial"/>
                <w:sz w:val="18"/>
                <w:szCs w:val="18"/>
                <w:color w:val="auto"/>
              </w:rPr>
              <w:t>Purchases, sales, and settlements, net</w:t>
            </w:r>
          </w:p>
        </w:tc>
        <w:tc>
          <w:tcPr>
            <w:tcW w:w="200" w:type="dxa"/>
            <w:vAlign w:val="bottom"/>
          </w:tcPr>
          <w:p>
            <w:pPr>
              <w:spacing w:after="0"/>
              <w:rPr>
                <w:sz w:val="23"/>
                <w:szCs w:val="23"/>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(0.3)</w:t>
            </w:r>
          </w:p>
        </w:tc>
        <w:tc>
          <w:tcPr>
            <w:tcW w:w="300" w:type="dxa"/>
            <w:vAlign w:val="bottom"/>
          </w:tcPr>
          <w:p>
            <w:pPr>
              <w:spacing w:after="0"/>
              <w:rPr>
                <w:sz w:val="23"/>
                <w:szCs w:val="23"/>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(40.1)</w:t>
            </w:r>
          </w:p>
        </w:tc>
        <w:tc>
          <w:tcPr>
            <w:tcW w:w="220" w:type="dxa"/>
            <w:vAlign w:val="bottom"/>
          </w:tcPr>
          <w:p>
            <w:pPr>
              <w:spacing w:after="0"/>
              <w:rPr>
                <w:sz w:val="23"/>
                <w:szCs w:val="23"/>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4.2</w:t>
            </w:r>
          </w:p>
        </w:tc>
        <w:tc>
          <w:tcPr>
            <w:tcW w:w="340" w:type="dxa"/>
            <w:vAlign w:val="bottom"/>
          </w:tcPr>
          <w:p>
            <w:pPr>
              <w:spacing w:after="0"/>
              <w:rPr>
                <w:sz w:val="23"/>
                <w:szCs w:val="23"/>
                <w:color w:val="auto"/>
              </w:rPr>
            </w:pPr>
          </w:p>
        </w:tc>
        <w:tc>
          <w:tcPr>
            <w:tcW w:w="940" w:type="dxa"/>
            <w:vAlign w:val="bottom"/>
          </w:tcPr>
          <w:p>
            <w:pPr>
              <w:jc w:val="right"/>
              <w:ind w:right="53"/>
              <w:spacing w:after="0"/>
              <w:rPr>
                <w:sz w:val="20"/>
                <w:szCs w:val="20"/>
                <w:color w:val="auto"/>
              </w:rPr>
            </w:pPr>
            <w:r>
              <w:rPr>
                <w:rFonts w:ascii="Arial" w:cs="Arial" w:eastAsia="Arial" w:hAnsi="Arial"/>
                <w:sz w:val="18"/>
                <w:szCs w:val="18"/>
                <w:color w:val="auto"/>
              </w:rPr>
              <w:t>16.2</w:t>
            </w:r>
          </w:p>
        </w:tc>
        <w:tc>
          <w:tcPr>
            <w:tcW w:w="3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(20.0)</w:t>
            </w:r>
          </w:p>
        </w:tc>
      </w:tr>
      <w:tr>
        <w:trPr>
          <w:trHeight w:val="275"/>
        </w:trPr>
        <w:tc>
          <w:tcPr>
            <w:tcW w:w="5240" w:type="dxa"/>
            <w:vAlign w:val="bottom"/>
            <w:shd w:val="clear" w:color="auto" w:fill="D8D8D8"/>
          </w:tcPr>
          <w:p>
            <w:pPr>
              <w:ind w:left="40"/>
              <w:spacing w:after="0"/>
              <w:rPr>
                <w:sz w:val="20"/>
                <w:szCs w:val="20"/>
                <w:color w:val="auto"/>
              </w:rPr>
            </w:pPr>
            <w:r>
              <w:rPr>
                <w:rFonts w:ascii="Arial" w:cs="Arial" w:eastAsia="Arial" w:hAnsi="Arial"/>
                <w:sz w:val="18"/>
                <w:szCs w:val="18"/>
                <w:color w:val="auto"/>
              </w:rPr>
              <w:t>Transfers into (out of) Level 3</w:t>
            </w:r>
          </w:p>
        </w:tc>
        <w:tc>
          <w:tcPr>
            <w:tcW w:w="200" w:type="dxa"/>
            <w:vAlign w:val="bottom"/>
            <w:tcBorders>
              <w:bottom w:val="single" w:sz="8" w:color="auto"/>
            </w:tcBorders>
            <w:shd w:val="clear" w:color="auto" w:fill="D8D8D8"/>
          </w:tcPr>
          <w:p>
            <w:pPr>
              <w:spacing w:after="0"/>
              <w:rPr>
                <w:sz w:val="23"/>
                <w:szCs w:val="23"/>
                <w:color w:val="auto"/>
              </w:rPr>
            </w:pPr>
          </w:p>
        </w:tc>
        <w:tc>
          <w:tcPr>
            <w:tcW w:w="1000" w:type="dxa"/>
            <w:vAlign w:val="bottom"/>
            <w:tcBorders>
              <w:bottom w:val="single" w:sz="8" w:color="auto"/>
            </w:tcBorders>
            <w:shd w:val="clear" w:color="auto" w:fill="D8D8D8"/>
          </w:tcPr>
          <w:p>
            <w:pPr>
              <w:jc w:val="right"/>
              <w:ind w:right="13"/>
              <w:spacing w:after="0"/>
              <w:rPr>
                <w:sz w:val="20"/>
                <w:szCs w:val="20"/>
                <w:color w:val="auto"/>
              </w:rPr>
            </w:pPr>
            <w:r>
              <w:rPr>
                <w:rFonts w:ascii="Arial" w:cs="Arial" w:eastAsia="Arial" w:hAnsi="Arial"/>
                <w:sz w:val="18"/>
                <w:szCs w:val="18"/>
                <w:color w:val="auto"/>
              </w:rPr>
              <w:t>(1.1)</w:t>
            </w:r>
          </w:p>
        </w:tc>
        <w:tc>
          <w:tcPr>
            <w:tcW w:w="300" w:type="dxa"/>
            <w:vAlign w:val="bottom"/>
            <w:tcBorders>
              <w:bottom w:val="single" w:sz="8" w:color="auto"/>
            </w:tcBorders>
            <w:shd w:val="clear" w:color="auto" w:fill="D8D8D8"/>
          </w:tcPr>
          <w:p>
            <w:pPr>
              <w:spacing w:after="0"/>
              <w:rPr>
                <w:sz w:val="23"/>
                <w:szCs w:val="23"/>
                <w:color w:val="auto"/>
              </w:rPr>
            </w:pPr>
          </w:p>
        </w:tc>
        <w:tc>
          <w:tcPr>
            <w:tcW w:w="960" w:type="dxa"/>
            <w:vAlign w:val="bottom"/>
            <w:tcBorders>
              <w:bottom w:val="single" w:sz="8" w:color="auto"/>
            </w:tcBorders>
            <w:shd w:val="clear" w:color="auto" w:fill="D8D8D8"/>
          </w:tcPr>
          <w:p>
            <w:pPr>
              <w:jc w:val="right"/>
              <w:ind w:right="7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D8D8D8"/>
          </w:tcPr>
          <w:p>
            <w:pPr>
              <w:spacing w:after="0"/>
              <w:rPr>
                <w:sz w:val="23"/>
                <w:szCs w:val="23"/>
                <w:color w:val="auto"/>
              </w:rPr>
            </w:pPr>
          </w:p>
        </w:tc>
        <w:tc>
          <w:tcPr>
            <w:tcW w:w="1000" w:type="dxa"/>
            <w:vAlign w:val="bottom"/>
            <w:tcBorders>
              <w:bottom w:val="single" w:sz="8" w:color="auto"/>
            </w:tcBorders>
            <w:shd w:val="clear" w:color="auto" w:fill="D8D8D8"/>
          </w:tcPr>
          <w:p>
            <w:pPr>
              <w:jc w:val="right"/>
              <w:ind w:right="33"/>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D8D8D8"/>
          </w:tcPr>
          <w:p>
            <w:pPr>
              <w:spacing w:after="0"/>
              <w:rPr>
                <w:sz w:val="23"/>
                <w:szCs w:val="23"/>
                <w:color w:val="auto"/>
              </w:rPr>
            </w:pPr>
          </w:p>
        </w:tc>
        <w:tc>
          <w:tcPr>
            <w:tcW w:w="940" w:type="dxa"/>
            <w:vAlign w:val="bottom"/>
            <w:tcBorders>
              <w:bottom w:val="single" w:sz="8" w:color="auto"/>
            </w:tcBorders>
            <w:shd w:val="clear" w:color="auto" w:fill="D8D8D8"/>
          </w:tcPr>
          <w:p>
            <w:pPr>
              <w:jc w:val="right"/>
              <w:ind w:right="53"/>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D8D8D8"/>
          </w:tcPr>
          <w:p>
            <w:pPr>
              <w:spacing w:after="0"/>
              <w:rPr>
                <w:sz w:val="23"/>
                <w:szCs w:val="23"/>
                <w:color w:val="auto"/>
              </w:rPr>
            </w:pPr>
          </w:p>
        </w:tc>
        <w:tc>
          <w:tcPr>
            <w:tcW w:w="88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(1.1)</w:t>
            </w:r>
          </w:p>
        </w:tc>
      </w:tr>
      <w:tr>
        <w:trPr>
          <w:trHeight w:val="271"/>
        </w:trPr>
        <w:tc>
          <w:tcPr>
            <w:tcW w:w="5240" w:type="dxa"/>
            <w:vAlign w:val="bottom"/>
            <w:tcBorders>
              <w:bottom w:val="single" w:sz="8" w:color="D8D8D8"/>
            </w:tcBorders>
          </w:tcPr>
          <w:p>
            <w:pPr>
              <w:ind w:left="40"/>
              <w:spacing w:after="0"/>
              <w:rPr>
                <w:sz w:val="20"/>
                <w:szCs w:val="20"/>
                <w:color w:val="auto"/>
              </w:rPr>
            </w:pPr>
            <w:r>
              <w:rPr>
                <w:rFonts w:ascii="Arial" w:cs="Arial" w:eastAsia="Arial" w:hAnsi="Arial"/>
                <w:sz w:val="18"/>
                <w:szCs w:val="18"/>
                <w:color w:val="auto"/>
              </w:rPr>
              <w:t>Ending balance at December 31, 2015</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0.3</w:t>
            </w:r>
          </w:p>
        </w:tc>
        <w:tc>
          <w:tcPr>
            <w:tcW w:w="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1,520.9</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1,153.9</w:t>
            </w:r>
          </w:p>
        </w:tc>
        <w:tc>
          <w:tcPr>
            <w:tcW w:w="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176.0</w:t>
            </w:r>
          </w:p>
        </w:tc>
        <w:tc>
          <w:tcPr>
            <w:tcW w:w="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2,851.1</w:t>
            </w:r>
          </w:p>
        </w:tc>
      </w:tr>
      <w:tr>
        <w:trPr>
          <w:trHeight w:val="270"/>
        </w:trPr>
        <w:tc>
          <w:tcPr>
            <w:tcW w:w="5240" w:type="dxa"/>
            <w:vAlign w:val="bottom"/>
            <w:shd w:val="clear" w:color="auto" w:fill="D8D8D8"/>
          </w:tcPr>
          <w:p>
            <w:pPr>
              <w:ind w:left="40"/>
              <w:spacing w:after="0"/>
              <w:rPr>
                <w:sz w:val="20"/>
                <w:szCs w:val="20"/>
                <w:color w:val="auto"/>
              </w:rPr>
            </w:pPr>
            <w:r>
              <w:rPr>
                <w:rFonts w:ascii="Arial" w:cs="Arial" w:eastAsia="Arial" w:hAnsi="Arial"/>
                <w:sz w:val="18"/>
                <w:szCs w:val="18"/>
                <w:b w:val="1"/>
                <w:bCs w:val="1"/>
                <w:color w:val="auto"/>
              </w:rPr>
              <w:t>Retiree Health Benefit Plans</w:t>
            </w:r>
          </w:p>
        </w:tc>
        <w:tc>
          <w:tcPr>
            <w:tcW w:w="200" w:type="dxa"/>
            <w:vAlign w:val="bottom"/>
            <w:shd w:val="clear" w:color="auto" w:fill="D8D8D8"/>
          </w:tcPr>
          <w:p>
            <w:pPr>
              <w:spacing w:after="0"/>
              <w:rPr>
                <w:sz w:val="23"/>
                <w:szCs w:val="23"/>
                <w:color w:val="auto"/>
              </w:rPr>
            </w:pPr>
          </w:p>
        </w:tc>
        <w:tc>
          <w:tcPr>
            <w:tcW w:w="1000" w:type="dxa"/>
            <w:vAlign w:val="bottom"/>
            <w:shd w:val="clear" w:color="auto" w:fill="D8D8D8"/>
          </w:tcPr>
          <w:p>
            <w:pPr>
              <w:spacing w:after="0"/>
              <w:rPr>
                <w:sz w:val="23"/>
                <w:szCs w:val="23"/>
                <w:color w:val="auto"/>
              </w:rPr>
            </w:pPr>
          </w:p>
        </w:tc>
        <w:tc>
          <w:tcPr>
            <w:tcW w:w="300" w:type="dxa"/>
            <w:vAlign w:val="bottom"/>
            <w:shd w:val="clear" w:color="auto" w:fill="D8D8D8"/>
          </w:tcPr>
          <w:p>
            <w:pPr>
              <w:spacing w:after="0"/>
              <w:rPr>
                <w:sz w:val="23"/>
                <w:szCs w:val="23"/>
                <w:color w:val="auto"/>
              </w:rPr>
            </w:pPr>
          </w:p>
        </w:tc>
        <w:tc>
          <w:tcPr>
            <w:tcW w:w="960" w:type="dxa"/>
            <w:vAlign w:val="bottom"/>
            <w:shd w:val="clear" w:color="auto" w:fill="D8D8D8"/>
          </w:tcPr>
          <w:p>
            <w:pPr>
              <w:spacing w:after="0"/>
              <w:rPr>
                <w:sz w:val="23"/>
                <w:szCs w:val="23"/>
                <w:color w:val="auto"/>
              </w:rPr>
            </w:pPr>
          </w:p>
        </w:tc>
        <w:tc>
          <w:tcPr>
            <w:tcW w:w="220" w:type="dxa"/>
            <w:vAlign w:val="bottom"/>
            <w:shd w:val="clear" w:color="auto" w:fill="D8D8D8"/>
          </w:tcPr>
          <w:p>
            <w:pPr>
              <w:spacing w:after="0"/>
              <w:rPr>
                <w:sz w:val="23"/>
                <w:szCs w:val="23"/>
                <w:color w:val="auto"/>
              </w:rPr>
            </w:pPr>
          </w:p>
        </w:tc>
        <w:tc>
          <w:tcPr>
            <w:tcW w:w="1000" w:type="dxa"/>
            <w:vAlign w:val="bottom"/>
            <w:shd w:val="clear" w:color="auto" w:fill="D8D8D8"/>
          </w:tcPr>
          <w:p>
            <w:pPr>
              <w:spacing w:after="0"/>
              <w:rPr>
                <w:sz w:val="23"/>
                <w:szCs w:val="23"/>
                <w:color w:val="auto"/>
              </w:rPr>
            </w:pPr>
          </w:p>
        </w:tc>
        <w:tc>
          <w:tcPr>
            <w:tcW w:w="340" w:type="dxa"/>
            <w:vAlign w:val="bottom"/>
            <w:shd w:val="clear" w:color="auto" w:fill="D8D8D8"/>
          </w:tcPr>
          <w:p>
            <w:pPr>
              <w:spacing w:after="0"/>
              <w:rPr>
                <w:sz w:val="23"/>
                <w:szCs w:val="23"/>
                <w:color w:val="auto"/>
              </w:rPr>
            </w:pPr>
          </w:p>
        </w:tc>
        <w:tc>
          <w:tcPr>
            <w:tcW w:w="940" w:type="dxa"/>
            <w:vAlign w:val="bottom"/>
            <w:shd w:val="clear" w:color="auto" w:fill="D8D8D8"/>
          </w:tcPr>
          <w:p>
            <w:pPr>
              <w:spacing w:after="0"/>
              <w:rPr>
                <w:sz w:val="23"/>
                <w:szCs w:val="23"/>
                <w:color w:val="auto"/>
              </w:rPr>
            </w:pPr>
          </w:p>
        </w:tc>
        <w:tc>
          <w:tcPr>
            <w:tcW w:w="340" w:type="dxa"/>
            <w:vAlign w:val="bottom"/>
            <w:shd w:val="clear" w:color="auto" w:fill="D8D8D8"/>
          </w:tcPr>
          <w:p>
            <w:pPr>
              <w:spacing w:after="0"/>
              <w:rPr>
                <w:sz w:val="23"/>
                <w:szCs w:val="23"/>
                <w:color w:val="auto"/>
              </w:rPr>
            </w:pPr>
          </w:p>
        </w:tc>
        <w:tc>
          <w:tcPr>
            <w:tcW w:w="880" w:type="dxa"/>
            <w:vAlign w:val="bottom"/>
            <w:shd w:val="clear" w:color="auto" w:fill="D8D8D8"/>
          </w:tcPr>
          <w:p>
            <w:pPr>
              <w:spacing w:after="0"/>
              <w:rPr>
                <w:sz w:val="23"/>
                <w:szCs w:val="23"/>
                <w:color w:val="auto"/>
              </w:rPr>
            </w:pPr>
          </w:p>
        </w:tc>
      </w:tr>
      <w:tr>
        <w:trPr>
          <w:trHeight w:val="265"/>
        </w:trPr>
        <w:tc>
          <w:tcPr>
            <w:tcW w:w="5240" w:type="dxa"/>
            <w:vAlign w:val="bottom"/>
          </w:tcPr>
          <w:p>
            <w:pPr>
              <w:ind w:left="40"/>
              <w:spacing w:after="0"/>
              <w:rPr>
                <w:sz w:val="20"/>
                <w:szCs w:val="20"/>
                <w:color w:val="auto"/>
              </w:rPr>
            </w:pPr>
            <w:r>
              <w:rPr>
                <w:rFonts w:ascii="Arial" w:cs="Arial" w:eastAsia="Arial" w:hAnsi="Arial"/>
                <w:sz w:val="18"/>
                <w:szCs w:val="18"/>
                <w:color w:val="auto"/>
              </w:rPr>
              <w:t>Beginning balance at January 1, 2015</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73"/>
              <w:spacing w:after="0"/>
              <w:rPr>
                <w:sz w:val="20"/>
                <w:szCs w:val="20"/>
                <w:color w:val="auto"/>
              </w:rPr>
            </w:pPr>
            <w:r>
              <w:rPr>
                <w:rFonts w:ascii="Arial" w:cs="Arial" w:eastAsia="Arial" w:hAnsi="Arial"/>
                <w:sz w:val="18"/>
                <w:szCs w:val="18"/>
                <w:color w:val="auto"/>
              </w:rPr>
              <w:t>0.2</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73"/>
              <w:spacing w:after="0"/>
              <w:rPr>
                <w:sz w:val="20"/>
                <w:szCs w:val="20"/>
                <w:color w:val="auto"/>
              </w:rPr>
            </w:pPr>
            <w:r>
              <w:rPr>
                <w:rFonts w:ascii="Arial" w:cs="Arial" w:eastAsia="Arial" w:hAnsi="Arial"/>
                <w:sz w:val="18"/>
                <w:szCs w:val="18"/>
                <w:color w:val="auto"/>
              </w:rPr>
              <w:t>124.0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92.3</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216.5</w:t>
            </w:r>
          </w:p>
        </w:tc>
      </w:tr>
      <w:tr>
        <w:trPr>
          <w:trHeight w:val="211"/>
        </w:trPr>
        <w:tc>
          <w:tcPr>
            <w:tcW w:w="5240" w:type="dxa"/>
            <w:vAlign w:val="bottom"/>
            <w:shd w:val="clear" w:color="auto" w:fill="D8D8D8"/>
          </w:tcPr>
          <w:p>
            <w:pPr>
              <w:ind w:left="40"/>
              <w:spacing w:after="0"/>
              <w:rPr>
                <w:sz w:val="20"/>
                <w:szCs w:val="20"/>
                <w:color w:val="auto"/>
              </w:rPr>
            </w:pPr>
            <w:r>
              <w:rPr>
                <w:rFonts w:ascii="Arial" w:cs="Arial" w:eastAsia="Arial" w:hAnsi="Arial"/>
                <w:sz w:val="18"/>
                <w:szCs w:val="18"/>
                <w:color w:val="auto"/>
              </w:rPr>
              <w:t>Actual return on plan assets, including changes in foreign</w:t>
            </w:r>
          </w:p>
        </w:tc>
        <w:tc>
          <w:tcPr>
            <w:tcW w:w="200" w:type="dxa"/>
            <w:vAlign w:val="bottom"/>
            <w:shd w:val="clear" w:color="auto" w:fill="D8D8D8"/>
          </w:tcPr>
          <w:p>
            <w:pPr>
              <w:spacing w:after="0"/>
              <w:rPr>
                <w:sz w:val="18"/>
                <w:szCs w:val="18"/>
                <w:color w:val="auto"/>
              </w:rPr>
            </w:pPr>
          </w:p>
        </w:tc>
        <w:tc>
          <w:tcPr>
            <w:tcW w:w="1000" w:type="dxa"/>
            <w:vAlign w:val="bottom"/>
            <w:shd w:val="clear" w:color="auto" w:fill="D8D8D8"/>
          </w:tcPr>
          <w:p>
            <w:pPr>
              <w:spacing w:after="0"/>
              <w:rPr>
                <w:sz w:val="18"/>
                <w:szCs w:val="18"/>
                <w:color w:val="auto"/>
              </w:rPr>
            </w:pPr>
          </w:p>
        </w:tc>
        <w:tc>
          <w:tcPr>
            <w:tcW w:w="300" w:type="dxa"/>
            <w:vAlign w:val="bottom"/>
            <w:shd w:val="clear" w:color="auto" w:fill="D8D8D8"/>
          </w:tcPr>
          <w:p>
            <w:pPr>
              <w:spacing w:after="0"/>
              <w:rPr>
                <w:sz w:val="18"/>
                <w:szCs w:val="18"/>
                <w:color w:val="auto"/>
              </w:rPr>
            </w:pPr>
          </w:p>
        </w:tc>
        <w:tc>
          <w:tcPr>
            <w:tcW w:w="960" w:type="dxa"/>
            <w:vAlign w:val="bottom"/>
            <w:shd w:val="clear" w:color="auto" w:fill="D8D8D8"/>
          </w:tcPr>
          <w:p>
            <w:pPr>
              <w:spacing w:after="0"/>
              <w:rPr>
                <w:sz w:val="18"/>
                <w:szCs w:val="18"/>
                <w:color w:val="auto"/>
              </w:rPr>
            </w:pPr>
          </w:p>
        </w:tc>
        <w:tc>
          <w:tcPr>
            <w:tcW w:w="220" w:type="dxa"/>
            <w:vAlign w:val="bottom"/>
            <w:shd w:val="clear" w:color="auto" w:fill="D8D8D8"/>
          </w:tcPr>
          <w:p>
            <w:pPr>
              <w:spacing w:after="0"/>
              <w:rPr>
                <w:sz w:val="18"/>
                <w:szCs w:val="18"/>
                <w:color w:val="auto"/>
              </w:rPr>
            </w:pPr>
          </w:p>
        </w:tc>
        <w:tc>
          <w:tcPr>
            <w:tcW w:w="1000" w:type="dxa"/>
            <w:vAlign w:val="bottom"/>
            <w:shd w:val="clear" w:color="auto" w:fill="D8D8D8"/>
          </w:tcPr>
          <w:p>
            <w:pPr>
              <w:spacing w:after="0"/>
              <w:rPr>
                <w:sz w:val="18"/>
                <w:szCs w:val="18"/>
                <w:color w:val="auto"/>
              </w:rPr>
            </w:pPr>
          </w:p>
        </w:tc>
        <w:tc>
          <w:tcPr>
            <w:tcW w:w="340" w:type="dxa"/>
            <w:vAlign w:val="bottom"/>
            <w:shd w:val="clear" w:color="auto" w:fill="D8D8D8"/>
          </w:tcPr>
          <w:p>
            <w:pPr>
              <w:spacing w:after="0"/>
              <w:rPr>
                <w:sz w:val="18"/>
                <w:szCs w:val="18"/>
                <w:color w:val="auto"/>
              </w:rPr>
            </w:pPr>
          </w:p>
        </w:tc>
        <w:tc>
          <w:tcPr>
            <w:tcW w:w="940" w:type="dxa"/>
            <w:vAlign w:val="bottom"/>
            <w:shd w:val="clear" w:color="auto" w:fill="D8D8D8"/>
          </w:tcPr>
          <w:p>
            <w:pPr>
              <w:spacing w:after="0"/>
              <w:rPr>
                <w:sz w:val="18"/>
                <w:szCs w:val="18"/>
                <w:color w:val="auto"/>
              </w:rPr>
            </w:pPr>
          </w:p>
        </w:tc>
        <w:tc>
          <w:tcPr>
            <w:tcW w:w="340" w:type="dxa"/>
            <w:vAlign w:val="bottom"/>
            <w:shd w:val="clear" w:color="auto" w:fill="D8D8D8"/>
          </w:tcPr>
          <w:p>
            <w:pPr>
              <w:spacing w:after="0"/>
              <w:rPr>
                <w:sz w:val="18"/>
                <w:szCs w:val="18"/>
                <w:color w:val="auto"/>
              </w:rPr>
            </w:pPr>
          </w:p>
        </w:tc>
        <w:tc>
          <w:tcPr>
            <w:tcW w:w="880" w:type="dxa"/>
            <w:vAlign w:val="bottom"/>
            <w:shd w:val="clear" w:color="auto" w:fill="D8D8D8"/>
          </w:tcPr>
          <w:p>
            <w:pPr>
              <w:spacing w:after="0"/>
              <w:rPr>
                <w:sz w:val="18"/>
                <w:szCs w:val="18"/>
                <w:color w:val="auto"/>
              </w:rPr>
            </w:pPr>
          </w:p>
        </w:tc>
      </w:tr>
      <w:tr>
        <w:trPr>
          <w:trHeight w:val="252"/>
        </w:trPr>
        <w:tc>
          <w:tcPr>
            <w:tcW w:w="5240" w:type="dxa"/>
            <w:vAlign w:val="bottom"/>
            <w:shd w:val="clear" w:color="auto" w:fill="D8D8D8"/>
          </w:tcPr>
          <w:p>
            <w:pPr>
              <w:ind w:left="200"/>
              <w:spacing w:after="0"/>
              <w:rPr>
                <w:sz w:val="20"/>
                <w:szCs w:val="20"/>
                <w:color w:val="auto"/>
              </w:rPr>
            </w:pPr>
            <w:r>
              <w:rPr>
                <w:rFonts w:ascii="Arial" w:cs="Arial" w:eastAsia="Arial" w:hAnsi="Arial"/>
                <w:sz w:val="18"/>
                <w:szCs w:val="18"/>
                <w:color w:val="auto"/>
              </w:rPr>
              <w:t>exchange rates:</w:t>
            </w:r>
          </w:p>
        </w:tc>
        <w:tc>
          <w:tcPr>
            <w:tcW w:w="200" w:type="dxa"/>
            <w:vAlign w:val="bottom"/>
            <w:shd w:val="clear" w:color="auto" w:fill="D8D8D8"/>
          </w:tcPr>
          <w:p>
            <w:pPr>
              <w:spacing w:after="0"/>
              <w:rPr>
                <w:sz w:val="21"/>
                <w:szCs w:val="21"/>
                <w:color w:val="auto"/>
              </w:rPr>
            </w:pPr>
          </w:p>
        </w:tc>
        <w:tc>
          <w:tcPr>
            <w:tcW w:w="1000" w:type="dxa"/>
            <w:vAlign w:val="bottom"/>
            <w:shd w:val="clear" w:color="auto" w:fill="D8D8D8"/>
          </w:tcPr>
          <w:p>
            <w:pPr>
              <w:spacing w:after="0"/>
              <w:rPr>
                <w:sz w:val="21"/>
                <w:szCs w:val="21"/>
                <w:color w:val="auto"/>
              </w:rPr>
            </w:pPr>
          </w:p>
        </w:tc>
        <w:tc>
          <w:tcPr>
            <w:tcW w:w="300" w:type="dxa"/>
            <w:vAlign w:val="bottom"/>
            <w:shd w:val="clear" w:color="auto" w:fill="D8D8D8"/>
          </w:tcPr>
          <w:p>
            <w:pPr>
              <w:spacing w:after="0"/>
              <w:rPr>
                <w:sz w:val="21"/>
                <w:szCs w:val="21"/>
                <w:color w:val="auto"/>
              </w:rPr>
            </w:pPr>
          </w:p>
        </w:tc>
        <w:tc>
          <w:tcPr>
            <w:tcW w:w="960" w:type="dxa"/>
            <w:vAlign w:val="bottom"/>
            <w:shd w:val="clear" w:color="auto" w:fill="D8D8D8"/>
          </w:tcPr>
          <w:p>
            <w:pPr>
              <w:spacing w:after="0"/>
              <w:rPr>
                <w:sz w:val="21"/>
                <w:szCs w:val="21"/>
                <w:color w:val="auto"/>
              </w:rPr>
            </w:pPr>
          </w:p>
        </w:tc>
        <w:tc>
          <w:tcPr>
            <w:tcW w:w="220" w:type="dxa"/>
            <w:vAlign w:val="bottom"/>
            <w:shd w:val="clear" w:color="auto" w:fill="D8D8D8"/>
          </w:tcPr>
          <w:p>
            <w:pPr>
              <w:spacing w:after="0"/>
              <w:rPr>
                <w:sz w:val="21"/>
                <w:szCs w:val="21"/>
                <w:color w:val="auto"/>
              </w:rPr>
            </w:pPr>
          </w:p>
        </w:tc>
        <w:tc>
          <w:tcPr>
            <w:tcW w:w="1000" w:type="dxa"/>
            <w:vAlign w:val="bottom"/>
            <w:shd w:val="clear" w:color="auto" w:fill="D8D8D8"/>
          </w:tcPr>
          <w:p>
            <w:pPr>
              <w:spacing w:after="0"/>
              <w:rPr>
                <w:sz w:val="21"/>
                <w:szCs w:val="21"/>
                <w:color w:val="auto"/>
              </w:rPr>
            </w:pPr>
          </w:p>
        </w:tc>
        <w:tc>
          <w:tcPr>
            <w:tcW w:w="340" w:type="dxa"/>
            <w:vAlign w:val="bottom"/>
            <w:shd w:val="clear" w:color="auto" w:fill="D8D8D8"/>
          </w:tcPr>
          <w:p>
            <w:pPr>
              <w:spacing w:after="0"/>
              <w:rPr>
                <w:sz w:val="21"/>
                <w:szCs w:val="21"/>
                <w:color w:val="auto"/>
              </w:rPr>
            </w:pPr>
          </w:p>
        </w:tc>
        <w:tc>
          <w:tcPr>
            <w:tcW w:w="940" w:type="dxa"/>
            <w:vAlign w:val="bottom"/>
            <w:shd w:val="clear" w:color="auto" w:fill="D8D8D8"/>
          </w:tcPr>
          <w:p>
            <w:pPr>
              <w:spacing w:after="0"/>
              <w:rPr>
                <w:sz w:val="21"/>
                <w:szCs w:val="21"/>
                <w:color w:val="auto"/>
              </w:rPr>
            </w:pPr>
          </w:p>
        </w:tc>
        <w:tc>
          <w:tcPr>
            <w:tcW w:w="340" w:type="dxa"/>
            <w:vAlign w:val="bottom"/>
            <w:shd w:val="clear" w:color="auto" w:fill="D8D8D8"/>
          </w:tcPr>
          <w:p>
            <w:pPr>
              <w:spacing w:after="0"/>
              <w:rPr>
                <w:sz w:val="21"/>
                <w:szCs w:val="21"/>
                <w:color w:val="auto"/>
              </w:rPr>
            </w:pPr>
          </w:p>
        </w:tc>
        <w:tc>
          <w:tcPr>
            <w:tcW w:w="880" w:type="dxa"/>
            <w:vAlign w:val="bottom"/>
            <w:shd w:val="clear" w:color="auto" w:fill="D8D8D8"/>
          </w:tcPr>
          <w:p>
            <w:pPr>
              <w:spacing w:after="0"/>
              <w:rPr>
                <w:sz w:val="21"/>
                <w:szCs w:val="21"/>
                <w:color w:val="auto"/>
              </w:rPr>
            </w:pPr>
          </w:p>
        </w:tc>
      </w:tr>
      <w:tr>
        <w:trPr>
          <w:trHeight w:val="265"/>
        </w:trPr>
        <w:tc>
          <w:tcPr>
            <w:tcW w:w="5240" w:type="dxa"/>
            <w:vAlign w:val="bottom"/>
          </w:tcPr>
          <w:p>
            <w:pPr>
              <w:ind w:left="180"/>
              <w:spacing w:after="0"/>
              <w:rPr>
                <w:sz w:val="20"/>
                <w:szCs w:val="20"/>
                <w:color w:val="auto"/>
              </w:rPr>
            </w:pPr>
            <w:r>
              <w:rPr>
                <w:rFonts w:ascii="Arial" w:cs="Arial" w:eastAsia="Arial" w:hAnsi="Arial"/>
                <w:sz w:val="18"/>
                <w:szCs w:val="18"/>
                <w:color w:val="auto"/>
              </w:rPr>
              <w:t>Relating to assets still held at the reporting date</w:t>
            </w:r>
          </w:p>
        </w:tc>
        <w:tc>
          <w:tcPr>
            <w:tcW w:w="200" w:type="dxa"/>
            <w:vAlign w:val="bottom"/>
          </w:tcPr>
          <w:p>
            <w:pPr>
              <w:spacing w:after="0"/>
              <w:rPr>
                <w:sz w:val="23"/>
                <w:szCs w:val="23"/>
                <w:color w:val="auto"/>
              </w:rPr>
            </w:pPr>
          </w:p>
        </w:tc>
        <w:tc>
          <w:tcPr>
            <w:tcW w:w="100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73"/>
              <w:spacing w:after="0"/>
              <w:rPr>
                <w:sz w:val="20"/>
                <w:szCs w:val="20"/>
                <w:color w:val="auto"/>
              </w:rPr>
            </w:pPr>
            <w:r>
              <w:rPr>
                <w:rFonts w:ascii="Arial" w:cs="Arial" w:eastAsia="Arial" w:hAnsi="Arial"/>
                <w:sz w:val="18"/>
                <w:szCs w:val="18"/>
                <w:color w:val="auto"/>
              </w:rPr>
              <w:t>14.7</w:t>
            </w:r>
          </w:p>
        </w:tc>
        <w:tc>
          <w:tcPr>
            <w:tcW w:w="220" w:type="dxa"/>
            <w:vAlign w:val="bottom"/>
          </w:tcPr>
          <w:p>
            <w:pPr>
              <w:spacing w:after="0"/>
              <w:rPr>
                <w:sz w:val="23"/>
                <w:szCs w:val="23"/>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10.3</w:t>
            </w:r>
          </w:p>
        </w:tc>
        <w:tc>
          <w:tcPr>
            <w:tcW w:w="340" w:type="dxa"/>
            <w:vAlign w:val="bottom"/>
          </w:tcPr>
          <w:p>
            <w:pPr>
              <w:spacing w:after="0"/>
              <w:rPr>
                <w:sz w:val="23"/>
                <w:szCs w:val="23"/>
                <w:color w:val="auto"/>
              </w:rPr>
            </w:pPr>
          </w:p>
        </w:tc>
        <w:tc>
          <w:tcPr>
            <w:tcW w:w="94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25.0</w:t>
            </w:r>
          </w:p>
        </w:tc>
      </w:tr>
      <w:tr>
        <w:trPr>
          <w:trHeight w:val="275"/>
        </w:trPr>
        <w:tc>
          <w:tcPr>
            <w:tcW w:w="5240" w:type="dxa"/>
            <w:vAlign w:val="bottom"/>
            <w:shd w:val="clear" w:color="auto" w:fill="D8D8D8"/>
          </w:tcPr>
          <w:p>
            <w:pPr>
              <w:ind w:left="180"/>
              <w:spacing w:after="0"/>
              <w:rPr>
                <w:sz w:val="20"/>
                <w:szCs w:val="20"/>
                <w:color w:val="auto"/>
              </w:rPr>
            </w:pPr>
            <w:r>
              <w:rPr>
                <w:rFonts w:ascii="Arial" w:cs="Arial" w:eastAsia="Arial" w:hAnsi="Arial"/>
                <w:sz w:val="18"/>
                <w:szCs w:val="18"/>
                <w:color w:val="auto"/>
              </w:rPr>
              <w:t>Relating to assets sold during the period</w:t>
            </w:r>
          </w:p>
        </w:tc>
        <w:tc>
          <w:tcPr>
            <w:tcW w:w="200" w:type="dxa"/>
            <w:vAlign w:val="bottom"/>
            <w:shd w:val="clear" w:color="auto" w:fill="D8D8D8"/>
          </w:tcPr>
          <w:p>
            <w:pPr>
              <w:spacing w:after="0"/>
              <w:rPr>
                <w:sz w:val="23"/>
                <w:szCs w:val="23"/>
                <w:color w:val="auto"/>
              </w:rPr>
            </w:pPr>
          </w:p>
        </w:tc>
        <w:tc>
          <w:tcPr>
            <w:tcW w:w="1000" w:type="dxa"/>
            <w:vAlign w:val="bottom"/>
            <w:shd w:val="clear" w:color="auto" w:fill="D8D8D8"/>
          </w:tcPr>
          <w:p>
            <w:pPr>
              <w:jc w:val="right"/>
              <w:ind w:right="73"/>
              <w:spacing w:after="0"/>
              <w:rPr>
                <w:sz w:val="20"/>
                <w:szCs w:val="20"/>
                <w:color w:val="auto"/>
              </w:rPr>
            </w:pPr>
            <w:r>
              <w:rPr>
                <w:rFonts w:ascii="Arial" w:cs="Arial" w:eastAsia="Arial" w:hAnsi="Arial"/>
                <w:sz w:val="18"/>
                <w:szCs w:val="18"/>
                <w:color w:val="auto"/>
              </w:rPr>
              <w:t>—</w:t>
            </w:r>
          </w:p>
        </w:tc>
        <w:tc>
          <w:tcPr>
            <w:tcW w:w="300" w:type="dxa"/>
            <w:vAlign w:val="bottom"/>
            <w:shd w:val="clear" w:color="auto" w:fill="D8D8D8"/>
          </w:tcPr>
          <w:p>
            <w:pPr>
              <w:spacing w:after="0"/>
              <w:rPr>
                <w:sz w:val="23"/>
                <w:szCs w:val="23"/>
                <w:color w:val="auto"/>
              </w:rPr>
            </w:pPr>
          </w:p>
        </w:tc>
        <w:tc>
          <w:tcPr>
            <w:tcW w:w="960" w:type="dxa"/>
            <w:vAlign w:val="bottom"/>
            <w:shd w:val="clear" w:color="auto" w:fill="D8D8D8"/>
          </w:tcPr>
          <w:p>
            <w:pPr>
              <w:jc w:val="right"/>
              <w:ind w:right="13"/>
              <w:spacing w:after="0"/>
              <w:rPr>
                <w:sz w:val="20"/>
                <w:szCs w:val="20"/>
                <w:color w:val="auto"/>
              </w:rPr>
            </w:pPr>
            <w:r>
              <w:rPr>
                <w:rFonts w:ascii="Arial" w:cs="Arial" w:eastAsia="Arial" w:hAnsi="Arial"/>
                <w:sz w:val="18"/>
                <w:szCs w:val="18"/>
                <w:color w:val="auto"/>
              </w:rPr>
              <w:t>(11.2)</w:t>
            </w:r>
          </w:p>
        </w:tc>
        <w:tc>
          <w:tcPr>
            <w:tcW w:w="220" w:type="dxa"/>
            <w:vAlign w:val="bottom"/>
            <w:shd w:val="clear" w:color="auto" w:fill="D8D8D8"/>
          </w:tcPr>
          <w:p>
            <w:pPr>
              <w:spacing w:after="0"/>
              <w:rPr>
                <w:sz w:val="23"/>
                <w:szCs w:val="23"/>
                <w:color w:val="auto"/>
              </w:rPr>
            </w:pPr>
          </w:p>
        </w:tc>
        <w:tc>
          <w:tcPr>
            <w:tcW w:w="1000" w:type="dxa"/>
            <w:vAlign w:val="bottom"/>
            <w:shd w:val="clear" w:color="auto" w:fill="D8D8D8"/>
          </w:tcPr>
          <w:p>
            <w:pPr>
              <w:jc w:val="right"/>
              <w:ind w:right="33"/>
              <w:spacing w:after="0"/>
              <w:rPr>
                <w:sz w:val="20"/>
                <w:szCs w:val="20"/>
                <w:color w:val="auto"/>
              </w:rPr>
            </w:pPr>
            <w:r>
              <w:rPr>
                <w:rFonts w:ascii="Arial" w:cs="Arial" w:eastAsia="Arial" w:hAnsi="Arial"/>
                <w:sz w:val="18"/>
                <w:szCs w:val="18"/>
                <w:color w:val="auto"/>
              </w:rPr>
              <w:t>—</w:t>
            </w:r>
          </w:p>
        </w:tc>
        <w:tc>
          <w:tcPr>
            <w:tcW w:w="340" w:type="dxa"/>
            <w:vAlign w:val="bottom"/>
            <w:shd w:val="clear" w:color="auto" w:fill="D8D8D8"/>
          </w:tcPr>
          <w:p>
            <w:pPr>
              <w:spacing w:after="0"/>
              <w:rPr>
                <w:sz w:val="23"/>
                <w:szCs w:val="23"/>
                <w:color w:val="auto"/>
              </w:rPr>
            </w:pPr>
          </w:p>
        </w:tc>
        <w:tc>
          <w:tcPr>
            <w:tcW w:w="940" w:type="dxa"/>
            <w:vAlign w:val="bottom"/>
            <w:shd w:val="clear" w:color="auto" w:fill="D8D8D8"/>
          </w:tcPr>
          <w:p>
            <w:pPr>
              <w:jc w:val="right"/>
              <w:ind w:right="53"/>
              <w:spacing w:after="0"/>
              <w:rPr>
                <w:sz w:val="20"/>
                <w:szCs w:val="20"/>
                <w:color w:val="auto"/>
              </w:rPr>
            </w:pPr>
            <w:r>
              <w:rPr>
                <w:rFonts w:ascii="Arial" w:cs="Arial" w:eastAsia="Arial" w:hAnsi="Arial"/>
                <w:sz w:val="18"/>
                <w:szCs w:val="18"/>
                <w:color w:val="auto"/>
              </w:rPr>
              <w:t>—</w:t>
            </w:r>
          </w:p>
        </w:tc>
        <w:tc>
          <w:tcPr>
            <w:tcW w:w="340" w:type="dxa"/>
            <w:vAlign w:val="bottom"/>
            <w:shd w:val="clear" w:color="auto" w:fill="D8D8D8"/>
          </w:tcPr>
          <w:p>
            <w:pPr>
              <w:spacing w:after="0"/>
              <w:rPr>
                <w:sz w:val="23"/>
                <w:szCs w:val="23"/>
                <w:color w:val="auto"/>
              </w:rPr>
            </w:pPr>
          </w:p>
        </w:tc>
        <w:tc>
          <w:tcPr>
            <w:tcW w:w="8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(11.2)</w:t>
            </w:r>
          </w:p>
        </w:tc>
      </w:tr>
      <w:tr>
        <w:trPr>
          <w:trHeight w:val="265"/>
        </w:trPr>
        <w:tc>
          <w:tcPr>
            <w:tcW w:w="5240" w:type="dxa"/>
            <w:vAlign w:val="bottom"/>
          </w:tcPr>
          <w:p>
            <w:pPr>
              <w:ind w:left="40"/>
              <w:spacing w:after="0"/>
              <w:rPr>
                <w:sz w:val="20"/>
                <w:szCs w:val="20"/>
                <w:color w:val="auto"/>
              </w:rPr>
            </w:pPr>
            <w:r>
              <w:rPr>
                <w:rFonts w:ascii="Arial" w:cs="Arial" w:eastAsia="Arial" w:hAnsi="Arial"/>
                <w:sz w:val="18"/>
                <w:szCs w:val="18"/>
                <w:color w:val="auto"/>
              </w:rPr>
              <w:t>Purchases, sales, and settlements, net</w:t>
            </w:r>
          </w:p>
        </w:tc>
        <w:tc>
          <w:tcPr>
            <w:tcW w:w="200" w:type="dxa"/>
            <w:vAlign w:val="bottom"/>
          </w:tcPr>
          <w:p>
            <w:pPr>
              <w:spacing w:after="0"/>
              <w:rPr>
                <w:sz w:val="23"/>
                <w:szCs w:val="23"/>
                <w:color w:val="auto"/>
              </w:rPr>
            </w:pPr>
          </w:p>
        </w:tc>
        <w:tc>
          <w:tcPr>
            <w:tcW w:w="100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(3.9)</w:t>
            </w:r>
          </w:p>
        </w:tc>
        <w:tc>
          <w:tcPr>
            <w:tcW w:w="220" w:type="dxa"/>
            <w:vAlign w:val="bottom"/>
          </w:tcPr>
          <w:p>
            <w:pPr>
              <w:spacing w:after="0"/>
              <w:rPr>
                <w:sz w:val="23"/>
                <w:szCs w:val="23"/>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1.9</w:t>
            </w:r>
          </w:p>
        </w:tc>
        <w:tc>
          <w:tcPr>
            <w:tcW w:w="340" w:type="dxa"/>
            <w:vAlign w:val="bottom"/>
          </w:tcPr>
          <w:p>
            <w:pPr>
              <w:spacing w:after="0"/>
              <w:rPr>
                <w:sz w:val="23"/>
                <w:szCs w:val="23"/>
                <w:color w:val="auto"/>
              </w:rPr>
            </w:pPr>
          </w:p>
        </w:tc>
        <w:tc>
          <w:tcPr>
            <w:tcW w:w="94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75"/>
        </w:trPr>
        <w:tc>
          <w:tcPr>
            <w:tcW w:w="5240" w:type="dxa"/>
            <w:vAlign w:val="bottom"/>
            <w:shd w:val="clear" w:color="auto" w:fill="D8D8D8"/>
          </w:tcPr>
          <w:p>
            <w:pPr>
              <w:ind w:left="40"/>
              <w:spacing w:after="0"/>
              <w:rPr>
                <w:sz w:val="20"/>
                <w:szCs w:val="20"/>
                <w:color w:val="auto"/>
              </w:rPr>
            </w:pPr>
            <w:r>
              <w:rPr>
                <w:rFonts w:ascii="Arial" w:cs="Arial" w:eastAsia="Arial" w:hAnsi="Arial"/>
                <w:sz w:val="18"/>
                <w:szCs w:val="18"/>
                <w:color w:val="auto"/>
              </w:rPr>
              <w:t>Transfers into (out of) Level 3</w:t>
            </w:r>
          </w:p>
        </w:tc>
        <w:tc>
          <w:tcPr>
            <w:tcW w:w="200" w:type="dxa"/>
            <w:vAlign w:val="bottom"/>
            <w:tcBorders>
              <w:bottom w:val="single" w:sz="8" w:color="auto"/>
            </w:tcBorders>
            <w:shd w:val="clear" w:color="auto" w:fill="D8D8D8"/>
          </w:tcPr>
          <w:p>
            <w:pPr>
              <w:spacing w:after="0"/>
              <w:rPr>
                <w:sz w:val="23"/>
                <w:szCs w:val="23"/>
                <w:color w:val="auto"/>
              </w:rPr>
            </w:pPr>
          </w:p>
        </w:tc>
        <w:tc>
          <w:tcPr>
            <w:tcW w:w="1000" w:type="dxa"/>
            <w:vAlign w:val="bottom"/>
            <w:tcBorders>
              <w:bottom w:val="single" w:sz="8" w:color="auto"/>
            </w:tcBorders>
            <w:shd w:val="clear" w:color="auto" w:fill="D8D8D8"/>
          </w:tcPr>
          <w:p>
            <w:pPr>
              <w:jc w:val="right"/>
              <w:ind w:right="13"/>
              <w:spacing w:after="0"/>
              <w:rPr>
                <w:sz w:val="20"/>
                <w:szCs w:val="20"/>
                <w:color w:val="auto"/>
              </w:rPr>
            </w:pPr>
            <w:r>
              <w:rPr>
                <w:rFonts w:ascii="Arial" w:cs="Arial" w:eastAsia="Arial" w:hAnsi="Arial"/>
                <w:sz w:val="18"/>
                <w:szCs w:val="18"/>
                <w:color w:val="auto"/>
              </w:rPr>
              <w:t>(0.2)</w:t>
            </w:r>
          </w:p>
        </w:tc>
        <w:tc>
          <w:tcPr>
            <w:tcW w:w="300" w:type="dxa"/>
            <w:vAlign w:val="bottom"/>
            <w:tcBorders>
              <w:bottom w:val="single" w:sz="8" w:color="auto"/>
            </w:tcBorders>
            <w:shd w:val="clear" w:color="auto" w:fill="D8D8D8"/>
          </w:tcPr>
          <w:p>
            <w:pPr>
              <w:spacing w:after="0"/>
              <w:rPr>
                <w:sz w:val="23"/>
                <w:szCs w:val="23"/>
                <w:color w:val="auto"/>
              </w:rPr>
            </w:pPr>
          </w:p>
        </w:tc>
        <w:tc>
          <w:tcPr>
            <w:tcW w:w="960" w:type="dxa"/>
            <w:vAlign w:val="bottom"/>
            <w:tcBorders>
              <w:bottom w:val="single" w:sz="8" w:color="auto"/>
            </w:tcBorders>
            <w:shd w:val="clear" w:color="auto" w:fill="D8D8D8"/>
          </w:tcPr>
          <w:p>
            <w:pPr>
              <w:jc w:val="right"/>
              <w:ind w:right="7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D8D8D8"/>
          </w:tcPr>
          <w:p>
            <w:pPr>
              <w:spacing w:after="0"/>
              <w:rPr>
                <w:sz w:val="23"/>
                <w:szCs w:val="23"/>
                <w:color w:val="auto"/>
              </w:rPr>
            </w:pPr>
          </w:p>
        </w:tc>
        <w:tc>
          <w:tcPr>
            <w:tcW w:w="1000" w:type="dxa"/>
            <w:vAlign w:val="bottom"/>
            <w:tcBorders>
              <w:bottom w:val="single" w:sz="8" w:color="auto"/>
            </w:tcBorders>
            <w:shd w:val="clear" w:color="auto" w:fill="D8D8D8"/>
          </w:tcPr>
          <w:p>
            <w:pPr>
              <w:jc w:val="right"/>
              <w:ind w:right="33"/>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D8D8D8"/>
          </w:tcPr>
          <w:p>
            <w:pPr>
              <w:spacing w:after="0"/>
              <w:rPr>
                <w:sz w:val="23"/>
                <w:szCs w:val="23"/>
                <w:color w:val="auto"/>
              </w:rPr>
            </w:pPr>
          </w:p>
        </w:tc>
        <w:tc>
          <w:tcPr>
            <w:tcW w:w="940" w:type="dxa"/>
            <w:vAlign w:val="bottom"/>
            <w:tcBorders>
              <w:bottom w:val="single" w:sz="8" w:color="auto"/>
            </w:tcBorders>
            <w:shd w:val="clear" w:color="auto" w:fill="D8D8D8"/>
          </w:tcPr>
          <w:p>
            <w:pPr>
              <w:jc w:val="right"/>
              <w:ind w:right="53"/>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D8D8D8"/>
          </w:tcPr>
          <w:p>
            <w:pPr>
              <w:spacing w:after="0"/>
              <w:rPr>
                <w:sz w:val="23"/>
                <w:szCs w:val="23"/>
                <w:color w:val="auto"/>
              </w:rPr>
            </w:pPr>
          </w:p>
        </w:tc>
        <w:tc>
          <w:tcPr>
            <w:tcW w:w="88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(0.2)</w:t>
            </w:r>
          </w:p>
        </w:tc>
      </w:tr>
      <w:tr>
        <w:trPr>
          <w:trHeight w:val="271"/>
        </w:trPr>
        <w:tc>
          <w:tcPr>
            <w:tcW w:w="5240" w:type="dxa"/>
            <w:vAlign w:val="bottom"/>
          </w:tcPr>
          <w:p>
            <w:pPr>
              <w:ind w:left="40"/>
              <w:spacing w:after="0"/>
              <w:rPr>
                <w:sz w:val="20"/>
                <w:szCs w:val="20"/>
                <w:color w:val="auto"/>
              </w:rPr>
            </w:pPr>
            <w:r>
              <w:rPr>
                <w:rFonts w:ascii="Arial" w:cs="Arial" w:eastAsia="Arial" w:hAnsi="Arial"/>
                <w:sz w:val="18"/>
                <w:szCs w:val="18"/>
                <w:color w:val="auto"/>
              </w:rPr>
              <w:t>Ending balance at December 31, 2015</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123.6</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104.5</w:t>
            </w:r>
          </w:p>
        </w:tc>
        <w:tc>
          <w:tcPr>
            <w:tcW w:w="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228.1</w:t>
            </w:r>
          </w:p>
        </w:tc>
      </w:tr>
      <w:tr>
        <w:trPr>
          <w:trHeight w:val="459"/>
        </w:trPr>
        <w:tc>
          <w:tcPr>
            <w:tcW w:w="52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92</w:t>
            </w: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ectPr>
          <w:pgSz w:w="11900" w:h="16838" w:orient="portrait"/>
          <w:cols w:equalWidth="0" w:num="1">
            <w:col w:w="11420"/>
          </w:cols>
          <w:pgMar w:left="240" w:top="684" w:right="239" w:bottom="1440" w:gutter="0" w:footer="0" w:header="0"/>
        </w:sectPr>
      </w:pPr>
    </w:p>
    <w:bookmarkStart w:id="92" w:name="page93"/>
    <w:bookmarkEnd w:id="92"/>
    <w:p>
      <w:pPr>
        <w:spacing w:after="0"/>
        <w:rPr>
          <w:sz w:val="20"/>
          <w:szCs w:val="20"/>
          <w:color w:val="auto"/>
        </w:rPr>
      </w:pPr>
      <w:r>
        <w:rPr>
          <w:rFonts w:ascii="Arial" w:cs="Arial" w:eastAsia="Arial" w:hAnsi="Arial"/>
          <w:sz w:val="18"/>
          <w:szCs w:val="18"/>
          <w:color w:val="auto"/>
        </w:rPr>
        <w:t>The fair values of our defined benefit pension plan and retiree health plan assets as of December 31, 2014 by asset category are as follows: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6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gridSpan w:val="3"/>
          </w:tcPr>
          <w:p>
            <w:pPr>
              <w:jc w:val="center"/>
              <w:ind w:right="175"/>
              <w:spacing w:after="0"/>
              <w:rPr>
                <w:sz w:val="20"/>
                <w:szCs w:val="20"/>
                <w:color w:val="auto"/>
              </w:rPr>
            </w:pPr>
            <w:r>
              <w:rPr>
                <w:rFonts w:ascii="Arial" w:cs="Arial" w:eastAsia="Arial" w:hAnsi="Arial"/>
                <w:sz w:val="13"/>
                <w:szCs w:val="13"/>
                <w:b w:val="1"/>
                <w:bCs w:val="1"/>
                <w:color w:val="auto"/>
                <w:w w:val="96"/>
              </w:rPr>
              <w:t>Fair Value Measurements Using</w:t>
            </w:r>
          </w:p>
        </w:tc>
        <w:tc>
          <w:tcPr>
            <w:tcW w:w="12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46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540" w:type="dxa"/>
            <w:vAlign w:val="bottom"/>
            <w:gridSpan w:val="2"/>
          </w:tcPr>
          <w:p>
            <w:pPr>
              <w:jc w:val="center"/>
              <w:spacing w:after="0" w:line="136" w:lineRule="exact"/>
              <w:rPr>
                <w:sz w:val="20"/>
                <w:szCs w:val="20"/>
                <w:color w:val="auto"/>
              </w:rPr>
            </w:pPr>
            <w:r>
              <w:rPr>
                <w:rFonts w:ascii="Arial" w:cs="Arial" w:eastAsia="Arial" w:hAnsi="Arial"/>
                <w:sz w:val="13"/>
                <w:szCs w:val="13"/>
                <w:b w:val="1"/>
                <w:bCs w:val="1"/>
                <w:color w:val="auto"/>
                <w:w w:val="97"/>
              </w:rPr>
              <w:t>Quoted Prices in Active</w:t>
            </w:r>
          </w:p>
        </w:tc>
        <w:tc>
          <w:tcPr>
            <w:tcW w:w="1800" w:type="dxa"/>
            <w:vAlign w:val="bottom"/>
            <w:gridSpan w:val="2"/>
            <w:vMerge w:val="restart"/>
          </w:tcPr>
          <w:p>
            <w:pPr>
              <w:jc w:val="center"/>
              <w:ind w:left="79"/>
              <w:spacing w:after="0"/>
              <w:rPr>
                <w:sz w:val="20"/>
                <w:szCs w:val="20"/>
                <w:color w:val="auto"/>
              </w:rPr>
            </w:pPr>
            <w:r>
              <w:rPr>
                <w:rFonts w:ascii="Arial" w:cs="Arial" w:eastAsia="Arial" w:hAnsi="Arial"/>
                <w:sz w:val="13"/>
                <w:szCs w:val="13"/>
                <w:b w:val="1"/>
                <w:bCs w:val="1"/>
                <w:color w:val="auto"/>
                <w:w w:val="96"/>
              </w:rPr>
              <w:t>Significant Observable</w:t>
            </w:r>
          </w:p>
        </w:tc>
        <w:tc>
          <w:tcPr>
            <w:tcW w:w="1700" w:type="dxa"/>
            <w:vAlign w:val="bottom"/>
            <w:gridSpan w:val="2"/>
            <w:vMerge w:val="restart"/>
          </w:tcPr>
          <w:p>
            <w:pPr>
              <w:ind w:left="140"/>
              <w:spacing w:after="0"/>
              <w:rPr>
                <w:sz w:val="20"/>
                <w:szCs w:val="20"/>
                <w:color w:val="auto"/>
              </w:rPr>
            </w:pPr>
            <w:r>
              <w:rPr>
                <w:rFonts w:ascii="Arial" w:cs="Arial" w:eastAsia="Arial" w:hAnsi="Arial"/>
                <w:sz w:val="13"/>
                <w:szCs w:val="13"/>
                <w:b w:val="1"/>
                <w:bCs w:val="1"/>
                <w:color w:val="auto"/>
                <w:w w:val="98"/>
              </w:rPr>
              <w:t>Significant Unobservable</w:t>
            </w:r>
          </w:p>
        </w:tc>
        <w:tc>
          <w:tcPr>
            <w:tcW w:w="0" w:type="dxa"/>
            <w:vAlign w:val="bottom"/>
          </w:tcPr>
          <w:p>
            <w:pPr>
              <w:spacing w:after="0"/>
              <w:rPr>
                <w:sz w:val="1"/>
                <w:szCs w:val="1"/>
                <w:color w:val="auto"/>
              </w:rPr>
            </w:pPr>
          </w:p>
        </w:tc>
      </w:tr>
      <w:tr>
        <w:trPr>
          <w:trHeight w:val="135"/>
        </w:trPr>
        <w:tc>
          <w:tcPr>
            <w:tcW w:w="46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Markets for Identical</w:t>
            </w:r>
          </w:p>
        </w:tc>
        <w:tc>
          <w:tcPr>
            <w:tcW w:w="1800" w:type="dxa"/>
            <w:vAlign w:val="bottom"/>
            <w:gridSpan w:val="2"/>
            <w:vMerge w:val="continue"/>
          </w:tcPr>
          <w:p>
            <w:pPr>
              <w:spacing w:after="0"/>
              <w:rPr>
                <w:sz w:val="11"/>
                <w:szCs w:val="11"/>
                <w:color w:val="auto"/>
              </w:rPr>
            </w:pPr>
          </w:p>
        </w:tc>
        <w:tc>
          <w:tcPr>
            <w:tcW w:w="17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60" w:type="dxa"/>
            <w:vAlign w:val="bottom"/>
            <w:vMerge w:val="restart"/>
          </w:tcPr>
          <w:p>
            <w:pPr>
              <w:ind w:left="40"/>
              <w:spacing w:after="0"/>
              <w:rPr>
                <w:sz w:val="20"/>
                <w:szCs w:val="20"/>
                <w:color w:val="auto"/>
              </w:rPr>
            </w:pPr>
            <w:r>
              <w:rPr>
                <w:rFonts w:ascii="Arial" w:cs="Arial" w:eastAsia="Arial" w:hAnsi="Arial"/>
                <w:sz w:val="13"/>
                <w:szCs w:val="13"/>
                <w:b w:val="1"/>
                <w:bCs w:val="1"/>
                <w:color w:val="auto"/>
              </w:rPr>
              <w:t>Asset Class</w:t>
            </w:r>
          </w:p>
        </w:tc>
        <w:tc>
          <w:tcPr>
            <w:tcW w:w="400" w:type="dxa"/>
            <w:vAlign w:val="bottom"/>
          </w:tcPr>
          <w:p>
            <w:pPr>
              <w:spacing w:after="0"/>
              <w:rPr>
                <w:sz w:val="11"/>
                <w:szCs w:val="11"/>
                <w:color w:val="auto"/>
              </w:rPr>
            </w:pPr>
          </w:p>
        </w:tc>
        <w:tc>
          <w:tcPr>
            <w:tcW w:w="1320" w:type="dxa"/>
            <w:vAlign w:val="bottom"/>
            <w:vMerge w:val="restart"/>
          </w:tcPr>
          <w:p>
            <w:pPr>
              <w:jc w:val="right"/>
              <w:ind w:right="671"/>
              <w:spacing w:after="0"/>
              <w:rPr>
                <w:sz w:val="20"/>
                <w:szCs w:val="20"/>
                <w:color w:val="auto"/>
              </w:rPr>
            </w:pPr>
            <w:r>
              <w:rPr>
                <w:rFonts w:ascii="Arial" w:cs="Arial" w:eastAsia="Arial" w:hAnsi="Arial"/>
                <w:sz w:val="13"/>
                <w:szCs w:val="13"/>
                <w:b w:val="1"/>
                <w:bCs w:val="1"/>
                <w:color w:val="auto"/>
              </w:rPr>
              <w:t>Total</w:t>
            </w:r>
          </w:p>
        </w:tc>
        <w:tc>
          <w:tcPr>
            <w:tcW w:w="160" w:type="dxa"/>
            <w:vAlign w:val="bottom"/>
          </w:tcPr>
          <w:p>
            <w:pPr>
              <w:spacing w:after="0"/>
              <w:rPr>
                <w:sz w:val="11"/>
                <w:szCs w:val="11"/>
                <w:color w:val="auto"/>
              </w:rPr>
            </w:pPr>
          </w:p>
        </w:tc>
        <w:tc>
          <w:tcPr>
            <w:tcW w:w="13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8"/>
              </w:rPr>
              <w:t>Assets</w:t>
            </w:r>
          </w:p>
        </w:tc>
        <w:tc>
          <w:tcPr>
            <w:tcW w:w="520" w:type="dxa"/>
            <w:vAlign w:val="bottom"/>
          </w:tcPr>
          <w:p>
            <w:pPr>
              <w:spacing w:after="0"/>
              <w:rPr>
                <w:sz w:val="11"/>
                <w:szCs w:val="11"/>
                <w:color w:val="auto"/>
              </w:rPr>
            </w:pPr>
          </w:p>
        </w:tc>
        <w:tc>
          <w:tcPr>
            <w:tcW w:w="1280" w:type="dxa"/>
            <w:vAlign w:val="bottom"/>
          </w:tcPr>
          <w:p>
            <w:pPr>
              <w:jc w:val="center"/>
              <w:ind w:right="253"/>
              <w:spacing w:after="0" w:line="135" w:lineRule="exact"/>
              <w:rPr>
                <w:sz w:val="20"/>
                <w:szCs w:val="20"/>
                <w:color w:val="auto"/>
              </w:rPr>
            </w:pPr>
            <w:r>
              <w:rPr>
                <w:rFonts w:ascii="Arial" w:cs="Arial" w:eastAsia="Arial" w:hAnsi="Arial"/>
                <w:sz w:val="13"/>
                <w:szCs w:val="13"/>
                <w:b w:val="1"/>
                <w:bCs w:val="1"/>
                <w:color w:val="auto"/>
                <w:w w:val="97"/>
              </w:rPr>
              <w:t>Inputs</w:t>
            </w:r>
          </w:p>
        </w:tc>
        <w:tc>
          <w:tcPr>
            <w:tcW w:w="440" w:type="dxa"/>
            <w:vAlign w:val="bottom"/>
          </w:tcPr>
          <w:p>
            <w:pPr>
              <w:spacing w:after="0"/>
              <w:rPr>
                <w:sz w:val="11"/>
                <w:szCs w:val="11"/>
                <w:color w:val="auto"/>
              </w:rPr>
            </w:pPr>
          </w:p>
        </w:tc>
        <w:tc>
          <w:tcPr>
            <w:tcW w:w="1260" w:type="dxa"/>
            <w:vAlign w:val="bottom"/>
          </w:tcPr>
          <w:p>
            <w:pPr>
              <w:jc w:val="right"/>
              <w:ind w:right="533"/>
              <w:spacing w:after="0" w:line="135" w:lineRule="exact"/>
              <w:rPr>
                <w:sz w:val="20"/>
                <w:szCs w:val="20"/>
                <w:color w:val="auto"/>
              </w:rPr>
            </w:pPr>
            <w:r>
              <w:rPr>
                <w:rFonts w:ascii="Arial" w:cs="Arial" w:eastAsia="Arial" w:hAnsi="Arial"/>
                <w:sz w:val="13"/>
                <w:szCs w:val="13"/>
                <w:b w:val="1"/>
                <w:bCs w:val="1"/>
                <w:color w:val="auto"/>
              </w:rPr>
              <w:t>Inputs</w:t>
            </w:r>
          </w:p>
        </w:tc>
        <w:tc>
          <w:tcPr>
            <w:tcW w:w="0" w:type="dxa"/>
            <w:vAlign w:val="bottom"/>
          </w:tcPr>
          <w:p>
            <w:pPr>
              <w:spacing w:after="0"/>
              <w:rPr>
                <w:sz w:val="1"/>
                <w:szCs w:val="1"/>
                <w:color w:val="auto"/>
              </w:rPr>
            </w:pPr>
          </w:p>
        </w:tc>
      </w:tr>
      <w:tr>
        <w:trPr>
          <w:trHeight w:val="182"/>
        </w:trPr>
        <w:tc>
          <w:tcPr>
            <w:tcW w:w="4660" w:type="dxa"/>
            <w:vAlign w:val="bottom"/>
            <w:tcBorders>
              <w:bottom w:val="single" w:sz="8" w:color="auto"/>
            </w:tcBorders>
            <w:vMerge w:val="continue"/>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(Level 1)</w:t>
            </w:r>
          </w:p>
        </w:tc>
        <w:tc>
          <w:tcPr>
            <w:tcW w:w="5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right="273"/>
              <w:spacing w:after="0"/>
              <w:rPr>
                <w:sz w:val="20"/>
                <w:szCs w:val="20"/>
                <w:color w:val="auto"/>
              </w:rPr>
            </w:pPr>
            <w:r>
              <w:rPr>
                <w:rFonts w:ascii="Arial" w:cs="Arial" w:eastAsia="Arial" w:hAnsi="Arial"/>
                <w:sz w:val="13"/>
                <w:szCs w:val="13"/>
                <w:b w:val="1"/>
                <w:bCs w:val="1"/>
                <w:color w:val="auto"/>
                <w:w w:val="98"/>
              </w:rPr>
              <w:t>(Level 2)</w:t>
            </w:r>
          </w:p>
        </w:tc>
        <w:tc>
          <w:tcPr>
            <w:tcW w:w="4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453"/>
              <w:spacing w:after="0"/>
              <w:rPr>
                <w:sz w:val="20"/>
                <w:szCs w:val="20"/>
                <w:color w:val="auto"/>
              </w:rPr>
            </w:pPr>
            <w:r>
              <w:rPr>
                <w:rFonts w:ascii="Arial" w:cs="Arial" w:eastAsia="Arial" w:hAnsi="Arial"/>
                <w:sz w:val="13"/>
                <w:szCs w:val="13"/>
                <w:b w:val="1"/>
                <w:bCs w:val="1"/>
                <w:color w:val="auto"/>
              </w:rPr>
              <w:t>(Level 3)</w:t>
            </w:r>
          </w:p>
        </w:tc>
        <w:tc>
          <w:tcPr>
            <w:tcW w:w="0" w:type="dxa"/>
            <w:vAlign w:val="bottom"/>
          </w:tcPr>
          <w:p>
            <w:pPr>
              <w:spacing w:after="0"/>
              <w:rPr>
                <w:sz w:val="1"/>
                <w:szCs w:val="1"/>
                <w:color w:val="auto"/>
              </w:rPr>
            </w:pPr>
          </w:p>
        </w:tc>
      </w:tr>
      <w:tr>
        <w:trPr>
          <w:trHeight w:val="268"/>
        </w:trPr>
        <w:tc>
          <w:tcPr>
            <w:tcW w:w="4660" w:type="dxa"/>
            <w:vAlign w:val="bottom"/>
            <w:shd w:val="clear" w:color="auto" w:fill="D8D8D8"/>
          </w:tcPr>
          <w:p>
            <w:pPr>
              <w:ind w:left="40"/>
              <w:spacing w:after="0"/>
              <w:rPr>
                <w:sz w:val="20"/>
                <w:szCs w:val="20"/>
                <w:color w:val="auto"/>
              </w:rPr>
            </w:pPr>
            <w:r>
              <w:rPr>
                <w:rFonts w:ascii="Arial" w:cs="Arial" w:eastAsia="Arial" w:hAnsi="Arial"/>
                <w:sz w:val="18"/>
                <w:szCs w:val="18"/>
                <w:b w:val="1"/>
                <w:bCs w:val="1"/>
                <w:color w:val="auto"/>
              </w:rPr>
              <w:t>Defined Benefit Pension Plans</w:t>
            </w:r>
          </w:p>
        </w:tc>
        <w:tc>
          <w:tcPr>
            <w:tcW w:w="400" w:type="dxa"/>
            <w:vAlign w:val="bottom"/>
            <w:shd w:val="clear" w:color="auto" w:fill="D8D8D8"/>
          </w:tcPr>
          <w:p>
            <w:pPr>
              <w:spacing w:after="0"/>
              <w:rPr>
                <w:sz w:val="23"/>
                <w:szCs w:val="23"/>
                <w:color w:val="auto"/>
              </w:rPr>
            </w:pPr>
          </w:p>
        </w:tc>
        <w:tc>
          <w:tcPr>
            <w:tcW w:w="1320" w:type="dxa"/>
            <w:vAlign w:val="bottom"/>
            <w:shd w:val="clear" w:color="auto" w:fill="D8D8D8"/>
          </w:tcPr>
          <w:p>
            <w:pPr>
              <w:spacing w:after="0"/>
              <w:rPr>
                <w:sz w:val="23"/>
                <w:szCs w:val="23"/>
                <w:color w:val="auto"/>
              </w:rPr>
            </w:pPr>
          </w:p>
        </w:tc>
        <w:tc>
          <w:tcPr>
            <w:tcW w:w="160" w:type="dxa"/>
            <w:vAlign w:val="bottom"/>
            <w:shd w:val="clear" w:color="auto" w:fill="D8D8D8"/>
          </w:tcPr>
          <w:p>
            <w:pPr>
              <w:spacing w:after="0"/>
              <w:rPr>
                <w:sz w:val="23"/>
                <w:szCs w:val="23"/>
                <w:color w:val="auto"/>
              </w:rPr>
            </w:pPr>
          </w:p>
        </w:tc>
        <w:tc>
          <w:tcPr>
            <w:tcW w:w="1380" w:type="dxa"/>
            <w:vAlign w:val="bottom"/>
            <w:shd w:val="clear" w:color="auto" w:fill="D8D8D8"/>
          </w:tcPr>
          <w:p>
            <w:pPr>
              <w:spacing w:after="0"/>
              <w:rPr>
                <w:sz w:val="23"/>
                <w:szCs w:val="23"/>
                <w:color w:val="auto"/>
              </w:rPr>
            </w:pPr>
          </w:p>
        </w:tc>
        <w:tc>
          <w:tcPr>
            <w:tcW w:w="520" w:type="dxa"/>
            <w:vAlign w:val="bottom"/>
            <w:shd w:val="clear" w:color="auto" w:fill="D8D8D8"/>
          </w:tcPr>
          <w:p>
            <w:pPr>
              <w:spacing w:after="0"/>
              <w:rPr>
                <w:sz w:val="23"/>
                <w:szCs w:val="23"/>
                <w:color w:val="auto"/>
              </w:rPr>
            </w:pPr>
          </w:p>
        </w:tc>
        <w:tc>
          <w:tcPr>
            <w:tcW w:w="1280" w:type="dxa"/>
            <w:vAlign w:val="bottom"/>
            <w:shd w:val="clear" w:color="auto" w:fill="D8D8D8"/>
          </w:tcPr>
          <w:p>
            <w:pPr>
              <w:spacing w:after="0"/>
              <w:rPr>
                <w:sz w:val="23"/>
                <w:szCs w:val="23"/>
                <w:color w:val="auto"/>
              </w:rPr>
            </w:pPr>
          </w:p>
        </w:tc>
        <w:tc>
          <w:tcPr>
            <w:tcW w:w="440" w:type="dxa"/>
            <w:vAlign w:val="bottom"/>
            <w:shd w:val="clear" w:color="auto" w:fill="D8D8D8"/>
          </w:tcPr>
          <w:p>
            <w:pPr>
              <w:spacing w:after="0"/>
              <w:rPr>
                <w:sz w:val="23"/>
                <w:szCs w:val="23"/>
                <w:color w:val="auto"/>
              </w:rPr>
            </w:pPr>
          </w:p>
        </w:tc>
        <w:tc>
          <w:tcPr>
            <w:tcW w:w="1260" w:type="dxa"/>
            <w:vAlign w:val="bottom"/>
            <w:shd w:val="clear" w:color="auto" w:fill="D8D8D8"/>
          </w:tcPr>
          <w:p>
            <w:pPr>
              <w:spacing w:after="0"/>
              <w:rPr>
                <w:sz w:val="23"/>
                <w:szCs w:val="23"/>
                <w:color w:val="auto"/>
              </w:rPr>
            </w:pPr>
          </w:p>
        </w:tc>
        <w:tc>
          <w:tcPr>
            <w:tcW w:w="0" w:type="dxa"/>
            <w:vAlign w:val="bottom"/>
          </w:tcPr>
          <w:p>
            <w:pPr>
              <w:spacing w:after="0"/>
              <w:rPr>
                <w:sz w:val="1"/>
                <w:szCs w:val="1"/>
                <w:color w:val="auto"/>
              </w:rPr>
            </w:pPr>
          </w:p>
        </w:tc>
      </w:tr>
      <w:tr>
        <w:trPr>
          <w:trHeight w:val="247"/>
        </w:trPr>
        <w:tc>
          <w:tcPr>
            <w:tcW w:w="4660" w:type="dxa"/>
            <w:vAlign w:val="bottom"/>
          </w:tcPr>
          <w:p>
            <w:pPr>
              <w:ind w:left="40"/>
              <w:spacing w:after="0"/>
              <w:rPr>
                <w:sz w:val="20"/>
                <w:szCs w:val="20"/>
                <w:color w:val="auto"/>
              </w:rPr>
            </w:pPr>
            <w:r>
              <w:rPr>
                <w:rFonts w:ascii="Arial" w:cs="Arial" w:eastAsia="Arial" w:hAnsi="Arial"/>
                <w:sz w:val="18"/>
                <w:szCs w:val="18"/>
                <w:color w:val="auto"/>
              </w:rPr>
              <w:t>Public equity securities:</w:t>
            </w:r>
          </w:p>
        </w:tc>
        <w:tc>
          <w:tcPr>
            <w:tcW w:w="4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46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60" w:type="dxa"/>
            <w:vAlign w:val="bottom"/>
            <w:shd w:val="clear" w:color="auto" w:fill="D8D8D8"/>
          </w:tcPr>
          <w:p>
            <w:pPr>
              <w:ind w:left="180"/>
              <w:spacing w:after="0"/>
              <w:rPr>
                <w:sz w:val="20"/>
                <w:szCs w:val="20"/>
                <w:color w:val="auto"/>
              </w:rPr>
            </w:pPr>
            <w:r>
              <w:rPr>
                <w:rFonts w:ascii="Arial" w:cs="Arial" w:eastAsia="Arial" w:hAnsi="Arial"/>
                <w:sz w:val="18"/>
                <w:szCs w:val="18"/>
                <w:color w:val="auto"/>
              </w:rPr>
              <w:t>U.S.</w:t>
            </w:r>
          </w:p>
        </w:tc>
        <w:tc>
          <w:tcPr>
            <w:tcW w:w="400" w:type="dxa"/>
            <w:vAlign w:val="bottom"/>
            <w:shd w:val="clear" w:color="auto" w:fill="D8D8D8"/>
          </w:tcPr>
          <w:p>
            <w:pPr>
              <w:jc w:val="right"/>
              <w:ind w:right="170"/>
              <w:spacing w:after="0"/>
              <w:rPr>
                <w:sz w:val="20"/>
                <w:szCs w:val="20"/>
                <w:color w:val="auto"/>
              </w:rPr>
            </w:pPr>
            <w:r>
              <w:rPr>
                <w:rFonts w:ascii="Arial" w:cs="Arial" w:eastAsia="Arial" w:hAnsi="Arial"/>
                <w:sz w:val="18"/>
                <w:szCs w:val="18"/>
                <w:color w:val="auto"/>
              </w:rPr>
              <w:t>$</w:t>
            </w:r>
          </w:p>
        </w:tc>
        <w:tc>
          <w:tcPr>
            <w:tcW w:w="1320" w:type="dxa"/>
            <w:vAlign w:val="bottom"/>
            <w:shd w:val="clear" w:color="auto" w:fill="D8D8D8"/>
          </w:tcPr>
          <w:p>
            <w:pPr>
              <w:jc w:val="right"/>
              <w:ind w:right="131"/>
              <w:spacing w:after="0"/>
              <w:rPr>
                <w:sz w:val="20"/>
                <w:szCs w:val="20"/>
                <w:color w:val="auto"/>
              </w:rPr>
            </w:pPr>
            <w:r>
              <w:rPr>
                <w:rFonts w:ascii="Arial" w:cs="Arial" w:eastAsia="Arial" w:hAnsi="Arial"/>
                <w:sz w:val="18"/>
                <w:szCs w:val="18"/>
                <w:color w:val="auto"/>
              </w:rPr>
              <w:t>411.4</w:t>
            </w:r>
          </w:p>
        </w:tc>
        <w:tc>
          <w:tcPr>
            <w:tcW w:w="160" w:type="dxa"/>
            <w:vAlign w:val="bottom"/>
            <w:shd w:val="clear" w:color="auto" w:fill="D8D8D8"/>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183.8</w:t>
            </w:r>
          </w:p>
        </w:tc>
        <w:tc>
          <w:tcPr>
            <w:tcW w:w="520" w:type="dxa"/>
            <w:vAlign w:val="bottom"/>
            <w:shd w:val="clear" w:color="auto" w:fill="D8D8D8"/>
          </w:tcPr>
          <w:p>
            <w:pPr>
              <w:jc w:val="right"/>
              <w:ind w:right="139"/>
              <w:spacing w:after="0"/>
              <w:rPr>
                <w:sz w:val="20"/>
                <w:szCs w:val="20"/>
                <w:color w:val="auto"/>
              </w:rPr>
            </w:pPr>
            <w:r>
              <w:rPr>
                <w:rFonts w:ascii="Arial" w:cs="Arial" w:eastAsia="Arial" w:hAnsi="Arial"/>
                <w:sz w:val="18"/>
                <w:szCs w:val="18"/>
                <w:color w:val="auto"/>
              </w:rPr>
              <w:t>$</w:t>
            </w:r>
          </w:p>
        </w:tc>
        <w:tc>
          <w:tcPr>
            <w:tcW w:w="1280" w:type="dxa"/>
            <w:vAlign w:val="bottom"/>
            <w:shd w:val="clear" w:color="auto" w:fill="D8D8D8"/>
          </w:tcPr>
          <w:p>
            <w:pPr>
              <w:jc w:val="right"/>
              <w:ind w:right="33"/>
              <w:spacing w:after="0"/>
              <w:rPr>
                <w:sz w:val="20"/>
                <w:szCs w:val="20"/>
                <w:color w:val="auto"/>
              </w:rPr>
            </w:pPr>
            <w:r>
              <w:rPr>
                <w:rFonts w:ascii="Arial" w:cs="Arial" w:eastAsia="Arial" w:hAnsi="Arial"/>
                <w:sz w:val="18"/>
                <w:szCs w:val="18"/>
                <w:color w:val="auto"/>
              </w:rPr>
              <w:t>227.6</w:t>
            </w:r>
          </w:p>
        </w:tc>
        <w:tc>
          <w:tcPr>
            <w:tcW w:w="440" w:type="dxa"/>
            <w:vAlign w:val="bottom"/>
            <w:shd w:val="clear" w:color="auto" w:fill="D8D8D8"/>
          </w:tcPr>
          <w:p>
            <w:pPr>
              <w:ind w:left="120"/>
              <w:spacing w:after="0"/>
              <w:rPr>
                <w:sz w:val="20"/>
                <w:szCs w:val="20"/>
                <w:color w:val="auto"/>
              </w:rPr>
            </w:pPr>
            <w:r>
              <w:rPr>
                <w:rFonts w:ascii="Arial" w:cs="Arial" w:eastAsia="Arial" w:hAnsi="Arial"/>
                <w:sz w:val="18"/>
                <w:szCs w:val="18"/>
                <w:color w:val="auto"/>
              </w:rPr>
              <w:t>$</w:t>
            </w:r>
          </w:p>
        </w:tc>
        <w:tc>
          <w:tcPr>
            <w:tcW w:w="1260" w:type="dxa"/>
            <w:vAlign w:val="bottom"/>
            <w:shd w:val="clear" w:color="auto" w:fill="D8D8D8"/>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5"/>
        </w:trPr>
        <w:tc>
          <w:tcPr>
            <w:tcW w:w="4660" w:type="dxa"/>
            <w:vAlign w:val="bottom"/>
          </w:tcPr>
          <w:p>
            <w:pPr>
              <w:ind w:left="180"/>
              <w:spacing w:after="0"/>
              <w:rPr>
                <w:sz w:val="20"/>
                <w:szCs w:val="20"/>
                <w:color w:val="auto"/>
              </w:rPr>
            </w:pPr>
            <w:r>
              <w:rPr>
                <w:rFonts w:ascii="Arial" w:cs="Arial" w:eastAsia="Arial" w:hAnsi="Arial"/>
                <w:sz w:val="18"/>
                <w:szCs w:val="18"/>
                <w:color w:val="auto"/>
              </w:rPr>
              <w:t>International</w:t>
            </w:r>
          </w:p>
        </w:tc>
        <w:tc>
          <w:tcPr>
            <w:tcW w:w="400" w:type="dxa"/>
            <w:vAlign w:val="bottom"/>
          </w:tcPr>
          <w:p>
            <w:pPr>
              <w:spacing w:after="0"/>
              <w:rPr>
                <w:sz w:val="23"/>
                <w:szCs w:val="23"/>
                <w:color w:val="auto"/>
              </w:rPr>
            </w:pPr>
          </w:p>
        </w:tc>
        <w:tc>
          <w:tcPr>
            <w:tcW w:w="1320" w:type="dxa"/>
            <w:vAlign w:val="bottom"/>
          </w:tcPr>
          <w:p>
            <w:pPr>
              <w:jc w:val="right"/>
              <w:ind w:right="131"/>
              <w:spacing w:after="0"/>
              <w:rPr>
                <w:sz w:val="20"/>
                <w:szCs w:val="20"/>
                <w:color w:val="auto"/>
              </w:rPr>
            </w:pPr>
            <w:r>
              <w:rPr>
                <w:rFonts w:ascii="Arial" w:cs="Arial" w:eastAsia="Arial" w:hAnsi="Arial"/>
                <w:sz w:val="18"/>
                <w:szCs w:val="18"/>
                <w:color w:val="auto"/>
              </w:rPr>
              <w:t>2,337.8</w:t>
            </w:r>
          </w:p>
        </w:tc>
        <w:tc>
          <w:tcPr>
            <w:tcW w:w="16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999.7</w:t>
            </w:r>
          </w:p>
        </w:tc>
        <w:tc>
          <w:tcPr>
            <w:tcW w:w="520" w:type="dxa"/>
            <w:vAlign w:val="bottom"/>
          </w:tcPr>
          <w:p>
            <w:pPr>
              <w:spacing w:after="0"/>
              <w:rPr>
                <w:sz w:val="23"/>
                <w:szCs w:val="23"/>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1,338.1</w:t>
            </w:r>
          </w:p>
        </w:tc>
        <w:tc>
          <w:tcPr>
            <w:tcW w:w="440" w:type="dxa"/>
            <w:vAlign w:val="bottom"/>
          </w:tcPr>
          <w:p>
            <w:pPr>
              <w:spacing w:after="0"/>
              <w:rPr>
                <w:sz w:val="23"/>
                <w:szCs w:val="23"/>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5"/>
        </w:trPr>
        <w:tc>
          <w:tcPr>
            <w:tcW w:w="4660" w:type="dxa"/>
            <w:vAlign w:val="bottom"/>
            <w:tcBorders>
              <w:bottom w:val="single" w:sz="8" w:color="D8D8D8"/>
            </w:tcBorders>
            <w:shd w:val="clear" w:color="auto" w:fill="D8D8D8"/>
          </w:tcPr>
          <w:p>
            <w:pPr>
              <w:ind w:left="40"/>
              <w:spacing w:after="0"/>
              <w:rPr>
                <w:sz w:val="20"/>
                <w:szCs w:val="20"/>
                <w:color w:val="auto"/>
              </w:rPr>
            </w:pPr>
            <w:r>
              <w:rPr>
                <w:rFonts w:ascii="Arial" w:cs="Arial" w:eastAsia="Arial" w:hAnsi="Arial"/>
                <w:sz w:val="18"/>
                <w:szCs w:val="18"/>
                <w:color w:val="auto"/>
              </w:rPr>
              <w:t>Fixed income:</w:t>
            </w:r>
          </w:p>
        </w:tc>
        <w:tc>
          <w:tcPr>
            <w:tcW w:w="400" w:type="dxa"/>
            <w:vAlign w:val="bottom"/>
            <w:tcBorders>
              <w:bottom w:val="single" w:sz="8" w:color="D8D8D8"/>
            </w:tcBorders>
            <w:shd w:val="clear" w:color="auto" w:fill="D8D8D8"/>
          </w:tcPr>
          <w:p>
            <w:pPr>
              <w:spacing w:after="0"/>
              <w:rPr>
                <w:sz w:val="22"/>
                <w:szCs w:val="22"/>
                <w:color w:val="auto"/>
              </w:rPr>
            </w:pPr>
          </w:p>
        </w:tc>
        <w:tc>
          <w:tcPr>
            <w:tcW w:w="1320" w:type="dxa"/>
            <w:vAlign w:val="bottom"/>
            <w:tcBorders>
              <w:bottom w:val="single" w:sz="8" w:color="D8D8D8"/>
            </w:tcBorders>
            <w:shd w:val="clear" w:color="auto" w:fill="D8D8D8"/>
          </w:tcPr>
          <w:p>
            <w:pPr>
              <w:spacing w:after="0"/>
              <w:rPr>
                <w:sz w:val="22"/>
                <w:szCs w:val="22"/>
                <w:color w:val="auto"/>
              </w:rPr>
            </w:pPr>
          </w:p>
        </w:tc>
        <w:tc>
          <w:tcPr>
            <w:tcW w:w="160" w:type="dxa"/>
            <w:vAlign w:val="bottom"/>
            <w:tcBorders>
              <w:bottom w:val="single" w:sz="8" w:color="D8D8D8"/>
            </w:tcBorders>
            <w:shd w:val="clear" w:color="auto" w:fill="D8D8D8"/>
          </w:tcPr>
          <w:p>
            <w:pPr>
              <w:spacing w:after="0"/>
              <w:rPr>
                <w:sz w:val="22"/>
                <w:szCs w:val="22"/>
                <w:color w:val="auto"/>
              </w:rPr>
            </w:pPr>
          </w:p>
        </w:tc>
        <w:tc>
          <w:tcPr>
            <w:tcW w:w="1380" w:type="dxa"/>
            <w:vAlign w:val="bottom"/>
            <w:tcBorders>
              <w:bottom w:val="single" w:sz="8" w:color="D8D8D8"/>
            </w:tcBorders>
            <w:shd w:val="clear" w:color="auto" w:fill="D8D8D8"/>
          </w:tcPr>
          <w:p>
            <w:pPr>
              <w:spacing w:after="0"/>
              <w:rPr>
                <w:sz w:val="22"/>
                <w:szCs w:val="22"/>
                <w:color w:val="auto"/>
              </w:rPr>
            </w:pPr>
          </w:p>
        </w:tc>
        <w:tc>
          <w:tcPr>
            <w:tcW w:w="520" w:type="dxa"/>
            <w:vAlign w:val="bottom"/>
            <w:tcBorders>
              <w:bottom w:val="single" w:sz="8" w:color="D8D8D8"/>
            </w:tcBorders>
            <w:shd w:val="clear" w:color="auto" w:fill="D8D8D8"/>
          </w:tcPr>
          <w:p>
            <w:pPr>
              <w:spacing w:after="0"/>
              <w:rPr>
                <w:sz w:val="22"/>
                <w:szCs w:val="22"/>
                <w:color w:val="auto"/>
              </w:rPr>
            </w:pPr>
          </w:p>
        </w:tc>
        <w:tc>
          <w:tcPr>
            <w:tcW w:w="1280" w:type="dxa"/>
            <w:vAlign w:val="bottom"/>
            <w:tcBorders>
              <w:bottom w:val="single" w:sz="8" w:color="D8D8D8"/>
            </w:tcBorders>
            <w:shd w:val="clear" w:color="auto" w:fill="D8D8D8"/>
          </w:tcPr>
          <w:p>
            <w:pPr>
              <w:spacing w:after="0"/>
              <w:rPr>
                <w:sz w:val="22"/>
                <w:szCs w:val="22"/>
                <w:color w:val="auto"/>
              </w:rPr>
            </w:pPr>
          </w:p>
        </w:tc>
        <w:tc>
          <w:tcPr>
            <w:tcW w:w="440" w:type="dxa"/>
            <w:vAlign w:val="bottom"/>
            <w:tcBorders>
              <w:bottom w:val="single" w:sz="8" w:color="D8D8D8"/>
            </w:tcBorders>
            <w:shd w:val="clear" w:color="auto" w:fill="D8D8D8"/>
          </w:tcPr>
          <w:p>
            <w:pPr>
              <w:spacing w:after="0"/>
              <w:rPr>
                <w:sz w:val="22"/>
                <w:szCs w:val="22"/>
                <w:color w:val="auto"/>
              </w:rPr>
            </w:pPr>
          </w:p>
        </w:tc>
        <w:tc>
          <w:tcPr>
            <w:tcW w:w="1260" w:type="dxa"/>
            <w:vAlign w:val="bottom"/>
            <w:tcBorders>
              <w:bottom w:val="single" w:sz="8" w:color="D8D8D8"/>
            </w:tcBorders>
            <w:shd w:val="clear" w:color="auto" w:fill="D8D8D8"/>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660" w:type="dxa"/>
            <w:vAlign w:val="bottom"/>
          </w:tcPr>
          <w:p>
            <w:pPr>
              <w:ind w:left="180"/>
              <w:spacing w:after="0"/>
              <w:rPr>
                <w:sz w:val="20"/>
                <w:szCs w:val="20"/>
                <w:color w:val="auto"/>
              </w:rPr>
            </w:pPr>
            <w:r>
              <w:rPr>
                <w:rFonts w:ascii="Arial" w:cs="Arial" w:eastAsia="Arial" w:hAnsi="Arial"/>
                <w:sz w:val="18"/>
                <w:szCs w:val="18"/>
                <w:color w:val="auto"/>
              </w:rPr>
              <w:t>Developed markets</w:t>
            </w:r>
          </w:p>
        </w:tc>
        <w:tc>
          <w:tcPr>
            <w:tcW w:w="400" w:type="dxa"/>
            <w:vAlign w:val="bottom"/>
          </w:tcPr>
          <w:p>
            <w:pPr>
              <w:spacing w:after="0"/>
              <w:rPr>
                <w:sz w:val="23"/>
                <w:szCs w:val="23"/>
                <w:color w:val="auto"/>
              </w:rPr>
            </w:pPr>
          </w:p>
        </w:tc>
        <w:tc>
          <w:tcPr>
            <w:tcW w:w="1320" w:type="dxa"/>
            <w:vAlign w:val="bottom"/>
          </w:tcPr>
          <w:p>
            <w:pPr>
              <w:jc w:val="right"/>
              <w:ind w:right="131"/>
              <w:spacing w:after="0"/>
              <w:rPr>
                <w:sz w:val="20"/>
                <w:szCs w:val="20"/>
                <w:color w:val="auto"/>
              </w:rPr>
            </w:pPr>
            <w:r>
              <w:rPr>
                <w:rFonts w:ascii="Arial" w:cs="Arial" w:eastAsia="Arial" w:hAnsi="Arial"/>
                <w:sz w:val="18"/>
                <w:szCs w:val="18"/>
                <w:color w:val="auto"/>
              </w:rPr>
              <w:t>1,230.7</w:t>
            </w:r>
          </w:p>
        </w:tc>
        <w:tc>
          <w:tcPr>
            <w:tcW w:w="16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112.2</w:t>
            </w:r>
          </w:p>
        </w:tc>
        <w:tc>
          <w:tcPr>
            <w:tcW w:w="520" w:type="dxa"/>
            <w:vAlign w:val="bottom"/>
          </w:tcPr>
          <w:p>
            <w:pPr>
              <w:spacing w:after="0"/>
              <w:rPr>
                <w:sz w:val="23"/>
                <w:szCs w:val="23"/>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1,118.5</w:t>
            </w:r>
          </w:p>
        </w:tc>
        <w:tc>
          <w:tcPr>
            <w:tcW w:w="440" w:type="dxa"/>
            <w:vAlign w:val="bottom"/>
          </w:tcPr>
          <w:p>
            <w:pPr>
              <w:spacing w:after="0"/>
              <w:rPr>
                <w:sz w:val="23"/>
                <w:szCs w:val="23"/>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5"/>
        </w:trPr>
        <w:tc>
          <w:tcPr>
            <w:tcW w:w="4660" w:type="dxa"/>
            <w:vAlign w:val="bottom"/>
            <w:shd w:val="clear" w:color="auto" w:fill="D8D8D8"/>
          </w:tcPr>
          <w:p>
            <w:pPr>
              <w:ind w:left="180"/>
              <w:spacing w:after="0"/>
              <w:rPr>
                <w:sz w:val="20"/>
                <w:szCs w:val="20"/>
                <w:color w:val="auto"/>
              </w:rPr>
            </w:pPr>
            <w:r>
              <w:rPr>
                <w:rFonts w:ascii="Arial" w:cs="Arial" w:eastAsia="Arial" w:hAnsi="Arial"/>
                <w:sz w:val="18"/>
                <w:szCs w:val="18"/>
                <w:color w:val="auto"/>
              </w:rPr>
              <w:t>Emerging markets</w:t>
            </w:r>
          </w:p>
        </w:tc>
        <w:tc>
          <w:tcPr>
            <w:tcW w:w="400" w:type="dxa"/>
            <w:vAlign w:val="bottom"/>
            <w:shd w:val="clear" w:color="auto" w:fill="D8D8D8"/>
          </w:tcPr>
          <w:p>
            <w:pPr>
              <w:spacing w:after="0"/>
              <w:rPr>
                <w:sz w:val="23"/>
                <w:szCs w:val="23"/>
                <w:color w:val="auto"/>
              </w:rPr>
            </w:pPr>
          </w:p>
        </w:tc>
        <w:tc>
          <w:tcPr>
            <w:tcW w:w="1320" w:type="dxa"/>
            <w:vAlign w:val="bottom"/>
            <w:shd w:val="clear" w:color="auto" w:fill="D8D8D8"/>
          </w:tcPr>
          <w:p>
            <w:pPr>
              <w:jc w:val="right"/>
              <w:ind w:right="131"/>
              <w:spacing w:after="0"/>
              <w:rPr>
                <w:sz w:val="20"/>
                <w:szCs w:val="20"/>
                <w:color w:val="auto"/>
              </w:rPr>
            </w:pPr>
            <w:r>
              <w:rPr>
                <w:rFonts w:ascii="Arial" w:cs="Arial" w:eastAsia="Arial" w:hAnsi="Arial"/>
                <w:sz w:val="18"/>
                <w:szCs w:val="18"/>
                <w:color w:val="auto"/>
              </w:rPr>
              <w:t>374.7</w:t>
            </w:r>
          </w:p>
        </w:tc>
        <w:tc>
          <w:tcPr>
            <w:tcW w:w="160" w:type="dxa"/>
            <w:vAlign w:val="bottom"/>
            <w:shd w:val="clear" w:color="auto" w:fill="D8D8D8"/>
          </w:tcPr>
          <w:p>
            <w:pPr>
              <w:spacing w:after="0"/>
              <w:rPr>
                <w:sz w:val="23"/>
                <w:szCs w:val="23"/>
                <w:color w:val="auto"/>
              </w:rPr>
            </w:pPr>
          </w:p>
        </w:tc>
        <w:tc>
          <w:tcPr>
            <w:tcW w:w="13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8.7</w:t>
            </w:r>
          </w:p>
        </w:tc>
        <w:tc>
          <w:tcPr>
            <w:tcW w:w="520" w:type="dxa"/>
            <w:vAlign w:val="bottom"/>
            <w:shd w:val="clear" w:color="auto" w:fill="D8D8D8"/>
          </w:tcPr>
          <w:p>
            <w:pPr>
              <w:spacing w:after="0"/>
              <w:rPr>
                <w:sz w:val="23"/>
                <w:szCs w:val="23"/>
                <w:color w:val="auto"/>
              </w:rPr>
            </w:pPr>
          </w:p>
        </w:tc>
        <w:tc>
          <w:tcPr>
            <w:tcW w:w="1280" w:type="dxa"/>
            <w:vAlign w:val="bottom"/>
            <w:shd w:val="clear" w:color="auto" w:fill="D8D8D8"/>
          </w:tcPr>
          <w:p>
            <w:pPr>
              <w:jc w:val="right"/>
              <w:ind w:right="33"/>
              <w:spacing w:after="0"/>
              <w:rPr>
                <w:sz w:val="20"/>
                <w:szCs w:val="20"/>
                <w:color w:val="auto"/>
              </w:rPr>
            </w:pPr>
            <w:r>
              <w:rPr>
                <w:rFonts w:ascii="Arial" w:cs="Arial" w:eastAsia="Arial" w:hAnsi="Arial"/>
                <w:sz w:val="18"/>
                <w:szCs w:val="18"/>
                <w:color w:val="auto"/>
              </w:rPr>
              <w:t>364.2</w:t>
            </w:r>
          </w:p>
        </w:tc>
        <w:tc>
          <w:tcPr>
            <w:tcW w:w="440" w:type="dxa"/>
            <w:vAlign w:val="bottom"/>
            <w:shd w:val="clear" w:color="auto" w:fill="D8D8D8"/>
          </w:tcPr>
          <w:p>
            <w:pPr>
              <w:spacing w:after="0"/>
              <w:rPr>
                <w:sz w:val="23"/>
                <w:szCs w:val="23"/>
                <w:color w:val="auto"/>
              </w:rPr>
            </w:pPr>
          </w:p>
        </w:tc>
        <w:tc>
          <w:tcPr>
            <w:tcW w:w="1260" w:type="dxa"/>
            <w:vAlign w:val="bottom"/>
            <w:shd w:val="clear" w:color="auto" w:fill="D8D8D8"/>
          </w:tcPr>
          <w:p>
            <w:pPr>
              <w:jc w:val="right"/>
              <w:ind w:right="13"/>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47"/>
        </w:trPr>
        <w:tc>
          <w:tcPr>
            <w:tcW w:w="4660" w:type="dxa"/>
            <w:vAlign w:val="bottom"/>
          </w:tcPr>
          <w:p>
            <w:pPr>
              <w:ind w:left="40"/>
              <w:spacing w:after="0"/>
              <w:rPr>
                <w:sz w:val="20"/>
                <w:szCs w:val="20"/>
                <w:color w:val="auto"/>
              </w:rPr>
            </w:pPr>
            <w:r>
              <w:rPr>
                <w:rFonts w:ascii="Arial" w:cs="Arial" w:eastAsia="Arial" w:hAnsi="Arial"/>
                <w:sz w:val="18"/>
                <w:szCs w:val="18"/>
                <w:color w:val="auto"/>
              </w:rPr>
              <w:t>Private alternative investments:</w:t>
            </w:r>
          </w:p>
        </w:tc>
        <w:tc>
          <w:tcPr>
            <w:tcW w:w="4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46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60" w:type="dxa"/>
            <w:vAlign w:val="bottom"/>
            <w:shd w:val="clear" w:color="auto" w:fill="D8D8D8"/>
          </w:tcPr>
          <w:p>
            <w:pPr>
              <w:ind w:left="180"/>
              <w:spacing w:after="0"/>
              <w:rPr>
                <w:sz w:val="20"/>
                <w:szCs w:val="20"/>
                <w:color w:val="auto"/>
              </w:rPr>
            </w:pPr>
            <w:r>
              <w:rPr>
                <w:rFonts w:ascii="Arial" w:cs="Arial" w:eastAsia="Arial" w:hAnsi="Arial"/>
                <w:sz w:val="18"/>
                <w:szCs w:val="18"/>
                <w:color w:val="auto"/>
              </w:rPr>
              <w:t>Hedge funds</w:t>
            </w:r>
          </w:p>
        </w:tc>
        <w:tc>
          <w:tcPr>
            <w:tcW w:w="400" w:type="dxa"/>
            <w:vAlign w:val="bottom"/>
            <w:shd w:val="clear" w:color="auto" w:fill="D8D8D8"/>
          </w:tcPr>
          <w:p>
            <w:pPr>
              <w:spacing w:after="0"/>
              <w:rPr>
                <w:sz w:val="23"/>
                <w:szCs w:val="23"/>
                <w:color w:val="auto"/>
              </w:rPr>
            </w:pPr>
          </w:p>
        </w:tc>
        <w:tc>
          <w:tcPr>
            <w:tcW w:w="1320" w:type="dxa"/>
            <w:vAlign w:val="bottom"/>
            <w:shd w:val="clear" w:color="auto" w:fill="D8D8D8"/>
          </w:tcPr>
          <w:p>
            <w:pPr>
              <w:jc w:val="right"/>
              <w:ind w:right="131"/>
              <w:spacing w:after="0"/>
              <w:rPr>
                <w:sz w:val="20"/>
                <w:szCs w:val="20"/>
                <w:color w:val="auto"/>
              </w:rPr>
            </w:pPr>
            <w:r>
              <w:rPr>
                <w:rFonts w:ascii="Arial" w:cs="Arial" w:eastAsia="Arial" w:hAnsi="Arial"/>
                <w:sz w:val="18"/>
                <w:szCs w:val="18"/>
                <w:color w:val="auto"/>
              </w:rPr>
              <w:t>3,277.6</w:t>
            </w:r>
          </w:p>
        </w:tc>
        <w:tc>
          <w:tcPr>
            <w:tcW w:w="160" w:type="dxa"/>
            <w:vAlign w:val="bottom"/>
            <w:shd w:val="clear" w:color="auto" w:fill="D8D8D8"/>
          </w:tcPr>
          <w:p>
            <w:pPr>
              <w:spacing w:after="0"/>
              <w:rPr>
                <w:sz w:val="23"/>
                <w:szCs w:val="23"/>
                <w:color w:val="auto"/>
              </w:rPr>
            </w:pPr>
          </w:p>
        </w:tc>
        <w:tc>
          <w:tcPr>
            <w:tcW w:w="13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D8D8D8"/>
          </w:tcPr>
          <w:p>
            <w:pPr>
              <w:spacing w:after="0"/>
              <w:rPr>
                <w:sz w:val="23"/>
                <w:szCs w:val="23"/>
                <w:color w:val="auto"/>
              </w:rPr>
            </w:pPr>
          </w:p>
        </w:tc>
        <w:tc>
          <w:tcPr>
            <w:tcW w:w="1280" w:type="dxa"/>
            <w:vAlign w:val="bottom"/>
            <w:shd w:val="clear" w:color="auto" w:fill="D8D8D8"/>
          </w:tcPr>
          <w:p>
            <w:pPr>
              <w:jc w:val="right"/>
              <w:ind w:right="33"/>
              <w:spacing w:after="0"/>
              <w:rPr>
                <w:sz w:val="20"/>
                <w:szCs w:val="20"/>
                <w:color w:val="auto"/>
              </w:rPr>
            </w:pPr>
            <w:r>
              <w:rPr>
                <w:rFonts w:ascii="Arial" w:cs="Arial" w:eastAsia="Arial" w:hAnsi="Arial"/>
                <w:sz w:val="18"/>
                <w:szCs w:val="18"/>
                <w:color w:val="auto"/>
              </w:rPr>
              <w:t>1,694.5</w:t>
            </w:r>
          </w:p>
        </w:tc>
        <w:tc>
          <w:tcPr>
            <w:tcW w:w="440" w:type="dxa"/>
            <w:vAlign w:val="bottom"/>
            <w:shd w:val="clear" w:color="auto" w:fill="D8D8D8"/>
          </w:tcPr>
          <w:p>
            <w:pPr>
              <w:spacing w:after="0"/>
              <w:rPr>
                <w:sz w:val="23"/>
                <w:szCs w:val="23"/>
                <w:color w:val="auto"/>
              </w:rPr>
            </w:pPr>
          </w:p>
        </w:tc>
        <w:tc>
          <w:tcPr>
            <w:tcW w:w="1260" w:type="dxa"/>
            <w:vAlign w:val="bottom"/>
            <w:shd w:val="clear" w:color="auto" w:fill="D8D8D8"/>
          </w:tcPr>
          <w:p>
            <w:pPr>
              <w:jc w:val="right"/>
              <w:ind w:right="13"/>
              <w:spacing w:after="0"/>
              <w:rPr>
                <w:sz w:val="20"/>
                <w:szCs w:val="20"/>
                <w:color w:val="auto"/>
              </w:rPr>
            </w:pPr>
            <w:r>
              <w:rPr>
                <w:rFonts w:ascii="Arial" w:cs="Arial" w:eastAsia="Arial" w:hAnsi="Arial"/>
                <w:sz w:val="18"/>
                <w:szCs w:val="18"/>
                <w:color w:val="auto"/>
              </w:rPr>
              <w:t>1,583.1</w:t>
            </w:r>
          </w:p>
        </w:tc>
        <w:tc>
          <w:tcPr>
            <w:tcW w:w="0" w:type="dxa"/>
            <w:vAlign w:val="bottom"/>
          </w:tcPr>
          <w:p>
            <w:pPr>
              <w:spacing w:after="0"/>
              <w:rPr>
                <w:sz w:val="1"/>
                <w:szCs w:val="1"/>
                <w:color w:val="auto"/>
              </w:rPr>
            </w:pPr>
          </w:p>
        </w:tc>
      </w:tr>
      <w:tr>
        <w:trPr>
          <w:trHeight w:val="265"/>
        </w:trPr>
        <w:tc>
          <w:tcPr>
            <w:tcW w:w="4660" w:type="dxa"/>
            <w:vAlign w:val="bottom"/>
          </w:tcPr>
          <w:p>
            <w:pPr>
              <w:ind w:left="180"/>
              <w:spacing w:after="0"/>
              <w:rPr>
                <w:sz w:val="20"/>
                <w:szCs w:val="20"/>
                <w:color w:val="auto"/>
              </w:rPr>
            </w:pPr>
            <w:r>
              <w:rPr>
                <w:rFonts w:ascii="Arial" w:cs="Arial" w:eastAsia="Arial" w:hAnsi="Arial"/>
                <w:sz w:val="18"/>
                <w:szCs w:val="18"/>
                <w:color w:val="auto"/>
              </w:rPr>
              <w:t>Equity-like funds</w:t>
            </w:r>
          </w:p>
        </w:tc>
        <w:tc>
          <w:tcPr>
            <w:tcW w:w="400" w:type="dxa"/>
            <w:vAlign w:val="bottom"/>
          </w:tcPr>
          <w:p>
            <w:pPr>
              <w:spacing w:after="0"/>
              <w:rPr>
                <w:sz w:val="23"/>
                <w:szCs w:val="23"/>
                <w:color w:val="auto"/>
              </w:rPr>
            </w:pPr>
          </w:p>
        </w:tc>
        <w:tc>
          <w:tcPr>
            <w:tcW w:w="1320" w:type="dxa"/>
            <w:vAlign w:val="bottom"/>
          </w:tcPr>
          <w:p>
            <w:pPr>
              <w:jc w:val="right"/>
              <w:ind w:right="131"/>
              <w:spacing w:after="0"/>
              <w:rPr>
                <w:sz w:val="20"/>
                <w:szCs w:val="20"/>
                <w:color w:val="auto"/>
              </w:rPr>
            </w:pPr>
            <w:r>
              <w:rPr>
                <w:rFonts w:ascii="Arial" w:cs="Arial" w:eastAsia="Arial" w:hAnsi="Arial"/>
                <w:sz w:val="18"/>
                <w:szCs w:val="18"/>
                <w:color w:val="auto"/>
              </w:rPr>
              <w:t>1,146.6</w:t>
            </w:r>
          </w:p>
        </w:tc>
        <w:tc>
          <w:tcPr>
            <w:tcW w:w="16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3"/>
                <w:szCs w:val="23"/>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75.2</w:t>
            </w:r>
          </w:p>
        </w:tc>
        <w:tc>
          <w:tcPr>
            <w:tcW w:w="440" w:type="dxa"/>
            <w:vAlign w:val="bottom"/>
          </w:tcPr>
          <w:p>
            <w:pPr>
              <w:spacing w:after="0"/>
              <w:rPr>
                <w:sz w:val="23"/>
                <w:szCs w:val="23"/>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1,071.4</w:t>
            </w:r>
          </w:p>
        </w:tc>
        <w:tc>
          <w:tcPr>
            <w:tcW w:w="0" w:type="dxa"/>
            <w:vAlign w:val="bottom"/>
          </w:tcPr>
          <w:p>
            <w:pPr>
              <w:spacing w:after="0"/>
              <w:rPr>
                <w:sz w:val="1"/>
                <w:szCs w:val="1"/>
                <w:color w:val="auto"/>
              </w:rPr>
            </w:pPr>
          </w:p>
        </w:tc>
      </w:tr>
      <w:tr>
        <w:trPr>
          <w:trHeight w:val="275"/>
        </w:trPr>
        <w:tc>
          <w:tcPr>
            <w:tcW w:w="4660" w:type="dxa"/>
            <w:vAlign w:val="bottom"/>
            <w:shd w:val="clear" w:color="auto" w:fill="D8D8D8"/>
          </w:tcPr>
          <w:p>
            <w:pPr>
              <w:ind w:left="40"/>
              <w:spacing w:after="0"/>
              <w:rPr>
                <w:sz w:val="20"/>
                <w:szCs w:val="20"/>
                <w:color w:val="auto"/>
              </w:rPr>
            </w:pPr>
            <w:r>
              <w:rPr>
                <w:rFonts w:ascii="Arial" w:cs="Arial" w:eastAsia="Arial" w:hAnsi="Arial"/>
                <w:sz w:val="18"/>
                <w:szCs w:val="18"/>
                <w:color w:val="auto"/>
              </w:rPr>
              <w:t>Real estate</w:t>
            </w:r>
          </w:p>
        </w:tc>
        <w:tc>
          <w:tcPr>
            <w:tcW w:w="400" w:type="dxa"/>
            <w:vAlign w:val="bottom"/>
            <w:shd w:val="clear" w:color="auto" w:fill="D8D8D8"/>
          </w:tcPr>
          <w:p>
            <w:pPr>
              <w:spacing w:after="0"/>
              <w:rPr>
                <w:sz w:val="23"/>
                <w:szCs w:val="23"/>
                <w:color w:val="auto"/>
              </w:rPr>
            </w:pPr>
          </w:p>
        </w:tc>
        <w:tc>
          <w:tcPr>
            <w:tcW w:w="1320" w:type="dxa"/>
            <w:vAlign w:val="bottom"/>
            <w:shd w:val="clear" w:color="auto" w:fill="D8D8D8"/>
          </w:tcPr>
          <w:p>
            <w:pPr>
              <w:jc w:val="right"/>
              <w:ind w:right="131"/>
              <w:spacing w:after="0"/>
              <w:rPr>
                <w:sz w:val="20"/>
                <w:szCs w:val="20"/>
                <w:color w:val="auto"/>
              </w:rPr>
            </w:pPr>
            <w:r>
              <w:rPr>
                <w:rFonts w:ascii="Arial" w:cs="Arial" w:eastAsia="Arial" w:hAnsi="Arial"/>
                <w:sz w:val="18"/>
                <w:szCs w:val="18"/>
                <w:color w:val="auto"/>
              </w:rPr>
              <w:t>569.0</w:t>
            </w:r>
          </w:p>
        </w:tc>
        <w:tc>
          <w:tcPr>
            <w:tcW w:w="160" w:type="dxa"/>
            <w:vAlign w:val="bottom"/>
            <w:shd w:val="clear" w:color="auto" w:fill="D8D8D8"/>
          </w:tcPr>
          <w:p>
            <w:pPr>
              <w:spacing w:after="0"/>
              <w:rPr>
                <w:sz w:val="23"/>
                <w:szCs w:val="23"/>
                <w:color w:val="auto"/>
              </w:rPr>
            </w:pPr>
          </w:p>
        </w:tc>
        <w:tc>
          <w:tcPr>
            <w:tcW w:w="13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403.1</w:t>
            </w:r>
          </w:p>
        </w:tc>
        <w:tc>
          <w:tcPr>
            <w:tcW w:w="520" w:type="dxa"/>
            <w:vAlign w:val="bottom"/>
            <w:shd w:val="clear" w:color="auto" w:fill="D8D8D8"/>
          </w:tcPr>
          <w:p>
            <w:pPr>
              <w:spacing w:after="0"/>
              <w:rPr>
                <w:sz w:val="23"/>
                <w:szCs w:val="23"/>
                <w:color w:val="auto"/>
              </w:rPr>
            </w:pPr>
          </w:p>
        </w:tc>
        <w:tc>
          <w:tcPr>
            <w:tcW w:w="1280" w:type="dxa"/>
            <w:vAlign w:val="bottom"/>
            <w:shd w:val="clear" w:color="auto" w:fill="D8D8D8"/>
          </w:tcPr>
          <w:p>
            <w:pPr>
              <w:jc w:val="right"/>
              <w:ind w:right="33"/>
              <w:spacing w:after="0"/>
              <w:rPr>
                <w:sz w:val="20"/>
                <w:szCs w:val="20"/>
                <w:color w:val="auto"/>
              </w:rPr>
            </w:pPr>
            <w:r>
              <w:rPr>
                <w:rFonts w:ascii="Arial" w:cs="Arial" w:eastAsia="Arial" w:hAnsi="Arial"/>
                <w:sz w:val="18"/>
                <w:szCs w:val="18"/>
                <w:color w:val="auto"/>
              </w:rPr>
              <w:t>—</w:t>
            </w:r>
          </w:p>
        </w:tc>
        <w:tc>
          <w:tcPr>
            <w:tcW w:w="440" w:type="dxa"/>
            <w:vAlign w:val="bottom"/>
            <w:shd w:val="clear" w:color="auto" w:fill="D8D8D8"/>
          </w:tcPr>
          <w:p>
            <w:pPr>
              <w:spacing w:after="0"/>
              <w:rPr>
                <w:sz w:val="23"/>
                <w:szCs w:val="23"/>
                <w:color w:val="auto"/>
              </w:rPr>
            </w:pPr>
          </w:p>
        </w:tc>
        <w:tc>
          <w:tcPr>
            <w:tcW w:w="1260" w:type="dxa"/>
            <w:vAlign w:val="bottom"/>
            <w:shd w:val="clear" w:color="auto" w:fill="D8D8D8"/>
          </w:tcPr>
          <w:p>
            <w:pPr>
              <w:jc w:val="right"/>
              <w:ind w:right="13"/>
              <w:spacing w:after="0"/>
              <w:rPr>
                <w:sz w:val="20"/>
                <w:szCs w:val="20"/>
                <w:color w:val="auto"/>
              </w:rPr>
            </w:pPr>
            <w:r>
              <w:rPr>
                <w:rFonts w:ascii="Arial" w:cs="Arial" w:eastAsia="Arial" w:hAnsi="Arial"/>
                <w:sz w:val="18"/>
                <w:szCs w:val="18"/>
                <w:color w:val="auto"/>
              </w:rPr>
              <w:t>165.9</w:t>
            </w:r>
          </w:p>
        </w:tc>
        <w:tc>
          <w:tcPr>
            <w:tcW w:w="0" w:type="dxa"/>
            <w:vAlign w:val="bottom"/>
          </w:tcPr>
          <w:p>
            <w:pPr>
              <w:spacing w:after="0"/>
              <w:rPr>
                <w:sz w:val="1"/>
                <w:szCs w:val="1"/>
                <w:color w:val="auto"/>
              </w:rPr>
            </w:pPr>
          </w:p>
        </w:tc>
      </w:tr>
      <w:tr>
        <w:trPr>
          <w:trHeight w:val="265"/>
        </w:trPr>
        <w:tc>
          <w:tcPr>
            <w:tcW w:w="4660" w:type="dxa"/>
            <w:vAlign w:val="bottom"/>
            <w:tcBorders>
              <w:bottom w:val="single" w:sz="8" w:color="D8D8D8"/>
            </w:tcBorders>
          </w:tcPr>
          <w:p>
            <w:pPr>
              <w:ind w:left="40"/>
              <w:spacing w:after="0"/>
              <w:rPr>
                <w:sz w:val="20"/>
                <w:szCs w:val="20"/>
                <w:color w:val="auto"/>
              </w:rPr>
            </w:pPr>
            <w:r>
              <w:rPr>
                <w:rFonts w:ascii="Arial" w:cs="Arial" w:eastAsia="Arial" w:hAnsi="Arial"/>
                <w:sz w:val="18"/>
                <w:szCs w:val="18"/>
                <w:color w:val="auto"/>
              </w:rPr>
              <w:t>Other</w:t>
            </w:r>
          </w:p>
        </w:tc>
        <w:tc>
          <w:tcPr>
            <w:tcW w:w="40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487.9</w:t>
            </w:r>
          </w:p>
        </w:tc>
        <w:tc>
          <w:tcPr>
            <w:tcW w:w="16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229.8</w:t>
            </w:r>
          </w:p>
        </w:tc>
        <w:tc>
          <w:tcPr>
            <w:tcW w:w="52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258.1</w:t>
            </w:r>
          </w:p>
        </w:tc>
        <w:tc>
          <w:tcPr>
            <w:tcW w:w="44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4"/>
        </w:trPr>
        <w:tc>
          <w:tcPr>
            <w:tcW w:w="4660" w:type="dxa"/>
            <w:vAlign w:val="bottom"/>
            <w:tcBorders>
              <w:bottom w:val="single" w:sz="8" w:color="D8D8D8"/>
            </w:tcBorders>
            <w:shd w:val="clear" w:color="auto" w:fill="D8D8D8"/>
          </w:tcPr>
          <w:p>
            <w:pPr>
              <w:ind w:left="40"/>
              <w:spacing w:after="0"/>
              <w:rPr>
                <w:sz w:val="20"/>
                <w:szCs w:val="20"/>
                <w:color w:val="auto"/>
              </w:rPr>
            </w:pPr>
            <w:r>
              <w:rPr>
                <w:rFonts w:ascii="Arial" w:cs="Arial" w:eastAsia="Arial" w:hAnsi="Arial"/>
                <w:sz w:val="18"/>
                <w:szCs w:val="18"/>
                <w:color w:val="auto"/>
              </w:rPr>
              <w:t>Total</w:t>
            </w:r>
          </w:p>
        </w:tc>
        <w:tc>
          <w:tcPr>
            <w:tcW w:w="400" w:type="dxa"/>
            <w:vAlign w:val="bottom"/>
            <w:tcBorders>
              <w:bottom w:val="single" w:sz="8" w:color="auto"/>
            </w:tcBorders>
            <w:shd w:val="clear" w:color="auto" w:fill="D8D8D8"/>
          </w:tcPr>
          <w:p>
            <w:pPr>
              <w:jc w:val="right"/>
              <w:ind w:right="17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D8D8D8"/>
          </w:tcPr>
          <w:p>
            <w:pPr>
              <w:jc w:val="right"/>
              <w:ind w:right="131"/>
              <w:spacing w:after="0"/>
              <w:rPr>
                <w:sz w:val="20"/>
                <w:szCs w:val="20"/>
                <w:color w:val="auto"/>
              </w:rPr>
            </w:pPr>
            <w:r>
              <w:rPr>
                <w:rFonts w:ascii="Arial" w:cs="Arial" w:eastAsia="Arial" w:hAnsi="Arial"/>
                <w:sz w:val="18"/>
                <w:szCs w:val="18"/>
                <w:color w:val="auto"/>
              </w:rPr>
              <w:t>9,835.7</w:t>
            </w:r>
          </w:p>
        </w:tc>
        <w:tc>
          <w:tcPr>
            <w:tcW w:w="16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1,937.3</w:t>
            </w:r>
          </w:p>
        </w:tc>
        <w:tc>
          <w:tcPr>
            <w:tcW w:w="520" w:type="dxa"/>
            <w:vAlign w:val="bottom"/>
            <w:tcBorders>
              <w:bottom w:val="single" w:sz="8" w:color="auto"/>
            </w:tcBorders>
            <w:shd w:val="clear" w:color="auto" w:fill="D8D8D8"/>
          </w:tcPr>
          <w:p>
            <w:pPr>
              <w:jc w:val="right"/>
              <w:ind w:right="139"/>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D8D8D8"/>
          </w:tcPr>
          <w:p>
            <w:pPr>
              <w:jc w:val="right"/>
              <w:ind w:right="33"/>
              <w:spacing w:after="0"/>
              <w:rPr>
                <w:sz w:val="20"/>
                <w:szCs w:val="20"/>
                <w:color w:val="auto"/>
              </w:rPr>
            </w:pPr>
            <w:r>
              <w:rPr>
                <w:rFonts w:ascii="Arial" w:cs="Arial" w:eastAsia="Arial" w:hAnsi="Arial"/>
                <w:sz w:val="18"/>
                <w:szCs w:val="18"/>
                <w:color w:val="auto"/>
              </w:rPr>
              <w:t>5,076.2</w:t>
            </w:r>
          </w:p>
        </w:tc>
        <w:tc>
          <w:tcPr>
            <w:tcW w:w="440" w:type="dxa"/>
            <w:vAlign w:val="bottom"/>
            <w:tcBorders>
              <w:bottom w:val="single" w:sz="8" w:color="auto"/>
            </w:tcBorders>
            <w:shd w:val="clear" w:color="auto" w:fill="D8D8D8"/>
          </w:tcPr>
          <w:p>
            <w:pPr>
              <w:ind w:left="12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D8D8D8"/>
          </w:tcPr>
          <w:p>
            <w:pPr>
              <w:jc w:val="right"/>
              <w:ind w:right="13"/>
              <w:spacing w:after="0"/>
              <w:rPr>
                <w:sz w:val="20"/>
                <w:szCs w:val="20"/>
                <w:color w:val="auto"/>
              </w:rPr>
            </w:pPr>
            <w:r>
              <w:rPr>
                <w:rFonts w:ascii="Arial" w:cs="Arial" w:eastAsia="Arial" w:hAnsi="Arial"/>
                <w:sz w:val="18"/>
                <w:szCs w:val="18"/>
                <w:color w:val="auto"/>
              </w:rPr>
              <w:t>2,822.2</w:t>
            </w:r>
          </w:p>
        </w:tc>
        <w:tc>
          <w:tcPr>
            <w:tcW w:w="0" w:type="dxa"/>
            <w:vAlign w:val="bottom"/>
          </w:tcPr>
          <w:p>
            <w:pPr>
              <w:spacing w:after="0"/>
              <w:rPr>
                <w:sz w:val="1"/>
                <w:szCs w:val="1"/>
                <w:color w:val="auto"/>
              </w:rPr>
            </w:pPr>
          </w:p>
        </w:tc>
      </w:tr>
      <w:tr>
        <w:trPr>
          <w:trHeight w:val="261"/>
        </w:trPr>
        <w:tc>
          <w:tcPr>
            <w:tcW w:w="4660" w:type="dxa"/>
            <w:vAlign w:val="bottom"/>
          </w:tcPr>
          <w:p>
            <w:pPr>
              <w:ind w:left="40"/>
              <w:spacing w:after="0"/>
              <w:rPr>
                <w:sz w:val="20"/>
                <w:szCs w:val="20"/>
                <w:color w:val="auto"/>
              </w:rPr>
            </w:pPr>
            <w:r>
              <w:rPr>
                <w:rFonts w:ascii="Arial" w:cs="Arial" w:eastAsia="Arial" w:hAnsi="Arial"/>
                <w:sz w:val="18"/>
                <w:szCs w:val="18"/>
                <w:b w:val="1"/>
                <w:bCs w:val="1"/>
                <w:color w:val="auto"/>
              </w:rPr>
              <w:t>Retiree Health Benefit Plans</w:t>
            </w:r>
          </w:p>
        </w:tc>
        <w:tc>
          <w:tcPr>
            <w:tcW w:w="4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1"/>
        </w:trPr>
        <w:tc>
          <w:tcPr>
            <w:tcW w:w="4660" w:type="dxa"/>
            <w:vAlign w:val="bottom"/>
            <w:tcBorders>
              <w:bottom w:val="single" w:sz="8" w:color="D8D8D8"/>
            </w:tcBorders>
            <w:shd w:val="clear" w:color="auto" w:fill="D8D8D8"/>
          </w:tcPr>
          <w:p>
            <w:pPr>
              <w:ind w:left="40"/>
              <w:spacing w:after="0"/>
              <w:rPr>
                <w:sz w:val="20"/>
                <w:szCs w:val="20"/>
                <w:color w:val="auto"/>
              </w:rPr>
            </w:pPr>
            <w:r>
              <w:rPr>
                <w:rFonts w:ascii="Arial" w:cs="Arial" w:eastAsia="Arial" w:hAnsi="Arial"/>
                <w:sz w:val="18"/>
                <w:szCs w:val="18"/>
                <w:color w:val="auto"/>
              </w:rPr>
              <w:t>Public equity securities:</w:t>
            </w:r>
          </w:p>
        </w:tc>
        <w:tc>
          <w:tcPr>
            <w:tcW w:w="400" w:type="dxa"/>
            <w:vAlign w:val="bottom"/>
            <w:tcBorders>
              <w:bottom w:val="single" w:sz="8" w:color="D8D8D8"/>
            </w:tcBorders>
            <w:shd w:val="clear" w:color="auto" w:fill="D8D8D8"/>
          </w:tcPr>
          <w:p>
            <w:pPr>
              <w:spacing w:after="0"/>
              <w:rPr>
                <w:sz w:val="21"/>
                <w:szCs w:val="21"/>
                <w:color w:val="auto"/>
              </w:rPr>
            </w:pPr>
          </w:p>
        </w:tc>
        <w:tc>
          <w:tcPr>
            <w:tcW w:w="1320" w:type="dxa"/>
            <w:vAlign w:val="bottom"/>
            <w:tcBorders>
              <w:bottom w:val="single" w:sz="8" w:color="D8D8D8"/>
            </w:tcBorders>
            <w:shd w:val="clear" w:color="auto" w:fill="D8D8D8"/>
          </w:tcPr>
          <w:p>
            <w:pPr>
              <w:spacing w:after="0"/>
              <w:rPr>
                <w:sz w:val="21"/>
                <w:szCs w:val="21"/>
                <w:color w:val="auto"/>
              </w:rPr>
            </w:pPr>
          </w:p>
        </w:tc>
        <w:tc>
          <w:tcPr>
            <w:tcW w:w="160" w:type="dxa"/>
            <w:vAlign w:val="bottom"/>
            <w:tcBorders>
              <w:bottom w:val="single" w:sz="8" w:color="D8D8D8"/>
            </w:tcBorders>
            <w:shd w:val="clear" w:color="auto" w:fill="D8D8D8"/>
          </w:tcPr>
          <w:p>
            <w:pPr>
              <w:spacing w:after="0"/>
              <w:rPr>
                <w:sz w:val="21"/>
                <w:szCs w:val="21"/>
                <w:color w:val="auto"/>
              </w:rPr>
            </w:pPr>
          </w:p>
        </w:tc>
        <w:tc>
          <w:tcPr>
            <w:tcW w:w="1380" w:type="dxa"/>
            <w:vAlign w:val="bottom"/>
            <w:tcBorders>
              <w:bottom w:val="single" w:sz="8" w:color="D8D8D8"/>
            </w:tcBorders>
            <w:shd w:val="clear" w:color="auto" w:fill="D8D8D8"/>
          </w:tcPr>
          <w:p>
            <w:pPr>
              <w:spacing w:after="0"/>
              <w:rPr>
                <w:sz w:val="21"/>
                <w:szCs w:val="21"/>
                <w:color w:val="auto"/>
              </w:rPr>
            </w:pPr>
          </w:p>
        </w:tc>
        <w:tc>
          <w:tcPr>
            <w:tcW w:w="520" w:type="dxa"/>
            <w:vAlign w:val="bottom"/>
            <w:tcBorders>
              <w:bottom w:val="single" w:sz="8" w:color="D8D8D8"/>
            </w:tcBorders>
            <w:shd w:val="clear" w:color="auto" w:fill="D8D8D8"/>
          </w:tcPr>
          <w:p>
            <w:pPr>
              <w:spacing w:after="0"/>
              <w:rPr>
                <w:sz w:val="21"/>
                <w:szCs w:val="21"/>
                <w:color w:val="auto"/>
              </w:rPr>
            </w:pPr>
          </w:p>
        </w:tc>
        <w:tc>
          <w:tcPr>
            <w:tcW w:w="1280" w:type="dxa"/>
            <w:vAlign w:val="bottom"/>
            <w:tcBorders>
              <w:bottom w:val="single" w:sz="8" w:color="D8D8D8"/>
            </w:tcBorders>
            <w:shd w:val="clear" w:color="auto" w:fill="D8D8D8"/>
          </w:tcPr>
          <w:p>
            <w:pPr>
              <w:spacing w:after="0"/>
              <w:rPr>
                <w:sz w:val="21"/>
                <w:szCs w:val="21"/>
                <w:color w:val="auto"/>
              </w:rPr>
            </w:pPr>
          </w:p>
        </w:tc>
        <w:tc>
          <w:tcPr>
            <w:tcW w:w="440" w:type="dxa"/>
            <w:vAlign w:val="bottom"/>
            <w:tcBorders>
              <w:bottom w:val="single" w:sz="8" w:color="D8D8D8"/>
            </w:tcBorders>
            <w:shd w:val="clear" w:color="auto" w:fill="D8D8D8"/>
          </w:tcPr>
          <w:p>
            <w:pPr>
              <w:spacing w:after="0"/>
              <w:rPr>
                <w:sz w:val="21"/>
                <w:szCs w:val="21"/>
                <w:color w:val="auto"/>
              </w:rPr>
            </w:pPr>
          </w:p>
        </w:tc>
        <w:tc>
          <w:tcPr>
            <w:tcW w:w="1260" w:type="dxa"/>
            <w:vAlign w:val="bottom"/>
            <w:tcBorders>
              <w:bottom w:val="single" w:sz="8" w:color="D8D8D8"/>
            </w:tcBorders>
            <w:shd w:val="clear" w:color="auto" w:fill="D8D8D8"/>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4660" w:type="dxa"/>
            <w:vAlign w:val="bottom"/>
          </w:tcPr>
          <w:p>
            <w:pPr>
              <w:ind w:left="180"/>
              <w:spacing w:after="0"/>
              <w:rPr>
                <w:sz w:val="20"/>
                <w:szCs w:val="20"/>
                <w:color w:val="auto"/>
              </w:rPr>
            </w:pPr>
            <w:r>
              <w:rPr>
                <w:rFonts w:ascii="Arial" w:cs="Arial" w:eastAsia="Arial" w:hAnsi="Arial"/>
                <w:sz w:val="18"/>
                <w:szCs w:val="18"/>
                <w:color w:val="auto"/>
              </w:rPr>
              <w:t>U.S.</w:t>
            </w:r>
          </w:p>
        </w:tc>
        <w:tc>
          <w:tcPr>
            <w:tcW w:w="4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31"/>
              <w:spacing w:after="0"/>
              <w:rPr>
                <w:sz w:val="20"/>
                <w:szCs w:val="20"/>
                <w:color w:val="auto"/>
              </w:rPr>
            </w:pPr>
            <w:r>
              <w:rPr>
                <w:rFonts w:ascii="Arial" w:cs="Arial" w:eastAsia="Arial" w:hAnsi="Arial"/>
                <w:sz w:val="18"/>
                <w:szCs w:val="18"/>
                <w:color w:val="auto"/>
              </w:rPr>
              <w:t>39.2</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17.2</w:t>
            </w:r>
          </w:p>
        </w:tc>
        <w:tc>
          <w:tcPr>
            <w:tcW w:w="520" w:type="dxa"/>
            <w:vAlign w:val="bottom"/>
          </w:tcPr>
          <w:p>
            <w:pPr>
              <w:jc w:val="right"/>
              <w:ind w:right="139"/>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22.0</w:t>
            </w:r>
          </w:p>
        </w:tc>
        <w:tc>
          <w:tcPr>
            <w:tcW w:w="440" w:type="dxa"/>
            <w:vAlign w:val="bottom"/>
          </w:tcPr>
          <w:p>
            <w:pPr>
              <w:ind w:left="12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5"/>
        </w:trPr>
        <w:tc>
          <w:tcPr>
            <w:tcW w:w="4660" w:type="dxa"/>
            <w:vAlign w:val="bottom"/>
            <w:shd w:val="clear" w:color="auto" w:fill="D8D8D8"/>
          </w:tcPr>
          <w:p>
            <w:pPr>
              <w:ind w:left="180"/>
              <w:spacing w:after="0"/>
              <w:rPr>
                <w:sz w:val="20"/>
                <w:szCs w:val="20"/>
                <w:color w:val="auto"/>
              </w:rPr>
            </w:pPr>
            <w:r>
              <w:rPr>
                <w:rFonts w:ascii="Arial" w:cs="Arial" w:eastAsia="Arial" w:hAnsi="Arial"/>
                <w:sz w:val="18"/>
                <w:szCs w:val="18"/>
                <w:color w:val="auto"/>
              </w:rPr>
              <w:t>International</w:t>
            </w:r>
          </w:p>
        </w:tc>
        <w:tc>
          <w:tcPr>
            <w:tcW w:w="400" w:type="dxa"/>
            <w:vAlign w:val="bottom"/>
            <w:shd w:val="clear" w:color="auto" w:fill="D8D8D8"/>
          </w:tcPr>
          <w:p>
            <w:pPr>
              <w:spacing w:after="0"/>
              <w:rPr>
                <w:sz w:val="23"/>
                <w:szCs w:val="23"/>
                <w:color w:val="auto"/>
              </w:rPr>
            </w:pPr>
          </w:p>
        </w:tc>
        <w:tc>
          <w:tcPr>
            <w:tcW w:w="1320" w:type="dxa"/>
            <w:vAlign w:val="bottom"/>
            <w:shd w:val="clear" w:color="auto" w:fill="D8D8D8"/>
          </w:tcPr>
          <w:p>
            <w:pPr>
              <w:jc w:val="right"/>
              <w:ind w:right="131"/>
              <w:spacing w:after="0"/>
              <w:rPr>
                <w:sz w:val="20"/>
                <w:szCs w:val="20"/>
                <w:color w:val="auto"/>
              </w:rPr>
            </w:pPr>
            <w:r>
              <w:rPr>
                <w:rFonts w:ascii="Arial" w:cs="Arial" w:eastAsia="Arial" w:hAnsi="Arial"/>
                <w:sz w:val="18"/>
                <w:szCs w:val="18"/>
                <w:color w:val="auto"/>
              </w:rPr>
              <w:t>158.9</w:t>
            </w:r>
          </w:p>
        </w:tc>
        <w:tc>
          <w:tcPr>
            <w:tcW w:w="160" w:type="dxa"/>
            <w:vAlign w:val="bottom"/>
            <w:shd w:val="clear" w:color="auto" w:fill="D8D8D8"/>
          </w:tcPr>
          <w:p>
            <w:pPr>
              <w:spacing w:after="0"/>
              <w:rPr>
                <w:sz w:val="23"/>
                <w:szCs w:val="23"/>
                <w:color w:val="auto"/>
              </w:rPr>
            </w:pPr>
          </w:p>
        </w:tc>
        <w:tc>
          <w:tcPr>
            <w:tcW w:w="13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58.8</w:t>
            </w:r>
          </w:p>
        </w:tc>
        <w:tc>
          <w:tcPr>
            <w:tcW w:w="520" w:type="dxa"/>
            <w:vAlign w:val="bottom"/>
            <w:shd w:val="clear" w:color="auto" w:fill="D8D8D8"/>
          </w:tcPr>
          <w:p>
            <w:pPr>
              <w:spacing w:after="0"/>
              <w:rPr>
                <w:sz w:val="23"/>
                <w:szCs w:val="23"/>
                <w:color w:val="auto"/>
              </w:rPr>
            </w:pPr>
          </w:p>
        </w:tc>
        <w:tc>
          <w:tcPr>
            <w:tcW w:w="1280" w:type="dxa"/>
            <w:vAlign w:val="bottom"/>
            <w:shd w:val="clear" w:color="auto" w:fill="D8D8D8"/>
          </w:tcPr>
          <w:p>
            <w:pPr>
              <w:jc w:val="right"/>
              <w:ind w:right="33"/>
              <w:spacing w:after="0"/>
              <w:rPr>
                <w:sz w:val="20"/>
                <w:szCs w:val="20"/>
                <w:color w:val="auto"/>
              </w:rPr>
            </w:pPr>
            <w:r>
              <w:rPr>
                <w:rFonts w:ascii="Arial" w:cs="Arial" w:eastAsia="Arial" w:hAnsi="Arial"/>
                <w:sz w:val="18"/>
                <w:szCs w:val="18"/>
                <w:color w:val="auto"/>
              </w:rPr>
              <w:t>100.1</w:t>
            </w:r>
          </w:p>
        </w:tc>
        <w:tc>
          <w:tcPr>
            <w:tcW w:w="440" w:type="dxa"/>
            <w:vAlign w:val="bottom"/>
            <w:shd w:val="clear" w:color="auto" w:fill="D8D8D8"/>
          </w:tcPr>
          <w:p>
            <w:pPr>
              <w:spacing w:after="0"/>
              <w:rPr>
                <w:sz w:val="23"/>
                <w:szCs w:val="23"/>
                <w:color w:val="auto"/>
              </w:rPr>
            </w:pPr>
          </w:p>
        </w:tc>
        <w:tc>
          <w:tcPr>
            <w:tcW w:w="1260" w:type="dxa"/>
            <w:vAlign w:val="bottom"/>
            <w:shd w:val="clear" w:color="auto" w:fill="D8D8D8"/>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7"/>
        </w:trPr>
        <w:tc>
          <w:tcPr>
            <w:tcW w:w="4660" w:type="dxa"/>
            <w:vAlign w:val="bottom"/>
          </w:tcPr>
          <w:p>
            <w:pPr>
              <w:ind w:left="40"/>
              <w:spacing w:after="0"/>
              <w:rPr>
                <w:sz w:val="20"/>
                <w:szCs w:val="20"/>
                <w:color w:val="auto"/>
              </w:rPr>
            </w:pPr>
            <w:r>
              <w:rPr>
                <w:rFonts w:ascii="Arial" w:cs="Arial" w:eastAsia="Arial" w:hAnsi="Arial"/>
                <w:sz w:val="18"/>
                <w:szCs w:val="18"/>
                <w:color w:val="auto"/>
              </w:rPr>
              <w:t>Fixed income:</w:t>
            </w:r>
          </w:p>
        </w:tc>
        <w:tc>
          <w:tcPr>
            <w:tcW w:w="4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46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60" w:type="dxa"/>
            <w:vAlign w:val="bottom"/>
            <w:shd w:val="clear" w:color="auto" w:fill="D8D8D8"/>
          </w:tcPr>
          <w:p>
            <w:pPr>
              <w:ind w:left="180"/>
              <w:spacing w:after="0"/>
              <w:rPr>
                <w:sz w:val="20"/>
                <w:szCs w:val="20"/>
                <w:color w:val="auto"/>
              </w:rPr>
            </w:pPr>
            <w:r>
              <w:rPr>
                <w:rFonts w:ascii="Arial" w:cs="Arial" w:eastAsia="Arial" w:hAnsi="Arial"/>
                <w:sz w:val="18"/>
                <w:szCs w:val="18"/>
                <w:color w:val="auto"/>
              </w:rPr>
              <w:t>Developed markets</w:t>
            </w:r>
          </w:p>
        </w:tc>
        <w:tc>
          <w:tcPr>
            <w:tcW w:w="400" w:type="dxa"/>
            <w:vAlign w:val="bottom"/>
            <w:shd w:val="clear" w:color="auto" w:fill="D8D8D8"/>
          </w:tcPr>
          <w:p>
            <w:pPr>
              <w:spacing w:after="0"/>
              <w:rPr>
                <w:sz w:val="23"/>
                <w:szCs w:val="23"/>
                <w:color w:val="auto"/>
              </w:rPr>
            </w:pPr>
          </w:p>
        </w:tc>
        <w:tc>
          <w:tcPr>
            <w:tcW w:w="1320" w:type="dxa"/>
            <w:vAlign w:val="bottom"/>
            <w:shd w:val="clear" w:color="auto" w:fill="D8D8D8"/>
          </w:tcPr>
          <w:p>
            <w:pPr>
              <w:jc w:val="right"/>
              <w:ind w:right="131"/>
              <w:spacing w:after="0"/>
              <w:rPr>
                <w:sz w:val="20"/>
                <w:szCs w:val="20"/>
                <w:color w:val="auto"/>
              </w:rPr>
            </w:pPr>
            <w:r>
              <w:rPr>
                <w:rFonts w:ascii="Arial" w:cs="Arial" w:eastAsia="Arial" w:hAnsi="Arial"/>
                <w:sz w:val="18"/>
                <w:szCs w:val="18"/>
                <w:color w:val="auto"/>
              </w:rPr>
              <w:t>61.8</w:t>
            </w:r>
          </w:p>
        </w:tc>
        <w:tc>
          <w:tcPr>
            <w:tcW w:w="160" w:type="dxa"/>
            <w:vAlign w:val="bottom"/>
            <w:shd w:val="clear" w:color="auto" w:fill="D8D8D8"/>
          </w:tcPr>
          <w:p>
            <w:pPr>
              <w:spacing w:after="0"/>
              <w:rPr>
                <w:sz w:val="23"/>
                <w:szCs w:val="23"/>
                <w:color w:val="auto"/>
              </w:rPr>
            </w:pPr>
          </w:p>
        </w:tc>
        <w:tc>
          <w:tcPr>
            <w:tcW w:w="13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D8D8D8"/>
          </w:tcPr>
          <w:p>
            <w:pPr>
              <w:spacing w:after="0"/>
              <w:rPr>
                <w:sz w:val="23"/>
                <w:szCs w:val="23"/>
                <w:color w:val="auto"/>
              </w:rPr>
            </w:pPr>
          </w:p>
        </w:tc>
        <w:tc>
          <w:tcPr>
            <w:tcW w:w="1280" w:type="dxa"/>
            <w:vAlign w:val="bottom"/>
            <w:shd w:val="clear" w:color="auto" w:fill="D8D8D8"/>
          </w:tcPr>
          <w:p>
            <w:pPr>
              <w:jc w:val="right"/>
              <w:ind w:right="33"/>
              <w:spacing w:after="0"/>
              <w:rPr>
                <w:sz w:val="20"/>
                <w:szCs w:val="20"/>
                <w:color w:val="auto"/>
              </w:rPr>
            </w:pPr>
            <w:r>
              <w:rPr>
                <w:rFonts w:ascii="Arial" w:cs="Arial" w:eastAsia="Arial" w:hAnsi="Arial"/>
                <w:sz w:val="18"/>
                <w:szCs w:val="18"/>
                <w:color w:val="auto"/>
              </w:rPr>
              <w:t>61.8</w:t>
            </w:r>
          </w:p>
        </w:tc>
        <w:tc>
          <w:tcPr>
            <w:tcW w:w="440" w:type="dxa"/>
            <w:vAlign w:val="bottom"/>
            <w:shd w:val="clear" w:color="auto" w:fill="D8D8D8"/>
          </w:tcPr>
          <w:p>
            <w:pPr>
              <w:spacing w:after="0"/>
              <w:rPr>
                <w:sz w:val="23"/>
                <w:szCs w:val="23"/>
                <w:color w:val="auto"/>
              </w:rPr>
            </w:pPr>
          </w:p>
        </w:tc>
        <w:tc>
          <w:tcPr>
            <w:tcW w:w="1260" w:type="dxa"/>
            <w:vAlign w:val="bottom"/>
            <w:shd w:val="clear" w:color="auto" w:fill="D8D8D8"/>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5"/>
        </w:trPr>
        <w:tc>
          <w:tcPr>
            <w:tcW w:w="4660" w:type="dxa"/>
            <w:vAlign w:val="bottom"/>
          </w:tcPr>
          <w:p>
            <w:pPr>
              <w:ind w:left="180"/>
              <w:spacing w:after="0"/>
              <w:rPr>
                <w:sz w:val="20"/>
                <w:szCs w:val="20"/>
                <w:color w:val="auto"/>
              </w:rPr>
            </w:pPr>
            <w:r>
              <w:rPr>
                <w:rFonts w:ascii="Arial" w:cs="Arial" w:eastAsia="Arial" w:hAnsi="Arial"/>
                <w:sz w:val="18"/>
                <w:szCs w:val="18"/>
                <w:color w:val="auto"/>
              </w:rPr>
              <w:t>Emerging markets</w:t>
            </w:r>
          </w:p>
        </w:tc>
        <w:tc>
          <w:tcPr>
            <w:tcW w:w="400" w:type="dxa"/>
            <w:vAlign w:val="bottom"/>
          </w:tcPr>
          <w:p>
            <w:pPr>
              <w:spacing w:after="0"/>
              <w:rPr>
                <w:sz w:val="23"/>
                <w:szCs w:val="23"/>
                <w:color w:val="auto"/>
              </w:rPr>
            </w:pPr>
          </w:p>
        </w:tc>
        <w:tc>
          <w:tcPr>
            <w:tcW w:w="1320" w:type="dxa"/>
            <w:vAlign w:val="bottom"/>
          </w:tcPr>
          <w:p>
            <w:pPr>
              <w:jc w:val="right"/>
              <w:ind w:right="131"/>
              <w:spacing w:after="0"/>
              <w:rPr>
                <w:sz w:val="20"/>
                <w:szCs w:val="20"/>
                <w:color w:val="auto"/>
              </w:rPr>
            </w:pPr>
            <w:r>
              <w:rPr>
                <w:rFonts w:ascii="Arial" w:cs="Arial" w:eastAsia="Arial" w:hAnsi="Arial"/>
                <w:sz w:val="18"/>
                <w:szCs w:val="18"/>
                <w:color w:val="auto"/>
              </w:rPr>
              <w:t>35.5</w:t>
            </w:r>
          </w:p>
        </w:tc>
        <w:tc>
          <w:tcPr>
            <w:tcW w:w="16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3"/>
                <w:szCs w:val="23"/>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35.3</w:t>
            </w:r>
          </w:p>
        </w:tc>
        <w:tc>
          <w:tcPr>
            <w:tcW w:w="440" w:type="dxa"/>
            <w:vAlign w:val="bottom"/>
          </w:tcPr>
          <w:p>
            <w:pPr>
              <w:spacing w:after="0"/>
              <w:rPr>
                <w:sz w:val="23"/>
                <w:szCs w:val="23"/>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55"/>
        </w:trPr>
        <w:tc>
          <w:tcPr>
            <w:tcW w:w="4660" w:type="dxa"/>
            <w:vAlign w:val="bottom"/>
            <w:tcBorders>
              <w:bottom w:val="single" w:sz="8" w:color="D8D8D8"/>
            </w:tcBorders>
            <w:shd w:val="clear" w:color="auto" w:fill="D8D8D8"/>
          </w:tcPr>
          <w:p>
            <w:pPr>
              <w:ind w:left="40"/>
              <w:spacing w:after="0"/>
              <w:rPr>
                <w:sz w:val="20"/>
                <w:szCs w:val="20"/>
                <w:color w:val="auto"/>
              </w:rPr>
            </w:pPr>
            <w:r>
              <w:rPr>
                <w:rFonts w:ascii="Arial" w:cs="Arial" w:eastAsia="Arial" w:hAnsi="Arial"/>
                <w:sz w:val="18"/>
                <w:szCs w:val="18"/>
                <w:color w:val="auto"/>
              </w:rPr>
              <w:t>Private alternative investments:</w:t>
            </w:r>
          </w:p>
        </w:tc>
        <w:tc>
          <w:tcPr>
            <w:tcW w:w="400" w:type="dxa"/>
            <w:vAlign w:val="bottom"/>
            <w:tcBorders>
              <w:bottom w:val="single" w:sz="8" w:color="D8D8D8"/>
            </w:tcBorders>
            <w:shd w:val="clear" w:color="auto" w:fill="D8D8D8"/>
          </w:tcPr>
          <w:p>
            <w:pPr>
              <w:spacing w:after="0"/>
              <w:rPr>
                <w:sz w:val="22"/>
                <w:szCs w:val="22"/>
                <w:color w:val="auto"/>
              </w:rPr>
            </w:pPr>
          </w:p>
        </w:tc>
        <w:tc>
          <w:tcPr>
            <w:tcW w:w="1320" w:type="dxa"/>
            <w:vAlign w:val="bottom"/>
            <w:tcBorders>
              <w:bottom w:val="single" w:sz="8" w:color="D8D8D8"/>
            </w:tcBorders>
            <w:shd w:val="clear" w:color="auto" w:fill="D8D8D8"/>
          </w:tcPr>
          <w:p>
            <w:pPr>
              <w:spacing w:after="0"/>
              <w:rPr>
                <w:sz w:val="22"/>
                <w:szCs w:val="22"/>
                <w:color w:val="auto"/>
              </w:rPr>
            </w:pPr>
          </w:p>
        </w:tc>
        <w:tc>
          <w:tcPr>
            <w:tcW w:w="160" w:type="dxa"/>
            <w:vAlign w:val="bottom"/>
            <w:tcBorders>
              <w:bottom w:val="single" w:sz="8" w:color="D8D8D8"/>
            </w:tcBorders>
            <w:shd w:val="clear" w:color="auto" w:fill="D8D8D8"/>
          </w:tcPr>
          <w:p>
            <w:pPr>
              <w:spacing w:after="0"/>
              <w:rPr>
                <w:sz w:val="22"/>
                <w:szCs w:val="22"/>
                <w:color w:val="auto"/>
              </w:rPr>
            </w:pPr>
          </w:p>
        </w:tc>
        <w:tc>
          <w:tcPr>
            <w:tcW w:w="1380" w:type="dxa"/>
            <w:vAlign w:val="bottom"/>
            <w:tcBorders>
              <w:bottom w:val="single" w:sz="8" w:color="D8D8D8"/>
            </w:tcBorders>
            <w:shd w:val="clear" w:color="auto" w:fill="D8D8D8"/>
          </w:tcPr>
          <w:p>
            <w:pPr>
              <w:spacing w:after="0"/>
              <w:rPr>
                <w:sz w:val="22"/>
                <w:szCs w:val="22"/>
                <w:color w:val="auto"/>
              </w:rPr>
            </w:pPr>
          </w:p>
        </w:tc>
        <w:tc>
          <w:tcPr>
            <w:tcW w:w="520" w:type="dxa"/>
            <w:vAlign w:val="bottom"/>
            <w:tcBorders>
              <w:bottom w:val="single" w:sz="8" w:color="D8D8D8"/>
            </w:tcBorders>
            <w:shd w:val="clear" w:color="auto" w:fill="D8D8D8"/>
          </w:tcPr>
          <w:p>
            <w:pPr>
              <w:spacing w:after="0"/>
              <w:rPr>
                <w:sz w:val="22"/>
                <w:szCs w:val="22"/>
                <w:color w:val="auto"/>
              </w:rPr>
            </w:pPr>
          </w:p>
        </w:tc>
        <w:tc>
          <w:tcPr>
            <w:tcW w:w="1280" w:type="dxa"/>
            <w:vAlign w:val="bottom"/>
            <w:tcBorders>
              <w:bottom w:val="single" w:sz="8" w:color="D8D8D8"/>
            </w:tcBorders>
            <w:shd w:val="clear" w:color="auto" w:fill="D8D8D8"/>
          </w:tcPr>
          <w:p>
            <w:pPr>
              <w:spacing w:after="0"/>
              <w:rPr>
                <w:sz w:val="22"/>
                <w:szCs w:val="22"/>
                <w:color w:val="auto"/>
              </w:rPr>
            </w:pPr>
          </w:p>
        </w:tc>
        <w:tc>
          <w:tcPr>
            <w:tcW w:w="440" w:type="dxa"/>
            <w:vAlign w:val="bottom"/>
            <w:tcBorders>
              <w:bottom w:val="single" w:sz="8" w:color="D8D8D8"/>
            </w:tcBorders>
            <w:shd w:val="clear" w:color="auto" w:fill="D8D8D8"/>
          </w:tcPr>
          <w:p>
            <w:pPr>
              <w:spacing w:after="0"/>
              <w:rPr>
                <w:sz w:val="22"/>
                <w:szCs w:val="22"/>
                <w:color w:val="auto"/>
              </w:rPr>
            </w:pPr>
          </w:p>
        </w:tc>
        <w:tc>
          <w:tcPr>
            <w:tcW w:w="1260" w:type="dxa"/>
            <w:vAlign w:val="bottom"/>
            <w:tcBorders>
              <w:bottom w:val="single" w:sz="8" w:color="D8D8D8"/>
            </w:tcBorders>
            <w:shd w:val="clear" w:color="auto" w:fill="D8D8D8"/>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660" w:type="dxa"/>
            <w:vAlign w:val="bottom"/>
          </w:tcPr>
          <w:p>
            <w:pPr>
              <w:ind w:left="180"/>
              <w:spacing w:after="0"/>
              <w:rPr>
                <w:sz w:val="20"/>
                <w:szCs w:val="20"/>
                <w:color w:val="auto"/>
              </w:rPr>
            </w:pPr>
            <w:r>
              <w:rPr>
                <w:rFonts w:ascii="Arial" w:cs="Arial" w:eastAsia="Arial" w:hAnsi="Arial"/>
                <w:sz w:val="18"/>
                <w:szCs w:val="18"/>
                <w:color w:val="auto"/>
              </w:rPr>
              <w:t>Hedge funds</w:t>
            </w:r>
          </w:p>
        </w:tc>
        <w:tc>
          <w:tcPr>
            <w:tcW w:w="400" w:type="dxa"/>
            <w:vAlign w:val="bottom"/>
          </w:tcPr>
          <w:p>
            <w:pPr>
              <w:spacing w:after="0"/>
              <w:rPr>
                <w:sz w:val="23"/>
                <w:szCs w:val="23"/>
                <w:color w:val="auto"/>
              </w:rPr>
            </w:pPr>
          </w:p>
        </w:tc>
        <w:tc>
          <w:tcPr>
            <w:tcW w:w="1320" w:type="dxa"/>
            <w:vAlign w:val="bottom"/>
          </w:tcPr>
          <w:p>
            <w:pPr>
              <w:jc w:val="right"/>
              <w:ind w:right="131"/>
              <w:spacing w:after="0"/>
              <w:rPr>
                <w:sz w:val="20"/>
                <w:szCs w:val="20"/>
                <w:color w:val="auto"/>
              </w:rPr>
            </w:pPr>
            <w:r>
              <w:rPr>
                <w:rFonts w:ascii="Arial" w:cs="Arial" w:eastAsia="Arial" w:hAnsi="Arial"/>
                <w:sz w:val="18"/>
                <w:szCs w:val="18"/>
                <w:color w:val="auto"/>
              </w:rPr>
              <w:t>282.7</w:t>
            </w:r>
          </w:p>
        </w:tc>
        <w:tc>
          <w:tcPr>
            <w:tcW w:w="16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3"/>
                <w:szCs w:val="23"/>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158.7</w:t>
            </w:r>
          </w:p>
        </w:tc>
        <w:tc>
          <w:tcPr>
            <w:tcW w:w="440" w:type="dxa"/>
            <w:vAlign w:val="bottom"/>
          </w:tcPr>
          <w:p>
            <w:pPr>
              <w:spacing w:after="0"/>
              <w:rPr>
                <w:sz w:val="23"/>
                <w:szCs w:val="23"/>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124.0</w:t>
            </w:r>
          </w:p>
        </w:tc>
        <w:tc>
          <w:tcPr>
            <w:tcW w:w="0" w:type="dxa"/>
            <w:vAlign w:val="bottom"/>
          </w:tcPr>
          <w:p>
            <w:pPr>
              <w:spacing w:after="0"/>
              <w:rPr>
                <w:sz w:val="1"/>
                <w:szCs w:val="1"/>
                <w:color w:val="auto"/>
              </w:rPr>
            </w:pPr>
          </w:p>
        </w:tc>
      </w:tr>
      <w:tr>
        <w:trPr>
          <w:trHeight w:val="275"/>
        </w:trPr>
        <w:tc>
          <w:tcPr>
            <w:tcW w:w="4660" w:type="dxa"/>
            <w:vAlign w:val="bottom"/>
            <w:shd w:val="clear" w:color="auto" w:fill="D8D8D8"/>
          </w:tcPr>
          <w:p>
            <w:pPr>
              <w:ind w:left="180"/>
              <w:spacing w:after="0"/>
              <w:rPr>
                <w:sz w:val="20"/>
                <w:szCs w:val="20"/>
                <w:color w:val="auto"/>
              </w:rPr>
            </w:pPr>
            <w:r>
              <w:rPr>
                <w:rFonts w:ascii="Arial" w:cs="Arial" w:eastAsia="Arial" w:hAnsi="Arial"/>
                <w:sz w:val="18"/>
                <w:szCs w:val="18"/>
                <w:color w:val="auto"/>
              </w:rPr>
              <w:t>Equity-like funds</w:t>
            </w:r>
          </w:p>
        </w:tc>
        <w:tc>
          <w:tcPr>
            <w:tcW w:w="400" w:type="dxa"/>
            <w:vAlign w:val="bottom"/>
            <w:shd w:val="clear" w:color="auto" w:fill="D8D8D8"/>
          </w:tcPr>
          <w:p>
            <w:pPr>
              <w:spacing w:after="0"/>
              <w:rPr>
                <w:sz w:val="23"/>
                <w:szCs w:val="23"/>
                <w:color w:val="auto"/>
              </w:rPr>
            </w:pPr>
          </w:p>
        </w:tc>
        <w:tc>
          <w:tcPr>
            <w:tcW w:w="1320" w:type="dxa"/>
            <w:vAlign w:val="bottom"/>
            <w:shd w:val="clear" w:color="auto" w:fill="D8D8D8"/>
          </w:tcPr>
          <w:p>
            <w:pPr>
              <w:jc w:val="right"/>
              <w:ind w:right="131"/>
              <w:spacing w:after="0"/>
              <w:rPr>
                <w:sz w:val="20"/>
                <w:szCs w:val="20"/>
                <w:color w:val="auto"/>
              </w:rPr>
            </w:pPr>
            <w:r>
              <w:rPr>
                <w:rFonts w:ascii="Arial" w:cs="Arial" w:eastAsia="Arial" w:hAnsi="Arial"/>
                <w:sz w:val="18"/>
                <w:szCs w:val="18"/>
                <w:color w:val="auto"/>
              </w:rPr>
              <w:t>92.3</w:t>
            </w:r>
          </w:p>
        </w:tc>
        <w:tc>
          <w:tcPr>
            <w:tcW w:w="160" w:type="dxa"/>
            <w:vAlign w:val="bottom"/>
            <w:shd w:val="clear" w:color="auto" w:fill="D8D8D8"/>
          </w:tcPr>
          <w:p>
            <w:pPr>
              <w:spacing w:after="0"/>
              <w:rPr>
                <w:sz w:val="23"/>
                <w:szCs w:val="23"/>
                <w:color w:val="auto"/>
              </w:rPr>
            </w:pPr>
          </w:p>
        </w:tc>
        <w:tc>
          <w:tcPr>
            <w:tcW w:w="13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D8D8D8"/>
          </w:tcPr>
          <w:p>
            <w:pPr>
              <w:spacing w:after="0"/>
              <w:rPr>
                <w:sz w:val="23"/>
                <w:szCs w:val="23"/>
                <w:color w:val="auto"/>
              </w:rPr>
            </w:pPr>
          </w:p>
        </w:tc>
        <w:tc>
          <w:tcPr>
            <w:tcW w:w="1280" w:type="dxa"/>
            <w:vAlign w:val="bottom"/>
            <w:shd w:val="clear" w:color="auto" w:fill="D8D8D8"/>
          </w:tcPr>
          <w:p>
            <w:pPr>
              <w:jc w:val="right"/>
              <w:ind w:right="33"/>
              <w:spacing w:after="0"/>
              <w:rPr>
                <w:sz w:val="20"/>
                <w:szCs w:val="20"/>
                <w:color w:val="auto"/>
              </w:rPr>
            </w:pPr>
            <w:r>
              <w:rPr>
                <w:rFonts w:ascii="Arial" w:cs="Arial" w:eastAsia="Arial" w:hAnsi="Arial"/>
                <w:sz w:val="18"/>
                <w:szCs w:val="18"/>
                <w:color w:val="auto"/>
              </w:rPr>
              <w:t>—</w:t>
            </w:r>
          </w:p>
        </w:tc>
        <w:tc>
          <w:tcPr>
            <w:tcW w:w="440" w:type="dxa"/>
            <w:vAlign w:val="bottom"/>
            <w:shd w:val="clear" w:color="auto" w:fill="D8D8D8"/>
          </w:tcPr>
          <w:p>
            <w:pPr>
              <w:spacing w:after="0"/>
              <w:rPr>
                <w:sz w:val="23"/>
                <w:szCs w:val="23"/>
                <w:color w:val="auto"/>
              </w:rPr>
            </w:pPr>
          </w:p>
        </w:tc>
        <w:tc>
          <w:tcPr>
            <w:tcW w:w="1260" w:type="dxa"/>
            <w:vAlign w:val="bottom"/>
            <w:shd w:val="clear" w:color="auto" w:fill="D8D8D8"/>
          </w:tcPr>
          <w:p>
            <w:pPr>
              <w:jc w:val="right"/>
              <w:ind w:right="13"/>
              <w:spacing w:after="0"/>
              <w:rPr>
                <w:sz w:val="20"/>
                <w:szCs w:val="20"/>
                <w:color w:val="auto"/>
              </w:rPr>
            </w:pPr>
            <w:r>
              <w:rPr>
                <w:rFonts w:ascii="Arial" w:cs="Arial" w:eastAsia="Arial" w:hAnsi="Arial"/>
                <w:sz w:val="18"/>
                <w:szCs w:val="18"/>
                <w:color w:val="auto"/>
              </w:rPr>
              <w:t>92.3</w:t>
            </w:r>
          </w:p>
        </w:tc>
        <w:tc>
          <w:tcPr>
            <w:tcW w:w="0" w:type="dxa"/>
            <w:vAlign w:val="bottom"/>
          </w:tcPr>
          <w:p>
            <w:pPr>
              <w:spacing w:after="0"/>
              <w:rPr>
                <w:sz w:val="1"/>
                <w:szCs w:val="1"/>
                <w:color w:val="auto"/>
              </w:rPr>
            </w:pPr>
          </w:p>
        </w:tc>
      </w:tr>
      <w:tr>
        <w:trPr>
          <w:trHeight w:val="265"/>
        </w:trPr>
        <w:tc>
          <w:tcPr>
            <w:tcW w:w="4660" w:type="dxa"/>
            <w:vAlign w:val="bottom"/>
          </w:tcPr>
          <w:p>
            <w:pPr>
              <w:ind w:left="40"/>
              <w:spacing w:after="0"/>
              <w:rPr>
                <w:sz w:val="20"/>
                <w:szCs w:val="20"/>
                <w:color w:val="auto"/>
              </w:rPr>
            </w:pPr>
            <w:r>
              <w:rPr>
                <w:rFonts w:ascii="Arial" w:cs="Arial" w:eastAsia="Arial" w:hAnsi="Arial"/>
                <w:sz w:val="18"/>
                <w:szCs w:val="18"/>
                <w:color w:val="auto"/>
              </w:rPr>
              <w:t>Cash value of trust owned insurance contract</w:t>
            </w:r>
          </w:p>
        </w:tc>
        <w:tc>
          <w:tcPr>
            <w:tcW w:w="400" w:type="dxa"/>
            <w:vAlign w:val="bottom"/>
          </w:tcPr>
          <w:p>
            <w:pPr>
              <w:spacing w:after="0"/>
              <w:rPr>
                <w:sz w:val="23"/>
                <w:szCs w:val="23"/>
                <w:color w:val="auto"/>
              </w:rPr>
            </w:pPr>
          </w:p>
        </w:tc>
        <w:tc>
          <w:tcPr>
            <w:tcW w:w="1320" w:type="dxa"/>
            <w:vAlign w:val="bottom"/>
          </w:tcPr>
          <w:p>
            <w:pPr>
              <w:jc w:val="right"/>
              <w:ind w:right="131"/>
              <w:spacing w:after="0"/>
              <w:rPr>
                <w:sz w:val="20"/>
                <w:szCs w:val="20"/>
                <w:color w:val="auto"/>
              </w:rPr>
            </w:pPr>
            <w:r>
              <w:rPr>
                <w:rFonts w:ascii="Arial" w:cs="Arial" w:eastAsia="Arial" w:hAnsi="Arial"/>
                <w:sz w:val="18"/>
                <w:szCs w:val="18"/>
                <w:color w:val="auto"/>
              </w:rPr>
              <w:t>1,189.2</w:t>
            </w:r>
          </w:p>
        </w:tc>
        <w:tc>
          <w:tcPr>
            <w:tcW w:w="16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3"/>
                <w:szCs w:val="23"/>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1,189.2</w:t>
            </w:r>
          </w:p>
        </w:tc>
        <w:tc>
          <w:tcPr>
            <w:tcW w:w="440" w:type="dxa"/>
            <w:vAlign w:val="bottom"/>
          </w:tcPr>
          <w:p>
            <w:pPr>
              <w:spacing w:after="0"/>
              <w:rPr>
                <w:sz w:val="23"/>
                <w:szCs w:val="23"/>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5"/>
        </w:trPr>
        <w:tc>
          <w:tcPr>
            <w:tcW w:w="4660" w:type="dxa"/>
            <w:vAlign w:val="bottom"/>
            <w:shd w:val="clear" w:color="auto" w:fill="D8D8D8"/>
          </w:tcPr>
          <w:p>
            <w:pPr>
              <w:ind w:left="40"/>
              <w:spacing w:after="0"/>
              <w:rPr>
                <w:sz w:val="20"/>
                <w:szCs w:val="20"/>
                <w:color w:val="auto"/>
              </w:rPr>
            </w:pPr>
            <w:r>
              <w:rPr>
                <w:rFonts w:ascii="Arial" w:cs="Arial" w:eastAsia="Arial" w:hAnsi="Arial"/>
                <w:sz w:val="18"/>
                <w:szCs w:val="18"/>
                <w:color w:val="auto"/>
              </w:rPr>
              <w:t>Real estate</w:t>
            </w:r>
          </w:p>
        </w:tc>
        <w:tc>
          <w:tcPr>
            <w:tcW w:w="400" w:type="dxa"/>
            <w:vAlign w:val="bottom"/>
            <w:shd w:val="clear" w:color="auto" w:fill="D8D8D8"/>
          </w:tcPr>
          <w:p>
            <w:pPr>
              <w:spacing w:after="0"/>
              <w:rPr>
                <w:sz w:val="23"/>
                <w:szCs w:val="23"/>
                <w:color w:val="auto"/>
              </w:rPr>
            </w:pPr>
          </w:p>
        </w:tc>
        <w:tc>
          <w:tcPr>
            <w:tcW w:w="1320" w:type="dxa"/>
            <w:vAlign w:val="bottom"/>
            <w:shd w:val="clear" w:color="auto" w:fill="D8D8D8"/>
          </w:tcPr>
          <w:p>
            <w:pPr>
              <w:jc w:val="right"/>
              <w:ind w:right="131"/>
              <w:spacing w:after="0"/>
              <w:rPr>
                <w:sz w:val="20"/>
                <w:szCs w:val="20"/>
                <w:color w:val="auto"/>
              </w:rPr>
            </w:pPr>
            <w:r>
              <w:rPr>
                <w:rFonts w:ascii="Arial" w:cs="Arial" w:eastAsia="Arial" w:hAnsi="Arial"/>
                <w:sz w:val="18"/>
                <w:szCs w:val="18"/>
                <w:color w:val="auto"/>
              </w:rPr>
              <w:t>39.0</w:t>
            </w:r>
          </w:p>
        </w:tc>
        <w:tc>
          <w:tcPr>
            <w:tcW w:w="160" w:type="dxa"/>
            <w:vAlign w:val="bottom"/>
            <w:shd w:val="clear" w:color="auto" w:fill="D8D8D8"/>
          </w:tcPr>
          <w:p>
            <w:pPr>
              <w:spacing w:after="0"/>
              <w:rPr>
                <w:sz w:val="23"/>
                <w:szCs w:val="23"/>
                <w:color w:val="auto"/>
              </w:rPr>
            </w:pPr>
          </w:p>
        </w:tc>
        <w:tc>
          <w:tcPr>
            <w:tcW w:w="13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39.0</w:t>
            </w:r>
          </w:p>
        </w:tc>
        <w:tc>
          <w:tcPr>
            <w:tcW w:w="520" w:type="dxa"/>
            <w:vAlign w:val="bottom"/>
            <w:shd w:val="clear" w:color="auto" w:fill="D8D8D8"/>
          </w:tcPr>
          <w:p>
            <w:pPr>
              <w:spacing w:after="0"/>
              <w:rPr>
                <w:sz w:val="23"/>
                <w:szCs w:val="23"/>
                <w:color w:val="auto"/>
              </w:rPr>
            </w:pPr>
          </w:p>
        </w:tc>
        <w:tc>
          <w:tcPr>
            <w:tcW w:w="1280" w:type="dxa"/>
            <w:vAlign w:val="bottom"/>
            <w:shd w:val="clear" w:color="auto" w:fill="D8D8D8"/>
          </w:tcPr>
          <w:p>
            <w:pPr>
              <w:jc w:val="right"/>
              <w:ind w:right="33"/>
              <w:spacing w:after="0"/>
              <w:rPr>
                <w:sz w:val="20"/>
                <w:szCs w:val="20"/>
                <w:color w:val="auto"/>
              </w:rPr>
            </w:pPr>
            <w:r>
              <w:rPr>
                <w:rFonts w:ascii="Arial" w:cs="Arial" w:eastAsia="Arial" w:hAnsi="Arial"/>
                <w:sz w:val="18"/>
                <w:szCs w:val="18"/>
                <w:color w:val="auto"/>
              </w:rPr>
              <w:t>—</w:t>
            </w:r>
          </w:p>
        </w:tc>
        <w:tc>
          <w:tcPr>
            <w:tcW w:w="440" w:type="dxa"/>
            <w:vAlign w:val="bottom"/>
            <w:shd w:val="clear" w:color="auto" w:fill="D8D8D8"/>
          </w:tcPr>
          <w:p>
            <w:pPr>
              <w:spacing w:after="0"/>
              <w:rPr>
                <w:sz w:val="23"/>
                <w:szCs w:val="23"/>
                <w:color w:val="auto"/>
              </w:rPr>
            </w:pPr>
          </w:p>
        </w:tc>
        <w:tc>
          <w:tcPr>
            <w:tcW w:w="1260" w:type="dxa"/>
            <w:vAlign w:val="bottom"/>
            <w:shd w:val="clear" w:color="auto" w:fill="D8D8D8"/>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5"/>
        </w:trPr>
        <w:tc>
          <w:tcPr>
            <w:tcW w:w="4660" w:type="dxa"/>
            <w:vAlign w:val="bottom"/>
            <w:tcBorders>
              <w:bottom w:val="single" w:sz="8" w:color="D8D8D8"/>
            </w:tcBorders>
          </w:tcPr>
          <w:p>
            <w:pPr>
              <w:ind w:left="40"/>
              <w:spacing w:after="0"/>
              <w:rPr>
                <w:sz w:val="20"/>
                <w:szCs w:val="20"/>
                <w:color w:val="auto"/>
              </w:rPr>
            </w:pPr>
            <w:r>
              <w:rPr>
                <w:rFonts w:ascii="Arial" w:cs="Arial" w:eastAsia="Arial" w:hAnsi="Arial"/>
                <w:sz w:val="18"/>
                <w:szCs w:val="18"/>
                <w:color w:val="auto"/>
              </w:rPr>
              <w:t>Other</w:t>
            </w:r>
          </w:p>
        </w:tc>
        <w:tc>
          <w:tcPr>
            <w:tcW w:w="40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20.1</w:t>
            </w:r>
          </w:p>
        </w:tc>
        <w:tc>
          <w:tcPr>
            <w:tcW w:w="16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52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12.5</w:t>
            </w:r>
          </w:p>
        </w:tc>
        <w:tc>
          <w:tcPr>
            <w:tcW w:w="44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5"/>
        </w:trPr>
        <w:tc>
          <w:tcPr>
            <w:tcW w:w="4660" w:type="dxa"/>
            <w:vAlign w:val="bottom"/>
            <w:tcBorders>
              <w:bottom w:val="single" w:sz="8" w:color="D8D8D8"/>
            </w:tcBorders>
            <w:shd w:val="clear" w:color="auto" w:fill="D8D8D8"/>
          </w:tcPr>
          <w:p>
            <w:pPr>
              <w:ind w:left="40"/>
              <w:spacing w:after="0"/>
              <w:rPr>
                <w:sz w:val="20"/>
                <w:szCs w:val="20"/>
                <w:color w:val="auto"/>
              </w:rPr>
            </w:pPr>
            <w:r>
              <w:rPr>
                <w:rFonts w:ascii="Arial" w:cs="Arial" w:eastAsia="Arial" w:hAnsi="Arial"/>
                <w:sz w:val="18"/>
                <w:szCs w:val="18"/>
                <w:color w:val="auto"/>
              </w:rPr>
              <w:t>Total</w:t>
            </w:r>
          </w:p>
        </w:tc>
        <w:tc>
          <w:tcPr>
            <w:tcW w:w="400" w:type="dxa"/>
            <w:vAlign w:val="bottom"/>
            <w:tcBorders>
              <w:bottom w:val="single" w:sz="8" w:color="auto"/>
            </w:tcBorders>
            <w:shd w:val="clear" w:color="auto" w:fill="D8D8D8"/>
          </w:tcPr>
          <w:p>
            <w:pPr>
              <w:jc w:val="right"/>
              <w:ind w:right="17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D8D8D8"/>
          </w:tcPr>
          <w:p>
            <w:pPr>
              <w:jc w:val="right"/>
              <w:ind w:right="131"/>
              <w:spacing w:after="0"/>
              <w:rPr>
                <w:sz w:val="20"/>
                <w:szCs w:val="20"/>
                <w:color w:val="auto"/>
              </w:rPr>
            </w:pPr>
            <w:r>
              <w:rPr>
                <w:rFonts w:ascii="Arial" w:cs="Arial" w:eastAsia="Arial" w:hAnsi="Arial"/>
                <w:sz w:val="18"/>
                <w:szCs w:val="18"/>
                <w:color w:val="auto"/>
              </w:rPr>
              <w:t>1,918.7</w:t>
            </w:r>
          </w:p>
        </w:tc>
        <w:tc>
          <w:tcPr>
            <w:tcW w:w="16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122.6</w:t>
            </w:r>
          </w:p>
        </w:tc>
        <w:tc>
          <w:tcPr>
            <w:tcW w:w="520" w:type="dxa"/>
            <w:vAlign w:val="bottom"/>
            <w:tcBorders>
              <w:bottom w:val="single" w:sz="8" w:color="auto"/>
            </w:tcBorders>
            <w:shd w:val="clear" w:color="auto" w:fill="D8D8D8"/>
          </w:tcPr>
          <w:p>
            <w:pPr>
              <w:jc w:val="right"/>
              <w:ind w:right="139"/>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D8D8D8"/>
          </w:tcPr>
          <w:p>
            <w:pPr>
              <w:jc w:val="right"/>
              <w:ind w:right="33"/>
              <w:spacing w:after="0"/>
              <w:rPr>
                <w:sz w:val="20"/>
                <w:szCs w:val="20"/>
                <w:color w:val="auto"/>
              </w:rPr>
            </w:pPr>
            <w:r>
              <w:rPr>
                <w:rFonts w:ascii="Arial" w:cs="Arial" w:eastAsia="Arial" w:hAnsi="Arial"/>
                <w:sz w:val="18"/>
                <w:szCs w:val="18"/>
                <w:color w:val="auto"/>
              </w:rPr>
              <w:t>1,579.6</w:t>
            </w:r>
          </w:p>
        </w:tc>
        <w:tc>
          <w:tcPr>
            <w:tcW w:w="440" w:type="dxa"/>
            <w:vAlign w:val="bottom"/>
            <w:tcBorders>
              <w:bottom w:val="single" w:sz="8" w:color="auto"/>
            </w:tcBorders>
            <w:shd w:val="clear" w:color="auto" w:fill="D8D8D8"/>
          </w:tcPr>
          <w:p>
            <w:pPr>
              <w:ind w:left="12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D8D8D8"/>
          </w:tcPr>
          <w:p>
            <w:pPr>
              <w:jc w:val="right"/>
              <w:ind w:right="13"/>
              <w:spacing w:after="0"/>
              <w:rPr>
                <w:sz w:val="20"/>
                <w:szCs w:val="20"/>
                <w:color w:val="auto"/>
              </w:rPr>
            </w:pPr>
            <w:r>
              <w:rPr>
                <w:rFonts w:ascii="Arial" w:cs="Arial" w:eastAsia="Arial" w:hAnsi="Arial"/>
                <w:sz w:val="18"/>
                <w:szCs w:val="18"/>
                <w:color w:val="auto"/>
              </w:rPr>
              <w:t>216.5</w:t>
            </w:r>
          </w:p>
        </w:tc>
        <w:tc>
          <w:tcPr>
            <w:tcW w:w="0" w:type="dxa"/>
            <w:vAlign w:val="bottom"/>
          </w:tcPr>
          <w:p>
            <w:pPr>
              <w:spacing w:after="0"/>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No material transfers between Level 1, Level 2, or Level 3 occurred during the year ended December 31, 2014.</w:t>
      </w:r>
    </w:p>
    <w:p>
      <w:pPr>
        <w:spacing w:after="0" w:line="25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93</w:t>
      </w:r>
    </w:p>
    <w:p>
      <w:pPr>
        <w:sectPr>
          <w:pgSz w:w="11900" w:h="16838" w:orient="portrait"/>
          <w:cols w:equalWidth="0" w:num="1">
            <w:col w:w="11420"/>
          </w:cols>
          <w:pgMar w:left="240" w:top="684" w:right="239" w:bottom="1440" w:gutter="0" w:footer="0" w:header="0"/>
        </w:sectPr>
      </w:pPr>
    </w:p>
    <w:bookmarkStart w:id="93" w:name="page94"/>
    <w:bookmarkEnd w:id="93"/>
    <w:p>
      <w:pPr>
        <w:spacing w:after="0"/>
        <w:rPr>
          <w:sz w:val="20"/>
          <w:szCs w:val="20"/>
          <w:color w:val="auto"/>
        </w:rPr>
      </w:pPr>
      <w:r>
        <w:rPr>
          <w:rFonts w:ascii="Arial" w:cs="Arial" w:eastAsia="Arial" w:hAnsi="Arial"/>
          <w:sz w:val="18"/>
          <w:szCs w:val="18"/>
          <w:color w:val="auto"/>
        </w:rPr>
        <w:t>The activity in the Level 3 investments during the year ended December 31, 2014 was as follows:</w:t>
      </w:r>
    </w:p>
    <w:p>
      <w:pPr>
        <w:spacing w:after="0" w:line="179" w:lineRule="exact"/>
        <w:rPr>
          <w:sz w:val="20"/>
          <w:szCs w:val="20"/>
          <w:color w:val="auto"/>
        </w:rPr>
      </w:pPr>
    </w:p>
    <w:tbl>
      <w:tblPr>
        <w:tblLayout w:type="fixed"/>
        <w:tblInd w:w="4080" w:type="dxa"/>
        <w:tblCellMar>
          <w:top w:w="0" w:type="dxa"/>
          <w:left w:w="0" w:type="dxa"/>
          <w:bottom w:w="0" w:type="dxa"/>
          <w:right w:w="0" w:type="dxa"/>
        </w:tblCellMar>
      </w:tblPr>
      <w:tr>
        <w:trPr>
          <w:trHeight w:val="162"/>
        </w:trPr>
        <w:tc>
          <w:tcPr>
            <w:tcW w:w="1120" w:type="dxa"/>
            <w:vAlign w:val="bottom"/>
          </w:tcPr>
          <w:p>
            <w:pPr>
              <w:jc w:val="center"/>
              <w:ind w:right="88"/>
              <w:spacing w:after="0"/>
              <w:rPr>
                <w:sz w:val="20"/>
                <w:szCs w:val="20"/>
                <w:color w:val="auto"/>
              </w:rPr>
            </w:pPr>
            <w:r>
              <w:rPr>
                <w:rFonts w:ascii="Arial" w:cs="Arial" w:eastAsia="Arial" w:hAnsi="Arial"/>
                <w:sz w:val="14"/>
                <w:szCs w:val="14"/>
                <w:b w:val="1"/>
                <w:bCs w:val="1"/>
                <w:color w:val="auto"/>
              </w:rPr>
              <w:t>Fixed Income:</w:t>
            </w:r>
          </w:p>
        </w:tc>
        <w:tc>
          <w:tcPr>
            <w:tcW w:w="1380" w:type="dxa"/>
            <w:vAlign w:val="bottom"/>
          </w:tcPr>
          <w:p>
            <w:pPr>
              <w:jc w:val="center"/>
              <w:ind w:right="68"/>
              <w:spacing w:after="0"/>
              <w:rPr>
                <w:sz w:val="20"/>
                <w:szCs w:val="20"/>
                <w:color w:val="auto"/>
              </w:rPr>
            </w:pPr>
            <w:r>
              <w:rPr>
                <w:rFonts w:ascii="Arial" w:cs="Arial" w:eastAsia="Arial" w:hAnsi="Arial"/>
                <w:sz w:val="14"/>
                <w:szCs w:val="14"/>
                <w:b w:val="1"/>
                <w:bCs w:val="1"/>
                <w:color w:val="auto"/>
              </w:rPr>
              <w:t>Fixed Income:</w:t>
            </w:r>
          </w:p>
        </w:tc>
        <w:tc>
          <w:tcPr>
            <w:tcW w:w="10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2"/>
        </w:trPr>
        <w:tc>
          <w:tcPr>
            <w:tcW w:w="1120" w:type="dxa"/>
            <w:vAlign w:val="bottom"/>
          </w:tcPr>
          <w:p>
            <w:pPr>
              <w:jc w:val="center"/>
              <w:ind w:right="68"/>
              <w:spacing w:after="0"/>
              <w:rPr>
                <w:sz w:val="20"/>
                <w:szCs w:val="20"/>
                <w:color w:val="auto"/>
              </w:rPr>
            </w:pPr>
            <w:r>
              <w:rPr>
                <w:rFonts w:ascii="Arial" w:cs="Arial" w:eastAsia="Arial" w:hAnsi="Arial"/>
                <w:sz w:val="14"/>
                <w:szCs w:val="14"/>
                <w:b w:val="1"/>
                <w:bCs w:val="1"/>
                <w:color w:val="auto"/>
              </w:rPr>
              <w:t>Developed</w:t>
            </w:r>
          </w:p>
        </w:tc>
        <w:tc>
          <w:tcPr>
            <w:tcW w:w="1380" w:type="dxa"/>
            <w:vAlign w:val="bottom"/>
          </w:tcPr>
          <w:p>
            <w:pPr>
              <w:jc w:val="center"/>
              <w:ind w:right="48"/>
              <w:spacing w:after="0"/>
              <w:rPr>
                <w:sz w:val="20"/>
                <w:szCs w:val="20"/>
                <w:color w:val="auto"/>
              </w:rPr>
            </w:pPr>
            <w:r>
              <w:rPr>
                <w:rFonts w:ascii="Arial" w:cs="Arial" w:eastAsia="Arial" w:hAnsi="Arial"/>
                <w:sz w:val="14"/>
                <w:szCs w:val="14"/>
                <w:b w:val="1"/>
                <w:bCs w:val="1"/>
                <w:color w:val="auto"/>
              </w:rPr>
              <w:t>Emerging</w:t>
            </w:r>
          </w:p>
        </w:tc>
        <w:tc>
          <w:tcPr>
            <w:tcW w:w="1060" w:type="dxa"/>
            <w:vAlign w:val="bottom"/>
          </w:tcPr>
          <w:p>
            <w:pPr>
              <w:ind w:left="280"/>
              <w:spacing w:after="0"/>
              <w:rPr>
                <w:sz w:val="20"/>
                <w:szCs w:val="20"/>
                <w:color w:val="auto"/>
              </w:rPr>
            </w:pPr>
            <w:r>
              <w:rPr>
                <w:rFonts w:ascii="Arial" w:cs="Arial" w:eastAsia="Arial" w:hAnsi="Arial"/>
                <w:sz w:val="14"/>
                <w:szCs w:val="14"/>
                <w:b w:val="1"/>
                <w:bCs w:val="1"/>
                <w:color w:val="auto"/>
              </w:rPr>
              <w:t>Hedge</w:t>
            </w: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rPr>
              <w:t>Equity-like</w:t>
            </w:r>
          </w:p>
        </w:tc>
        <w:tc>
          <w:tcPr>
            <w:tcW w:w="1200" w:type="dxa"/>
            <w:vAlign w:val="bottom"/>
          </w:tcPr>
          <w:p>
            <w:pPr>
              <w:jc w:val="center"/>
              <w:ind w:right="28"/>
              <w:spacing w:after="0"/>
              <w:rPr>
                <w:sz w:val="20"/>
                <w:szCs w:val="20"/>
                <w:color w:val="auto"/>
              </w:rPr>
            </w:pPr>
            <w:r>
              <w:rPr>
                <w:rFonts w:ascii="Arial" w:cs="Arial" w:eastAsia="Arial" w:hAnsi="Arial"/>
                <w:sz w:val="14"/>
                <w:szCs w:val="14"/>
                <w:b w:val="1"/>
                <w:bCs w:val="1"/>
                <w:color w:val="auto"/>
              </w:rPr>
              <w:t>Real</w:t>
            </w:r>
          </w:p>
        </w:tc>
        <w:tc>
          <w:tcPr>
            <w:tcW w:w="780" w:type="dxa"/>
            <w:vAlign w:val="bottom"/>
          </w:tcPr>
          <w:p>
            <w:pPr>
              <w:spacing w:after="0"/>
              <w:rPr>
                <w:sz w:val="14"/>
                <w:szCs w:val="14"/>
                <w:color w:val="auto"/>
              </w:rPr>
            </w:pPr>
          </w:p>
        </w:tc>
      </w:tr>
      <w:tr>
        <w:trPr>
          <w:trHeight w:val="202"/>
        </w:trPr>
        <w:tc>
          <w:tcPr>
            <w:tcW w:w="1120" w:type="dxa"/>
            <w:vAlign w:val="bottom"/>
          </w:tcPr>
          <w:p>
            <w:pPr>
              <w:jc w:val="center"/>
              <w:ind w:right="68"/>
              <w:spacing w:after="0"/>
              <w:rPr>
                <w:sz w:val="20"/>
                <w:szCs w:val="20"/>
                <w:color w:val="auto"/>
              </w:rPr>
            </w:pPr>
            <w:r>
              <w:rPr>
                <w:rFonts w:ascii="Arial" w:cs="Arial" w:eastAsia="Arial" w:hAnsi="Arial"/>
                <w:sz w:val="14"/>
                <w:szCs w:val="14"/>
                <w:b w:val="1"/>
                <w:bCs w:val="1"/>
                <w:color w:val="auto"/>
              </w:rPr>
              <w:t>Markets</w:t>
            </w:r>
          </w:p>
        </w:tc>
        <w:tc>
          <w:tcPr>
            <w:tcW w:w="1380" w:type="dxa"/>
            <w:vAlign w:val="bottom"/>
          </w:tcPr>
          <w:p>
            <w:pPr>
              <w:jc w:val="center"/>
              <w:ind w:right="48"/>
              <w:spacing w:after="0"/>
              <w:rPr>
                <w:sz w:val="20"/>
                <w:szCs w:val="20"/>
                <w:color w:val="auto"/>
              </w:rPr>
            </w:pPr>
            <w:r>
              <w:rPr>
                <w:rFonts w:ascii="Arial" w:cs="Arial" w:eastAsia="Arial" w:hAnsi="Arial"/>
                <w:sz w:val="14"/>
                <w:szCs w:val="14"/>
                <w:b w:val="1"/>
                <w:bCs w:val="1"/>
                <w:color w:val="auto"/>
              </w:rPr>
              <w:t>Markets</w:t>
            </w:r>
          </w:p>
        </w:tc>
        <w:tc>
          <w:tcPr>
            <w:tcW w:w="1060" w:type="dxa"/>
            <w:vAlign w:val="bottom"/>
          </w:tcPr>
          <w:p>
            <w:pPr>
              <w:ind w:left="280"/>
              <w:spacing w:after="0"/>
              <w:rPr>
                <w:sz w:val="20"/>
                <w:szCs w:val="20"/>
                <w:color w:val="auto"/>
              </w:rPr>
            </w:pPr>
            <w:r>
              <w:rPr>
                <w:rFonts w:ascii="Arial" w:cs="Arial" w:eastAsia="Arial" w:hAnsi="Arial"/>
                <w:sz w:val="14"/>
                <w:szCs w:val="14"/>
                <w:b w:val="1"/>
                <w:bCs w:val="1"/>
                <w:color w:val="auto"/>
              </w:rPr>
              <w:t>Funds</w:t>
            </w: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99"/>
              </w:rPr>
              <w:t>Funds</w:t>
            </w:r>
          </w:p>
        </w:tc>
        <w:tc>
          <w:tcPr>
            <w:tcW w:w="1200" w:type="dxa"/>
            <w:vAlign w:val="bottom"/>
          </w:tcPr>
          <w:p>
            <w:pPr>
              <w:jc w:val="center"/>
              <w:ind w:right="28"/>
              <w:spacing w:after="0"/>
              <w:rPr>
                <w:sz w:val="20"/>
                <w:szCs w:val="20"/>
                <w:color w:val="auto"/>
              </w:rPr>
            </w:pPr>
            <w:r>
              <w:rPr>
                <w:rFonts w:ascii="Arial" w:cs="Arial" w:eastAsia="Arial" w:hAnsi="Arial"/>
                <w:sz w:val="14"/>
                <w:szCs w:val="14"/>
                <w:b w:val="1"/>
                <w:bCs w:val="1"/>
                <w:color w:val="auto"/>
                <w:w w:val="99"/>
              </w:rPr>
              <w:t>Estate</w:t>
            </w:r>
          </w:p>
        </w:tc>
        <w:tc>
          <w:tcPr>
            <w:tcW w:w="780" w:type="dxa"/>
            <w:vAlign w:val="bottom"/>
          </w:tcPr>
          <w:p>
            <w:pPr>
              <w:ind w:left="440"/>
              <w:spacing w:after="0"/>
              <w:rPr>
                <w:sz w:val="20"/>
                <w:szCs w:val="20"/>
                <w:color w:val="auto"/>
              </w:rPr>
            </w:pPr>
            <w:r>
              <w:rPr>
                <w:rFonts w:ascii="Arial" w:cs="Arial" w:eastAsia="Arial" w:hAnsi="Arial"/>
                <w:sz w:val="14"/>
                <w:szCs w:val="14"/>
                <w:b w:val="1"/>
                <w:bCs w:val="1"/>
                <w:color w:val="auto"/>
                <w:w w:val="95"/>
              </w:rPr>
              <w:t>Total</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46620" cy="1803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ectPr>
          <w:pgSz w:w="11900" w:h="16838" w:orient="portrait"/>
          <w:cols w:equalWidth="0" w:num="1">
            <w:col w:w="11420"/>
          </w:cols>
          <w:pgMar w:left="240" w:top="684" w:right="239" w:bottom="1440" w:gutter="0" w:footer="0" w:header="0"/>
        </w:sectPr>
      </w:pPr>
    </w:p>
    <w:p>
      <w:pPr>
        <w:spacing w:after="0" w:line="3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Defined Benefit Pension Plans</w:t>
      </w:r>
    </w:p>
    <w:p>
      <w:pPr>
        <w:spacing w:after="0" w:line="52" w:lineRule="exact"/>
        <w:rPr>
          <w:sz w:val="20"/>
          <w:szCs w:val="20"/>
          <w:color w:val="auto"/>
        </w:rPr>
      </w:pPr>
    </w:p>
    <w:p>
      <w:pPr>
        <w:ind w:left="40"/>
        <w:spacing w:after="0"/>
        <w:tabs>
          <w:tab w:leader="none" w:pos="4000" w:val="left"/>
        </w:tabs>
        <w:rPr>
          <w:sz w:val="20"/>
          <w:szCs w:val="20"/>
          <w:color w:val="auto"/>
        </w:rPr>
      </w:pPr>
      <w:r>
        <w:rPr>
          <w:rFonts w:ascii="Arial" w:cs="Arial" w:eastAsia="Arial" w:hAnsi="Arial"/>
          <w:sz w:val="18"/>
          <w:szCs w:val="18"/>
          <w:color w:val="auto"/>
        </w:rPr>
        <w:t>Beginning balance at January 1, 2014</w:t>
      </w:r>
      <w:r>
        <w:rPr>
          <w:sz w:val="20"/>
          <w:szCs w:val="20"/>
          <w:color w:val="auto"/>
        </w:rPr>
        <w:tab/>
      </w:r>
      <w:r>
        <w:rPr>
          <w:rFonts w:ascii="Arial" w:cs="Arial" w:eastAsia="Arial" w:hAnsi="Arial"/>
          <w:sz w:val="17"/>
          <w:szCs w:val="17"/>
          <w:color w:val="auto"/>
        </w:rPr>
        <w:t>$</w:t>
      </w:r>
    </w:p>
    <w:p>
      <w:pPr>
        <w:spacing w:after="0" w:line="63" w:lineRule="exact"/>
        <w:rPr>
          <w:sz w:val="20"/>
          <w:szCs w:val="20"/>
          <w:color w:val="auto"/>
        </w:rPr>
      </w:pPr>
    </w:p>
    <w:p>
      <w:pPr>
        <w:ind w:left="200" w:right="320" w:hanging="161"/>
        <w:spacing w:after="0" w:line="266" w:lineRule="auto"/>
        <w:rPr>
          <w:sz w:val="20"/>
          <w:szCs w:val="20"/>
          <w:color w:val="auto"/>
        </w:rPr>
      </w:pPr>
      <w:r>
        <w:rPr>
          <w:rFonts w:ascii="Arial" w:cs="Arial" w:eastAsia="Arial" w:hAnsi="Arial"/>
          <w:sz w:val="18"/>
          <w:szCs w:val="18"/>
          <w:color w:val="auto"/>
        </w:rPr>
        <w:t>Actual return on plan assets, including changes in foreign exchange rates:</w:t>
      </w:r>
    </w:p>
    <w:p>
      <w:pPr>
        <w:ind w:left="180"/>
        <w:spacing w:after="0"/>
        <w:rPr>
          <w:sz w:val="20"/>
          <w:szCs w:val="20"/>
          <w:color w:val="auto"/>
        </w:rPr>
      </w:pPr>
      <w:r>
        <w:rPr>
          <w:rFonts w:ascii="Arial" w:cs="Arial" w:eastAsia="Arial" w:hAnsi="Arial"/>
          <w:sz w:val="18"/>
          <w:szCs w:val="18"/>
          <w:color w:val="auto"/>
        </w:rPr>
        <w:t>Relating to assets still held at the reporting date</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Relating to assets sold during the period</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Purchases, sales, and settlements, net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Transfers into (out of) Level 3</w:t>
      </w:r>
    </w:p>
    <w:p>
      <w:pPr>
        <w:spacing w:after="0" w:line="63" w:lineRule="exact"/>
        <w:rPr>
          <w:sz w:val="20"/>
          <w:szCs w:val="20"/>
          <w:color w:val="auto"/>
        </w:rPr>
      </w:pPr>
    </w:p>
    <w:p>
      <w:pPr>
        <w:ind w:left="40"/>
        <w:spacing w:after="0"/>
        <w:tabs>
          <w:tab w:leader="none" w:pos="4000" w:val="left"/>
        </w:tabs>
        <w:rPr>
          <w:sz w:val="20"/>
          <w:szCs w:val="20"/>
          <w:color w:val="auto"/>
        </w:rPr>
      </w:pPr>
      <w:r>
        <w:rPr>
          <w:rFonts w:ascii="Arial" w:cs="Arial" w:eastAsia="Arial" w:hAnsi="Arial"/>
          <w:sz w:val="18"/>
          <w:szCs w:val="18"/>
          <w:color w:val="auto"/>
        </w:rPr>
        <w:t>Ending balance at December 31, 2014</w:t>
      </w:r>
      <w:r>
        <w:rPr>
          <w:sz w:val="20"/>
          <w:szCs w:val="20"/>
          <w:color w:val="auto"/>
        </w:rPr>
        <w:tab/>
      </w:r>
      <w:r>
        <w:rPr>
          <w:rFonts w:ascii="Arial" w:cs="Arial" w:eastAsia="Arial" w:hAnsi="Arial"/>
          <w:sz w:val="17"/>
          <w:szCs w:val="17"/>
          <w:color w:val="auto"/>
        </w:rPr>
        <w:t>$</w:t>
      </w:r>
    </w:p>
    <w:p>
      <w:pPr>
        <w:spacing w:after="0" w:line="11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Retiree Health Benefit Plans</w:t>
      </w:r>
    </w:p>
    <w:p>
      <w:pPr>
        <w:spacing w:after="0" w:line="20" w:lineRule="exact"/>
        <w:rPr>
          <w:sz w:val="20"/>
          <w:szCs w:val="20"/>
          <w:color w:val="auto"/>
        </w:rPr>
      </w:pPr>
      <w:r>
        <w:rPr>
          <w:sz w:val="20"/>
          <w:szCs w:val="20"/>
          <w:color w:val="auto"/>
        </w:rPr>
        <w:br w:type="column"/>
      </w:r>
    </w:p>
    <w:p>
      <w:pPr>
        <w:spacing w:after="0" w:line="28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3"/>
        </w:trPr>
        <w:tc>
          <w:tcPr>
            <w:tcW w:w="540" w:type="dxa"/>
            <w:vAlign w:val="bottom"/>
          </w:tcPr>
          <w:p>
            <w:pPr>
              <w:jc w:val="right"/>
              <w:ind w:right="50"/>
              <w:spacing w:after="0"/>
              <w:rPr>
                <w:sz w:val="20"/>
                <w:szCs w:val="20"/>
                <w:color w:val="auto"/>
              </w:rPr>
            </w:pPr>
            <w:r>
              <w:rPr>
                <w:rFonts w:ascii="Arial" w:cs="Arial" w:eastAsia="Arial" w:hAnsi="Arial"/>
                <w:sz w:val="18"/>
                <w:szCs w:val="18"/>
                <w:color w:val="auto"/>
              </w:rPr>
              <w:t>15.9</w:t>
            </w:r>
          </w:p>
        </w:tc>
        <w:tc>
          <w:tcPr>
            <w:tcW w:w="5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1,440.4</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993.5</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153.4</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2,603.2</w:t>
            </w:r>
          </w:p>
        </w:tc>
      </w:tr>
      <w:tr>
        <w:trPr>
          <w:trHeight w:val="729"/>
        </w:trPr>
        <w:tc>
          <w:tcPr>
            <w:tcW w:w="540" w:type="dxa"/>
            <w:vAlign w:val="bottom"/>
          </w:tcPr>
          <w:p>
            <w:pPr>
              <w:jc w:val="right"/>
              <w:spacing w:after="0"/>
              <w:rPr>
                <w:sz w:val="20"/>
                <w:szCs w:val="20"/>
                <w:color w:val="auto"/>
              </w:rPr>
            </w:pPr>
            <w:r>
              <w:rPr>
                <w:rFonts w:ascii="Arial" w:cs="Arial" w:eastAsia="Arial" w:hAnsi="Arial"/>
                <w:sz w:val="18"/>
                <w:szCs w:val="18"/>
                <w:color w:val="auto"/>
              </w:rPr>
              <w:t>(0.4)</w:t>
            </w:r>
          </w:p>
        </w:tc>
        <w:tc>
          <w:tcPr>
            <w:tcW w:w="520" w:type="dxa"/>
            <w:vAlign w:val="bottom"/>
          </w:tcPr>
          <w:p>
            <w:pPr>
              <w:spacing w:after="0"/>
              <w:rPr>
                <w:sz w:val="24"/>
                <w:szCs w:val="24"/>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0.1</w:t>
            </w:r>
          </w:p>
        </w:tc>
        <w:tc>
          <w:tcPr>
            <w:tcW w:w="380" w:type="dxa"/>
            <w:vAlign w:val="bottom"/>
          </w:tcPr>
          <w:p>
            <w:pPr>
              <w:spacing w:after="0"/>
              <w:rPr>
                <w:sz w:val="24"/>
                <w:szCs w:val="24"/>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44.6</w:t>
            </w:r>
          </w:p>
        </w:tc>
        <w:tc>
          <w:tcPr>
            <w:tcW w:w="380" w:type="dxa"/>
            <w:vAlign w:val="bottom"/>
          </w:tcPr>
          <w:p>
            <w:pPr>
              <w:spacing w:after="0"/>
              <w:rPr>
                <w:sz w:val="24"/>
                <w:szCs w:val="24"/>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108.2</w:t>
            </w:r>
          </w:p>
        </w:tc>
        <w:tc>
          <w:tcPr>
            <w:tcW w:w="420" w:type="dxa"/>
            <w:vAlign w:val="bottom"/>
          </w:tcPr>
          <w:p>
            <w:pPr>
              <w:spacing w:after="0"/>
              <w:rPr>
                <w:sz w:val="24"/>
                <w:szCs w:val="24"/>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0.2</w:t>
            </w:r>
          </w:p>
        </w:tc>
        <w:tc>
          <w:tcPr>
            <w:tcW w:w="3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152.7</w:t>
            </w:r>
          </w:p>
        </w:tc>
      </w:tr>
      <w:tr>
        <w:trPr>
          <w:trHeight w:val="270"/>
        </w:trPr>
        <w:tc>
          <w:tcPr>
            <w:tcW w:w="540" w:type="dxa"/>
            <w:vAlign w:val="bottom"/>
          </w:tcPr>
          <w:p>
            <w:pPr>
              <w:jc w:val="right"/>
              <w:spacing w:after="0"/>
              <w:rPr>
                <w:sz w:val="20"/>
                <w:szCs w:val="20"/>
                <w:color w:val="auto"/>
              </w:rPr>
            </w:pPr>
            <w:r>
              <w:rPr>
                <w:rFonts w:ascii="Arial" w:cs="Arial" w:eastAsia="Arial" w:hAnsi="Arial"/>
                <w:sz w:val="18"/>
                <w:szCs w:val="18"/>
                <w:color w:val="auto"/>
              </w:rPr>
              <w:t>(0.8)</w:t>
            </w:r>
          </w:p>
        </w:tc>
        <w:tc>
          <w:tcPr>
            <w:tcW w:w="520" w:type="dxa"/>
            <w:vAlign w:val="bottom"/>
          </w:tcPr>
          <w:p>
            <w:pPr>
              <w:spacing w:after="0"/>
              <w:rPr>
                <w:sz w:val="23"/>
                <w:szCs w:val="23"/>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3"/>
                <w:szCs w:val="23"/>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(0.8)</w:t>
            </w:r>
          </w:p>
        </w:tc>
      </w:tr>
      <w:tr>
        <w:trPr>
          <w:trHeight w:val="270"/>
        </w:trPr>
        <w:tc>
          <w:tcPr>
            <w:tcW w:w="540" w:type="dxa"/>
            <w:vAlign w:val="bottom"/>
          </w:tcPr>
          <w:p>
            <w:pPr>
              <w:jc w:val="right"/>
              <w:spacing w:after="0"/>
              <w:rPr>
                <w:sz w:val="20"/>
                <w:szCs w:val="20"/>
                <w:color w:val="auto"/>
              </w:rPr>
            </w:pPr>
            <w:r>
              <w:rPr>
                <w:rFonts w:ascii="Arial" w:cs="Arial" w:eastAsia="Arial" w:hAnsi="Arial"/>
                <w:sz w:val="18"/>
                <w:szCs w:val="18"/>
                <w:color w:val="auto"/>
              </w:rPr>
              <w:t>(3.3)</w:t>
            </w:r>
          </w:p>
        </w:tc>
        <w:tc>
          <w:tcPr>
            <w:tcW w:w="520" w:type="dxa"/>
            <w:vAlign w:val="bottom"/>
          </w:tcPr>
          <w:p>
            <w:pPr>
              <w:spacing w:after="0"/>
              <w:rPr>
                <w:sz w:val="23"/>
                <w:szCs w:val="23"/>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1.7</w:t>
            </w:r>
          </w:p>
        </w:tc>
        <w:tc>
          <w:tcPr>
            <w:tcW w:w="380" w:type="dxa"/>
            <w:vAlign w:val="bottom"/>
          </w:tcPr>
          <w:p>
            <w:pPr>
              <w:spacing w:after="0"/>
              <w:rPr>
                <w:sz w:val="23"/>
                <w:szCs w:val="23"/>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98.1</w:t>
            </w:r>
          </w:p>
        </w:tc>
        <w:tc>
          <w:tcPr>
            <w:tcW w:w="38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(30.3)</w:t>
            </w:r>
          </w:p>
        </w:tc>
        <w:tc>
          <w:tcPr>
            <w:tcW w:w="420" w:type="dxa"/>
            <w:vAlign w:val="bottom"/>
          </w:tcPr>
          <w:p>
            <w:pPr>
              <w:spacing w:after="0"/>
              <w:rPr>
                <w:sz w:val="23"/>
                <w:szCs w:val="23"/>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12.3</w:t>
            </w:r>
          </w:p>
        </w:tc>
        <w:tc>
          <w:tcPr>
            <w:tcW w:w="3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78.5</w:t>
            </w:r>
          </w:p>
        </w:tc>
      </w:tr>
      <w:tr>
        <w:trPr>
          <w:trHeight w:val="270"/>
        </w:trPr>
        <w:tc>
          <w:tcPr>
            <w:tcW w:w="540" w:type="dxa"/>
            <w:vAlign w:val="bottom"/>
          </w:tcPr>
          <w:p>
            <w:pPr>
              <w:jc w:val="right"/>
              <w:spacing w:after="0"/>
              <w:rPr>
                <w:sz w:val="20"/>
                <w:szCs w:val="20"/>
                <w:color w:val="auto"/>
              </w:rPr>
            </w:pPr>
            <w:r>
              <w:rPr>
                <w:rFonts w:ascii="Arial" w:cs="Arial" w:eastAsia="Arial" w:hAnsi="Arial"/>
                <w:sz w:val="18"/>
                <w:szCs w:val="18"/>
                <w:color w:val="auto"/>
                <w:w w:val="93"/>
              </w:rPr>
              <w:t>(11.4)</w:t>
            </w:r>
          </w:p>
        </w:tc>
        <w:tc>
          <w:tcPr>
            <w:tcW w:w="520" w:type="dxa"/>
            <w:vAlign w:val="bottom"/>
          </w:tcPr>
          <w:p>
            <w:pPr>
              <w:spacing w:after="0"/>
              <w:rPr>
                <w:sz w:val="23"/>
                <w:szCs w:val="23"/>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3"/>
                <w:szCs w:val="23"/>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284"/>
        </w:trPr>
        <w:tc>
          <w:tcPr>
            <w:tcW w:w="5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1.8</w:t>
            </w:r>
          </w:p>
        </w:tc>
        <w:tc>
          <w:tcPr>
            <w:tcW w:w="3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1,583.1</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1,071.4</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165.9</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2,822.2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-2940685</wp:posOffset>
            </wp:positionH>
            <wp:positionV relativeFrom="paragraph">
              <wp:posOffset>-1151255</wp:posOffset>
            </wp:positionV>
            <wp:extent cx="7246620" cy="29146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291465"/>
                    </a:xfrm>
                    <a:prstGeom prst="rect">
                      <a:avLst/>
                    </a:prstGeom>
                    <a:noFill/>
                  </pic:spPr>
                </pic:pic>
              </a:graphicData>
            </a:graphic>
          </wp:anchor>
        </w:drawing>
        <w:drawing>
          <wp:anchor simplePos="0" relativeHeight="251657728" behindDoc="1" locked="0" layoutInCell="0" allowOverlap="1">
            <wp:simplePos x="0" y="0"/>
            <wp:positionH relativeFrom="column">
              <wp:posOffset>-2940685</wp:posOffset>
            </wp:positionH>
            <wp:positionV relativeFrom="paragraph">
              <wp:posOffset>-687705</wp:posOffset>
            </wp:positionV>
            <wp:extent cx="7246620" cy="1714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-2940685</wp:posOffset>
            </wp:positionH>
            <wp:positionV relativeFrom="paragraph">
              <wp:posOffset>-344805</wp:posOffset>
            </wp:positionV>
            <wp:extent cx="7246620" cy="5403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540385"/>
                    </a:xfrm>
                    <a:prstGeom prst="rect">
                      <a:avLst/>
                    </a:prstGeom>
                    <a:noFill/>
                  </pic:spPr>
                </pic:pic>
              </a:graphicData>
            </a:graphic>
          </wp:anchor>
        </w:drawing>
      </w:r>
    </w:p>
    <w:p>
      <w:pPr>
        <w:spacing w:after="0" w:line="311" w:lineRule="exact"/>
        <w:rPr>
          <w:sz w:val="20"/>
          <w:szCs w:val="20"/>
          <w:color w:val="auto"/>
        </w:rPr>
      </w:pPr>
    </w:p>
    <w:p>
      <w:pPr>
        <w:sectPr>
          <w:pgSz w:w="11900" w:h="16838" w:orient="portrait"/>
          <w:cols w:equalWidth="0" w:num="2">
            <w:col w:w="4120" w:space="520"/>
            <w:col w:w="6780"/>
          </w:cols>
          <w:pgMar w:left="240" w:top="684" w:right="239" w:bottom="1440" w:gutter="0" w:footer="0" w:header="0"/>
          <w:type w:val="continuous"/>
        </w:sectPr>
      </w:pPr>
    </w:p>
    <w:tbl>
      <w:tblPr>
        <w:tblLayout w:type="fixed"/>
        <w:tblInd w:w="0" w:type="dxa"/>
        <w:tblCellMar>
          <w:top w:w="0" w:type="dxa"/>
          <w:left w:w="0" w:type="dxa"/>
          <w:bottom w:w="0" w:type="dxa"/>
          <w:right w:w="0" w:type="dxa"/>
        </w:tblCellMar>
      </w:tblPr>
      <w:tr>
        <w:trPr>
          <w:trHeight w:val="261"/>
        </w:trPr>
        <w:tc>
          <w:tcPr>
            <w:tcW w:w="4000" w:type="dxa"/>
            <w:vAlign w:val="bottom"/>
          </w:tcPr>
          <w:p>
            <w:pPr>
              <w:ind w:left="40"/>
              <w:spacing w:after="0"/>
              <w:rPr>
                <w:sz w:val="20"/>
                <w:szCs w:val="20"/>
                <w:color w:val="auto"/>
              </w:rPr>
            </w:pPr>
            <w:r>
              <w:rPr>
                <w:rFonts w:ascii="Arial" w:cs="Arial" w:eastAsia="Arial" w:hAnsi="Arial"/>
                <w:sz w:val="18"/>
                <w:szCs w:val="18"/>
                <w:color w:val="auto"/>
              </w:rPr>
              <w:t>Beginning balance at January 1, 2014</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1.6</w:t>
            </w:r>
          </w:p>
        </w:tc>
        <w:tc>
          <w:tcPr>
            <w:tcW w:w="5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120.6</w:t>
            </w:r>
          </w:p>
        </w:tc>
        <w:tc>
          <w:tcPr>
            <w:tcW w:w="50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70"/>
              <w:spacing w:after="0"/>
              <w:rPr>
                <w:sz w:val="20"/>
                <w:szCs w:val="20"/>
                <w:color w:val="auto"/>
              </w:rPr>
            </w:pPr>
            <w:r>
              <w:rPr>
                <w:rFonts w:ascii="Arial" w:cs="Arial" w:eastAsia="Arial" w:hAnsi="Arial"/>
                <w:sz w:val="18"/>
                <w:szCs w:val="18"/>
                <w:color w:val="auto"/>
              </w:rPr>
              <w:t>88.9</w:t>
            </w:r>
          </w:p>
        </w:tc>
        <w:tc>
          <w:tcPr>
            <w:tcW w:w="54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680" w:type="dxa"/>
            <w:vAlign w:val="bottom"/>
          </w:tcPr>
          <w:p>
            <w:pPr>
              <w:ind w:left="380"/>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211.1</w:t>
            </w:r>
          </w:p>
        </w:tc>
      </w:tr>
      <w:tr>
        <w:trPr>
          <w:trHeight w:val="211"/>
        </w:trPr>
        <w:tc>
          <w:tcPr>
            <w:tcW w:w="4000" w:type="dxa"/>
            <w:vAlign w:val="bottom"/>
            <w:shd w:val="clear" w:color="auto" w:fill="D8D8D8"/>
          </w:tcPr>
          <w:p>
            <w:pPr>
              <w:ind w:left="40"/>
              <w:spacing w:after="0"/>
              <w:rPr>
                <w:sz w:val="20"/>
                <w:szCs w:val="20"/>
                <w:color w:val="auto"/>
              </w:rPr>
            </w:pPr>
            <w:r>
              <w:rPr>
                <w:rFonts w:ascii="Arial" w:cs="Arial" w:eastAsia="Arial" w:hAnsi="Arial"/>
                <w:sz w:val="18"/>
                <w:szCs w:val="18"/>
                <w:color w:val="auto"/>
              </w:rPr>
              <w:t>Actual return on plan assets, including changes</w:t>
            </w:r>
          </w:p>
        </w:tc>
        <w:tc>
          <w:tcPr>
            <w:tcW w:w="420" w:type="dxa"/>
            <w:vAlign w:val="bottom"/>
            <w:shd w:val="clear" w:color="auto" w:fill="D8D8D8"/>
          </w:tcPr>
          <w:p>
            <w:pPr>
              <w:spacing w:after="0"/>
              <w:rPr>
                <w:sz w:val="18"/>
                <w:szCs w:val="18"/>
                <w:color w:val="auto"/>
              </w:rPr>
            </w:pPr>
          </w:p>
        </w:tc>
        <w:tc>
          <w:tcPr>
            <w:tcW w:w="760" w:type="dxa"/>
            <w:vAlign w:val="bottom"/>
            <w:shd w:val="clear" w:color="auto" w:fill="D8D8D8"/>
          </w:tcPr>
          <w:p>
            <w:pPr>
              <w:spacing w:after="0"/>
              <w:rPr>
                <w:sz w:val="18"/>
                <w:szCs w:val="18"/>
                <w:color w:val="auto"/>
              </w:rPr>
            </w:pPr>
          </w:p>
        </w:tc>
        <w:tc>
          <w:tcPr>
            <w:tcW w:w="520" w:type="dxa"/>
            <w:vAlign w:val="bottom"/>
            <w:shd w:val="clear" w:color="auto" w:fill="D8D8D8"/>
          </w:tcPr>
          <w:p>
            <w:pPr>
              <w:spacing w:after="0"/>
              <w:rPr>
                <w:sz w:val="18"/>
                <w:szCs w:val="18"/>
                <w:color w:val="auto"/>
              </w:rPr>
            </w:pPr>
          </w:p>
        </w:tc>
        <w:tc>
          <w:tcPr>
            <w:tcW w:w="700" w:type="dxa"/>
            <w:vAlign w:val="bottom"/>
            <w:shd w:val="clear" w:color="auto" w:fill="D8D8D8"/>
          </w:tcPr>
          <w:p>
            <w:pPr>
              <w:spacing w:after="0"/>
              <w:rPr>
                <w:sz w:val="18"/>
                <w:szCs w:val="18"/>
                <w:color w:val="auto"/>
              </w:rPr>
            </w:pPr>
          </w:p>
        </w:tc>
        <w:tc>
          <w:tcPr>
            <w:tcW w:w="460" w:type="dxa"/>
            <w:vAlign w:val="bottom"/>
            <w:shd w:val="clear" w:color="auto" w:fill="D8D8D8"/>
          </w:tcPr>
          <w:p>
            <w:pPr>
              <w:spacing w:after="0"/>
              <w:rPr>
                <w:sz w:val="18"/>
                <w:szCs w:val="18"/>
                <w:color w:val="auto"/>
              </w:rPr>
            </w:pPr>
          </w:p>
        </w:tc>
        <w:tc>
          <w:tcPr>
            <w:tcW w:w="800" w:type="dxa"/>
            <w:vAlign w:val="bottom"/>
            <w:shd w:val="clear" w:color="auto" w:fill="D8D8D8"/>
          </w:tcPr>
          <w:p>
            <w:pPr>
              <w:spacing w:after="0"/>
              <w:rPr>
                <w:sz w:val="18"/>
                <w:szCs w:val="18"/>
                <w:color w:val="auto"/>
              </w:rPr>
            </w:pPr>
          </w:p>
        </w:tc>
        <w:tc>
          <w:tcPr>
            <w:tcW w:w="500" w:type="dxa"/>
            <w:vAlign w:val="bottom"/>
            <w:shd w:val="clear" w:color="auto" w:fill="D8D8D8"/>
          </w:tcPr>
          <w:p>
            <w:pPr>
              <w:spacing w:after="0"/>
              <w:rPr>
                <w:sz w:val="18"/>
                <w:szCs w:val="18"/>
                <w:color w:val="auto"/>
              </w:rPr>
            </w:pPr>
          </w:p>
        </w:tc>
        <w:tc>
          <w:tcPr>
            <w:tcW w:w="800" w:type="dxa"/>
            <w:vAlign w:val="bottom"/>
            <w:shd w:val="clear" w:color="auto" w:fill="D8D8D8"/>
          </w:tcPr>
          <w:p>
            <w:pPr>
              <w:spacing w:after="0"/>
              <w:rPr>
                <w:sz w:val="18"/>
                <w:szCs w:val="18"/>
                <w:color w:val="auto"/>
              </w:rPr>
            </w:pPr>
          </w:p>
        </w:tc>
        <w:tc>
          <w:tcPr>
            <w:tcW w:w="540" w:type="dxa"/>
            <w:vAlign w:val="bottom"/>
            <w:shd w:val="clear" w:color="auto" w:fill="D8D8D8"/>
          </w:tcPr>
          <w:p>
            <w:pPr>
              <w:spacing w:after="0"/>
              <w:rPr>
                <w:sz w:val="18"/>
                <w:szCs w:val="18"/>
                <w:color w:val="auto"/>
              </w:rPr>
            </w:pPr>
          </w:p>
        </w:tc>
        <w:tc>
          <w:tcPr>
            <w:tcW w:w="680" w:type="dxa"/>
            <w:vAlign w:val="bottom"/>
            <w:shd w:val="clear" w:color="auto" w:fill="D8D8D8"/>
          </w:tcPr>
          <w:p>
            <w:pPr>
              <w:spacing w:after="0"/>
              <w:rPr>
                <w:sz w:val="18"/>
                <w:szCs w:val="18"/>
                <w:color w:val="auto"/>
              </w:rPr>
            </w:pPr>
          </w:p>
        </w:tc>
        <w:tc>
          <w:tcPr>
            <w:tcW w:w="460" w:type="dxa"/>
            <w:vAlign w:val="bottom"/>
            <w:shd w:val="clear" w:color="auto" w:fill="D8D8D8"/>
          </w:tcPr>
          <w:p>
            <w:pPr>
              <w:spacing w:after="0"/>
              <w:rPr>
                <w:sz w:val="18"/>
                <w:szCs w:val="18"/>
                <w:color w:val="auto"/>
              </w:rPr>
            </w:pPr>
          </w:p>
        </w:tc>
        <w:tc>
          <w:tcPr>
            <w:tcW w:w="780" w:type="dxa"/>
            <w:vAlign w:val="bottom"/>
            <w:shd w:val="clear" w:color="auto" w:fill="D8D8D8"/>
          </w:tcPr>
          <w:p>
            <w:pPr>
              <w:spacing w:after="0"/>
              <w:rPr>
                <w:sz w:val="18"/>
                <w:szCs w:val="18"/>
                <w:color w:val="auto"/>
              </w:rPr>
            </w:pPr>
          </w:p>
        </w:tc>
      </w:tr>
      <w:tr>
        <w:trPr>
          <w:trHeight w:val="252"/>
        </w:trPr>
        <w:tc>
          <w:tcPr>
            <w:tcW w:w="4000" w:type="dxa"/>
            <w:vAlign w:val="bottom"/>
            <w:shd w:val="clear" w:color="auto" w:fill="D8D8D8"/>
          </w:tcPr>
          <w:p>
            <w:pPr>
              <w:ind w:left="200"/>
              <w:spacing w:after="0"/>
              <w:rPr>
                <w:sz w:val="20"/>
                <w:szCs w:val="20"/>
                <w:color w:val="auto"/>
              </w:rPr>
            </w:pPr>
            <w:r>
              <w:rPr>
                <w:rFonts w:ascii="Arial" w:cs="Arial" w:eastAsia="Arial" w:hAnsi="Arial"/>
                <w:sz w:val="18"/>
                <w:szCs w:val="18"/>
                <w:color w:val="auto"/>
              </w:rPr>
              <w:t>in foreign exchange rates:</w:t>
            </w:r>
          </w:p>
        </w:tc>
        <w:tc>
          <w:tcPr>
            <w:tcW w:w="420" w:type="dxa"/>
            <w:vAlign w:val="bottom"/>
            <w:shd w:val="clear" w:color="auto" w:fill="D8D8D8"/>
          </w:tcPr>
          <w:p>
            <w:pPr>
              <w:spacing w:after="0"/>
              <w:rPr>
                <w:sz w:val="21"/>
                <w:szCs w:val="21"/>
                <w:color w:val="auto"/>
              </w:rPr>
            </w:pPr>
          </w:p>
        </w:tc>
        <w:tc>
          <w:tcPr>
            <w:tcW w:w="760" w:type="dxa"/>
            <w:vAlign w:val="bottom"/>
            <w:shd w:val="clear" w:color="auto" w:fill="D8D8D8"/>
          </w:tcPr>
          <w:p>
            <w:pPr>
              <w:spacing w:after="0"/>
              <w:rPr>
                <w:sz w:val="21"/>
                <w:szCs w:val="21"/>
                <w:color w:val="auto"/>
              </w:rPr>
            </w:pPr>
          </w:p>
        </w:tc>
        <w:tc>
          <w:tcPr>
            <w:tcW w:w="520" w:type="dxa"/>
            <w:vAlign w:val="bottom"/>
            <w:shd w:val="clear" w:color="auto" w:fill="D8D8D8"/>
          </w:tcPr>
          <w:p>
            <w:pPr>
              <w:spacing w:after="0"/>
              <w:rPr>
                <w:sz w:val="21"/>
                <w:szCs w:val="21"/>
                <w:color w:val="auto"/>
              </w:rPr>
            </w:pPr>
          </w:p>
        </w:tc>
        <w:tc>
          <w:tcPr>
            <w:tcW w:w="700" w:type="dxa"/>
            <w:vAlign w:val="bottom"/>
            <w:shd w:val="clear" w:color="auto" w:fill="D8D8D8"/>
          </w:tcPr>
          <w:p>
            <w:pPr>
              <w:spacing w:after="0"/>
              <w:rPr>
                <w:sz w:val="21"/>
                <w:szCs w:val="21"/>
                <w:color w:val="auto"/>
              </w:rPr>
            </w:pPr>
          </w:p>
        </w:tc>
        <w:tc>
          <w:tcPr>
            <w:tcW w:w="460" w:type="dxa"/>
            <w:vAlign w:val="bottom"/>
            <w:shd w:val="clear" w:color="auto" w:fill="D8D8D8"/>
          </w:tcPr>
          <w:p>
            <w:pPr>
              <w:spacing w:after="0"/>
              <w:rPr>
                <w:sz w:val="21"/>
                <w:szCs w:val="21"/>
                <w:color w:val="auto"/>
              </w:rPr>
            </w:pPr>
          </w:p>
        </w:tc>
        <w:tc>
          <w:tcPr>
            <w:tcW w:w="800" w:type="dxa"/>
            <w:vAlign w:val="bottom"/>
            <w:shd w:val="clear" w:color="auto" w:fill="D8D8D8"/>
          </w:tcPr>
          <w:p>
            <w:pPr>
              <w:spacing w:after="0"/>
              <w:rPr>
                <w:sz w:val="21"/>
                <w:szCs w:val="21"/>
                <w:color w:val="auto"/>
              </w:rPr>
            </w:pPr>
          </w:p>
        </w:tc>
        <w:tc>
          <w:tcPr>
            <w:tcW w:w="500" w:type="dxa"/>
            <w:vAlign w:val="bottom"/>
            <w:shd w:val="clear" w:color="auto" w:fill="D8D8D8"/>
          </w:tcPr>
          <w:p>
            <w:pPr>
              <w:spacing w:after="0"/>
              <w:rPr>
                <w:sz w:val="21"/>
                <w:szCs w:val="21"/>
                <w:color w:val="auto"/>
              </w:rPr>
            </w:pPr>
          </w:p>
        </w:tc>
        <w:tc>
          <w:tcPr>
            <w:tcW w:w="800" w:type="dxa"/>
            <w:vAlign w:val="bottom"/>
            <w:shd w:val="clear" w:color="auto" w:fill="D8D8D8"/>
          </w:tcPr>
          <w:p>
            <w:pPr>
              <w:spacing w:after="0"/>
              <w:rPr>
                <w:sz w:val="21"/>
                <w:szCs w:val="21"/>
                <w:color w:val="auto"/>
              </w:rPr>
            </w:pPr>
          </w:p>
        </w:tc>
        <w:tc>
          <w:tcPr>
            <w:tcW w:w="540" w:type="dxa"/>
            <w:vAlign w:val="bottom"/>
            <w:shd w:val="clear" w:color="auto" w:fill="D8D8D8"/>
          </w:tcPr>
          <w:p>
            <w:pPr>
              <w:spacing w:after="0"/>
              <w:rPr>
                <w:sz w:val="21"/>
                <w:szCs w:val="21"/>
                <w:color w:val="auto"/>
              </w:rPr>
            </w:pPr>
          </w:p>
        </w:tc>
        <w:tc>
          <w:tcPr>
            <w:tcW w:w="680" w:type="dxa"/>
            <w:vAlign w:val="bottom"/>
            <w:shd w:val="clear" w:color="auto" w:fill="D8D8D8"/>
          </w:tcPr>
          <w:p>
            <w:pPr>
              <w:spacing w:after="0"/>
              <w:rPr>
                <w:sz w:val="21"/>
                <w:szCs w:val="21"/>
                <w:color w:val="auto"/>
              </w:rPr>
            </w:pPr>
          </w:p>
        </w:tc>
        <w:tc>
          <w:tcPr>
            <w:tcW w:w="460" w:type="dxa"/>
            <w:vAlign w:val="bottom"/>
            <w:shd w:val="clear" w:color="auto" w:fill="D8D8D8"/>
          </w:tcPr>
          <w:p>
            <w:pPr>
              <w:spacing w:after="0"/>
              <w:rPr>
                <w:sz w:val="21"/>
                <w:szCs w:val="21"/>
                <w:color w:val="auto"/>
              </w:rPr>
            </w:pPr>
          </w:p>
        </w:tc>
        <w:tc>
          <w:tcPr>
            <w:tcW w:w="780" w:type="dxa"/>
            <w:vAlign w:val="bottom"/>
            <w:shd w:val="clear" w:color="auto" w:fill="D8D8D8"/>
          </w:tcPr>
          <w:p>
            <w:pPr>
              <w:spacing w:after="0"/>
              <w:rPr>
                <w:sz w:val="21"/>
                <w:szCs w:val="21"/>
                <w:color w:val="auto"/>
              </w:rPr>
            </w:pPr>
          </w:p>
        </w:tc>
      </w:tr>
      <w:tr>
        <w:trPr>
          <w:trHeight w:val="265"/>
        </w:trPr>
        <w:tc>
          <w:tcPr>
            <w:tcW w:w="4000" w:type="dxa"/>
            <w:vAlign w:val="bottom"/>
          </w:tcPr>
          <w:p>
            <w:pPr>
              <w:ind w:left="180"/>
              <w:spacing w:after="0"/>
              <w:rPr>
                <w:sz w:val="20"/>
                <w:szCs w:val="20"/>
                <w:color w:val="auto"/>
              </w:rPr>
            </w:pPr>
            <w:r>
              <w:rPr>
                <w:rFonts w:ascii="Arial" w:cs="Arial" w:eastAsia="Arial" w:hAnsi="Arial"/>
                <w:sz w:val="18"/>
                <w:szCs w:val="18"/>
                <w:color w:val="auto"/>
              </w:rPr>
              <w:t>Relating to assets still held at the reporting date</w:t>
            </w:r>
          </w:p>
        </w:tc>
        <w:tc>
          <w:tcPr>
            <w:tcW w:w="4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(0.1)</w:t>
            </w:r>
          </w:p>
        </w:tc>
        <w:tc>
          <w:tcPr>
            <w:tcW w:w="520" w:type="dxa"/>
            <w:vAlign w:val="bottom"/>
          </w:tcPr>
          <w:p>
            <w:pPr>
              <w:spacing w:after="0"/>
              <w:rPr>
                <w:sz w:val="23"/>
                <w:szCs w:val="23"/>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3"/>
                <w:szCs w:val="23"/>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1.2</w:t>
            </w:r>
          </w:p>
        </w:tc>
        <w:tc>
          <w:tcPr>
            <w:tcW w:w="500" w:type="dxa"/>
            <w:vAlign w:val="bottom"/>
          </w:tcPr>
          <w:p>
            <w:pPr>
              <w:spacing w:after="0"/>
              <w:rPr>
                <w:sz w:val="23"/>
                <w:szCs w:val="23"/>
                <w:color w:val="auto"/>
              </w:rPr>
            </w:pPr>
          </w:p>
        </w:tc>
        <w:tc>
          <w:tcPr>
            <w:tcW w:w="800" w:type="dxa"/>
            <w:vAlign w:val="bottom"/>
          </w:tcPr>
          <w:p>
            <w:pPr>
              <w:jc w:val="right"/>
              <w:ind w:right="70"/>
              <w:spacing w:after="0"/>
              <w:rPr>
                <w:sz w:val="20"/>
                <w:szCs w:val="20"/>
                <w:color w:val="auto"/>
              </w:rPr>
            </w:pPr>
            <w:r>
              <w:rPr>
                <w:rFonts w:ascii="Arial" w:cs="Arial" w:eastAsia="Arial" w:hAnsi="Arial"/>
                <w:sz w:val="18"/>
                <w:szCs w:val="18"/>
                <w:color w:val="auto"/>
              </w:rPr>
              <w:t>6.0</w:t>
            </w:r>
          </w:p>
        </w:tc>
        <w:tc>
          <w:tcPr>
            <w:tcW w:w="540" w:type="dxa"/>
            <w:vAlign w:val="bottom"/>
          </w:tcPr>
          <w:p>
            <w:pPr>
              <w:spacing w:after="0"/>
              <w:rPr>
                <w:sz w:val="23"/>
                <w:szCs w:val="23"/>
                <w:color w:val="auto"/>
              </w:rPr>
            </w:pPr>
          </w:p>
        </w:tc>
        <w:tc>
          <w:tcPr>
            <w:tcW w:w="680" w:type="dxa"/>
            <w:vAlign w:val="bottom"/>
          </w:tcPr>
          <w:p>
            <w:pPr>
              <w:ind w:left="3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3"/>
                <w:szCs w:val="23"/>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7.1</w:t>
            </w:r>
          </w:p>
        </w:tc>
      </w:tr>
      <w:tr>
        <w:trPr>
          <w:trHeight w:val="275"/>
        </w:trPr>
        <w:tc>
          <w:tcPr>
            <w:tcW w:w="4000" w:type="dxa"/>
            <w:vAlign w:val="bottom"/>
            <w:shd w:val="clear" w:color="auto" w:fill="D8D8D8"/>
          </w:tcPr>
          <w:p>
            <w:pPr>
              <w:ind w:left="180"/>
              <w:spacing w:after="0"/>
              <w:rPr>
                <w:sz w:val="20"/>
                <w:szCs w:val="20"/>
                <w:color w:val="auto"/>
              </w:rPr>
            </w:pPr>
            <w:r>
              <w:rPr>
                <w:rFonts w:ascii="Arial" w:cs="Arial" w:eastAsia="Arial" w:hAnsi="Arial"/>
                <w:sz w:val="18"/>
                <w:szCs w:val="18"/>
                <w:color w:val="auto"/>
              </w:rPr>
              <w:t>Relating to assets sold during the period</w:t>
            </w:r>
          </w:p>
        </w:tc>
        <w:tc>
          <w:tcPr>
            <w:tcW w:w="420" w:type="dxa"/>
            <w:vAlign w:val="bottom"/>
            <w:shd w:val="clear" w:color="auto" w:fill="D8D8D8"/>
          </w:tcPr>
          <w:p>
            <w:pPr>
              <w:spacing w:after="0"/>
              <w:rPr>
                <w:sz w:val="23"/>
                <w:szCs w:val="23"/>
                <w:color w:val="auto"/>
              </w:rPr>
            </w:pPr>
          </w:p>
        </w:tc>
        <w:tc>
          <w:tcPr>
            <w:tcW w:w="760" w:type="dxa"/>
            <w:vAlign w:val="bottom"/>
            <w:shd w:val="clear" w:color="auto" w:fill="D8D8D8"/>
          </w:tcPr>
          <w:p>
            <w:pPr>
              <w:jc w:val="right"/>
              <w:spacing w:after="0"/>
              <w:rPr>
                <w:sz w:val="20"/>
                <w:szCs w:val="20"/>
                <w:color w:val="auto"/>
              </w:rPr>
            </w:pPr>
            <w:r>
              <w:rPr>
                <w:rFonts w:ascii="Arial" w:cs="Arial" w:eastAsia="Arial" w:hAnsi="Arial"/>
                <w:sz w:val="18"/>
                <w:szCs w:val="18"/>
                <w:color w:val="auto"/>
              </w:rPr>
              <w:t>(0.1)</w:t>
            </w:r>
          </w:p>
        </w:tc>
        <w:tc>
          <w:tcPr>
            <w:tcW w:w="520" w:type="dxa"/>
            <w:vAlign w:val="bottom"/>
            <w:shd w:val="clear" w:color="auto" w:fill="D8D8D8"/>
          </w:tcPr>
          <w:p>
            <w:pPr>
              <w:spacing w:after="0"/>
              <w:rPr>
                <w:sz w:val="23"/>
                <w:szCs w:val="23"/>
                <w:color w:val="auto"/>
              </w:rPr>
            </w:pPr>
          </w:p>
        </w:tc>
        <w:tc>
          <w:tcPr>
            <w:tcW w:w="700" w:type="dxa"/>
            <w:vAlign w:val="bottom"/>
            <w:shd w:val="clear" w:color="auto" w:fill="D8D8D8"/>
          </w:tcPr>
          <w:p>
            <w:pPr>
              <w:jc w:val="right"/>
              <w:ind w:right="30"/>
              <w:spacing w:after="0"/>
              <w:rPr>
                <w:sz w:val="20"/>
                <w:szCs w:val="20"/>
                <w:color w:val="auto"/>
              </w:rPr>
            </w:pPr>
            <w:r>
              <w:rPr>
                <w:rFonts w:ascii="Arial" w:cs="Arial" w:eastAsia="Arial" w:hAnsi="Arial"/>
                <w:sz w:val="18"/>
                <w:szCs w:val="18"/>
                <w:color w:val="auto"/>
              </w:rPr>
              <w:t>—</w:t>
            </w:r>
          </w:p>
        </w:tc>
        <w:tc>
          <w:tcPr>
            <w:tcW w:w="460" w:type="dxa"/>
            <w:vAlign w:val="bottom"/>
            <w:shd w:val="clear" w:color="auto" w:fill="D8D8D8"/>
          </w:tcPr>
          <w:p>
            <w:pPr>
              <w:spacing w:after="0"/>
              <w:rPr>
                <w:sz w:val="23"/>
                <w:szCs w:val="23"/>
                <w:color w:val="auto"/>
              </w:rPr>
            </w:pPr>
          </w:p>
        </w:tc>
        <w:tc>
          <w:tcPr>
            <w:tcW w:w="800" w:type="dxa"/>
            <w:vAlign w:val="bottom"/>
            <w:shd w:val="clear" w:color="auto" w:fill="D8D8D8"/>
          </w:tcPr>
          <w:p>
            <w:pPr>
              <w:jc w:val="right"/>
              <w:ind w:right="30"/>
              <w:spacing w:after="0"/>
              <w:rPr>
                <w:sz w:val="20"/>
                <w:szCs w:val="20"/>
                <w:color w:val="auto"/>
              </w:rPr>
            </w:pPr>
            <w:r>
              <w:rPr>
                <w:rFonts w:ascii="Arial" w:cs="Arial" w:eastAsia="Arial" w:hAnsi="Arial"/>
                <w:sz w:val="18"/>
                <w:szCs w:val="18"/>
                <w:color w:val="auto"/>
              </w:rPr>
              <w:t>—</w:t>
            </w:r>
          </w:p>
        </w:tc>
        <w:tc>
          <w:tcPr>
            <w:tcW w:w="500" w:type="dxa"/>
            <w:vAlign w:val="bottom"/>
            <w:shd w:val="clear" w:color="auto" w:fill="D8D8D8"/>
          </w:tcPr>
          <w:p>
            <w:pPr>
              <w:spacing w:after="0"/>
              <w:rPr>
                <w:sz w:val="23"/>
                <w:szCs w:val="23"/>
                <w:color w:val="auto"/>
              </w:rPr>
            </w:pPr>
          </w:p>
        </w:tc>
        <w:tc>
          <w:tcPr>
            <w:tcW w:w="800" w:type="dxa"/>
            <w:vAlign w:val="bottom"/>
            <w:shd w:val="clear" w:color="auto" w:fill="D8D8D8"/>
          </w:tcPr>
          <w:p>
            <w:pPr>
              <w:jc w:val="right"/>
              <w:ind w:right="70"/>
              <w:spacing w:after="0"/>
              <w:rPr>
                <w:sz w:val="20"/>
                <w:szCs w:val="20"/>
                <w:color w:val="auto"/>
              </w:rPr>
            </w:pPr>
            <w:r>
              <w:rPr>
                <w:rFonts w:ascii="Arial" w:cs="Arial" w:eastAsia="Arial" w:hAnsi="Arial"/>
                <w:sz w:val="18"/>
                <w:szCs w:val="18"/>
                <w:color w:val="auto"/>
              </w:rPr>
              <w:t>—</w:t>
            </w:r>
          </w:p>
        </w:tc>
        <w:tc>
          <w:tcPr>
            <w:tcW w:w="540" w:type="dxa"/>
            <w:vAlign w:val="bottom"/>
            <w:shd w:val="clear" w:color="auto" w:fill="D8D8D8"/>
          </w:tcPr>
          <w:p>
            <w:pPr>
              <w:spacing w:after="0"/>
              <w:rPr>
                <w:sz w:val="23"/>
                <w:szCs w:val="23"/>
                <w:color w:val="auto"/>
              </w:rPr>
            </w:pPr>
          </w:p>
        </w:tc>
        <w:tc>
          <w:tcPr>
            <w:tcW w:w="680" w:type="dxa"/>
            <w:vAlign w:val="bottom"/>
            <w:shd w:val="clear" w:color="auto" w:fill="D8D8D8"/>
          </w:tcPr>
          <w:p>
            <w:pPr>
              <w:ind w:left="380"/>
              <w:spacing w:after="0"/>
              <w:rPr>
                <w:sz w:val="20"/>
                <w:szCs w:val="20"/>
                <w:color w:val="auto"/>
              </w:rPr>
            </w:pPr>
            <w:r>
              <w:rPr>
                <w:rFonts w:ascii="Arial" w:cs="Arial" w:eastAsia="Arial" w:hAnsi="Arial"/>
                <w:sz w:val="18"/>
                <w:szCs w:val="18"/>
                <w:color w:val="auto"/>
              </w:rPr>
              <w:t>—</w:t>
            </w:r>
          </w:p>
        </w:tc>
        <w:tc>
          <w:tcPr>
            <w:tcW w:w="460" w:type="dxa"/>
            <w:vAlign w:val="bottom"/>
            <w:shd w:val="clear" w:color="auto" w:fill="D8D8D8"/>
          </w:tcPr>
          <w:p>
            <w:pPr>
              <w:spacing w:after="0"/>
              <w:rPr>
                <w:sz w:val="23"/>
                <w:szCs w:val="23"/>
                <w:color w:val="auto"/>
              </w:rPr>
            </w:pPr>
          </w:p>
        </w:tc>
        <w:tc>
          <w:tcPr>
            <w:tcW w:w="7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(0.1)</w:t>
            </w:r>
          </w:p>
        </w:tc>
      </w:tr>
      <w:tr>
        <w:trPr>
          <w:trHeight w:val="265"/>
        </w:trPr>
        <w:tc>
          <w:tcPr>
            <w:tcW w:w="4000" w:type="dxa"/>
            <w:vAlign w:val="bottom"/>
          </w:tcPr>
          <w:p>
            <w:pPr>
              <w:ind w:left="40"/>
              <w:spacing w:after="0"/>
              <w:rPr>
                <w:sz w:val="20"/>
                <w:szCs w:val="20"/>
                <w:color w:val="auto"/>
              </w:rPr>
            </w:pPr>
            <w:r>
              <w:rPr>
                <w:rFonts w:ascii="Arial" w:cs="Arial" w:eastAsia="Arial" w:hAnsi="Arial"/>
                <w:sz w:val="18"/>
                <w:szCs w:val="18"/>
                <w:color w:val="auto"/>
              </w:rPr>
              <w:t>Purchases, sales, and settlements, net</w:t>
            </w:r>
          </w:p>
        </w:tc>
        <w:tc>
          <w:tcPr>
            <w:tcW w:w="4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(0.3)</w:t>
            </w:r>
          </w:p>
        </w:tc>
        <w:tc>
          <w:tcPr>
            <w:tcW w:w="520" w:type="dxa"/>
            <w:vAlign w:val="bottom"/>
          </w:tcPr>
          <w:p>
            <w:pPr>
              <w:spacing w:after="0"/>
              <w:rPr>
                <w:sz w:val="23"/>
                <w:szCs w:val="23"/>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0.2</w:t>
            </w:r>
          </w:p>
        </w:tc>
        <w:tc>
          <w:tcPr>
            <w:tcW w:w="460" w:type="dxa"/>
            <w:vAlign w:val="bottom"/>
          </w:tcPr>
          <w:p>
            <w:pPr>
              <w:spacing w:after="0"/>
              <w:rPr>
                <w:sz w:val="23"/>
                <w:szCs w:val="23"/>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2.2</w:t>
            </w:r>
          </w:p>
        </w:tc>
        <w:tc>
          <w:tcPr>
            <w:tcW w:w="500" w:type="dxa"/>
            <w:vAlign w:val="bottom"/>
          </w:tcPr>
          <w:p>
            <w:pPr>
              <w:spacing w:after="0"/>
              <w:rPr>
                <w:sz w:val="23"/>
                <w:szCs w:val="23"/>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(2.6)</w:t>
            </w:r>
          </w:p>
        </w:tc>
        <w:tc>
          <w:tcPr>
            <w:tcW w:w="540" w:type="dxa"/>
            <w:vAlign w:val="bottom"/>
          </w:tcPr>
          <w:p>
            <w:pPr>
              <w:spacing w:after="0"/>
              <w:rPr>
                <w:sz w:val="23"/>
                <w:szCs w:val="23"/>
                <w:color w:val="auto"/>
              </w:rPr>
            </w:pPr>
          </w:p>
        </w:tc>
        <w:tc>
          <w:tcPr>
            <w:tcW w:w="680" w:type="dxa"/>
            <w:vAlign w:val="bottom"/>
          </w:tcPr>
          <w:p>
            <w:pPr>
              <w:ind w:left="3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(0.5)</w:t>
            </w:r>
          </w:p>
        </w:tc>
      </w:tr>
      <w:tr>
        <w:trPr>
          <w:trHeight w:val="275"/>
        </w:trPr>
        <w:tc>
          <w:tcPr>
            <w:tcW w:w="4000" w:type="dxa"/>
            <w:vAlign w:val="bottom"/>
            <w:shd w:val="clear" w:color="auto" w:fill="D8D8D8"/>
          </w:tcPr>
          <w:p>
            <w:pPr>
              <w:ind w:left="40"/>
              <w:spacing w:after="0"/>
              <w:rPr>
                <w:sz w:val="20"/>
                <w:szCs w:val="20"/>
                <w:color w:val="auto"/>
              </w:rPr>
            </w:pPr>
            <w:r>
              <w:rPr>
                <w:rFonts w:ascii="Arial" w:cs="Arial" w:eastAsia="Arial" w:hAnsi="Arial"/>
                <w:sz w:val="18"/>
                <w:szCs w:val="18"/>
                <w:color w:val="auto"/>
              </w:rPr>
              <w:t>Transfers into (out of) Level 3</w:t>
            </w:r>
          </w:p>
        </w:tc>
        <w:tc>
          <w:tcPr>
            <w:tcW w:w="420" w:type="dxa"/>
            <w:vAlign w:val="bottom"/>
            <w:tcBorders>
              <w:bottom w:val="single" w:sz="8" w:color="auto"/>
            </w:tcBorders>
            <w:shd w:val="clear" w:color="auto" w:fill="D8D8D8"/>
          </w:tcPr>
          <w:p>
            <w:pPr>
              <w:spacing w:after="0"/>
              <w:rPr>
                <w:sz w:val="23"/>
                <w:szCs w:val="23"/>
                <w:color w:val="auto"/>
              </w:rPr>
            </w:pPr>
          </w:p>
        </w:tc>
        <w:tc>
          <w:tcPr>
            <w:tcW w:w="76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(1.1)</w:t>
            </w:r>
          </w:p>
        </w:tc>
        <w:tc>
          <w:tcPr>
            <w:tcW w:w="520" w:type="dxa"/>
            <w:vAlign w:val="bottom"/>
            <w:tcBorders>
              <w:bottom w:val="single" w:sz="8" w:color="auto"/>
            </w:tcBorders>
            <w:shd w:val="clear" w:color="auto" w:fill="D8D8D8"/>
          </w:tcPr>
          <w:p>
            <w:pPr>
              <w:spacing w:after="0"/>
              <w:rPr>
                <w:sz w:val="23"/>
                <w:szCs w:val="23"/>
                <w:color w:val="auto"/>
              </w:rPr>
            </w:pPr>
          </w:p>
        </w:tc>
        <w:tc>
          <w:tcPr>
            <w:tcW w:w="700" w:type="dxa"/>
            <w:vAlign w:val="bottom"/>
            <w:tcBorders>
              <w:bottom w:val="single" w:sz="8" w:color="auto"/>
            </w:tcBorders>
            <w:shd w:val="clear" w:color="auto" w:fill="D8D8D8"/>
          </w:tcPr>
          <w:p>
            <w:pPr>
              <w:jc w:val="right"/>
              <w:ind w:right="3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shd w:val="clear" w:color="auto" w:fill="D8D8D8"/>
          </w:tcPr>
          <w:p>
            <w:pPr>
              <w:spacing w:after="0"/>
              <w:rPr>
                <w:sz w:val="23"/>
                <w:szCs w:val="23"/>
                <w:color w:val="auto"/>
              </w:rPr>
            </w:pPr>
          </w:p>
        </w:tc>
        <w:tc>
          <w:tcPr>
            <w:tcW w:w="800" w:type="dxa"/>
            <w:vAlign w:val="bottom"/>
            <w:tcBorders>
              <w:bottom w:val="single" w:sz="8" w:color="auto"/>
            </w:tcBorders>
            <w:shd w:val="clear" w:color="auto" w:fill="D8D8D8"/>
          </w:tcPr>
          <w:p>
            <w:pPr>
              <w:jc w:val="right"/>
              <w:ind w:right="3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shd w:val="clear" w:color="auto" w:fill="D8D8D8"/>
          </w:tcPr>
          <w:p>
            <w:pPr>
              <w:spacing w:after="0"/>
              <w:rPr>
                <w:sz w:val="23"/>
                <w:szCs w:val="23"/>
                <w:color w:val="auto"/>
              </w:rPr>
            </w:pPr>
          </w:p>
        </w:tc>
        <w:tc>
          <w:tcPr>
            <w:tcW w:w="800" w:type="dxa"/>
            <w:vAlign w:val="bottom"/>
            <w:tcBorders>
              <w:bottom w:val="single" w:sz="8" w:color="auto"/>
            </w:tcBorders>
            <w:shd w:val="clear" w:color="auto" w:fill="D8D8D8"/>
          </w:tcPr>
          <w:p>
            <w:pPr>
              <w:jc w:val="right"/>
              <w:ind w:right="7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shd w:val="clear" w:color="auto" w:fill="D8D8D8"/>
          </w:tcPr>
          <w:p>
            <w:pPr>
              <w:spacing w:after="0"/>
              <w:rPr>
                <w:sz w:val="23"/>
                <w:szCs w:val="23"/>
                <w:color w:val="auto"/>
              </w:rPr>
            </w:pPr>
          </w:p>
        </w:tc>
        <w:tc>
          <w:tcPr>
            <w:tcW w:w="680" w:type="dxa"/>
            <w:vAlign w:val="bottom"/>
            <w:tcBorders>
              <w:bottom w:val="single" w:sz="8" w:color="auto"/>
            </w:tcBorders>
            <w:shd w:val="clear" w:color="auto" w:fill="D8D8D8"/>
          </w:tcPr>
          <w:p>
            <w:pPr>
              <w:ind w:left="38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shd w:val="clear" w:color="auto" w:fill="D8D8D8"/>
          </w:tcPr>
          <w:p>
            <w:pPr>
              <w:spacing w:after="0"/>
              <w:rPr>
                <w:sz w:val="23"/>
                <w:szCs w:val="23"/>
                <w:color w:val="auto"/>
              </w:rPr>
            </w:pPr>
          </w:p>
        </w:tc>
        <w:tc>
          <w:tcPr>
            <w:tcW w:w="78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(1.1)</w:t>
            </w:r>
          </w:p>
        </w:tc>
      </w:tr>
      <w:tr>
        <w:trPr>
          <w:trHeight w:val="271"/>
        </w:trPr>
        <w:tc>
          <w:tcPr>
            <w:tcW w:w="4000" w:type="dxa"/>
            <w:vAlign w:val="bottom"/>
          </w:tcPr>
          <w:p>
            <w:pPr>
              <w:ind w:left="40"/>
              <w:spacing w:after="0"/>
              <w:rPr>
                <w:sz w:val="20"/>
                <w:szCs w:val="20"/>
                <w:color w:val="auto"/>
              </w:rPr>
            </w:pPr>
            <w:r>
              <w:rPr>
                <w:rFonts w:ascii="Arial" w:cs="Arial" w:eastAsia="Arial" w:hAnsi="Arial"/>
                <w:sz w:val="18"/>
                <w:szCs w:val="18"/>
                <w:color w:val="auto"/>
              </w:rPr>
              <w:t>Ending balance at December 31, 2014</w:t>
            </w: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0.2</w:t>
            </w:r>
          </w:p>
        </w:tc>
        <w:tc>
          <w:tcPr>
            <w:tcW w:w="4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124.0</w:t>
            </w:r>
          </w:p>
        </w:tc>
        <w:tc>
          <w:tcPr>
            <w:tcW w:w="5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92.3</w:t>
            </w:r>
          </w:p>
        </w:tc>
        <w:tc>
          <w:tcPr>
            <w:tcW w:w="5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216.5</w:t>
            </w:r>
          </w:p>
        </w:tc>
      </w:tr>
    </w:tbl>
    <w:p>
      <w:pPr>
        <w:spacing w:after="0" w:line="85" w:lineRule="exact"/>
        <w:rPr>
          <w:sz w:val="20"/>
          <w:szCs w:val="20"/>
          <w:color w:val="auto"/>
        </w:rPr>
      </w:pPr>
    </w:p>
    <w:p>
      <w:pPr>
        <w:jc w:val="both"/>
        <w:ind w:right="40"/>
        <w:spacing w:after="0" w:line="292" w:lineRule="auto"/>
        <w:rPr>
          <w:sz w:val="20"/>
          <w:szCs w:val="20"/>
          <w:color w:val="auto"/>
        </w:rPr>
      </w:pPr>
      <w:r>
        <w:rPr>
          <w:rFonts w:ascii="Arial" w:cs="Arial" w:eastAsia="Arial" w:hAnsi="Arial"/>
          <w:sz w:val="18"/>
          <w:szCs w:val="18"/>
          <w:color w:val="auto"/>
        </w:rPr>
        <w:t>In 2016, we expect to contribute approximately $40 million to our defined benefit pension plans to satisfy minimum funding requirements for the year, along with approximately $5 million of additional discretionary contributions.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Note 15: Contingencies</w:t>
      </w:r>
    </w:p>
    <w:p>
      <w:pPr>
        <w:spacing w:after="0" w:line="173" w:lineRule="exact"/>
        <w:rPr>
          <w:sz w:val="20"/>
          <w:szCs w:val="20"/>
          <w:color w:val="auto"/>
        </w:rPr>
      </w:pPr>
    </w:p>
    <w:p>
      <w:pPr>
        <w:ind w:right="120"/>
        <w:spacing w:after="0" w:line="250" w:lineRule="auto"/>
        <w:rPr>
          <w:sz w:val="20"/>
          <w:szCs w:val="20"/>
          <w:color w:val="auto"/>
        </w:rPr>
      </w:pPr>
      <w:r>
        <w:rPr>
          <w:rFonts w:ascii="Arial" w:cs="Arial" w:eastAsia="Arial" w:hAnsi="Arial"/>
          <w:sz w:val="18"/>
          <w:szCs w:val="18"/>
          <w:color w:val="auto"/>
        </w:rPr>
        <w:t>We are a party to various legal actions and government investigations. The most significant of these are described below. It is not possible to determine the outcome of these matters, and we cannot reasonably estimate the maximum potential exposure or the range of possible loss in excess of amounts accrued for any of these matters; however, we believe that, except as noted below with respect to the Alimta</w:t>
      </w:r>
      <w:r>
        <w:rPr>
          <w:rFonts w:ascii="Arial" w:cs="Arial" w:eastAsia="Arial" w:hAnsi="Arial"/>
          <w:sz w:val="21"/>
          <w:szCs w:val="21"/>
          <w:color w:val="auto"/>
          <w:vertAlign w:val="superscript"/>
        </w:rPr>
        <w:t>®</w:t>
      </w:r>
      <w:r>
        <w:rPr>
          <w:rFonts w:ascii="Arial" w:cs="Arial" w:eastAsia="Arial" w:hAnsi="Arial"/>
          <w:sz w:val="18"/>
          <w:szCs w:val="18"/>
          <w:color w:val="auto"/>
        </w:rPr>
        <w:t xml:space="preserve"> patent litigation and administrative proceedings, the resolution of all such matters will not have a material adverse effect on our consolidated financial position or liquidity, but could possibly be material to our consolidated results of operations in any one accounting period.</w:t>
      </w:r>
    </w:p>
    <w:p>
      <w:pPr>
        <w:spacing w:after="0" w:line="74" w:lineRule="exact"/>
        <w:rPr>
          <w:sz w:val="20"/>
          <w:szCs w:val="20"/>
          <w:color w:val="auto"/>
        </w:rPr>
      </w:pPr>
    </w:p>
    <w:p>
      <w:pPr>
        <w:ind w:right="220"/>
        <w:spacing w:after="0" w:line="258" w:lineRule="auto"/>
        <w:rPr>
          <w:sz w:val="20"/>
          <w:szCs w:val="20"/>
          <w:color w:val="auto"/>
        </w:rPr>
      </w:pPr>
      <w:r>
        <w:rPr>
          <w:rFonts w:ascii="Arial" w:cs="Arial" w:eastAsia="Arial" w:hAnsi="Arial"/>
          <w:sz w:val="18"/>
          <w:szCs w:val="18"/>
          <w:color w:val="auto"/>
        </w:rPr>
        <w:t>Litigation accruals, environmental liabilities, and the related estimated insurance recoverables are reflected on a gross basis as liabilities and assets, respectively, on our consolidated balance sheets. With respect to the product liability claims currently asserted against us, we have accrued for our estimated exposures to the extent they are both probable and reasonably estimable based on the information available to us. We accrue for certain product liability claims incurred but not filed to the extent we can formulate a reasonable estimate of their costs. We estimate these expenses based primarily on historical claims experience and data regarding product usage. Legal defense costs expected to be incurred in connection with significant product liability loss contingencies are accrued when both probable and reasonably estimable.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Alimta Patent Litigation and Administrative Proceedings</w:t>
      </w:r>
    </w:p>
    <w:p>
      <w:pPr>
        <w:spacing w:after="0" w:line="119" w:lineRule="exact"/>
        <w:rPr>
          <w:sz w:val="20"/>
          <w:szCs w:val="20"/>
          <w:color w:val="auto"/>
        </w:rPr>
      </w:pPr>
    </w:p>
    <w:p>
      <w:pPr>
        <w:ind w:right="140"/>
        <w:spacing w:after="0" w:line="271" w:lineRule="auto"/>
        <w:rPr>
          <w:sz w:val="20"/>
          <w:szCs w:val="20"/>
          <w:color w:val="auto"/>
        </w:rPr>
      </w:pPr>
      <w:r>
        <w:rPr>
          <w:rFonts w:ascii="Arial" w:cs="Arial" w:eastAsia="Arial" w:hAnsi="Arial"/>
          <w:sz w:val="18"/>
          <w:szCs w:val="18"/>
          <w:color w:val="auto"/>
        </w:rPr>
        <w:t>A number of generic manufacturers are seeking approvals in various countries to market generic forms of Alimta prior to the expiration of our vitamin regimen patents, alleging that those patents are invalid, not infringed, or both. We believe our Alimta vitamin regimen patents are valid and enforceable against these</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94</w:t>
      </w:r>
    </w:p>
    <w:p>
      <w:pPr>
        <w:sectPr>
          <w:pgSz w:w="11900" w:h="16838" w:orient="portrait"/>
          <w:cols w:equalWidth="0" w:num="1">
            <w:col w:w="11420"/>
          </w:cols>
          <w:pgMar w:left="240" w:top="684" w:right="239" w:bottom="1440" w:gutter="0" w:footer="0" w:header="0"/>
          <w:type w:val="continuous"/>
        </w:sectPr>
      </w:pPr>
    </w:p>
    <w:bookmarkStart w:id="94" w:name="page95"/>
    <w:bookmarkEnd w:id="94"/>
    <w:p>
      <w:pPr>
        <w:jc w:val="both"/>
        <w:ind w:right="140"/>
        <w:spacing w:after="0" w:line="264" w:lineRule="auto"/>
        <w:rPr>
          <w:sz w:val="20"/>
          <w:szCs w:val="20"/>
          <w:color w:val="auto"/>
        </w:rPr>
      </w:pPr>
      <w:r>
        <w:rPr>
          <w:rFonts w:ascii="Arial" w:cs="Arial" w:eastAsia="Arial" w:hAnsi="Arial"/>
          <w:sz w:val="18"/>
          <w:szCs w:val="18"/>
          <w:color w:val="auto"/>
        </w:rPr>
        <w:t>generic manufacturers. However, it is not possible to determine the ultimate outcome of the proceedings, and accordingly, we can provide no assurance that we will prevail. An unfavorable outcome could have a material adverse impact on our future consolidated results of operations, liquidity, and financial position. We expect that a loss of exclusivity for Alimta would result in a rapid and severe decline in future revenues for the product in the relevant market.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U.S. Patent Litigation and Administrative Proceedings</w:t>
      </w:r>
    </w:p>
    <w:p>
      <w:pPr>
        <w:spacing w:after="0" w:line="117"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color w:val="auto"/>
        </w:rPr>
        <w:t>We are engaged in various U.S. patent litigation matters involving Alimta brought pursuant to procedures set out in the Drug Price Competition and Patent Term Restoration Act of 1984 (the Hatch-Waxman Act). More than ten Abbreviated New Drug Applications (ANDAs) seeking approval to market generic versions of Alimta prior to the expiration of our vitamin regimen patent (expiring in 2021 plus pediatric exclusivity expiring in 2022) have been filed by a number of companies, including Teva Parenteral Medicines, Inc. (Teva) and APP Pharmaceuticals, LLC (APP). These companies have also alleged the patent is invalid. In February 2016, we filed a lawsuit alleging infringement against Dr. Reddy's Laboratories in response to their recently filed abbreviated application.</w:t>
      </w:r>
    </w:p>
    <w:p>
      <w:pPr>
        <w:spacing w:after="0" w:line="69" w:lineRule="exact"/>
        <w:rPr>
          <w:sz w:val="20"/>
          <w:szCs w:val="20"/>
          <w:color w:val="auto"/>
        </w:rPr>
      </w:pPr>
    </w:p>
    <w:p>
      <w:pPr>
        <w:ind w:right="40"/>
        <w:spacing w:after="0" w:line="260" w:lineRule="auto"/>
        <w:rPr>
          <w:sz w:val="20"/>
          <w:szCs w:val="20"/>
          <w:color w:val="auto"/>
        </w:rPr>
      </w:pPr>
      <w:r>
        <w:rPr>
          <w:rFonts w:ascii="Arial" w:cs="Arial" w:eastAsia="Arial" w:hAnsi="Arial"/>
          <w:sz w:val="18"/>
          <w:szCs w:val="18"/>
          <w:color w:val="auto"/>
        </w:rPr>
        <w:t>In October 2010, we filed a lawsuit in the U.S. District Court for the Southern District of Indiana against Teva, APP and two other defendants seeking rulings that the U.S. vitamin regimen patent is valid and infringed (the Teva/APP litigation). Teva and APP stipulated to infringement of our vitamin regimen patent, with the contingency that Teva and APP would be permitted to litigate the issue of infringement if the U.S. Supreme Court vacated an en banc decision of the U.S. Court of Appeals for the Federal Circuit that dealt with issues of liability related to infringement (</w:t>
      </w:r>
      <w:r>
        <w:rPr>
          <w:rFonts w:ascii="Arial" w:cs="Arial" w:eastAsia="Arial" w:hAnsi="Arial"/>
          <w:sz w:val="18"/>
          <w:szCs w:val="18"/>
          <w:i w:val="1"/>
          <w:iCs w:val="1"/>
          <w:color w:val="auto"/>
        </w:rPr>
        <w:t>Akamai v. Limelight Networks</w:t>
      </w:r>
      <w:r>
        <w:rPr>
          <w:rFonts w:ascii="Arial" w:cs="Arial" w:eastAsia="Arial" w:hAnsi="Arial"/>
          <w:sz w:val="18"/>
          <w:szCs w:val="18"/>
          <w:color w:val="auto"/>
        </w:rPr>
        <w:t>). Thus, the sole issue before the district court was to determine patent validity.</w:t>
      </w:r>
    </w:p>
    <w:p>
      <w:pPr>
        <w:spacing w:after="0" w:line="67"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color w:val="auto"/>
        </w:rPr>
        <w:t xml:space="preserve">Trial occurred in August 2013. In March 2014, the court ruled that the asserted claims of the vitamin regimen patent are valid. In June 2014, the U.S. Supreme Court vacated the </w:t>
      </w:r>
      <w:r>
        <w:rPr>
          <w:rFonts w:ascii="Arial" w:cs="Arial" w:eastAsia="Arial" w:hAnsi="Arial"/>
          <w:sz w:val="18"/>
          <w:szCs w:val="18"/>
          <w:i w:val="1"/>
          <w:iCs w:val="1"/>
          <w:color w:val="auto"/>
        </w:rPr>
        <w:t>Akamai</w:t>
      </w:r>
      <w:r>
        <w:rPr>
          <w:rFonts w:ascii="Arial" w:cs="Arial" w:eastAsia="Arial" w:hAnsi="Arial"/>
          <w:sz w:val="18"/>
          <w:szCs w:val="18"/>
          <w:color w:val="auto"/>
        </w:rPr>
        <w:t xml:space="preserve"> decision, and the U.S. District Court for the Southern District of Indiana held a hearing on the issue of infringement in May 2015. In September 2015, the district court ruled that the vitamin regimen patent would be infringed by the generic challengers' proposed products. Teva and APP filed a notice of appeal with respect to all of the district court’s substantive decisions. A decision from the U.S. Court of Appeals for the Federal Circuit is expected in late 2016.</w:t>
      </w:r>
    </w:p>
    <w:p>
      <w:pPr>
        <w:spacing w:after="0" w:line="67"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color w:val="auto"/>
        </w:rPr>
        <w:t>Throughout the course of 2012 through 2015, we filed similar lawsuits against other ANDA defendants seeking a ruling that our patents are valid and infringed. Some of these cases have been stayed pending the outcome of the Teva/APP litigation, and these parties have agreed to be bound by the outcome of the Teva/APP litigation.</w:t>
      </w:r>
    </w:p>
    <w:p>
      <w:pPr>
        <w:spacing w:after="0" w:line="55" w:lineRule="exact"/>
        <w:rPr>
          <w:sz w:val="20"/>
          <w:szCs w:val="20"/>
          <w:color w:val="auto"/>
        </w:rPr>
      </w:pPr>
    </w:p>
    <w:p>
      <w:pPr>
        <w:ind w:right="280"/>
        <w:spacing w:after="0" w:line="271" w:lineRule="auto"/>
        <w:rPr>
          <w:sz w:val="20"/>
          <w:szCs w:val="20"/>
          <w:color w:val="auto"/>
        </w:rPr>
      </w:pPr>
      <w:r>
        <w:rPr>
          <w:rFonts w:ascii="Arial" w:cs="Arial" w:eastAsia="Arial" w:hAnsi="Arial"/>
          <w:sz w:val="18"/>
          <w:szCs w:val="18"/>
          <w:color w:val="auto"/>
        </w:rPr>
        <w:t xml:space="preserve">In 2015, Neptune Generics LLC and Sandoz International GmbH each submitted petitions to the United States Patent and Trademark Office (USPTO), seeking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(IPR) of our vitamin regimen patent by the USPTO. The USPTO is expected to decide whether to institute an IPR by mid-2016. If instituted, then the final written decision on the merits will be issued by the USPTO by mid-2017.</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European Patent Litigation and Administrative Proceedings</w:t>
      </w:r>
    </w:p>
    <w:p>
      <w:pPr>
        <w:spacing w:after="0" w:line="11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Generic manufacturers filed an opposition to the European Patent Office's (EPO) decision to grant us a vitamin regimen patent. The Opposition Division of the EPO upheld the patent and the generic manufacturers lodged an appeal. The EPO appeal hearing was scheduled for November 2015. In October 2015 the generic manufacturers withdrew the appeal, and the hearing was canceled. As a result, the original EPO decision upholding the patent is now final.</w:t>
      </w:r>
    </w:p>
    <w:p>
      <w:pPr>
        <w:spacing w:after="0" w:line="6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addition, in the United Kingdom (U.K.), Actavis Group ehf and other Actavis companies (collectively, Actavis) filed litigation asking for a declaratory judgment that commercialization of certain salt forms of pemetrexed (the active ingredient in Alimta) would not infringe the vitamin regimen patents in the U.K., Italy, France, and Spain. In May 2014, the trial court ruled that the vitamin regimen patents for Alimta would not be infringed by commercialization of alternative salt forms of pemetrexed, after expiration of the compound patents in December 2015. We appealed, and in June 2015, the U.K. Court of Appeal reversed the trial court, ruling that the Alimta vitamin regimen patent in the U.K. would be indirectly infringed by commercialization of Actavis' products as proposed prior to the patent's expiration in June 2021. The Court of Appeal also held there was no difference between the law in the U.K. and that in France, Italy, and Spain as it relates to indirect infringement, and so reversed the trial court's decision granting declarations of noninfringement over the Alimta vitamin regimen patents in those countries. In February 2016, the U.K. Supreme Court granted our and Actavis' requests for permission to appeal different aspects of the judgment.</w:t>
      </w:r>
    </w:p>
    <w:p>
      <w:pPr>
        <w:spacing w:after="0" w:line="20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95</w:t>
      </w:r>
    </w:p>
    <w:p>
      <w:pPr>
        <w:sectPr>
          <w:pgSz w:w="11900" w:h="16838" w:orient="portrait"/>
          <w:cols w:equalWidth="0" w:num="1">
            <w:col w:w="11420"/>
          </w:cols>
          <w:pgMar w:left="240" w:top="684" w:right="239" w:bottom="1440" w:gutter="0" w:footer="0" w:header="0"/>
        </w:sectPr>
      </w:pPr>
    </w:p>
    <w:bookmarkStart w:id="95" w:name="page96"/>
    <w:bookmarkEnd w:id="95"/>
    <w:p>
      <w:pPr>
        <w:ind w:right="160"/>
        <w:spacing w:after="0" w:line="292" w:lineRule="auto"/>
        <w:rPr>
          <w:sz w:val="20"/>
          <w:szCs w:val="20"/>
          <w:color w:val="auto"/>
        </w:rPr>
      </w:pPr>
      <w:r>
        <w:rPr>
          <w:rFonts w:ascii="Arial" w:cs="Arial" w:eastAsia="Arial" w:hAnsi="Arial"/>
          <w:sz w:val="18"/>
          <w:szCs w:val="18"/>
          <w:color w:val="auto"/>
        </w:rPr>
        <w:t>In February 2016, the trial court ruled that Actavis’ commercialization of a different proposed product would not infringe the patent in the U.K., Italy, France, and Spain. We will seek permission to appeal this ruling.</w:t>
      </w:r>
    </w:p>
    <w:p>
      <w:pPr>
        <w:spacing w:after="0" w:line="3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We commenced separate infringement proceedings against certain Actavis companies in Germany. Following a trial, in April 2014, the German trial court ruled in our favor. The defendants appealed, and after a hearing in March 2015, the appellate court overturned the trial court and ruled that our vitamin regimen patent in Germany would not be infringed by a dipotassium salt form of pemetrexed. In January 2016, the German Federal Supreme court granted our request to appeal this matter. A hearing is scheduled for mid-2016.</w:t>
      </w:r>
    </w:p>
    <w:p>
      <w:pPr>
        <w:spacing w:after="0" w:line="62" w:lineRule="exact"/>
        <w:rPr>
          <w:sz w:val="20"/>
          <w:szCs w:val="20"/>
          <w:color w:val="auto"/>
        </w:rPr>
      </w:pPr>
    </w:p>
    <w:p>
      <w:pPr>
        <w:ind w:right="200"/>
        <w:spacing w:after="0" w:line="292" w:lineRule="auto"/>
        <w:rPr>
          <w:sz w:val="20"/>
          <w:szCs w:val="20"/>
          <w:color w:val="auto"/>
        </w:rPr>
      </w:pPr>
      <w:r>
        <w:rPr>
          <w:rFonts w:ascii="Arial" w:cs="Arial" w:eastAsia="Arial" w:hAnsi="Arial"/>
          <w:sz w:val="18"/>
          <w:szCs w:val="18"/>
          <w:color w:val="auto"/>
        </w:rPr>
        <w:t>In separate proceedings, in December 2015 we applied for and obtained a preliminary injunction against Hexal AG (Hexal), which had stated their intention to launch a generic disodium salt product in Germany. Hexal has appealed.</w:t>
      </w:r>
    </w:p>
    <w:p>
      <w:pPr>
        <w:spacing w:after="0" w:line="37" w:lineRule="exact"/>
        <w:rPr>
          <w:sz w:val="20"/>
          <w:szCs w:val="20"/>
          <w:color w:val="auto"/>
        </w:rPr>
      </w:pPr>
    </w:p>
    <w:p>
      <w:pPr>
        <w:ind w:right="120"/>
        <w:spacing w:after="0" w:line="292" w:lineRule="auto"/>
        <w:rPr>
          <w:sz w:val="20"/>
          <w:szCs w:val="20"/>
          <w:color w:val="auto"/>
        </w:rPr>
      </w:pPr>
      <w:r>
        <w:rPr>
          <w:rFonts w:ascii="Arial" w:cs="Arial" w:eastAsia="Arial" w:hAnsi="Arial"/>
          <w:sz w:val="18"/>
          <w:szCs w:val="18"/>
          <w:color w:val="auto"/>
        </w:rPr>
        <w:t>We are aware that a generic competitor has received approval to market a generic version of Alimta in a major European market, although we are not aware of whether the competitor's product has entered the market.</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Japanese Administrative Proceedings</w:t>
      </w:r>
    </w:p>
    <w:p>
      <w:pPr>
        <w:spacing w:after="0" w:line="117"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Three companies have filed separate demands for invalidation of our two vitamin regimen patents with the Japanese Patent Office (JPO). In November 2015, the JPO issued a written decision in the invalidation trial initiated by Sawai Pharmaceutical Co., Ltd. (Sawai), and joined by four other companies, upholding both vitamin regimen patents. These patents provide intellectual property protection for Alimta until June 2021. Sawai and Teva, one of the other companies in the Sawai invalidation trial, have filed appeals in both cases. The remaining invalidation trials initiated by the other parties are currently suspended.</w:t>
      </w:r>
    </w:p>
    <w:p>
      <w:pPr>
        <w:spacing w:after="0" w:line="67" w:lineRule="exact"/>
        <w:rPr>
          <w:sz w:val="20"/>
          <w:szCs w:val="20"/>
          <w:color w:val="auto"/>
        </w:rPr>
      </w:pPr>
    </w:p>
    <w:p>
      <w:pPr>
        <w:ind w:right="40"/>
        <w:spacing w:after="0" w:line="292" w:lineRule="auto"/>
        <w:rPr>
          <w:sz w:val="20"/>
          <w:szCs w:val="20"/>
          <w:color w:val="auto"/>
        </w:rPr>
      </w:pPr>
      <w:r>
        <w:rPr>
          <w:rFonts w:ascii="Arial" w:cs="Arial" w:eastAsia="Arial" w:hAnsi="Arial"/>
          <w:sz w:val="18"/>
          <w:szCs w:val="18"/>
          <w:color w:val="auto"/>
        </w:rPr>
        <w:t>Notwithstanding our patents, generic versions of Alimta were approved in Japan in February 2016. We filed preliminary injunctions against four generic competitors. We do not anticipate generic competitors to proceed to launch prior to the completion of the Sawai invalidation trial.</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Effient Patent Litigation and Administrative Proceedings</w:t>
      </w:r>
    </w:p>
    <w:p>
      <w:pPr>
        <w:spacing w:after="0" w:line="119" w:lineRule="exact"/>
        <w:rPr>
          <w:sz w:val="20"/>
          <w:szCs w:val="20"/>
          <w:color w:val="auto"/>
        </w:rPr>
      </w:pPr>
    </w:p>
    <w:p>
      <w:pPr>
        <w:ind w:right="40"/>
        <w:spacing w:after="0" w:line="260" w:lineRule="auto"/>
        <w:rPr>
          <w:sz w:val="20"/>
          <w:szCs w:val="20"/>
          <w:color w:val="auto"/>
        </w:rPr>
      </w:pPr>
      <w:r>
        <w:rPr>
          <w:rFonts w:ascii="Arial" w:cs="Arial" w:eastAsia="Arial" w:hAnsi="Arial"/>
          <w:sz w:val="18"/>
          <w:szCs w:val="18"/>
          <w:color w:val="auto"/>
        </w:rPr>
        <w:t>We, along with Daiichi Sankyo, Daiichi Sankyo, Inc., and Ube Industries (Ube) are engaged in U.S. patent litigation involving Effient brought pursuant to procedures set out in the Hatch-Waxman Act. More than ten different companies have submitted ANDAs seeking approval to market generic versions of Effient prior to the expiration of Daiichi Sankyo’s and Ube’s patents (expiring in 2023) covering methods of using Effient with aspirin, and alleging the patents are invalid. One of these ANDAs also alleges that the compound patent for Effient (expiring in April 2017) is invalid.</w:t>
      </w:r>
    </w:p>
    <w:p>
      <w:pPr>
        <w:spacing w:after="0" w:line="67" w:lineRule="exact"/>
        <w:rPr>
          <w:sz w:val="20"/>
          <w:szCs w:val="20"/>
          <w:color w:val="auto"/>
        </w:rPr>
      </w:pPr>
    </w:p>
    <w:p>
      <w:pPr>
        <w:ind w:right="140"/>
        <w:spacing w:after="0" w:line="271" w:lineRule="auto"/>
        <w:rPr>
          <w:sz w:val="20"/>
          <w:szCs w:val="20"/>
          <w:color w:val="auto"/>
        </w:rPr>
      </w:pPr>
      <w:r>
        <w:rPr>
          <w:rFonts w:ascii="Arial" w:cs="Arial" w:eastAsia="Arial" w:hAnsi="Arial"/>
          <w:sz w:val="18"/>
          <w:szCs w:val="18"/>
          <w:color w:val="auto"/>
        </w:rPr>
        <w:t>Beginning in March 2014, we filed lawsuits in the U.S. District Court for the Southern District of Indiana against these companies, seeking a ruling that the patents are valid and infringed. These cases have been consolidated. Four generic companies have agreed to be bound by the outcome of the consolidated case.</w:t>
      </w:r>
    </w:p>
    <w:p>
      <w:pPr>
        <w:spacing w:after="0" w:line="55"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color w:val="auto"/>
        </w:rPr>
        <w:t>In 2015, several generic pharmaceutical companies filed petitions with the USPTO, requesting IPR of the method patents. In September 2015, the USPTO granted the generic pharmaceutical companies' request and scheduled review in mid-2016. In light of these petitions, the district court in the consolidated lawsuit stayed the case with respect to all parties.</w:t>
      </w:r>
    </w:p>
    <w:p>
      <w:pPr>
        <w:spacing w:after="0" w:line="55"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We believe the Effient patents are valid and enforceable against these generic manufacturers. However, it is not possible to determine the outcome of the proceedings, and accordingly, we can provide no assurance that we will prevail. We expect a loss of exclusivity for Effient would result in a rapid and severe decline in future revenues for the product in the relevant market.</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Actos</w:t>
      </w:r>
      <w:r>
        <w:rPr>
          <w:rFonts w:ascii="Arial" w:cs="Arial" w:eastAsia="Arial" w:hAnsi="Arial"/>
          <w:sz w:val="21"/>
          <w:szCs w:val="21"/>
          <w:b w:val="1"/>
          <w:bCs w:val="1"/>
          <w:color w:val="auto"/>
          <w:vertAlign w:val="superscript"/>
        </w:rPr>
        <w:t>®</w:t>
      </w:r>
      <w:r>
        <w:rPr>
          <w:rFonts w:ascii="Arial" w:cs="Arial" w:eastAsia="Arial" w:hAnsi="Arial"/>
          <w:sz w:val="18"/>
          <w:szCs w:val="18"/>
          <w:b w:val="1"/>
          <w:bCs w:val="1"/>
          <w:color w:val="auto"/>
        </w:rPr>
        <w:t xml:space="preserve"> Product Liability Litigation</w:t>
      </w:r>
    </w:p>
    <w:p>
      <w:pPr>
        <w:spacing w:after="0" w:line="85"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color w:val="auto"/>
        </w:rPr>
        <w:t>We have been named along with Takeda Chemical Industries, Ltd., and Takeda affiliates (collectively, Takeda) as a defendant in approximately 6,500 product liability cases in the U.S. related to the diabetes medication Actos, which we co-promoted with Takeda in the U.S. from 1999 until 2006. In general, plaintiffs in these actions allege that Actos caused or contributed to their bladder cancer. Almost all of the active cases have been consolidated in federal multi-district litigation (MDL) in the Western District of Louisiana or are pending in a coordinated state court proceeding in California or a coordinated state court proceeding in Illinois.</w:t>
      </w:r>
    </w:p>
    <w:p>
      <w:pPr>
        <w:spacing w:after="0" w:line="67" w:lineRule="exact"/>
        <w:rPr>
          <w:sz w:val="20"/>
          <w:szCs w:val="20"/>
          <w:color w:val="auto"/>
        </w:rPr>
      </w:pPr>
    </w:p>
    <w:p>
      <w:pPr>
        <w:ind w:right="620"/>
        <w:spacing w:after="0" w:line="271" w:lineRule="auto"/>
        <w:rPr>
          <w:sz w:val="20"/>
          <w:szCs w:val="20"/>
          <w:color w:val="auto"/>
        </w:rPr>
      </w:pPr>
      <w:r>
        <w:rPr>
          <w:rFonts w:ascii="Arial" w:cs="Arial" w:eastAsia="Arial" w:hAnsi="Arial"/>
          <w:sz w:val="18"/>
          <w:szCs w:val="18"/>
          <w:color w:val="auto"/>
        </w:rPr>
        <w:t xml:space="preserve">In April 2015, Takeda announced they will pay approximately $2.4 billion to resolve the vast majority of the U.S. product liability lawsuits involving Actos, including the case of </w:t>
      </w:r>
      <w:r>
        <w:rPr>
          <w:rFonts w:ascii="Arial" w:cs="Arial" w:eastAsia="Arial" w:hAnsi="Arial"/>
          <w:sz w:val="18"/>
          <w:szCs w:val="18"/>
          <w:i w:val="1"/>
          <w:iCs w:val="1"/>
          <w:color w:val="auto"/>
        </w:rPr>
        <w:t>Allen, et al. v. Takeda Pharmaceuticals, et al.,</w:t>
      </w:r>
      <w:r>
        <w:rPr>
          <w:rFonts w:ascii="Arial" w:cs="Arial" w:eastAsia="Arial" w:hAnsi="Arial"/>
          <w:sz w:val="18"/>
          <w:szCs w:val="18"/>
          <w:color w:val="auto"/>
        </w:rPr>
        <w:t xml:space="preserve"> no. 6:12-md-00064, in which a judgment of approximately $28 million was entered against Takeda and a</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96</w:t>
      </w:r>
    </w:p>
    <w:p>
      <w:pPr>
        <w:sectPr>
          <w:pgSz w:w="11900" w:h="16838" w:orient="portrait"/>
          <w:cols w:equalWidth="0" w:num="1">
            <w:col w:w="11400"/>
          </w:cols>
          <w:pgMar w:left="240" w:top="684" w:right="259" w:bottom="1440" w:gutter="0" w:footer="0" w:header="0"/>
        </w:sectPr>
      </w:pPr>
    </w:p>
    <w:bookmarkStart w:id="96" w:name="page97"/>
    <w:bookmarkEnd w:id="96"/>
    <w:p>
      <w:pPr>
        <w:ind w:right="300"/>
        <w:spacing w:after="0" w:line="264" w:lineRule="auto"/>
        <w:rPr>
          <w:sz w:val="20"/>
          <w:szCs w:val="20"/>
          <w:color w:val="auto"/>
        </w:rPr>
      </w:pPr>
      <w:r>
        <w:rPr>
          <w:rFonts w:ascii="Arial" w:cs="Arial" w:eastAsia="Arial" w:hAnsi="Arial"/>
          <w:sz w:val="18"/>
          <w:szCs w:val="18"/>
          <w:color w:val="auto"/>
        </w:rPr>
        <w:t>judgment of approximately $9 million was entered against us. In September 2015, Takeda announced that more than 96 percent of eligible claimants have opted into the resolution program that was announced in April 2015. Takeda is now evaluating the submissions to determine whether they satisfy various criteria specified under the terms of the resolution program. Takeda expects the resolution program to become effective upon completion of that review.</w:t>
      </w:r>
    </w:p>
    <w:p>
      <w:pPr>
        <w:spacing w:after="0" w:line="62"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color w:val="auto"/>
        </w:rPr>
        <w:t>Although the vast majority of U.S. product liability lawsuits involving Actos are included in the resolution program announced in April 2015, there may be additional cases pending against Takeda and us following completion of the resolution program. Our agreement with Takeda calls for Takeda to defend and indemnify us against our losses and expenses with respect to the U.S. litigation arising out of the manufacture, use, or sale of Actos and other related expenses in accordance with the terms of the agreement. We believe we are entitled to full indemnification of our losses and expenses in the U.S. cases</w:t>
      </w:r>
      <w:r>
        <w:rPr>
          <w:rFonts w:ascii="Arial" w:cs="Arial" w:eastAsia="Arial" w:hAnsi="Arial"/>
          <w:sz w:val="18"/>
          <w:szCs w:val="18"/>
          <w:i w:val="1"/>
          <w:iCs w:val="1"/>
          <w:color w:val="auto"/>
        </w:rPr>
        <w:t>;</w:t>
      </w:r>
      <w:r>
        <w:rPr>
          <w:rFonts w:ascii="Arial" w:cs="Arial" w:eastAsia="Arial" w:hAnsi="Arial"/>
          <w:sz w:val="18"/>
          <w:szCs w:val="18"/>
          <w:color w:val="auto"/>
        </w:rPr>
        <w:t xml:space="preserve"> however, there can be no guarantee we will ultimately be successful in obtaining full indemnification.</w:t>
      </w:r>
    </w:p>
    <w:p>
      <w:pPr>
        <w:spacing w:after="0" w:line="69" w:lineRule="exact"/>
        <w:rPr>
          <w:sz w:val="20"/>
          <w:szCs w:val="20"/>
          <w:color w:val="auto"/>
        </w:rPr>
      </w:pPr>
    </w:p>
    <w:p>
      <w:pPr>
        <w:jc w:val="both"/>
        <w:ind w:right="120"/>
        <w:spacing w:after="0" w:line="271" w:lineRule="auto"/>
        <w:rPr>
          <w:sz w:val="20"/>
          <w:szCs w:val="20"/>
          <w:color w:val="auto"/>
        </w:rPr>
      </w:pPr>
      <w:r>
        <w:rPr>
          <w:rFonts w:ascii="Arial" w:cs="Arial" w:eastAsia="Arial" w:hAnsi="Arial"/>
          <w:sz w:val="18"/>
          <w:szCs w:val="18"/>
          <w:color w:val="auto"/>
        </w:rPr>
        <w:t>We are also named along with Takeda as a defendant in four purported product liability class actions in Canada related to Actos, including two in Ontario (</w:t>
      </w:r>
      <w:r>
        <w:rPr>
          <w:rFonts w:ascii="Arial" w:cs="Arial" w:eastAsia="Arial" w:hAnsi="Arial"/>
          <w:sz w:val="18"/>
          <w:szCs w:val="18"/>
          <w:i w:val="1"/>
          <w:iCs w:val="1"/>
          <w:color w:val="auto"/>
        </w:rPr>
        <w:t>Casseres et al. v. Takeda Pharmaceutical North America, Inc., et al. and Carrier et al. v. Eli Lilly et al.</w:t>
      </w:r>
      <w:r>
        <w:rPr>
          <w:rFonts w:ascii="Arial" w:cs="Arial" w:eastAsia="Arial" w:hAnsi="Arial"/>
          <w:sz w:val="18"/>
          <w:szCs w:val="18"/>
          <w:color w:val="auto"/>
        </w:rPr>
        <w:t>), one in Quebec (</w:t>
      </w:r>
      <w:r>
        <w:rPr>
          <w:rFonts w:ascii="Arial" w:cs="Arial" w:eastAsia="Arial" w:hAnsi="Arial"/>
          <w:sz w:val="18"/>
          <w:szCs w:val="18"/>
          <w:i w:val="1"/>
          <w:iCs w:val="1"/>
          <w:color w:val="auto"/>
        </w:rPr>
        <w:t>Whyte et al.</w:t>
      </w:r>
      <w:r>
        <w:rPr>
          <w:rFonts w:ascii="Arial" w:cs="Arial" w:eastAsia="Arial" w:hAnsi="Arial"/>
          <w:sz w:val="18"/>
          <w:szCs w:val="18"/>
          <w:color w:val="auto"/>
        </w:rPr>
        <w:t xml:space="preserve"> </w:t>
      </w:r>
      <w:r>
        <w:rPr>
          <w:rFonts w:ascii="Arial" w:cs="Arial" w:eastAsia="Arial" w:hAnsi="Arial"/>
          <w:sz w:val="18"/>
          <w:szCs w:val="18"/>
          <w:i w:val="1"/>
          <w:iCs w:val="1"/>
          <w:color w:val="auto"/>
        </w:rPr>
        <w:t>v. Eli Lilly et al.</w:t>
      </w:r>
      <w:r>
        <w:rPr>
          <w:rFonts w:ascii="Arial" w:cs="Arial" w:eastAsia="Arial" w:hAnsi="Arial"/>
          <w:sz w:val="18"/>
          <w:szCs w:val="18"/>
          <w:color w:val="auto"/>
        </w:rPr>
        <w:t>), and one in Alberta (</w:t>
      </w:r>
      <w:r>
        <w:rPr>
          <w:rFonts w:ascii="Arial" w:cs="Arial" w:eastAsia="Arial" w:hAnsi="Arial"/>
          <w:sz w:val="18"/>
          <w:szCs w:val="18"/>
          <w:i w:val="1"/>
          <w:iCs w:val="1"/>
          <w:color w:val="auto"/>
        </w:rPr>
        <w:t>Epp v. Takeda Canada et al.</w:t>
      </w:r>
      <w:r>
        <w:rPr>
          <w:rFonts w:ascii="Arial" w:cs="Arial" w:eastAsia="Arial" w:hAnsi="Arial"/>
          <w:sz w:val="18"/>
          <w:szCs w:val="18"/>
          <w:color w:val="auto"/>
        </w:rPr>
        <w:t>). We promoted Actos in Canada until 2009.</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color w:val="auto"/>
        </w:rPr>
        <w:t>We believe these lawsuits are without merit, and we and Takeda are prepared to defend against them vigorously.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Byetta Product Liability Litigation</w:t>
      </w:r>
    </w:p>
    <w:p>
      <w:pPr>
        <w:spacing w:after="0" w:line="11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are named as a defendant in approximately 510 Byetta product liability lawsuits in the U.S. involving approximately 1,035 plaintiffs. Approximately 110 of these lawsuits, covering about 630 plaintiffs, are filed in California state court and coordinated in a Los Angeles Superior Court. Approximately 395 lawsuits, covering about 400 plaintiffs, are filed in federal court, the majority of which are coordinated in a MDL in the U.S. District Court for the Southern District of California. The remaining approximately five lawsuits, representing about five plaintiffs, are in various state courts. Approximately 450 of the lawsuits, involving approximately 690 plaintiffs, contain allegations that Byetta caused or contributed to the plaintiffs' cancer (primarily pancreatic cancer or thyroid cancer). The federal and state trial courts granted summary judgment in favor of us and co-defendants on the claims alleging pancreatic cancer; those rulings are being appealed by the plaintiffs. We are aware of approximately 10 additional claimants who have not yet filed suit. These additional claims allege damages for pancreatic cancer or thyroid cancer. We believe these lawsuits and claims are without merit and are prepared to defend against them vigorously.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Cymbalta</w:t>
      </w:r>
      <w:r>
        <w:rPr>
          <w:rFonts w:ascii="Arial" w:cs="Arial" w:eastAsia="Arial" w:hAnsi="Arial"/>
          <w:sz w:val="21"/>
          <w:szCs w:val="21"/>
          <w:b w:val="1"/>
          <w:bCs w:val="1"/>
          <w:color w:val="auto"/>
          <w:vertAlign w:val="superscript"/>
        </w:rPr>
        <w:t>®</w:t>
      </w:r>
      <w:r>
        <w:rPr>
          <w:rFonts w:ascii="Arial" w:cs="Arial" w:eastAsia="Arial" w:hAnsi="Arial"/>
          <w:sz w:val="18"/>
          <w:szCs w:val="18"/>
          <w:b w:val="1"/>
          <w:bCs w:val="1"/>
          <w:color w:val="auto"/>
        </w:rPr>
        <w:t xml:space="preserve"> Product Liability Litigation</w:t>
      </w:r>
    </w:p>
    <w:p>
      <w:pPr>
        <w:spacing w:after="0" w:line="85"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In October 2012, we were named as a defendant in a purported class-action lawsuit in the U.S. District Court for the Central District of California (</w:t>
      </w:r>
      <w:r>
        <w:rPr>
          <w:rFonts w:ascii="Arial" w:cs="Arial" w:eastAsia="Arial" w:hAnsi="Arial"/>
          <w:sz w:val="18"/>
          <w:szCs w:val="18"/>
          <w:i w:val="1"/>
          <w:iCs w:val="1"/>
          <w:color w:val="auto"/>
        </w:rPr>
        <w:t>Saavedra et al v. Eli Lilly and Company</w:t>
      </w:r>
      <w:r>
        <w:rPr>
          <w:rFonts w:ascii="Arial" w:cs="Arial" w:eastAsia="Arial" w:hAnsi="Arial"/>
          <w:sz w:val="18"/>
          <w:szCs w:val="18"/>
          <w:color w:val="auto"/>
        </w:rPr>
        <w:t>) involving Cymbalta. The plaintiffs, purporting to represent a class of all persons within the U.S. who purchased and/or paid for Cymbalta, asserted claims under the consumer protection statutes of four states, California, Massachusetts, Missouri, and New York, and sought declaratory, injunctive, and monetary relief for various alleged economic injuries arising from discontinuing treatment with Cymbalta. In December 2014, the district court denied the plaintiffs' motion for class certification. Plaintiffs filed a petition with the U.S. Court of Appeals for the Ninth Circuit requesting permission to file an interlocutory appeal of the denial of class certification, which was denied. Plaintiffs filed a second motion for certification under the consumer protection acts of New York and Massachusetts. The district court denied that motion for class certification in July 2015. The district court dismissed the suit and plaintiffs are appealing to the U.S. Court of Appeals for the Ninth Circuit.</w:t>
      </w:r>
    </w:p>
    <w:p>
      <w:pPr>
        <w:spacing w:after="0" w:line="74"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Additionally, we are named in approximately 140 lawsuits involving approximately 1,300 plaintiffs filed in various federal and state courts alleging injuries arising from discontinuation of treatment with Cymbalta. Counsel for plaintiffs in the federal court proceedings filed a petition seeking to have then-filed cases and an unspecified number of future cases coordinated into a federal MDL in the U.S. District Court for the Central District of California. In December 2014, the Judicial Panel on Multidistrict Litigation (JPML) denied the plaintiffs' petition for creation of an MDL. Plaintiffs’ counsel subsequently filed a second petition seeking MDL consolidation, which petition was denied by the JPML in October 2015. There have been approximately 35 individual and multi-plaintiff cases filed in California state court. Most of those cases have been centralized in a California Judicial Counsel Coordination Proceeding pending in Los Angeles. The first individual product liability cases were tried in August 2015 and resulted in defense verdicts against four plaintiffs. Two of those plaintiffs are appealing the verdicts against them.</w:t>
      </w:r>
    </w:p>
    <w:p>
      <w:pPr>
        <w:spacing w:after="0" w:line="20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97</w:t>
      </w:r>
    </w:p>
    <w:p>
      <w:pPr>
        <w:sectPr>
          <w:pgSz w:w="11900" w:h="16838" w:orient="portrait"/>
          <w:cols w:equalWidth="0" w:num="1">
            <w:col w:w="11420"/>
          </w:cols>
          <w:pgMar w:left="240" w:top="684" w:right="239" w:bottom="1440" w:gutter="0" w:footer="0" w:header="0"/>
        </w:sectPr>
      </w:pPr>
    </w:p>
    <w:bookmarkStart w:id="97" w:name="page98"/>
    <w:bookmarkEnd w:id="97"/>
    <w:p>
      <w:pPr>
        <w:ind w:right="1780"/>
        <w:spacing w:after="0" w:line="375" w:lineRule="auto"/>
        <w:rPr>
          <w:sz w:val="20"/>
          <w:szCs w:val="20"/>
          <w:color w:val="auto"/>
        </w:rPr>
      </w:pPr>
      <w:r>
        <w:rPr>
          <w:rFonts w:ascii="Arial" w:cs="Arial" w:eastAsia="Arial" w:hAnsi="Arial"/>
          <w:sz w:val="18"/>
          <w:szCs w:val="18"/>
          <w:color w:val="auto"/>
        </w:rPr>
        <w:t xml:space="preserve">We believe all these Cymbalta lawsuits and claims are without merit and are prepared to defend against them vigorously. </w:t>
      </w:r>
      <w:r>
        <w:rPr>
          <w:rFonts w:ascii="Arial" w:cs="Arial" w:eastAsia="Arial" w:hAnsi="Arial"/>
          <w:sz w:val="18"/>
          <w:szCs w:val="18"/>
          <w:b w:val="1"/>
          <w:bCs w:val="1"/>
          <w:color w:val="auto"/>
        </w:rPr>
        <w:t>Prozac</w:t>
      </w:r>
      <w:r>
        <w:rPr>
          <w:rFonts w:ascii="Arial" w:cs="Arial" w:eastAsia="Arial" w:hAnsi="Arial"/>
          <w:sz w:val="21"/>
          <w:szCs w:val="21"/>
          <w:b w:val="1"/>
          <w:bCs w:val="1"/>
          <w:color w:val="auto"/>
          <w:vertAlign w:val="superscript"/>
        </w:rPr>
        <w:t>®</w:t>
      </w:r>
      <w:r>
        <w:rPr>
          <w:rFonts w:ascii="Arial" w:cs="Arial" w:eastAsia="Arial" w:hAnsi="Arial"/>
          <w:sz w:val="18"/>
          <w:szCs w:val="18"/>
          <w:b w:val="1"/>
          <w:bCs w:val="1"/>
          <w:color w:val="auto"/>
        </w:rPr>
        <w:t xml:space="preserve"> Product Liability Litigation</w:t>
      </w:r>
    </w:p>
    <w:p>
      <w:pPr>
        <w:spacing w:after="0" w:line="2"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We are named as a defendant in approximately 10 U.S. lawsuits primarily related to allegations that the antidepressant Prozac caused or contributed to birth defects in the children of women who ingested the drug during pregnancy. We are aware of approximately 515 additional claims related to birth defects, which have not yet been filed. We believe these lawsuits and claims are without merit and are prepared to defend against them vigorously.</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Brazil–Employee Litigation</w:t>
      </w:r>
    </w:p>
    <w:p>
      <w:pPr>
        <w:spacing w:after="0" w:line="11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subsidiary in Brazil, Eli Lilly do Brasil Limitada (Lilly Brasil), is named in a lawsuit brought by the Labor Attorney for 15th Region in the Labor Court of Paulinia, State of Sao Paulo, Brazil, alleging possible harm to employees and former employees caused by exposure to heavy metals at a former Lilly manufacturing facility in Cosmopolis, Brazil, operated by the company between 1977 and 2003. The plaintiffs allege that some employees at the facility were exposed to benzene and heavy metals; however, Lilly Brasil maintains that these alleged contaminants were never used in the facility. In May 2014, the labor court judge ruled against Lilly Brasil. The judge's ruling orders Lilly Brasil to undertake several actions of unspecified financial impact, including paying lifetime medical insurance for the employees and contractors who worked at the Cosmopolis facility more than six months during the affected years and their children born during and after this period. While we cannot currently estimate the range of reasonably possible financial losses that could arise in the event we do not ultimately prevail in the litigation, the judge has estimated the total financial impact of the ruling to be approximately 1.0 billion Brazilian real (approximately $255 million as of December 31, 2015) plus interest. We strongly disagree with the decision and filed an appeal in May 2014.</w:t>
      </w:r>
    </w:p>
    <w:p>
      <w:pPr>
        <w:spacing w:after="0" w:line="70" w:lineRule="exact"/>
        <w:rPr>
          <w:sz w:val="20"/>
          <w:szCs w:val="20"/>
          <w:color w:val="auto"/>
        </w:rPr>
      </w:pPr>
    </w:p>
    <w:p>
      <w:pPr>
        <w:ind w:right="440"/>
        <w:spacing w:after="0" w:line="292" w:lineRule="auto"/>
        <w:rPr>
          <w:sz w:val="20"/>
          <w:szCs w:val="20"/>
          <w:color w:val="auto"/>
        </w:rPr>
      </w:pPr>
      <w:r>
        <w:rPr>
          <w:rFonts w:ascii="Arial" w:cs="Arial" w:eastAsia="Arial" w:hAnsi="Arial"/>
          <w:sz w:val="18"/>
          <w:szCs w:val="18"/>
          <w:color w:val="auto"/>
        </w:rPr>
        <w:t>We are also named in approximately 25 lawsuits filed in the same court by individual former employees making similar claims. We believe these lawsuits are without merit and are prepared to defend against them vigorously.</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Liability Insurance</w:t>
      </w:r>
    </w:p>
    <w:p>
      <w:pPr>
        <w:spacing w:after="0" w:line="119"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color w:val="auto"/>
        </w:rPr>
        <w:t>Because of the nature of pharmaceutical products, it is possible that we could become subject to large numbers of product liability and related claims in the future. Due to a very restrictive market for product liability insurance, we are self-insured for product liability losses for all our currently marketed products.</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98</w:t>
      </w:r>
    </w:p>
    <w:p>
      <w:pPr>
        <w:sectPr>
          <w:pgSz w:w="11900" w:h="16838" w:orient="portrait"/>
          <w:cols w:equalWidth="0" w:num="1">
            <w:col w:w="11400"/>
          </w:cols>
          <w:pgMar w:left="240" w:top="684" w:right="259" w:bottom="1440" w:gutter="0" w:footer="0" w:header="0"/>
        </w:sectPr>
      </w:pPr>
    </w:p>
    <w:bookmarkStart w:id="98" w:name="page99"/>
    <w:bookmarkEnd w:id="98"/>
    <w:p>
      <w:pPr>
        <w:spacing w:after="0"/>
        <w:rPr>
          <w:sz w:val="20"/>
          <w:szCs w:val="20"/>
          <w:color w:val="auto"/>
        </w:rPr>
      </w:pPr>
      <w:r>
        <w:rPr>
          <w:rFonts w:ascii="Arial" w:cs="Arial" w:eastAsia="Arial" w:hAnsi="Arial"/>
          <w:sz w:val="18"/>
          <w:szCs w:val="18"/>
          <w:b w:val="1"/>
          <w:bCs w:val="1"/>
          <w:color w:val="CC0000"/>
        </w:rPr>
        <w:t>Note 16: Other Comprehensive Income (Loss)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activity related to each component of other comprehensive income (loss):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vMerge w:val="restart"/>
          </w:tcPr>
          <w:p>
            <w:pPr>
              <w:jc w:val="center"/>
              <w:ind w:right="75"/>
              <w:spacing w:after="0"/>
              <w:rPr>
                <w:sz w:val="20"/>
                <w:szCs w:val="20"/>
                <w:color w:val="auto"/>
              </w:rPr>
            </w:pPr>
            <w:r>
              <w:rPr>
                <w:rFonts w:ascii="Arial" w:cs="Arial" w:eastAsia="Arial" w:hAnsi="Arial"/>
                <w:sz w:val="13"/>
                <w:szCs w:val="13"/>
                <w:b w:val="1"/>
                <w:bCs w:val="1"/>
                <w:color w:val="auto"/>
                <w:w w:val="97"/>
              </w:rPr>
              <w:t>Foreign Currency</w:t>
            </w:r>
          </w:p>
        </w:tc>
        <w:tc>
          <w:tcPr>
            <w:tcW w:w="5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tcPr>
          <w:p>
            <w:pPr>
              <w:jc w:val="center"/>
              <w:ind w:right="155"/>
              <w:spacing w:after="0"/>
              <w:rPr>
                <w:sz w:val="20"/>
                <w:szCs w:val="20"/>
                <w:color w:val="auto"/>
              </w:rPr>
            </w:pPr>
            <w:r>
              <w:rPr>
                <w:rFonts w:ascii="Arial" w:cs="Arial" w:eastAsia="Arial" w:hAnsi="Arial"/>
                <w:sz w:val="13"/>
                <w:szCs w:val="13"/>
                <w:b w:val="1"/>
                <w:bCs w:val="1"/>
                <w:color w:val="auto"/>
                <w:w w:val="96"/>
              </w:rPr>
              <w:t>Defined Benefit</w:t>
            </w:r>
          </w:p>
        </w:tc>
        <w:tc>
          <w:tcPr>
            <w:tcW w:w="2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1600" w:type="dxa"/>
            <w:vAlign w:val="bottom"/>
            <w:gridSpan w:val="2"/>
            <w:vMerge w:val="restart"/>
          </w:tcPr>
          <w:p>
            <w:pPr>
              <w:jc w:val="right"/>
              <w:ind w:right="50"/>
              <w:spacing w:after="0"/>
              <w:rPr>
                <w:sz w:val="20"/>
                <w:szCs w:val="20"/>
                <w:color w:val="auto"/>
              </w:rPr>
            </w:pPr>
            <w:r>
              <w:rPr>
                <w:rFonts w:ascii="Arial" w:cs="Arial" w:eastAsia="Arial" w:hAnsi="Arial"/>
                <w:sz w:val="13"/>
                <w:szCs w:val="13"/>
                <w:b w:val="1"/>
                <w:bCs w:val="1"/>
                <w:color w:val="auto"/>
              </w:rPr>
              <w:t>Unrealized Net Gains</w:t>
            </w:r>
          </w:p>
        </w:tc>
        <w:tc>
          <w:tcPr>
            <w:tcW w:w="260" w:type="dxa"/>
            <w:vAlign w:val="bottom"/>
          </w:tcPr>
          <w:p>
            <w:pPr>
              <w:spacing w:after="0"/>
              <w:rPr>
                <w:sz w:val="11"/>
                <w:szCs w:val="11"/>
                <w:color w:val="auto"/>
              </w:rPr>
            </w:pPr>
          </w:p>
        </w:tc>
        <w:tc>
          <w:tcPr>
            <w:tcW w:w="1280" w:type="dxa"/>
            <w:vAlign w:val="bottom"/>
          </w:tcPr>
          <w:p>
            <w:pPr>
              <w:jc w:val="center"/>
              <w:ind w:right="135"/>
              <w:spacing w:after="0" w:line="135" w:lineRule="exact"/>
              <w:rPr>
                <w:sz w:val="20"/>
                <w:szCs w:val="20"/>
                <w:color w:val="auto"/>
              </w:rPr>
            </w:pPr>
            <w:r>
              <w:rPr>
                <w:rFonts w:ascii="Arial" w:cs="Arial" w:eastAsia="Arial" w:hAnsi="Arial"/>
                <w:sz w:val="13"/>
                <w:szCs w:val="13"/>
                <w:b w:val="1"/>
                <w:bCs w:val="1"/>
                <w:color w:val="auto"/>
                <w:w w:val="95"/>
              </w:rPr>
              <w:t>Pension and</w:t>
            </w:r>
          </w:p>
        </w:tc>
        <w:tc>
          <w:tcPr>
            <w:tcW w:w="200" w:type="dxa"/>
            <w:vAlign w:val="bottom"/>
          </w:tcPr>
          <w:p>
            <w:pPr>
              <w:spacing w:after="0"/>
              <w:rPr>
                <w:sz w:val="11"/>
                <w:szCs w:val="11"/>
                <w:color w:val="auto"/>
              </w:rPr>
            </w:pPr>
          </w:p>
        </w:tc>
        <w:tc>
          <w:tcPr>
            <w:tcW w:w="1300" w:type="dxa"/>
            <w:vAlign w:val="bottom"/>
            <w:vMerge w:val="restart"/>
          </w:tcPr>
          <w:p>
            <w:pPr>
              <w:jc w:val="right"/>
              <w:ind w:right="54"/>
              <w:spacing w:after="0"/>
              <w:rPr>
                <w:sz w:val="20"/>
                <w:szCs w:val="20"/>
                <w:color w:val="auto"/>
              </w:rPr>
            </w:pPr>
            <w:r>
              <w:rPr>
                <w:rFonts w:ascii="Arial" w:cs="Arial" w:eastAsia="Arial" w:hAnsi="Arial"/>
                <w:sz w:val="13"/>
                <w:szCs w:val="13"/>
                <w:b w:val="1"/>
                <w:bCs w:val="1"/>
                <w:color w:val="auto"/>
                <w:w w:val="95"/>
              </w:rPr>
              <w:t>Effective Portion of</w:t>
            </w:r>
          </w:p>
        </w:tc>
        <w:tc>
          <w:tcPr>
            <w:tcW w:w="240" w:type="dxa"/>
            <w:vAlign w:val="bottom"/>
          </w:tcPr>
          <w:p>
            <w:pPr>
              <w:spacing w:after="0"/>
              <w:rPr>
                <w:sz w:val="11"/>
                <w:szCs w:val="11"/>
                <w:color w:val="auto"/>
              </w:rPr>
            </w:pPr>
          </w:p>
        </w:tc>
        <w:tc>
          <w:tcPr>
            <w:tcW w:w="1320" w:type="dxa"/>
            <w:vAlign w:val="bottom"/>
            <w:vMerge w:val="restart"/>
          </w:tcPr>
          <w:p>
            <w:pPr>
              <w:jc w:val="right"/>
              <w:ind w:right="52"/>
              <w:spacing w:after="0"/>
              <w:rPr>
                <w:sz w:val="20"/>
                <w:szCs w:val="20"/>
                <w:color w:val="auto"/>
              </w:rPr>
            </w:pPr>
            <w:r>
              <w:rPr>
                <w:rFonts w:ascii="Arial" w:cs="Arial" w:eastAsia="Arial" w:hAnsi="Arial"/>
                <w:sz w:val="13"/>
                <w:szCs w:val="13"/>
                <w:b w:val="1"/>
                <w:bCs w:val="1"/>
                <w:color w:val="auto"/>
                <w:w w:val="96"/>
              </w:rPr>
              <w:t>Accumulated Other</w:t>
            </w:r>
          </w:p>
        </w:tc>
        <w:tc>
          <w:tcPr>
            <w:tcW w:w="0" w:type="dxa"/>
            <w:vAlign w:val="bottom"/>
          </w:tcPr>
          <w:p>
            <w:pPr>
              <w:spacing w:after="0"/>
              <w:rPr>
                <w:sz w:val="1"/>
                <w:szCs w:val="1"/>
                <w:color w:val="auto"/>
              </w:rPr>
            </w:pPr>
          </w:p>
        </w:tc>
      </w:tr>
      <w:tr>
        <w:trPr>
          <w:trHeight w:val="135"/>
        </w:trPr>
        <w:tc>
          <w:tcPr>
            <w:tcW w:w="3780" w:type="dxa"/>
            <w:vAlign w:val="bottom"/>
            <w:vMerge w:val="restart"/>
          </w:tcPr>
          <w:p>
            <w:pPr>
              <w:spacing w:after="0"/>
              <w:rPr>
                <w:sz w:val="20"/>
                <w:szCs w:val="20"/>
                <w:color w:val="auto"/>
              </w:rPr>
            </w:pPr>
            <w:r>
              <w:rPr>
                <w:rFonts w:ascii="Arial" w:cs="Arial" w:eastAsia="Arial" w:hAnsi="Arial"/>
                <w:sz w:val="13"/>
                <w:szCs w:val="13"/>
                <w:b w:val="1"/>
                <w:bCs w:val="1"/>
                <w:color w:val="auto"/>
              </w:rPr>
              <w:t>(Amounts presented net of taxes)</w:t>
            </w:r>
          </w:p>
        </w:tc>
        <w:tc>
          <w:tcPr>
            <w:tcW w:w="180" w:type="dxa"/>
            <w:vAlign w:val="bottom"/>
          </w:tcPr>
          <w:p>
            <w:pPr>
              <w:spacing w:after="0"/>
              <w:rPr>
                <w:sz w:val="11"/>
                <w:szCs w:val="11"/>
                <w:color w:val="auto"/>
              </w:rPr>
            </w:pPr>
          </w:p>
        </w:tc>
        <w:tc>
          <w:tcPr>
            <w:tcW w:w="1260" w:type="dxa"/>
            <w:vAlign w:val="bottom"/>
          </w:tcPr>
          <w:p>
            <w:pPr>
              <w:jc w:val="center"/>
              <w:ind w:right="75"/>
              <w:spacing w:after="0" w:line="135" w:lineRule="exact"/>
              <w:rPr>
                <w:sz w:val="20"/>
                <w:szCs w:val="20"/>
                <w:color w:val="auto"/>
              </w:rPr>
            </w:pPr>
            <w:r>
              <w:rPr>
                <w:rFonts w:ascii="Arial" w:cs="Arial" w:eastAsia="Arial" w:hAnsi="Arial"/>
                <w:sz w:val="13"/>
                <w:szCs w:val="13"/>
                <w:b w:val="1"/>
                <w:bCs w:val="1"/>
                <w:color w:val="auto"/>
                <w:w w:val="94"/>
              </w:rPr>
              <w:t>Translation</w:t>
            </w:r>
          </w:p>
        </w:tc>
        <w:tc>
          <w:tcPr>
            <w:tcW w:w="1600" w:type="dxa"/>
            <w:vAlign w:val="bottom"/>
            <w:gridSpan w:val="2"/>
            <w:vMerge w:val="continue"/>
          </w:tcPr>
          <w:p>
            <w:pPr>
              <w:spacing w:after="0"/>
              <w:rPr>
                <w:sz w:val="11"/>
                <w:szCs w:val="11"/>
                <w:color w:val="auto"/>
              </w:rPr>
            </w:pPr>
          </w:p>
        </w:tc>
        <w:tc>
          <w:tcPr>
            <w:tcW w:w="154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6"/>
              </w:rPr>
              <w:t>Retiree Health Benefit</w:t>
            </w:r>
          </w:p>
        </w:tc>
        <w:tc>
          <w:tcPr>
            <w:tcW w:w="200" w:type="dxa"/>
            <w:vAlign w:val="bottom"/>
          </w:tcPr>
          <w:p>
            <w:pPr>
              <w:spacing w:after="0"/>
              <w:rPr>
                <w:sz w:val="11"/>
                <w:szCs w:val="11"/>
                <w:color w:val="auto"/>
              </w:rPr>
            </w:pPr>
          </w:p>
        </w:tc>
        <w:tc>
          <w:tcPr>
            <w:tcW w:w="130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13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378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center"/>
              <w:ind w:right="75"/>
              <w:spacing w:after="0"/>
              <w:rPr>
                <w:sz w:val="20"/>
                <w:szCs w:val="20"/>
                <w:color w:val="auto"/>
              </w:rPr>
            </w:pPr>
            <w:r>
              <w:rPr>
                <w:rFonts w:ascii="Arial" w:cs="Arial" w:eastAsia="Arial" w:hAnsi="Arial"/>
                <w:sz w:val="13"/>
                <w:szCs w:val="13"/>
                <w:b w:val="1"/>
                <w:bCs w:val="1"/>
                <w:color w:val="auto"/>
                <w:w w:val="96"/>
              </w:rPr>
              <w:t>Gains (Losses)</w:t>
            </w:r>
          </w:p>
        </w:tc>
        <w:tc>
          <w:tcPr>
            <w:tcW w:w="1600" w:type="dxa"/>
            <w:vAlign w:val="bottom"/>
            <w:tcBorders>
              <w:bottom w:val="single" w:sz="8" w:color="auto"/>
            </w:tcBorders>
            <w:gridSpan w:val="2"/>
          </w:tcPr>
          <w:p>
            <w:pPr>
              <w:ind w:left="160"/>
              <w:spacing w:after="0"/>
              <w:rPr>
                <w:sz w:val="20"/>
                <w:szCs w:val="20"/>
                <w:color w:val="auto"/>
              </w:rPr>
            </w:pPr>
            <w:r>
              <w:rPr>
                <w:rFonts w:ascii="Arial" w:cs="Arial" w:eastAsia="Arial" w:hAnsi="Arial"/>
                <w:sz w:val="13"/>
                <w:szCs w:val="13"/>
                <w:b w:val="1"/>
                <w:bCs w:val="1"/>
                <w:color w:val="auto"/>
              </w:rPr>
              <w:t>(Losses) on Securities</w:t>
            </w:r>
          </w:p>
        </w:tc>
        <w:tc>
          <w:tcPr>
            <w:tcW w:w="2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right="135"/>
              <w:spacing w:after="0"/>
              <w:rPr>
                <w:sz w:val="20"/>
                <w:szCs w:val="20"/>
                <w:color w:val="auto"/>
              </w:rPr>
            </w:pPr>
            <w:r>
              <w:rPr>
                <w:rFonts w:ascii="Arial" w:cs="Arial" w:eastAsia="Arial" w:hAnsi="Arial"/>
                <w:sz w:val="13"/>
                <w:szCs w:val="13"/>
                <w:b w:val="1"/>
                <w:bCs w:val="1"/>
                <w:color w:val="auto"/>
                <w:w w:val="97"/>
              </w:rPr>
              <w:t>Plans</w:t>
            </w:r>
          </w:p>
        </w:tc>
        <w:tc>
          <w:tcPr>
            <w:tcW w:w="2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b w:val="1"/>
                <w:bCs w:val="1"/>
                <w:color w:val="auto"/>
                <w:w w:val="98"/>
              </w:rPr>
              <w:t>Cash Flow Hedges</w:t>
            </w:r>
          </w:p>
        </w:tc>
        <w:tc>
          <w:tcPr>
            <w:tcW w:w="156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Comprehensive Loss</w:t>
            </w:r>
          </w:p>
        </w:tc>
        <w:tc>
          <w:tcPr>
            <w:tcW w:w="0" w:type="dxa"/>
            <w:vAlign w:val="bottom"/>
          </w:tcPr>
          <w:p>
            <w:pPr>
              <w:spacing w:after="0"/>
              <w:rPr>
                <w:sz w:val="1"/>
                <w:szCs w:val="1"/>
                <w:color w:val="auto"/>
              </w:rPr>
            </w:pPr>
          </w:p>
        </w:tc>
      </w:tr>
      <w:tr>
        <w:trPr>
          <w:trHeight w:val="268"/>
        </w:trPr>
        <w:tc>
          <w:tcPr>
            <w:tcW w:w="3780" w:type="dxa"/>
            <w:vAlign w:val="bottom"/>
            <w:shd w:val="clear" w:color="auto" w:fill="D8D8D8"/>
          </w:tcPr>
          <w:p>
            <w:pPr>
              <w:ind w:left="40"/>
              <w:spacing w:after="0"/>
              <w:rPr>
                <w:sz w:val="20"/>
                <w:szCs w:val="20"/>
                <w:color w:val="auto"/>
              </w:rPr>
            </w:pPr>
            <w:r>
              <w:rPr>
                <w:rFonts w:ascii="Arial" w:cs="Arial" w:eastAsia="Arial" w:hAnsi="Arial"/>
                <w:sz w:val="18"/>
                <w:szCs w:val="18"/>
                <w:color w:val="auto"/>
              </w:rPr>
              <w:t>Beginning balance at January 1, 2013</w:t>
            </w:r>
          </w:p>
        </w:tc>
        <w:tc>
          <w:tcPr>
            <w:tcW w:w="1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D8D8D8"/>
          </w:tcPr>
          <w:p>
            <w:pPr>
              <w:jc w:val="right"/>
              <w:ind w:right="135"/>
              <w:spacing w:after="0"/>
              <w:rPr>
                <w:sz w:val="20"/>
                <w:szCs w:val="20"/>
                <w:color w:val="auto"/>
              </w:rPr>
            </w:pPr>
            <w:r>
              <w:rPr>
                <w:rFonts w:ascii="Arial" w:cs="Arial" w:eastAsia="Arial" w:hAnsi="Arial"/>
                <w:sz w:val="18"/>
                <w:szCs w:val="18"/>
                <w:color w:val="auto"/>
              </w:rPr>
              <w:t>426.8</w:t>
            </w:r>
          </w:p>
        </w:tc>
        <w:tc>
          <w:tcPr>
            <w:tcW w:w="540" w:type="dxa"/>
            <w:vAlign w:val="bottom"/>
            <w:shd w:val="clear" w:color="auto" w:fill="D8D8D8"/>
          </w:tcPr>
          <w:p>
            <w:pPr>
              <w:ind w:left="1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D8D8D8"/>
          </w:tcPr>
          <w:p>
            <w:pPr>
              <w:jc w:val="right"/>
              <w:ind w:right="190"/>
              <w:spacing w:after="0"/>
              <w:rPr>
                <w:sz w:val="20"/>
                <w:szCs w:val="20"/>
                <w:color w:val="auto"/>
              </w:rPr>
            </w:pPr>
            <w:r>
              <w:rPr>
                <w:rFonts w:ascii="Arial" w:cs="Arial" w:eastAsia="Arial" w:hAnsi="Arial"/>
                <w:sz w:val="18"/>
                <w:szCs w:val="18"/>
                <w:color w:val="auto"/>
              </w:rPr>
              <w:t>72.5</w:t>
            </w:r>
          </w:p>
        </w:tc>
        <w:tc>
          <w:tcPr>
            <w:tcW w:w="260" w:type="dxa"/>
            <w:vAlign w:val="bottom"/>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D8D8D8"/>
          </w:tcPr>
          <w:p>
            <w:pPr>
              <w:jc w:val="right"/>
              <w:ind w:right="115"/>
              <w:spacing w:after="0"/>
              <w:rPr>
                <w:sz w:val="20"/>
                <w:szCs w:val="20"/>
                <w:color w:val="auto"/>
              </w:rPr>
            </w:pPr>
            <w:r>
              <w:rPr>
                <w:rFonts w:ascii="Arial" w:cs="Arial" w:eastAsia="Arial" w:hAnsi="Arial"/>
                <w:sz w:val="18"/>
                <w:szCs w:val="18"/>
                <w:color w:val="auto"/>
              </w:rPr>
              <w:t>(4,195.2)</w:t>
            </w:r>
          </w:p>
        </w:tc>
        <w:tc>
          <w:tcPr>
            <w:tcW w:w="2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D8D8D8"/>
          </w:tcPr>
          <w:p>
            <w:pPr>
              <w:jc w:val="right"/>
              <w:ind w:right="74"/>
              <w:spacing w:after="0"/>
              <w:rPr>
                <w:sz w:val="20"/>
                <w:szCs w:val="20"/>
                <w:color w:val="auto"/>
              </w:rPr>
            </w:pPr>
            <w:r>
              <w:rPr>
                <w:rFonts w:ascii="Arial" w:cs="Arial" w:eastAsia="Arial" w:hAnsi="Arial"/>
                <w:sz w:val="18"/>
                <w:szCs w:val="18"/>
                <w:color w:val="auto"/>
              </w:rPr>
              <w:t>(101.2)</w:t>
            </w:r>
          </w:p>
        </w:tc>
        <w:tc>
          <w:tcPr>
            <w:tcW w:w="240" w:type="dxa"/>
            <w:vAlign w:val="bottom"/>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D8D8D8"/>
          </w:tcPr>
          <w:p>
            <w:pPr>
              <w:jc w:val="right"/>
              <w:ind w:right="72"/>
              <w:spacing w:after="0"/>
              <w:rPr>
                <w:sz w:val="20"/>
                <w:szCs w:val="20"/>
                <w:color w:val="auto"/>
              </w:rPr>
            </w:pPr>
            <w:r>
              <w:rPr>
                <w:rFonts w:ascii="Arial" w:cs="Arial" w:eastAsia="Arial" w:hAnsi="Arial"/>
                <w:sz w:val="18"/>
                <w:szCs w:val="18"/>
                <w:color w:val="auto"/>
              </w:rPr>
              <w:t>(3,797.1)</w:t>
            </w:r>
          </w:p>
        </w:tc>
        <w:tc>
          <w:tcPr>
            <w:tcW w:w="0" w:type="dxa"/>
            <w:vAlign w:val="bottom"/>
          </w:tcPr>
          <w:p>
            <w:pPr>
              <w:spacing w:after="0"/>
              <w:rPr>
                <w:sz w:val="1"/>
                <w:szCs w:val="1"/>
                <w:color w:val="auto"/>
              </w:rPr>
            </w:pPr>
          </w:p>
        </w:tc>
      </w:tr>
      <w:tr>
        <w:trPr>
          <w:trHeight w:val="189"/>
        </w:trPr>
        <w:tc>
          <w:tcPr>
            <w:tcW w:w="3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3780" w:type="dxa"/>
            <w:vAlign w:val="bottom"/>
            <w:shd w:val="clear" w:color="auto" w:fill="D8D8D8"/>
          </w:tcPr>
          <w:p>
            <w:pPr>
              <w:ind w:left="180"/>
              <w:spacing w:after="0"/>
              <w:rPr>
                <w:sz w:val="20"/>
                <w:szCs w:val="20"/>
                <w:color w:val="auto"/>
              </w:rPr>
            </w:pPr>
            <w:r>
              <w:rPr>
                <w:rFonts w:ascii="Arial" w:cs="Arial" w:eastAsia="Arial" w:hAnsi="Arial"/>
                <w:sz w:val="18"/>
                <w:szCs w:val="18"/>
                <w:color w:val="auto"/>
              </w:rPr>
              <w:t>Other comprehensive income (loss) before</w:t>
            </w:r>
          </w:p>
        </w:tc>
        <w:tc>
          <w:tcPr>
            <w:tcW w:w="180" w:type="dxa"/>
            <w:vAlign w:val="bottom"/>
            <w:shd w:val="clear" w:color="auto" w:fill="D8D8D8"/>
          </w:tcPr>
          <w:p>
            <w:pPr>
              <w:spacing w:after="0"/>
              <w:rPr>
                <w:sz w:val="17"/>
                <w:szCs w:val="17"/>
                <w:color w:val="auto"/>
              </w:rPr>
            </w:pPr>
          </w:p>
        </w:tc>
        <w:tc>
          <w:tcPr>
            <w:tcW w:w="1260" w:type="dxa"/>
            <w:vAlign w:val="bottom"/>
            <w:shd w:val="clear" w:color="auto" w:fill="D8D8D8"/>
          </w:tcPr>
          <w:p>
            <w:pPr>
              <w:spacing w:after="0"/>
              <w:rPr>
                <w:sz w:val="17"/>
                <w:szCs w:val="17"/>
                <w:color w:val="auto"/>
              </w:rPr>
            </w:pPr>
          </w:p>
        </w:tc>
        <w:tc>
          <w:tcPr>
            <w:tcW w:w="540" w:type="dxa"/>
            <w:vAlign w:val="bottom"/>
            <w:shd w:val="clear" w:color="auto" w:fill="D8D8D8"/>
          </w:tcPr>
          <w:p>
            <w:pPr>
              <w:spacing w:after="0"/>
              <w:rPr>
                <w:sz w:val="17"/>
                <w:szCs w:val="17"/>
                <w:color w:val="auto"/>
              </w:rPr>
            </w:pPr>
          </w:p>
        </w:tc>
        <w:tc>
          <w:tcPr>
            <w:tcW w:w="1060" w:type="dxa"/>
            <w:vAlign w:val="bottom"/>
            <w:shd w:val="clear" w:color="auto" w:fill="D8D8D8"/>
          </w:tcPr>
          <w:p>
            <w:pPr>
              <w:spacing w:after="0"/>
              <w:rPr>
                <w:sz w:val="17"/>
                <w:szCs w:val="17"/>
                <w:color w:val="auto"/>
              </w:rPr>
            </w:pPr>
          </w:p>
        </w:tc>
        <w:tc>
          <w:tcPr>
            <w:tcW w:w="260" w:type="dxa"/>
            <w:vAlign w:val="bottom"/>
            <w:shd w:val="clear" w:color="auto" w:fill="D8D8D8"/>
          </w:tcPr>
          <w:p>
            <w:pPr>
              <w:spacing w:after="0"/>
              <w:rPr>
                <w:sz w:val="17"/>
                <w:szCs w:val="17"/>
                <w:color w:val="auto"/>
              </w:rPr>
            </w:pPr>
          </w:p>
        </w:tc>
        <w:tc>
          <w:tcPr>
            <w:tcW w:w="1280" w:type="dxa"/>
            <w:vAlign w:val="bottom"/>
            <w:shd w:val="clear" w:color="auto" w:fill="D8D8D8"/>
          </w:tcPr>
          <w:p>
            <w:pPr>
              <w:spacing w:after="0"/>
              <w:rPr>
                <w:sz w:val="17"/>
                <w:szCs w:val="17"/>
                <w:color w:val="auto"/>
              </w:rPr>
            </w:pPr>
          </w:p>
        </w:tc>
        <w:tc>
          <w:tcPr>
            <w:tcW w:w="200" w:type="dxa"/>
            <w:vAlign w:val="bottom"/>
            <w:shd w:val="clear" w:color="auto" w:fill="D8D8D8"/>
          </w:tcPr>
          <w:p>
            <w:pPr>
              <w:spacing w:after="0"/>
              <w:rPr>
                <w:sz w:val="17"/>
                <w:szCs w:val="17"/>
                <w:color w:val="auto"/>
              </w:rPr>
            </w:pPr>
          </w:p>
        </w:tc>
        <w:tc>
          <w:tcPr>
            <w:tcW w:w="1300" w:type="dxa"/>
            <w:vAlign w:val="bottom"/>
            <w:shd w:val="clear" w:color="auto" w:fill="D8D8D8"/>
          </w:tcPr>
          <w:p>
            <w:pPr>
              <w:spacing w:after="0"/>
              <w:rPr>
                <w:sz w:val="17"/>
                <w:szCs w:val="17"/>
                <w:color w:val="auto"/>
              </w:rPr>
            </w:pPr>
          </w:p>
        </w:tc>
        <w:tc>
          <w:tcPr>
            <w:tcW w:w="240" w:type="dxa"/>
            <w:vAlign w:val="bottom"/>
            <w:shd w:val="clear" w:color="auto" w:fill="D8D8D8"/>
          </w:tcPr>
          <w:p>
            <w:pPr>
              <w:spacing w:after="0"/>
              <w:rPr>
                <w:sz w:val="17"/>
                <w:szCs w:val="17"/>
                <w:color w:val="auto"/>
              </w:rPr>
            </w:pPr>
          </w:p>
        </w:tc>
        <w:tc>
          <w:tcPr>
            <w:tcW w:w="1320" w:type="dxa"/>
            <w:vAlign w:val="bottom"/>
            <w:shd w:val="clear" w:color="auto" w:fill="D8D8D8"/>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3780" w:type="dxa"/>
            <w:vAlign w:val="bottom"/>
            <w:shd w:val="clear" w:color="auto" w:fill="D8D8D8"/>
          </w:tcPr>
          <w:p>
            <w:pPr>
              <w:ind w:left="180"/>
              <w:spacing w:after="0"/>
              <w:rPr>
                <w:sz w:val="20"/>
                <w:szCs w:val="20"/>
                <w:color w:val="auto"/>
              </w:rPr>
            </w:pPr>
            <w:r>
              <w:rPr>
                <w:rFonts w:ascii="Arial" w:cs="Arial" w:eastAsia="Arial" w:hAnsi="Arial"/>
                <w:sz w:val="18"/>
                <w:szCs w:val="18"/>
                <w:color w:val="auto"/>
              </w:rPr>
              <w:t>reclassifications</w:t>
            </w:r>
          </w:p>
        </w:tc>
        <w:tc>
          <w:tcPr>
            <w:tcW w:w="180" w:type="dxa"/>
            <w:vAlign w:val="bottom"/>
            <w:shd w:val="clear" w:color="auto" w:fill="D8D8D8"/>
          </w:tcPr>
          <w:p>
            <w:pPr>
              <w:spacing w:after="0"/>
              <w:rPr>
                <w:sz w:val="21"/>
                <w:szCs w:val="21"/>
                <w:color w:val="auto"/>
              </w:rPr>
            </w:pPr>
          </w:p>
        </w:tc>
        <w:tc>
          <w:tcPr>
            <w:tcW w:w="1260" w:type="dxa"/>
            <w:vAlign w:val="bottom"/>
            <w:shd w:val="clear" w:color="auto" w:fill="D8D8D8"/>
          </w:tcPr>
          <w:p>
            <w:pPr>
              <w:jc w:val="right"/>
              <w:ind w:right="135"/>
              <w:spacing w:after="0"/>
              <w:rPr>
                <w:sz w:val="20"/>
                <w:szCs w:val="20"/>
                <w:color w:val="auto"/>
              </w:rPr>
            </w:pPr>
            <w:r>
              <w:rPr>
                <w:rFonts w:ascii="Arial" w:cs="Arial" w:eastAsia="Arial" w:hAnsi="Arial"/>
                <w:sz w:val="18"/>
                <w:szCs w:val="18"/>
                <w:color w:val="auto"/>
              </w:rPr>
              <w:t>36.2</w:t>
            </w:r>
          </w:p>
        </w:tc>
        <w:tc>
          <w:tcPr>
            <w:tcW w:w="540" w:type="dxa"/>
            <w:vAlign w:val="bottom"/>
            <w:shd w:val="clear" w:color="auto" w:fill="D8D8D8"/>
          </w:tcPr>
          <w:p>
            <w:pPr>
              <w:spacing w:after="0"/>
              <w:rPr>
                <w:sz w:val="21"/>
                <w:szCs w:val="21"/>
                <w:color w:val="auto"/>
              </w:rPr>
            </w:pPr>
          </w:p>
        </w:tc>
        <w:tc>
          <w:tcPr>
            <w:tcW w:w="1060" w:type="dxa"/>
            <w:vAlign w:val="bottom"/>
            <w:shd w:val="clear" w:color="auto" w:fill="D8D8D8"/>
          </w:tcPr>
          <w:p>
            <w:pPr>
              <w:jc w:val="right"/>
              <w:ind w:right="190"/>
              <w:spacing w:after="0"/>
              <w:rPr>
                <w:sz w:val="20"/>
                <w:szCs w:val="20"/>
                <w:color w:val="auto"/>
              </w:rPr>
            </w:pPr>
            <w:r>
              <w:rPr>
                <w:rFonts w:ascii="Arial" w:cs="Arial" w:eastAsia="Arial" w:hAnsi="Arial"/>
                <w:sz w:val="18"/>
                <w:szCs w:val="18"/>
                <w:color w:val="auto"/>
              </w:rPr>
              <w:t>138.9</w:t>
            </w:r>
          </w:p>
        </w:tc>
        <w:tc>
          <w:tcPr>
            <w:tcW w:w="260" w:type="dxa"/>
            <w:vAlign w:val="bottom"/>
            <w:shd w:val="clear" w:color="auto" w:fill="D8D8D8"/>
          </w:tcPr>
          <w:p>
            <w:pPr>
              <w:spacing w:after="0"/>
              <w:rPr>
                <w:sz w:val="21"/>
                <w:szCs w:val="21"/>
                <w:color w:val="auto"/>
              </w:rPr>
            </w:pPr>
          </w:p>
        </w:tc>
        <w:tc>
          <w:tcPr>
            <w:tcW w:w="1280" w:type="dxa"/>
            <w:vAlign w:val="bottom"/>
            <w:shd w:val="clear" w:color="auto" w:fill="D8D8D8"/>
          </w:tcPr>
          <w:p>
            <w:pPr>
              <w:jc w:val="right"/>
              <w:ind w:right="175"/>
              <w:spacing w:after="0"/>
              <w:rPr>
                <w:sz w:val="20"/>
                <w:szCs w:val="20"/>
                <w:color w:val="auto"/>
              </w:rPr>
            </w:pPr>
            <w:r>
              <w:rPr>
                <w:rFonts w:ascii="Arial" w:cs="Arial" w:eastAsia="Arial" w:hAnsi="Arial"/>
                <w:sz w:val="18"/>
                <w:szCs w:val="18"/>
                <w:color w:val="auto"/>
              </w:rPr>
              <w:t>1,387.1</w:t>
            </w:r>
          </w:p>
        </w:tc>
        <w:tc>
          <w:tcPr>
            <w:tcW w:w="200" w:type="dxa"/>
            <w:vAlign w:val="bottom"/>
            <w:shd w:val="clear" w:color="auto" w:fill="D8D8D8"/>
          </w:tcPr>
          <w:p>
            <w:pPr>
              <w:spacing w:after="0"/>
              <w:rPr>
                <w:sz w:val="21"/>
                <w:szCs w:val="21"/>
                <w:color w:val="auto"/>
              </w:rPr>
            </w:pPr>
          </w:p>
        </w:tc>
        <w:tc>
          <w:tcPr>
            <w:tcW w:w="1300" w:type="dxa"/>
            <w:vAlign w:val="bottom"/>
            <w:shd w:val="clear" w:color="auto" w:fill="D8D8D8"/>
          </w:tcPr>
          <w:p>
            <w:pPr>
              <w:jc w:val="right"/>
              <w:ind w:right="74"/>
              <w:spacing w:after="0"/>
              <w:rPr>
                <w:sz w:val="20"/>
                <w:szCs w:val="20"/>
                <w:color w:val="auto"/>
              </w:rPr>
            </w:pPr>
            <w:r>
              <w:rPr>
                <w:rFonts w:ascii="Arial" w:cs="Arial" w:eastAsia="Arial" w:hAnsi="Arial"/>
                <w:sz w:val="18"/>
                <w:szCs w:val="18"/>
                <w:color w:val="auto"/>
              </w:rPr>
              <w:t>(86.5)</w:t>
            </w:r>
          </w:p>
        </w:tc>
        <w:tc>
          <w:tcPr>
            <w:tcW w:w="240" w:type="dxa"/>
            <w:vAlign w:val="bottom"/>
            <w:shd w:val="clear" w:color="auto" w:fill="D8D8D8"/>
          </w:tcPr>
          <w:p>
            <w:pPr>
              <w:spacing w:after="0"/>
              <w:rPr>
                <w:sz w:val="21"/>
                <w:szCs w:val="21"/>
                <w:color w:val="auto"/>
              </w:rPr>
            </w:pPr>
          </w:p>
        </w:tc>
        <w:tc>
          <w:tcPr>
            <w:tcW w:w="1320" w:type="dxa"/>
            <w:vAlign w:val="bottom"/>
            <w:shd w:val="clear" w:color="auto" w:fill="D8D8D8"/>
          </w:tcPr>
          <w:p>
            <w:pPr>
              <w:jc w:val="right"/>
              <w:ind w:right="132"/>
              <w:spacing w:after="0"/>
              <w:rPr>
                <w:sz w:val="20"/>
                <w:szCs w:val="20"/>
                <w:color w:val="auto"/>
              </w:rPr>
            </w:pPr>
            <w:r>
              <w:rPr>
                <w:rFonts w:ascii="Arial" w:cs="Arial" w:eastAsia="Arial" w:hAnsi="Arial"/>
                <w:sz w:val="18"/>
                <w:szCs w:val="18"/>
                <w:color w:val="auto"/>
              </w:rPr>
              <w:t>1,475.7</w:t>
            </w:r>
          </w:p>
        </w:tc>
        <w:tc>
          <w:tcPr>
            <w:tcW w:w="0" w:type="dxa"/>
            <w:vAlign w:val="bottom"/>
          </w:tcPr>
          <w:p>
            <w:pPr>
              <w:spacing w:after="0"/>
              <w:rPr>
                <w:sz w:val="1"/>
                <w:szCs w:val="1"/>
                <w:color w:val="auto"/>
              </w:rPr>
            </w:pPr>
          </w:p>
        </w:tc>
      </w:tr>
      <w:tr>
        <w:trPr>
          <w:trHeight w:val="207"/>
        </w:trPr>
        <w:tc>
          <w:tcPr>
            <w:tcW w:w="3780" w:type="dxa"/>
            <w:vAlign w:val="bottom"/>
          </w:tcPr>
          <w:p>
            <w:pPr>
              <w:ind w:left="180"/>
              <w:spacing w:after="0"/>
              <w:rPr>
                <w:sz w:val="20"/>
                <w:szCs w:val="20"/>
                <w:color w:val="auto"/>
              </w:rPr>
            </w:pPr>
            <w:r>
              <w:rPr>
                <w:rFonts w:ascii="Arial" w:cs="Arial" w:eastAsia="Arial" w:hAnsi="Arial"/>
                <w:sz w:val="18"/>
                <w:szCs w:val="18"/>
                <w:color w:val="auto"/>
              </w:rPr>
              <w:t>Net amount reclassified from accumulated</w:t>
            </w: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3780" w:type="dxa"/>
            <w:vAlign w:val="bottom"/>
            <w:tcBorders>
              <w:bottom w:val="single" w:sz="8" w:color="D8D8D8"/>
            </w:tcBorders>
          </w:tcPr>
          <w:p>
            <w:pPr>
              <w:ind w:left="180"/>
              <w:spacing w:after="0"/>
              <w:rPr>
                <w:sz w:val="20"/>
                <w:szCs w:val="20"/>
                <w:color w:val="auto"/>
              </w:rPr>
            </w:pPr>
            <w:r>
              <w:rPr>
                <w:rFonts w:ascii="Arial" w:cs="Arial" w:eastAsia="Arial" w:hAnsi="Arial"/>
                <w:sz w:val="18"/>
                <w:szCs w:val="18"/>
                <w:color w:val="auto"/>
              </w:rPr>
              <w:t>other comprehensive loss</w:t>
            </w:r>
          </w:p>
        </w:tc>
        <w:tc>
          <w:tcPr>
            <w:tcW w:w="1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(6.2)</w:t>
            </w:r>
          </w:p>
        </w:tc>
        <w:tc>
          <w:tcPr>
            <w:tcW w:w="2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175"/>
              <w:spacing w:after="0"/>
              <w:rPr>
                <w:sz w:val="20"/>
                <w:szCs w:val="20"/>
                <w:color w:val="auto"/>
              </w:rPr>
            </w:pPr>
            <w:r>
              <w:rPr>
                <w:rFonts w:ascii="Arial" w:cs="Arial" w:eastAsia="Arial" w:hAnsi="Arial"/>
                <w:sz w:val="18"/>
                <w:szCs w:val="18"/>
                <w:color w:val="auto"/>
              </w:rPr>
              <w:t>319.0</w:t>
            </w:r>
          </w:p>
        </w:tc>
        <w:tc>
          <w:tcPr>
            <w:tcW w:w="2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5.9</w:t>
            </w:r>
          </w:p>
        </w:tc>
        <w:tc>
          <w:tcPr>
            <w:tcW w:w="2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318.7</w:t>
            </w:r>
          </w:p>
        </w:tc>
        <w:tc>
          <w:tcPr>
            <w:tcW w:w="0" w:type="dxa"/>
            <w:vAlign w:val="bottom"/>
          </w:tcPr>
          <w:p>
            <w:pPr>
              <w:spacing w:after="0"/>
              <w:rPr>
                <w:sz w:val="1"/>
                <w:szCs w:val="1"/>
                <w:color w:val="auto"/>
              </w:rPr>
            </w:pPr>
          </w:p>
        </w:tc>
      </w:tr>
      <w:tr>
        <w:trPr>
          <w:trHeight w:val="268"/>
        </w:trPr>
        <w:tc>
          <w:tcPr>
            <w:tcW w:w="3780" w:type="dxa"/>
            <w:vAlign w:val="bottom"/>
            <w:shd w:val="clear" w:color="auto" w:fill="D8D8D8"/>
          </w:tcPr>
          <w:p>
            <w:pPr>
              <w:ind w:left="180"/>
              <w:spacing w:after="0"/>
              <w:rPr>
                <w:sz w:val="20"/>
                <w:szCs w:val="20"/>
                <w:color w:val="auto"/>
              </w:rPr>
            </w:pPr>
            <w:r>
              <w:rPr>
                <w:rFonts w:ascii="Arial" w:cs="Arial" w:eastAsia="Arial" w:hAnsi="Arial"/>
                <w:sz w:val="18"/>
                <w:szCs w:val="18"/>
                <w:color w:val="auto"/>
              </w:rPr>
              <w:t>Net other comprehensive income (loss)</w:t>
            </w:r>
          </w:p>
        </w:tc>
        <w:tc>
          <w:tcPr>
            <w:tcW w:w="180" w:type="dxa"/>
            <w:vAlign w:val="bottom"/>
            <w:shd w:val="clear" w:color="auto" w:fill="D8D8D8"/>
          </w:tcPr>
          <w:p>
            <w:pPr>
              <w:spacing w:after="0"/>
              <w:rPr>
                <w:sz w:val="23"/>
                <w:szCs w:val="23"/>
                <w:color w:val="auto"/>
              </w:rPr>
            </w:pPr>
          </w:p>
        </w:tc>
        <w:tc>
          <w:tcPr>
            <w:tcW w:w="1260" w:type="dxa"/>
            <w:vAlign w:val="bottom"/>
            <w:shd w:val="clear" w:color="auto" w:fill="D8D8D8"/>
          </w:tcPr>
          <w:p>
            <w:pPr>
              <w:jc w:val="right"/>
              <w:ind w:right="135"/>
              <w:spacing w:after="0"/>
              <w:rPr>
                <w:sz w:val="20"/>
                <w:szCs w:val="20"/>
                <w:color w:val="auto"/>
              </w:rPr>
            </w:pPr>
            <w:r>
              <w:rPr>
                <w:rFonts w:ascii="Arial" w:cs="Arial" w:eastAsia="Arial" w:hAnsi="Arial"/>
                <w:sz w:val="18"/>
                <w:szCs w:val="18"/>
                <w:color w:val="auto"/>
              </w:rPr>
              <w:t>36.2</w:t>
            </w:r>
          </w:p>
        </w:tc>
        <w:tc>
          <w:tcPr>
            <w:tcW w:w="540" w:type="dxa"/>
            <w:vAlign w:val="bottom"/>
            <w:shd w:val="clear" w:color="auto" w:fill="D8D8D8"/>
          </w:tcPr>
          <w:p>
            <w:pPr>
              <w:spacing w:after="0"/>
              <w:rPr>
                <w:sz w:val="23"/>
                <w:szCs w:val="23"/>
                <w:color w:val="auto"/>
              </w:rPr>
            </w:pPr>
          </w:p>
        </w:tc>
        <w:tc>
          <w:tcPr>
            <w:tcW w:w="1060" w:type="dxa"/>
            <w:vAlign w:val="bottom"/>
            <w:shd w:val="clear" w:color="auto" w:fill="D8D8D8"/>
          </w:tcPr>
          <w:p>
            <w:pPr>
              <w:jc w:val="right"/>
              <w:ind w:right="190"/>
              <w:spacing w:after="0"/>
              <w:rPr>
                <w:sz w:val="20"/>
                <w:szCs w:val="20"/>
                <w:color w:val="auto"/>
              </w:rPr>
            </w:pPr>
            <w:r>
              <w:rPr>
                <w:rFonts w:ascii="Arial" w:cs="Arial" w:eastAsia="Arial" w:hAnsi="Arial"/>
                <w:sz w:val="18"/>
                <w:szCs w:val="18"/>
                <w:color w:val="auto"/>
              </w:rPr>
              <w:t>132.7</w:t>
            </w:r>
          </w:p>
        </w:tc>
        <w:tc>
          <w:tcPr>
            <w:tcW w:w="260" w:type="dxa"/>
            <w:vAlign w:val="bottom"/>
            <w:shd w:val="clear" w:color="auto" w:fill="D8D8D8"/>
          </w:tcPr>
          <w:p>
            <w:pPr>
              <w:spacing w:after="0"/>
              <w:rPr>
                <w:sz w:val="23"/>
                <w:szCs w:val="23"/>
                <w:color w:val="auto"/>
              </w:rPr>
            </w:pPr>
          </w:p>
        </w:tc>
        <w:tc>
          <w:tcPr>
            <w:tcW w:w="1280" w:type="dxa"/>
            <w:vAlign w:val="bottom"/>
            <w:shd w:val="clear" w:color="auto" w:fill="D8D8D8"/>
          </w:tcPr>
          <w:p>
            <w:pPr>
              <w:jc w:val="right"/>
              <w:ind w:right="175"/>
              <w:spacing w:after="0"/>
              <w:rPr>
                <w:sz w:val="20"/>
                <w:szCs w:val="20"/>
                <w:color w:val="auto"/>
              </w:rPr>
            </w:pPr>
            <w:r>
              <w:rPr>
                <w:rFonts w:ascii="Arial" w:cs="Arial" w:eastAsia="Arial" w:hAnsi="Arial"/>
                <w:sz w:val="18"/>
                <w:szCs w:val="18"/>
                <w:color w:val="auto"/>
              </w:rPr>
              <w:t>1,706.1</w:t>
            </w:r>
          </w:p>
        </w:tc>
        <w:tc>
          <w:tcPr>
            <w:tcW w:w="200" w:type="dxa"/>
            <w:vAlign w:val="bottom"/>
            <w:shd w:val="clear" w:color="auto" w:fill="D8D8D8"/>
          </w:tcPr>
          <w:p>
            <w:pPr>
              <w:spacing w:after="0"/>
              <w:rPr>
                <w:sz w:val="23"/>
                <w:szCs w:val="23"/>
                <w:color w:val="auto"/>
              </w:rPr>
            </w:pPr>
          </w:p>
        </w:tc>
        <w:tc>
          <w:tcPr>
            <w:tcW w:w="1300" w:type="dxa"/>
            <w:vAlign w:val="bottom"/>
            <w:shd w:val="clear" w:color="auto" w:fill="D8D8D8"/>
          </w:tcPr>
          <w:p>
            <w:pPr>
              <w:jc w:val="right"/>
              <w:ind w:right="74"/>
              <w:spacing w:after="0"/>
              <w:rPr>
                <w:sz w:val="20"/>
                <w:szCs w:val="20"/>
                <w:color w:val="auto"/>
              </w:rPr>
            </w:pPr>
            <w:r>
              <w:rPr>
                <w:rFonts w:ascii="Arial" w:cs="Arial" w:eastAsia="Arial" w:hAnsi="Arial"/>
                <w:sz w:val="18"/>
                <w:szCs w:val="18"/>
                <w:color w:val="auto"/>
              </w:rPr>
              <w:t>(80.6)</w:t>
            </w:r>
          </w:p>
        </w:tc>
        <w:tc>
          <w:tcPr>
            <w:tcW w:w="240" w:type="dxa"/>
            <w:vAlign w:val="bottom"/>
            <w:shd w:val="clear" w:color="auto" w:fill="D8D8D8"/>
          </w:tcPr>
          <w:p>
            <w:pPr>
              <w:spacing w:after="0"/>
              <w:rPr>
                <w:sz w:val="23"/>
                <w:szCs w:val="23"/>
                <w:color w:val="auto"/>
              </w:rPr>
            </w:pPr>
          </w:p>
        </w:tc>
        <w:tc>
          <w:tcPr>
            <w:tcW w:w="1320" w:type="dxa"/>
            <w:vAlign w:val="bottom"/>
            <w:shd w:val="clear" w:color="auto" w:fill="D8D8D8"/>
          </w:tcPr>
          <w:p>
            <w:pPr>
              <w:jc w:val="right"/>
              <w:ind w:right="132"/>
              <w:spacing w:after="0"/>
              <w:rPr>
                <w:sz w:val="20"/>
                <w:szCs w:val="20"/>
                <w:color w:val="auto"/>
              </w:rPr>
            </w:pPr>
            <w:r>
              <w:rPr>
                <w:rFonts w:ascii="Arial" w:cs="Arial" w:eastAsia="Arial" w:hAnsi="Arial"/>
                <w:sz w:val="18"/>
                <w:szCs w:val="18"/>
                <w:color w:val="auto"/>
              </w:rPr>
              <w:t>1,794.4</w:t>
            </w:r>
          </w:p>
        </w:tc>
        <w:tc>
          <w:tcPr>
            <w:tcW w:w="0" w:type="dxa"/>
            <w:vAlign w:val="bottom"/>
          </w:tcPr>
          <w:p>
            <w:pPr>
              <w:spacing w:after="0"/>
              <w:rPr>
                <w:sz w:val="1"/>
                <w:szCs w:val="1"/>
                <w:color w:val="auto"/>
              </w:rPr>
            </w:pPr>
          </w:p>
        </w:tc>
      </w:tr>
      <w:tr>
        <w:trPr>
          <w:trHeight w:val="189"/>
        </w:trPr>
        <w:tc>
          <w:tcPr>
            <w:tcW w:w="3780" w:type="dxa"/>
            <w:vAlign w:val="bottom"/>
            <w:tcBorders>
              <w:bottom w:val="single" w:sz="8" w:color="D8D8D8"/>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780" w:type="dxa"/>
            <w:vAlign w:val="bottom"/>
            <w:shd w:val="clear" w:color="auto" w:fill="D8D8D8"/>
          </w:tcPr>
          <w:p>
            <w:pPr>
              <w:ind w:left="40"/>
              <w:spacing w:after="0"/>
              <w:rPr>
                <w:sz w:val="20"/>
                <w:szCs w:val="20"/>
                <w:color w:val="auto"/>
              </w:rPr>
            </w:pPr>
            <w:r>
              <w:rPr>
                <w:rFonts w:ascii="Arial" w:cs="Arial" w:eastAsia="Arial" w:hAnsi="Arial"/>
                <w:sz w:val="18"/>
                <w:szCs w:val="18"/>
                <w:color w:val="auto"/>
              </w:rPr>
              <w:t>Balance at December 31, 2013</w:t>
            </w:r>
          </w:p>
        </w:tc>
        <w:tc>
          <w:tcPr>
            <w:tcW w:w="180" w:type="dxa"/>
            <w:vAlign w:val="bottom"/>
            <w:shd w:val="clear" w:color="auto" w:fill="D8D8D8"/>
          </w:tcPr>
          <w:p>
            <w:pPr>
              <w:spacing w:after="0"/>
              <w:rPr>
                <w:sz w:val="22"/>
                <w:szCs w:val="22"/>
                <w:color w:val="auto"/>
              </w:rPr>
            </w:pPr>
          </w:p>
        </w:tc>
        <w:tc>
          <w:tcPr>
            <w:tcW w:w="1260" w:type="dxa"/>
            <w:vAlign w:val="bottom"/>
            <w:shd w:val="clear" w:color="auto" w:fill="D8D8D8"/>
          </w:tcPr>
          <w:p>
            <w:pPr>
              <w:jc w:val="right"/>
              <w:ind w:right="135"/>
              <w:spacing w:after="0"/>
              <w:rPr>
                <w:sz w:val="20"/>
                <w:szCs w:val="20"/>
                <w:color w:val="auto"/>
              </w:rPr>
            </w:pPr>
            <w:r>
              <w:rPr>
                <w:rFonts w:ascii="Arial" w:cs="Arial" w:eastAsia="Arial" w:hAnsi="Arial"/>
                <w:sz w:val="18"/>
                <w:szCs w:val="18"/>
                <w:color w:val="auto"/>
              </w:rPr>
              <w:t>463.0</w:t>
            </w:r>
          </w:p>
        </w:tc>
        <w:tc>
          <w:tcPr>
            <w:tcW w:w="540" w:type="dxa"/>
            <w:vAlign w:val="bottom"/>
            <w:shd w:val="clear" w:color="auto" w:fill="D8D8D8"/>
          </w:tcPr>
          <w:p>
            <w:pPr>
              <w:spacing w:after="0"/>
              <w:rPr>
                <w:sz w:val="22"/>
                <w:szCs w:val="22"/>
                <w:color w:val="auto"/>
              </w:rPr>
            </w:pPr>
          </w:p>
        </w:tc>
        <w:tc>
          <w:tcPr>
            <w:tcW w:w="1060" w:type="dxa"/>
            <w:vAlign w:val="bottom"/>
            <w:shd w:val="clear" w:color="auto" w:fill="D8D8D8"/>
          </w:tcPr>
          <w:p>
            <w:pPr>
              <w:jc w:val="right"/>
              <w:ind w:right="190"/>
              <w:spacing w:after="0"/>
              <w:rPr>
                <w:sz w:val="20"/>
                <w:szCs w:val="20"/>
                <w:color w:val="auto"/>
              </w:rPr>
            </w:pPr>
            <w:r>
              <w:rPr>
                <w:rFonts w:ascii="Arial" w:cs="Arial" w:eastAsia="Arial" w:hAnsi="Arial"/>
                <w:sz w:val="18"/>
                <w:szCs w:val="18"/>
                <w:color w:val="auto"/>
              </w:rPr>
              <w:t>205.2</w:t>
            </w:r>
          </w:p>
        </w:tc>
        <w:tc>
          <w:tcPr>
            <w:tcW w:w="260" w:type="dxa"/>
            <w:vAlign w:val="bottom"/>
            <w:shd w:val="clear" w:color="auto" w:fill="D8D8D8"/>
          </w:tcPr>
          <w:p>
            <w:pPr>
              <w:spacing w:after="0"/>
              <w:rPr>
                <w:sz w:val="22"/>
                <w:szCs w:val="22"/>
                <w:color w:val="auto"/>
              </w:rPr>
            </w:pPr>
          </w:p>
        </w:tc>
        <w:tc>
          <w:tcPr>
            <w:tcW w:w="1280" w:type="dxa"/>
            <w:vAlign w:val="bottom"/>
            <w:shd w:val="clear" w:color="auto" w:fill="D8D8D8"/>
          </w:tcPr>
          <w:p>
            <w:pPr>
              <w:jc w:val="right"/>
              <w:ind w:right="115"/>
              <w:spacing w:after="0"/>
              <w:rPr>
                <w:sz w:val="20"/>
                <w:szCs w:val="20"/>
                <w:color w:val="auto"/>
              </w:rPr>
            </w:pPr>
            <w:r>
              <w:rPr>
                <w:rFonts w:ascii="Arial" w:cs="Arial" w:eastAsia="Arial" w:hAnsi="Arial"/>
                <w:sz w:val="18"/>
                <w:szCs w:val="18"/>
                <w:color w:val="auto"/>
              </w:rPr>
              <w:t>(2,489.1)</w:t>
            </w:r>
          </w:p>
        </w:tc>
        <w:tc>
          <w:tcPr>
            <w:tcW w:w="200" w:type="dxa"/>
            <w:vAlign w:val="bottom"/>
            <w:shd w:val="clear" w:color="auto" w:fill="D8D8D8"/>
          </w:tcPr>
          <w:p>
            <w:pPr>
              <w:spacing w:after="0"/>
              <w:rPr>
                <w:sz w:val="22"/>
                <w:szCs w:val="22"/>
                <w:color w:val="auto"/>
              </w:rPr>
            </w:pPr>
          </w:p>
        </w:tc>
        <w:tc>
          <w:tcPr>
            <w:tcW w:w="1300" w:type="dxa"/>
            <w:vAlign w:val="bottom"/>
            <w:shd w:val="clear" w:color="auto" w:fill="D8D8D8"/>
          </w:tcPr>
          <w:p>
            <w:pPr>
              <w:jc w:val="right"/>
              <w:ind w:right="74"/>
              <w:spacing w:after="0"/>
              <w:rPr>
                <w:sz w:val="20"/>
                <w:szCs w:val="20"/>
                <w:color w:val="auto"/>
              </w:rPr>
            </w:pPr>
            <w:r>
              <w:rPr>
                <w:rFonts w:ascii="Arial" w:cs="Arial" w:eastAsia="Arial" w:hAnsi="Arial"/>
                <w:sz w:val="18"/>
                <w:szCs w:val="18"/>
                <w:color w:val="auto"/>
              </w:rPr>
              <w:t>(181.8)</w:t>
            </w:r>
          </w:p>
        </w:tc>
        <w:tc>
          <w:tcPr>
            <w:tcW w:w="240" w:type="dxa"/>
            <w:vAlign w:val="bottom"/>
            <w:shd w:val="clear" w:color="auto" w:fill="D8D8D8"/>
          </w:tcPr>
          <w:p>
            <w:pPr>
              <w:spacing w:after="0"/>
              <w:rPr>
                <w:sz w:val="22"/>
                <w:szCs w:val="22"/>
                <w:color w:val="auto"/>
              </w:rPr>
            </w:pPr>
          </w:p>
        </w:tc>
        <w:tc>
          <w:tcPr>
            <w:tcW w:w="1320" w:type="dxa"/>
            <w:vAlign w:val="bottom"/>
            <w:shd w:val="clear" w:color="auto" w:fill="D8D8D8"/>
          </w:tcPr>
          <w:p>
            <w:pPr>
              <w:jc w:val="right"/>
              <w:ind w:right="72"/>
              <w:spacing w:after="0"/>
              <w:rPr>
                <w:sz w:val="20"/>
                <w:szCs w:val="20"/>
                <w:color w:val="auto"/>
              </w:rPr>
            </w:pPr>
            <w:r>
              <w:rPr>
                <w:rFonts w:ascii="Arial" w:cs="Arial" w:eastAsia="Arial" w:hAnsi="Arial"/>
                <w:sz w:val="18"/>
                <w:szCs w:val="18"/>
                <w:color w:val="auto"/>
              </w:rPr>
              <w:t>(2,002.7)</w:t>
            </w:r>
          </w:p>
        </w:tc>
        <w:tc>
          <w:tcPr>
            <w:tcW w:w="0" w:type="dxa"/>
            <w:vAlign w:val="bottom"/>
          </w:tcPr>
          <w:p>
            <w:pPr>
              <w:spacing w:after="0"/>
              <w:rPr>
                <w:sz w:val="1"/>
                <w:szCs w:val="1"/>
                <w:color w:val="auto"/>
              </w:rPr>
            </w:pPr>
          </w:p>
        </w:tc>
      </w:tr>
      <w:tr>
        <w:trPr>
          <w:trHeight w:val="189"/>
        </w:trPr>
        <w:tc>
          <w:tcPr>
            <w:tcW w:w="3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3780" w:type="dxa"/>
            <w:vAlign w:val="bottom"/>
            <w:shd w:val="clear" w:color="auto" w:fill="D8D8D8"/>
          </w:tcPr>
          <w:p>
            <w:pPr>
              <w:ind w:left="180"/>
              <w:spacing w:after="0"/>
              <w:rPr>
                <w:sz w:val="20"/>
                <w:szCs w:val="20"/>
                <w:color w:val="auto"/>
              </w:rPr>
            </w:pPr>
            <w:r>
              <w:rPr>
                <w:rFonts w:ascii="Arial" w:cs="Arial" w:eastAsia="Arial" w:hAnsi="Arial"/>
                <w:sz w:val="18"/>
                <w:szCs w:val="18"/>
                <w:color w:val="auto"/>
              </w:rPr>
              <w:t>Other comprehensive income (loss) before</w:t>
            </w:r>
          </w:p>
        </w:tc>
        <w:tc>
          <w:tcPr>
            <w:tcW w:w="180" w:type="dxa"/>
            <w:vAlign w:val="bottom"/>
            <w:shd w:val="clear" w:color="auto" w:fill="D8D8D8"/>
          </w:tcPr>
          <w:p>
            <w:pPr>
              <w:spacing w:after="0"/>
              <w:rPr>
                <w:sz w:val="17"/>
                <w:szCs w:val="17"/>
                <w:color w:val="auto"/>
              </w:rPr>
            </w:pPr>
          </w:p>
        </w:tc>
        <w:tc>
          <w:tcPr>
            <w:tcW w:w="1260" w:type="dxa"/>
            <w:vAlign w:val="bottom"/>
            <w:shd w:val="clear" w:color="auto" w:fill="D8D8D8"/>
          </w:tcPr>
          <w:p>
            <w:pPr>
              <w:spacing w:after="0"/>
              <w:rPr>
                <w:sz w:val="17"/>
                <w:szCs w:val="17"/>
                <w:color w:val="auto"/>
              </w:rPr>
            </w:pPr>
          </w:p>
        </w:tc>
        <w:tc>
          <w:tcPr>
            <w:tcW w:w="540" w:type="dxa"/>
            <w:vAlign w:val="bottom"/>
            <w:shd w:val="clear" w:color="auto" w:fill="D8D8D8"/>
          </w:tcPr>
          <w:p>
            <w:pPr>
              <w:spacing w:after="0"/>
              <w:rPr>
                <w:sz w:val="17"/>
                <w:szCs w:val="17"/>
                <w:color w:val="auto"/>
              </w:rPr>
            </w:pPr>
          </w:p>
        </w:tc>
        <w:tc>
          <w:tcPr>
            <w:tcW w:w="1060" w:type="dxa"/>
            <w:vAlign w:val="bottom"/>
            <w:shd w:val="clear" w:color="auto" w:fill="D8D8D8"/>
          </w:tcPr>
          <w:p>
            <w:pPr>
              <w:spacing w:after="0"/>
              <w:rPr>
                <w:sz w:val="17"/>
                <w:szCs w:val="17"/>
                <w:color w:val="auto"/>
              </w:rPr>
            </w:pPr>
          </w:p>
        </w:tc>
        <w:tc>
          <w:tcPr>
            <w:tcW w:w="260" w:type="dxa"/>
            <w:vAlign w:val="bottom"/>
            <w:shd w:val="clear" w:color="auto" w:fill="D8D8D8"/>
          </w:tcPr>
          <w:p>
            <w:pPr>
              <w:spacing w:after="0"/>
              <w:rPr>
                <w:sz w:val="17"/>
                <w:szCs w:val="17"/>
                <w:color w:val="auto"/>
              </w:rPr>
            </w:pPr>
          </w:p>
        </w:tc>
        <w:tc>
          <w:tcPr>
            <w:tcW w:w="1280" w:type="dxa"/>
            <w:vAlign w:val="bottom"/>
            <w:shd w:val="clear" w:color="auto" w:fill="D8D8D8"/>
          </w:tcPr>
          <w:p>
            <w:pPr>
              <w:spacing w:after="0"/>
              <w:rPr>
                <w:sz w:val="17"/>
                <w:szCs w:val="17"/>
                <w:color w:val="auto"/>
              </w:rPr>
            </w:pPr>
          </w:p>
        </w:tc>
        <w:tc>
          <w:tcPr>
            <w:tcW w:w="200" w:type="dxa"/>
            <w:vAlign w:val="bottom"/>
            <w:shd w:val="clear" w:color="auto" w:fill="D8D8D8"/>
          </w:tcPr>
          <w:p>
            <w:pPr>
              <w:spacing w:after="0"/>
              <w:rPr>
                <w:sz w:val="17"/>
                <w:szCs w:val="17"/>
                <w:color w:val="auto"/>
              </w:rPr>
            </w:pPr>
          </w:p>
        </w:tc>
        <w:tc>
          <w:tcPr>
            <w:tcW w:w="1300" w:type="dxa"/>
            <w:vAlign w:val="bottom"/>
            <w:shd w:val="clear" w:color="auto" w:fill="D8D8D8"/>
          </w:tcPr>
          <w:p>
            <w:pPr>
              <w:spacing w:after="0"/>
              <w:rPr>
                <w:sz w:val="17"/>
                <w:szCs w:val="17"/>
                <w:color w:val="auto"/>
              </w:rPr>
            </w:pPr>
          </w:p>
        </w:tc>
        <w:tc>
          <w:tcPr>
            <w:tcW w:w="240" w:type="dxa"/>
            <w:vAlign w:val="bottom"/>
            <w:shd w:val="clear" w:color="auto" w:fill="D8D8D8"/>
          </w:tcPr>
          <w:p>
            <w:pPr>
              <w:spacing w:after="0"/>
              <w:rPr>
                <w:sz w:val="17"/>
                <w:szCs w:val="17"/>
                <w:color w:val="auto"/>
              </w:rPr>
            </w:pPr>
          </w:p>
        </w:tc>
        <w:tc>
          <w:tcPr>
            <w:tcW w:w="1320" w:type="dxa"/>
            <w:vAlign w:val="bottom"/>
            <w:shd w:val="clear" w:color="auto" w:fill="D8D8D8"/>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3780" w:type="dxa"/>
            <w:vAlign w:val="bottom"/>
            <w:shd w:val="clear" w:color="auto" w:fill="D8D8D8"/>
          </w:tcPr>
          <w:p>
            <w:pPr>
              <w:ind w:left="180"/>
              <w:spacing w:after="0"/>
              <w:rPr>
                <w:sz w:val="20"/>
                <w:szCs w:val="20"/>
                <w:color w:val="auto"/>
              </w:rPr>
            </w:pPr>
            <w:r>
              <w:rPr>
                <w:rFonts w:ascii="Arial" w:cs="Arial" w:eastAsia="Arial" w:hAnsi="Arial"/>
                <w:sz w:val="18"/>
                <w:szCs w:val="18"/>
                <w:color w:val="auto"/>
              </w:rPr>
              <w:t>reclassifications</w:t>
            </w:r>
          </w:p>
        </w:tc>
        <w:tc>
          <w:tcPr>
            <w:tcW w:w="180" w:type="dxa"/>
            <w:vAlign w:val="bottom"/>
            <w:shd w:val="clear" w:color="auto" w:fill="D8D8D8"/>
          </w:tcPr>
          <w:p>
            <w:pPr>
              <w:spacing w:after="0"/>
              <w:rPr>
                <w:sz w:val="21"/>
                <w:szCs w:val="21"/>
                <w:color w:val="auto"/>
              </w:rPr>
            </w:pPr>
          </w:p>
        </w:tc>
        <w:tc>
          <w:tcPr>
            <w:tcW w:w="1260" w:type="dxa"/>
            <w:vAlign w:val="bottom"/>
            <w:shd w:val="clear" w:color="auto" w:fill="D8D8D8"/>
          </w:tcPr>
          <w:p>
            <w:pPr>
              <w:jc w:val="right"/>
              <w:ind w:right="75"/>
              <w:spacing w:after="0"/>
              <w:rPr>
                <w:sz w:val="20"/>
                <w:szCs w:val="20"/>
                <w:color w:val="auto"/>
              </w:rPr>
            </w:pPr>
            <w:r>
              <w:rPr>
                <w:rFonts w:ascii="Arial" w:cs="Arial" w:eastAsia="Arial" w:hAnsi="Arial"/>
                <w:sz w:val="18"/>
                <w:szCs w:val="18"/>
                <w:color w:val="auto"/>
              </w:rPr>
              <w:t>(961.4)</w:t>
            </w:r>
          </w:p>
        </w:tc>
        <w:tc>
          <w:tcPr>
            <w:tcW w:w="540" w:type="dxa"/>
            <w:vAlign w:val="bottom"/>
            <w:shd w:val="clear" w:color="auto" w:fill="D8D8D8"/>
          </w:tcPr>
          <w:p>
            <w:pPr>
              <w:spacing w:after="0"/>
              <w:rPr>
                <w:sz w:val="21"/>
                <w:szCs w:val="21"/>
                <w:color w:val="auto"/>
              </w:rPr>
            </w:pPr>
          </w:p>
        </w:tc>
        <w:tc>
          <w:tcPr>
            <w:tcW w:w="1060" w:type="dxa"/>
            <w:vAlign w:val="bottom"/>
            <w:shd w:val="clear" w:color="auto" w:fill="D8D8D8"/>
          </w:tcPr>
          <w:p>
            <w:pPr>
              <w:jc w:val="right"/>
              <w:ind w:right="190"/>
              <w:spacing w:after="0"/>
              <w:rPr>
                <w:sz w:val="20"/>
                <w:szCs w:val="20"/>
                <w:color w:val="auto"/>
              </w:rPr>
            </w:pPr>
            <w:r>
              <w:rPr>
                <w:rFonts w:ascii="Arial" w:cs="Arial" w:eastAsia="Arial" w:hAnsi="Arial"/>
                <w:sz w:val="18"/>
                <w:szCs w:val="18"/>
                <w:color w:val="auto"/>
              </w:rPr>
              <w:t>105.2</w:t>
            </w:r>
          </w:p>
        </w:tc>
        <w:tc>
          <w:tcPr>
            <w:tcW w:w="260" w:type="dxa"/>
            <w:vAlign w:val="bottom"/>
            <w:shd w:val="clear" w:color="auto" w:fill="D8D8D8"/>
          </w:tcPr>
          <w:p>
            <w:pPr>
              <w:spacing w:after="0"/>
              <w:rPr>
                <w:sz w:val="21"/>
                <w:szCs w:val="21"/>
                <w:color w:val="auto"/>
              </w:rPr>
            </w:pPr>
          </w:p>
        </w:tc>
        <w:tc>
          <w:tcPr>
            <w:tcW w:w="1280" w:type="dxa"/>
            <w:vAlign w:val="bottom"/>
            <w:shd w:val="clear" w:color="auto" w:fill="D8D8D8"/>
          </w:tcPr>
          <w:p>
            <w:pPr>
              <w:jc w:val="right"/>
              <w:ind w:right="115"/>
              <w:spacing w:after="0"/>
              <w:rPr>
                <w:sz w:val="20"/>
                <w:szCs w:val="20"/>
                <w:color w:val="auto"/>
              </w:rPr>
            </w:pPr>
            <w:r>
              <w:rPr>
                <w:rFonts w:ascii="Arial" w:cs="Arial" w:eastAsia="Arial" w:hAnsi="Arial"/>
                <w:sz w:val="18"/>
                <w:szCs w:val="18"/>
                <w:color w:val="auto"/>
              </w:rPr>
              <w:t>(1,098.5)</w:t>
            </w:r>
          </w:p>
        </w:tc>
        <w:tc>
          <w:tcPr>
            <w:tcW w:w="200" w:type="dxa"/>
            <w:vAlign w:val="bottom"/>
            <w:shd w:val="clear" w:color="auto" w:fill="D8D8D8"/>
          </w:tcPr>
          <w:p>
            <w:pPr>
              <w:spacing w:after="0"/>
              <w:rPr>
                <w:sz w:val="21"/>
                <w:szCs w:val="21"/>
                <w:color w:val="auto"/>
              </w:rPr>
            </w:pPr>
          </w:p>
        </w:tc>
        <w:tc>
          <w:tcPr>
            <w:tcW w:w="1300" w:type="dxa"/>
            <w:vAlign w:val="bottom"/>
            <w:shd w:val="clear" w:color="auto" w:fill="D8D8D8"/>
          </w:tcPr>
          <w:p>
            <w:pPr>
              <w:jc w:val="right"/>
              <w:ind w:right="74"/>
              <w:spacing w:after="0"/>
              <w:rPr>
                <w:sz w:val="20"/>
                <w:szCs w:val="20"/>
                <w:color w:val="auto"/>
              </w:rPr>
            </w:pPr>
            <w:r>
              <w:rPr>
                <w:rFonts w:ascii="Arial" w:cs="Arial" w:eastAsia="Arial" w:hAnsi="Arial"/>
                <w:sz w:val="18"/>
                <w:szCs w:val="18"/>
                <w:color w:val="auto"/>
              </w:rPr>
              <w:t>(15.2)</w:t>
            </w:r>
          </w:p>
        </w:tc>
        <w:tc>
          <w:tcPr>
            <w:tcW w:w="240" w:type="dxa"/>
            <w:vAlign w:val="bottom"/>
            <w:shd w:val="clear" w:color="auto" w:fill="D8D8D8"/>
          </w:tcPr>
          <w:p>
            <w:pPr>
              <w:spacing w:after="0"/>
              <w:rPr>
                <w:sz w:val="21"/>
                <w:szCs w:val="21"/>
                <w:color w:val="auto"/>
              </w:rPr>
            </w:pPr>
          </w:p>
        </w:tc>
        <w:tc>
          <w:tcPr>
            <w:tcW w:w="1320" w:type="dxa"/>
            <w:vAlign w:val="bottom"/>
            <w:shd w:val="clear" w:color="auto" w:fill="D8D8D8"/>
          </w:tcPr>
          <w:p>
            <w:pPr>
              <w:jc w:val="right"/>
              <w:ind w:right="72"/>
              <w:spacing w:after="0"/>
              <w:rPr>
                <w:sz w:val="20"/>
                <w:szCs w:val="20"/>
                <w:color w:val="auto"/>
              </w:rPr>
            </w:pPr>
            <w:r>
              <w:rPr>
                <w:rFonts w:ascii="Arial" w:cs="Arial" w:eastAsia="Arial" w:hAnsi="Arial"/>
                <w:sz w:val="18"/>
                <w:szCs w:val="18"/>
                <w:color w:val="auto"/>
              </w:rPr>
              <w:t>(1,969.9)</w:t>
            </w:r>
          </w:p>
        </w:tc>
        <w:tc>
          <w:tcPr>
            <w:tcW w:w="0" w:type="dxa"/>
            <w:vAlign w:val="bottom"/>
          </w:tcPr>
          <w:p>
            <w:pPr>
              <w:spacing w:after="0"/>
              <w:rPr>
                <w:sz w:val="1"/>
                <w:szCs w:val="1"/>
                <w:color w:val="auto"/>
              </w:rPr>
            </w:pPr>
          </w:p>
        </w:tc>
      </w:tr>
      <w:tr>
        <w:trPr>
          <w:trHeight w:val="207"/>
        </w:trPr>
        <w:tc>
          <w:tcPr>
            <w:tcW w:w="3780" w:type="dxa"/>
            <w:vAlign w:val="bottom"/>
          </w:tcPr>
          <w:p>
            <w:pPr>
              <w:ind w:left="180"/>
              <w:spacing w:after="0"/>
              <w:rPr>
                <w:sz w:val="20"/>
                <w:szCs w:val="20"/>
                <w:color w:val="auto"/>
              </w:rPr>
            </w:pPr>
            <w:r>
              <w:rPr>
                <w:rFonts w:ascii="Arial" w:cs="Arial" w:eastAsia="Arial" w:hAnsi="Arial"/>
                <w:sz w:val="18"/>
                <w:szCs w:val="18"/>
                <w:color w:val="auto"/>
              </w:rPr>
              <w:t>Net amount reclassified from accumulated</w:t>
            </w: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3780" w:type="dxa"/>
            <w:vAlign w:val="bottom"/>
            <w:tcBorders>
              <w:bottom w:val="single" w:sz="8" w:color="D8D8D8"/>
            </w:tcBorders>
          </w:tcPr>
          <w:p>
            <w:pPr>
              <w:ind w:left="180"/>
              <w:spacing w:after="0"/>
              <w:rPr>
                <w:sz w:val="20"/>
                <w:szCs w:val="20"/>
                <w:color w:val="auto"/>
              </w:rPr>
            </w:pPr>
            <w:r>
              <w:rPr>
                <w:rFonts w:ascii="Arial" w:cs="Arial" w:eastAsia="Arial" w:hAnsi="Arial"/>
                <w:sz w:val="18"/>
                <w:szCs w:val="18"/>
                <w:color w:val="auto"/>
              </w:rPr>
              <w:t>other comprehensive loss</w:t>
            </w:r>
          </w:p>
        </w:tc>
        <w:tc>
          <w:tcPr>
            <w:tcW w:w="1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(210.7)</w:t>
            </w:r>
          </w:p>
        </w:tc>
        <w:tc>
          <w:tcPr>
            <w:tcW w:w="2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175"/>
              <w:spacing w:after="0"/>
              <w:rPr>
                <w:sz w:val="20"/>
                <w:szCs w:val="20"/>
                <w:color w:val="auto"/>
              </w:rPr>
            </w:pPr>
            <w:r>
              <w:rPr>
                <w:rFonts w:ascii="Arial" w:cs="Arial" w:eastAsia="Arial" w:hAnsi="Arial"/>
                <w:sz w:val="18"/>
                <w:szCs w:val="18"/>
                <w:color w:val="auto"/>
              </w:rPr>
              <w:t>185.6</w:t>
            </w:r>
          </w:p>
        </w:tc>
        <w:tc>
          <w:tcPr>
            <w:tcW w:w="2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5.9</w:t>
            </w:r>
          </w:p>
        </w:tc>
        <w:tc>
          <w:tcPr>
            <w:tcW w:w="2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68"/>
        </w:trPr>
        <w:tc>
          <w:tcPr>
            <w:tcW w:w="3780" w:type="dxa"/>
            <w:vAlign w:val="bottom"/>
            <w:shd w:val="clear" w:color="auto" w:fill="D8D8D8"/>
          </w:tcPr>
          <w:p>
            <w:pPr>
              <w:ind w:left="180"/>
              <w:spacing w:after="0"/>
              <w:rPr>
                <w:sz w:val="20"/>
                <w:szCs w:val="20"/>
                <w:color w:val="auto"/>
              </w:rPr>
            </w:pPr>
            <w:r>
              <w:rPr>
                <w:rFonts w:ascii="Arial" w:cs="Arial" w:eastAsia="Arial" w:hAnsi="Arial"/>
                <w:sz w:val="18"/>
                <w:szCs w:val="18"/>
                <w:color w:val="auto"/>
              </w:rPr>
              <w:t>Net other comprehensive income (loss)</w:t>
            </w:r>
          </w:p>
        </w:tc>
        <w:tc>
          <w:tcPr>
            <w:tcW w:w="180" w:type="dxa"/>
            <w:vAlign w:val="bottom"/>
            <w:shd w:val="clear" w:color="auto" w:fill="D8D8D8"/>
          </w:tcPr>
          <w:p>
            <w:pPr>
              <w:spacing w:after="0"/>
              <w:rPr>
                <w:sz w:val="23"/>
                <w:szCs w:val="23"/>
                <w:color w:val="auto"/>
              </w:rPr>
            </w:pPr>
          </w:p>
        </w:tc>
        <w:tc>
          <w:tcPr>
            <w:tcW w:w="1260" w:type="dxa"/>
            <w:vAlign w:val="bottom"/>
            <w:shd w:val="clear" w:color="auto" w:fill="D8D8D8"/>
          </w:tcPr>
          <w:p>
            <w:pPr>
              <w:jc w:val="right"/>
              <w:ind w:right="75"/>
              <w:spacing w:after="0"/>
              <w:rPr>
                <w:sz w:val="20"/>
                <w:szCs w:val="20"/>
                <w:color w:val="auto"/>
              </w:rPr>
            </w:pPr>
            <w:r>
              <w:rPr>
                <w:rFonts w:ascii="Arial" w:cs="Arial" w:eastAsia="Arial" w:hAnsi="Arial"/>
                <w:sz w:val="18"/>
                <w:szCs w:val="18"/>
                <w:color w:val="auto"/>
              </w:rPr>
              <w:t>(961.4)</w:t>
            </w:r>
          </w:p>
        </w:tc>
        <w:tc>
          <w:tcPr>
            <w:tcW w:w="540" w:type="dxa"/>
            <w:vAlign w:val="bottom"/>
            <w:shd w:val="clear" w:color="auto" w:fill="D8D8D8"/>
          </w:tcPr>
          <w:p>
            <w:pPr>
              <w:spacing w:after="0"/>
              <w:rPr>
                <w:sz w:val="23"/>
                <w:szCs w:val="23"/>
                <w:color w:val="auto"/>
              </w:rPr>
            </w:pPr>
          </w:p>
        </w:tc>
        <w:tc>
          <w:tcPr>
            <w:tcW w:w="1060" w:type="dxa"/>
            <w:vAlign w:val="bottom"/>
            <w:shd w:val="clear" w:color="auto" w:fill="D8D8D8"/>
          </w:tcPr>
          <w:p>
            <w:pPr>
              <w:jc w:val="right"/>
              <w:ind w:right="130"/>
              <w:spacing w:after="0"/>
              <w:rPr>
                <w:sz w:val="20"/>
                <w:szCs w:val="20"/>
                <w:color w:val="auto"/>
              </w:rPr>
            </w:pPr>
            <w:r>
              <w:rPr>
                <w:rFonts w:ascii="Arial" w:cs="Arial" w:eastAsia="Arial" w:hAnsi="Arial"/>
                <w:sz w:val="18"/>
                <w:szCs w:val="18"/>
                <w:color w:val="auto"/>
              </w:rPr>
              <w:t>(105.5)</w:t>
            </w:r>
          </w:p>
        </w:tc>
        <w:tc>
          <w:tcPr>
            <w:tcW w:w="260" w:type="dxa"/>
            <w:vAlign w:val="bottom"/>
            <w:shd w:val="clear" w:color="auto" w:fill="D8D8D8"/>
          </w:tcPr>
          <w:p>
            <w:pPr>
              <w:spacing w:after="0"/>
              <w:rPr>
                <w:sz w:val="23"/>
                <w:szCs w:val="23"/>
                <w:color w:val="auto"/>
              </w:rPr>
            </w:pPr>
          </w:p>
        </w:tc>
        <w:tc>
          <w:tcPr>
            <w:tcW w:w="1280" w:type="dxa"/>
            <w:vAlign w:val="bottom"/>
            <w:shd w:val="clear" w:color="auto" w:fill="D8D8D8"/>
          </w:tcPr>
          <w:p>
            <w:pPr>
              <w:jc w:val="right"/>
              <w:ind w:right="115"/>
              <w:spacing w:after="0"/>
              <w:rPr>
                <w:sz w:val="20"/>
                <w:szCs w:val="20"/>
                <w:color w:val="auto"/>
              </w:rPr>
            </w:pPr>
            <w:r>
              <w:rPr>
                <w:rFonts w:ascii="Arial" w:cs="Arial" w:eastAsia="Arial" w:hAnsi="Arial"/>
                <w:sz w:val="18"/>
                <w:szCs w:val="18"/>
                <w:color w:val="auto"/>
              </w:rPr>
              <w:t>(912.9)</w:t>
            </w:r>
          </w:p>
        </w:tc>
        <w:tc>
          <w:tcPr>
            <w:tcW w:w="200" w:type="dxa"/>
            <w:vAlign w:val="bottom"/>
            <w:shd w:val="clear" w:color="auto" w:fill="D8D8D8"/>
          </w:tcPr>
          <w:p>
            <w:pPr>
              <w:spacing w:after="0"/>
              <w:rPr>
                <w:sz w:val="23"/>
                <w:szCs w:val="23"/>
                <w:color w:val="auto"/>
              </w:rPr>
            </w:pPr>
          </w:p>
        </w:tc>
        <w:tc>
          <w:tcPr>
            <w:tcW w:w="1300" w:type="dxa"/>
            <w:vAlign w:val="bottom"/>
            <w:shd w:val="clear" w:color="auto" w:fill="D8D8D8"/>
          </w:tcPr>
          <w:p>
            <w:pPr>
              <w:jc w:val="right"/>
              <w:ind w:right="74"/>
              <w:spacing w:after="0"/>
              <w:rPr>
                <w:sz w:val="20"/>
                <w:szCs w:val="20"/>
                <w:color w:val="auto"/>
              </w:rPr>
            </w:pPr>
            <w:r>
              <w:rPr>
                <w:rFonts w:ascii="Arial" w:cs="Arial" w:eastAsia="Arial" w:hAnsi="Arial"/>
                <w:sz w:val="18"/>
                <w:szCs w:val="18"/>
                <w:color w:val="auto"/>
              </w:rPr>
              <w:t>(9.3)</w:t>
            </w:r>
          </w:p>
        </w:tc>
        <w:tc>
          <w:tcPr>
            <w:tcW w:w="240" w:type="dxa"/>
            <w:vAlign w:val="bottom"/>
            <w:shd w:val="clear" w:color="auto" w:fill="D8D8D8"/>
          </w:tcPr>
          <w:p>
            <w:pPr>
              <w:spacing w:after="0"/>
              <w:rPr>
                <w:sz w:val="23"/>
                <w:szCs w:val="23"/>
                <w:color w:val="auto"/>
              </w:rPr>
            </w:pPr>
          </w:p>
        </w:tc>
        <w:tc>
          <w:tcPr>
            <w:tcW w:w="1320" w:type="dxa"/>
            <w:vAlign w:val="bottom"/>
            <w:shd w:val="clear" w:color="auto" w:fill="D8D8D8"/>
          </w:tcPr>
          <w:p>
            <w:pPr>
              <w:jc w:val="right"/>
              <w:ind w:right="72"/>
              <w:spacing w:after="0"/>
              <w:rPr>
                <w:sz w:val="20"/>
                <w:szCs w:val="20"/>
                <w:color w:val="auto"/>
              </w:rPr>
            </w:pPr>
            <w:r>
              <w:rPr>
                <w:rFonts w:ascii="Arial" w:cs="Arial" w:eastAsia="Arial" w:hAnsi="Arial"/>
                <w:sz w:val="18"/>
                <w:szCs w:val="18"/>
                <w:color w:val="auto"/>
              </w:rPr>
              <w:t>(1,989.1)</w:t>
            </w:r>
          </w:p>
        </w:tc>
        <w:tc>
          <w:tcPr>
            <w:tcW w:w="0" w:type="dxa"/>
            <w:vAlign w:val="bottom"/>
          </w:tcPr>
          <w:p>
            <w:pPr>
              <w:spacing w:after="0"/>
              <w:rPr>
                <w:sz w:val="1"/>
                <w:szCs w:val="1"/>
                <w:color w:val="auto"/>
              </w:rPr>
            </w:pPr>
          </w:p>
        </w:tc>
      </w:tr>
      <w:tr>
        <w:trPr>
          <w:trHeight w:val="189"/>
        </w:trPr>
        <w:tc>
          <w:tcPr>
            <w:tcW w:w="3780" w:type="dxa"/>
            <w:vAlign w:val="bottom"/>
            <w:tcBorders>
              <w:bottom w:val="single" w:sz="8" w:color="D8D8D8"/>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780" w:type="dxa"/>
            <w:vAlign w:val="bottom"/>
            <w:shd w:val="clear" w:color="auto" w:fill="D8D8D8"/>
          </w:tcPr>
          <w:p>
            <w:pPr>
              <w:ind w:left="40"/>
              <w:spacing w:after="0"/>
              <w:rPr>
                <w:sz w:val="20"/>
                <w:szCs w:val="20"/>
                <w:color w:val="auto"/>
              </w:rPr>
            </w:pPr>
            <w:r>
              <w:rPr>
                <w:rFonts w:ascii="Arial" w:cs="Arial" w:eastAsia="Arial" w:hAnsi="Arial"/>
                <w:sz w:val="18"/>
                <w:szCs w:val="18"/>
                <w:color w:val="auto"/>
              </w:rPr>
              <w:t>Balance at December 31, 2014</w:t>
            </w:r>
          </w:p>
        </w:tc>
        <w:tc>
          <w:tcPr>
            <w:tcW w:w="180" w:type="dxa"/>
            <w:vAlign w:val="bottom"/>
            <w:shd w:val="clear" w:color="auto" w:fill="D8D8D8"/>
          </w:tcPr>
          <w:p>
            <w:pPr>
              <w:spacing w:after="0"/>
              <w:rPr>
                <w:sz w:val="22"/>
                <w:szCs w:val="22"/>
                <w:color w:val="auto"/>
              </w:rPr>
            </w:pPr>
          </w:p>
        </w:tc>
        <w:tc>
          <w:tcPr>
            <w:tcW w:w="1260" w:type="dxa"/>
            <w:vAlign w:val="bottom"/>
            <w:shd w:val="clear" w:color="auto" w:fill="D8D8D8"/>
          </w:tcPr>
          <w:p>
            <w:pPr>
              <w:jc w:val="right"/>
              <w:ind w:right="75"/>
              <w:spacing w:after="0"/>
              <w:rPr>
                <w:sz w:val="20"/>
                <w:szCs w:val="20"/>
                <w:color w:val="auto"/>
              </w:rPr>
            </w:pPr>
            <w:r>
              <w:rPr>
                <w:rFonts w:ascii="Arial" w:cs="Arial" w:eastAsia="Arial" w:hAnsi="Arial"/>
                <w:sz w:val="18"/>
                <w:szCs w:val="18"/>
                <w:color w:val="auto"/>
              </w:rPr>
              <w:t>(498.4)</w:t>
            </w:r>
          </w:p>
        </w:tc>
        <w:tc>
          <w:tcPr>
            <w:tcW w:w="540" w:type="dxa"/>
            <w:vAlign w:val="bottom"/>
            <w:shd w:val="clear" w:color="auto" w:fill="D8D8D8"/>
          </w:tcPr>
          <w:p>
            <w:pPr>
              <w:spacing w:after="0"/>
              <w:rPr>
                <w:sz w:val="22"/>
                <w:szCs w:val="22"/>
                <w:color w:val="auto"/>
              </w:rPr>
            </w:pPr>
          </w:p>
        </w:tc>
        <w:tc>
          <w:tcPr>
            <w:tcW w:w="1060" w:type="dxa"/>
            <w:vAlign w:val="bottom"/>
            <w:shd w:val="clear" w:color="auto" w:fill="D8D8D8"/>
          </w:tcPr>
          <w:p>
            <w:pPr>
              <w:jc w:val="right"/>
              <w:ind w:right="190"/>
              <w:spacing w:after="0"/>
              <w:rPr>
                <w:sz w:val="20"/>
                <w:szCs w:val="20"/>
                <w:color w:val="auto"/>
              </w:rPr>
            </w:pPr>
            <w:r>
              <w:rPr>
                <w:rFonts w:ascii="Arial" w:cs="Arial" w:eastAsia="Arial" w:hAnsi="Arial"/>
                <w:sz w:val="18"/>
                <w:szCs w:val="18"/>
                <w:color w:val="auto"/>
              </w:rPr>
              <w:t>99.7</w:t>
            </w:r>
          </w:p>
        </w:tc>
        <w:tc>
          <w:tcPr>
            <w:tcW w:w="260" w:type="dxa"/>
            <w:vAlign w:val="bottom"/>
            <w:shd w:val="clear" w:color="auto" w:fill="D8D8D8"/>
          </w:tcPr>
          <w:p>
            <w:pPr>
              <w:spacing w:after="0"/>
              <w:rPr>
                <w:sz w:val="22"/>
                <w:szCs w:val="22"/>
                <w:color w:val="auto"/>
              </w:rPr>
            </w:pPr>
          </w:p>
        </w:tc>
        <w:tc>
          <w:tcPr>
            <w:tcW w:w="1280" w:type="dxa"/>
            <w:vAlign w:val="bottom"/>
            <w:shd w:val="clear" w:color="auto" w:fill="D8D8D8"/>
          </w:tcPr>
          <w:p>
            <w:pPr>
              <w:jc w:val="right"/>
              <w:ind w:right="115"/>
              <w:spacing w:after="0"/>
              <w:rPr>
                <w:sz w:val="20"/>
                <w:szCs w:val="20"/>
                <w:color w:val="auto"/>
              </w:rPr>
            </w:pPr>
            <w:r>
              <w:rPr>
                <w:rFonts w:ascii="Arial" w:cs="Arial" w:eastAsia="Arial" w:hAnsi="Arial"/>
                <w:sz w:val="18"/>
                <w:szCs w:val="18"/>
                <w:color w:val="auto"/>
              </w:rPr>
              <w:t>(3,402.0)</w:t>
            </w:r>
          </w:p>
        </w:tc>
        <w:tc>
          <w:tcPr>
            <w:tcW w:w="200" w:type="dxa"/>
            <w:vAlign w:val="bottom"/>
            <w:shd w:val="clear" w:color="auto" w:fill="D8D8D8"/>
          </w:tcPr>
          <w:p>
            <w:pPr>
              <w:spacing w:after="0"/>
              <w:rPr>
                <w:sz w:val="22"/>
                <w:szCs w:val="22"/>
                <w:color w:val="auto"/>
              </w:rPr>
            </w:pPr>
          </w:p>
        </w:tc>
        <w:tc>
          <w:tcPr>
            <w:tcW w:w="1300" w:type="dxa"/>
            <w:vAlign w:val="bottom"/>
            <w:shd w:val="clear" w:color="auto" w:fill="D8D8D8"/>
          </w:tcPr>
          <w:p>
            <w:pPr>
              <w:jc w:val="right"/>
              <w:ind w:right="74"/>
              <w:spacing w:after="0"/>
              <w:rPr>
                <w:sz w:val="20"/>
                <w:szCs w:val="20"/>
                <w:color w:val="auto"/>
              </w:rPr>
            </w:pPr>
            <w:r>
              <w:rPr>
                <w:rFonts w:ascii="Arial" w:cs="Arial" w:eastAsia="Arial" w:hAnsi="Arial"/>
                <w:sz w:val="18"/>
                <w:szCs w:val="18"/>
                <w:color w:val="auto"/>
              </w:rPr>
              <w:t>(191.1)</w:t>
            </w:r>
          </w:p>
        </w:tc>
        <w:tc>
          <w:tcPr>
            <w:tcW w:w="240" w:type="dxa"/>
            <w:vAlign w:val="bottom"/>
            <w:shd w:val="clear" w:color="auto" w:fill="D8D8D8"/>
          </w:tcPr>
          <w:p>
            <w:pPr>
              <w:spacing w:after="0"/>
              <w:rPr>
                <w:sz w:val="22"/>
                <w:szCs w:val="22"/>
                <w:color w:val="auto"/>
              </w:rPr>
            </w:pPr>
          </w:p>
        </w:tc>
        <w:tc>
          <w:tcPr>
            <w:tcW w:w="1320" w:type="dxa"/>
            <w:vAlign w:val="bottom"/>
            <w:shd w:val="clear" w:color="auto" w:fill="D8D8D8"/>
          </w:tcPr>
          <w:p>
            <w:pPr>
              <w:jc w:val="right"/>
              <w:ind w:right="72"/>
              <w:spacing w:after="0"/>
              <w:rPr>
                <w:sz w:val="20"/>
                <w:szCs w:val="20"/>
                <w:color w:val="auto"/>
              </w:rPr>
            </w:pPr>
            <w:r>
              <w:rPr>
                <w:rFonts w:ascii="Arial" w:cs="Arial" w:eastAsia="Arial" w:hAnsi="Arial"/>
                <w:sz w:val="18"/>
                <w:szCs w:val="18"/>
                <w:color w:val="auto"/>
              </w:rPr>
              <w:t>(3,991.8)</w:t>
            </w:r>
          </w:p>
        </w:tc>
        <w:tc>
          <w:tcPr>
            <w:tcW w:w="0" w:type="dxa"/>
            <w:vAlign w:val="bottom"/>
          </w:tcPr>
          <w:p>
            <w:pPr>
              <w:spacing w:after="0"/>
              <w:rPr>
                <w:sz w:val="1"/>
                <w:szCs w:val="1"/>
                <w:color w:val="auto"/>
              </w:rPr>
            </w:pPr>
          </w:p>
        </w:tc>
      </w:tr>
      <w:tr>
        <w:trPr>
          <w:trHeight w:val="189"/>
        </w:trPr>
        <w:tc>
          <w:tcPr>
            <w:tcW w:w="3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3780" w:type="dxa"/>
            <w:vAlign w:val="bottom"/>
            <w:shd w:val="clear" w:color="auto" w:fill="D8D8D8"/>
          </w:tcPr>
          <w:p>
            <w:pPr>
              <w:ind w:left="180"/>
              <w:spacing w:after="0"/>
              <w:rPr>
                <w:sz w:val="20"/>
                <w:szCs w:val="20"/>
                <w:color w:val="auto"/>
              </w:rPr>
            </w:pPr>
            <w:r>
              <w:rPr>
                <w:rFonts w:ascii="Arial" w:cs="Arial" w:eastAsia="Arial" w:hAnsi="Arial"/>
                <w:sz w:val="18"/>
                <w:szCs w:val="18"/>
                <w:color w:val="auto"/>
              </w:rPr>
              <w:t>Other comprehensive income (loss) before</w:t>
            </w:r>
          </w:p>
        </w:tc>
        <w:tc>
          <w:tcPr>
            <w:tcW w:w="180" w:type="dxa"/>
            <w:vAlign w:val="bottom"/>
            <w:shd w:val="clear" w:color="auto" w:fill="D8D8D8"/>
          </w:tcPr>
          <w:p>
            <w:pPr>
              <w:spacing w:after="0"/>
              <w:rPr>
                <w:sz w:val="17"/>
                <w:szCs w:val="17"/>
                <w:color w:val="auto"/>
              </w:rPr>
            </w:pPr>
          </w:p>
        </w:tc>
        <w:tc>
          <w:tcPr>
            <w:tcW w:w="1260" w:type="dxa"/>
            <w:vAlign w:val="bottom"/>
            <w:vMerge w:val="restart"/>
            <w:shd w:val="clear" w:color="auto" w:fill="D8D8D8"/>
          </w:tcPr>
          <w:p>
            <w:pPr>
              <w:jc w:val="right"/>
              <w:ind w:right="75"/>
              <w:spacing w:after="0"/>
              <w:rPr>
                <w:sz w:val="20"/>
                <w:szCs w:val="20"/>
                <w:color w:val="auto"/>
              </w:rPr>
            </w:pPr>
            <w:r>
              <w:rPr>
                <w:rFonts w:ascii="Arial" w:cs="Arial" w:eastAsia="Arial" w:hAnsi="Arial"/>
                <w:sz w:val="18"/>
                <w:szCs w:val="18"/>
                <w:b w:val="1"/>
                <w:bCs w:val="1"/>
                <w:color w:val="auto"/>
              </w:rPr>
              <w:t>(861.8)</w:t>
            </w:r>
          </w:p>
        </w:tc>
        <w:tc>
          <w:tcPr>
            <w:tcW w:w="540" w:type="dxa"/>
            <w:vAlign w:val="bottom"/>
            <w:shd w:val="clear" w:color="auto" w:fill="D8D8D8"/>
          </w:tcPr>
          <w:p>
            <w:pPr>
              <w:spacing w:after="0"/>
              <w:rPr>
                <w:sz w:val="17"/>
                <w:szCs w:val="17"/>
                <w:color w:val="auto"/>
              </w:rPr>
            </w:pPr>
          </w:p>
        </w:tc>
        <w:tc>
          <w:tcPr>
            <w:tcW w:w="1060" w:type="dxa"/>
            <w:vAlign w:val="bottom"/>
            <w:vMerge w:val="restart"/>
            <w:shd w:val="clear" w:color="auto" w:fill="D8D8D8"/>
          </w:tcPr>
          <w:p>
            <w:pPr>
              <w:jc w:val="right"/>
              <w:ind w:right="190"/>
              <w:spacing w:after="0"/>
              <w:rPr>
                <w:sz w:val="20"/>
                <w:szCs w:val="20"/>
                <w:color w:val="auto"/>
              </w:rPr>
            </w:pPr>
            <w:r>
              <w:rPr>
                <w:rFonts w:ascii="Arial" w:cs="Arial" w:eastAsia="Arial" w:hAnsi="Arial"/>
                <w:sz w:val="18"/>
                <w:szCs w:val="18"/>
                <w:b w:val="1"/>
                <w:bCs w:val="1"/>
                <w:color w:val="auto"/>
              </w:rPr>
              <w:t>38.6</w:t>
            </w:r>
          </w:p>
        </w:tc>
        <w:tc>
          <w:tcPr>
            <w:tcW w:w="260" w:type="dxa"/>
            <w:vAlign w:val="bottom"/>
            <w:shd w:val="clear" w:color="auto" w:fill="D8D8D8"/>
          </w:tcPr>
          <w:p>
            <w:pPr>
              <w:spacing w:after="0"/>
              <w:rPr>
                <w:sz w:val="17"/>
                <w:szCs w:val="17"/>
                <w:color w:val="auto"/>
              </w:rPr>
            </w:pPr>
          </w:p>
        </w:tc>
        <w:tc>
          <w:tcPr>
            <w:tcW w:w="1280" w:type="dxa"/>
            <w:vAlign w:val="bottom"/>
            <w:vMerge w:val="restart"/>
            <w:shd w:val="clear" w:color="auto" w:fill="D8D8D8"/>
          </w:tcPr>
          <w:p>
            <w:pPr>
              <w:jc w:val="right"/>
              <w:ind w:right="175"/>
              <w:spacing w:after="0"/>
              <w:rPr>
                <w:sz w:val="20"/>
                <w:szCs w:val="20"/>
                <w:color w:val="auto"/>
              </w:rPr>
            </w:pPr>
            <w:r>
              <w:rPr>
                <w:rFonts w:ascii="Arial" w:cs="Arial" w:eastAsia="Arial" w:hAnsi="Arial"/>
                <w:sz w:val="18"/>
                <w:szCs w:val="18"/>
                <w:b w:val="1"/>
                <w:bCs w:val="1"/>
                <w:color w:val="auto"/>
              </w:rPr>
              <w:t>155.0</w:t>
            </w:r>
          </w:p>
        </w:tc>
        <w:tc>
          <w:tcPr>
            <w:tcW w:w="200" w:type="dxa"/>
            <w:vAlign w:val="bottom"/>
            <w:shd w:val="clear" w:color="auto" w:fill="D8D8D8"/>
          </w:tcPr>
          <w:p>
            <w:pPr>
              <w:spacing w:after="0"/>
              <w:rPr>
                <w:sz w:val="17"/>
                <w:szCs w:val="17"/>
                <w:color w:val="auto"/>
              </w:rPr>
            </w:pPr>
          </w:p>
        </w:tc>
        <w:tc>
          <w:tcPr>
            <w:tcW w:w="1300" w:type="dxa"/>
            <w:vAlign w:val="bottom"/>
            <w:vMerge w:val="restart"/>
            <w:shd w:val="clear" w:color="auto" w:fill="D8D8D8"/>
          </w:tcPr>
          <w:p>
            <w:pPr>
              <w:jc w:val="right"/>
              <w:ind w:right="74"/>
              <w:spacing w:after="0"/>
              <w:rPr>
                <w:sz w:val="20"/>
                <w:szCs w:val="20"/>
                <w:color w:val="auto"/>
              </w:rPr>
            </w:pPr>
            <w:r>
              <w:rPr>
                <w:rFonts w:ascii="Arial" w:cs="Arial" w:eastAsia="Arial" w:hAnsi="Arial"/>
                <w:sz w:val="18"/>
                <w:szCs w:val="18"/>
                <w:b w:val="1"/>
                <w:bCs w:val="1"/>
                <w:color w:val="auto"/>
              </w:rPr>
              <w:t>(36.9)</w:t>
            </w:r>
          </w:p>
        </w:tc>
        <w:tc>
          <w:tcPr>
            <w:tcW w:w="240" w:type="dxa"/>
            <w:vAlign w:val="bottom"/>
            <w:shd w:val="clear" w:color="auto" w:fill="D8D8D8"/>
          </w:tcPr>
          <w:p>
            <w:pPr>
              <w:spacing w:after="0"/>
              <w:rPr>
                <w:sz w:val="17"/>
                <w:szCs w:val="17"/>
                <w:color w:val="auto"/>
              </w:rPr>
            </w:pPr>
          </w:p>
        </w:tc>
        <w:tc>
          <w:tcPr>
            <w:tcW w:w="1320" w:type="dxa"/>
            <w:vAlign w:val="bottom"/>
            <w:vMerge w:val="restart"/>
            <w:shd w:val="clear" w:color="auto" w:fill="D8D8D8"/>
          </w:tcPr>
          <w:p>
            <w:pPr>
              <w:jc w:val="right"/>
              <w:ind w:right="72"/>
              <w:spacing w:after="0"/>
              <w:rPr>
                <w:sz w:val="20"/>
                <w:szCs w:val="20"/>
                <w:color w:val="auto"/>
              </w:rPr>
            </w:pPr>
            <w:r>
              <w:rPr>
                <w:rFonts w:ascii="Arial" w:cs="Arial" w:eastAsia="Arial" w:hAnsi="Arial"/>
                <w:sz w:val="18"/>
                <w:szCs w:val="18"/>
                <w:b w:val="1"/>
                <w:bCs w:val="1"/>
                <w:color w:val="auto"/>
              </w:rPr>
              <w:t>(705.1)</w:t>
            </w:r>
          </w:p>
        </w:tc>
        <w:tc>
          <w:tcPr>
            <w:tcW w:w="0" w:type="dxa"/>
            <w:vAlign w:val="bottom"/>
          </w:tcPr>
          <w:p>
            <w:pPr>
              <w:spacing w:after="0"/>
              <w:rPr>
                <w:sz w:val="1"/>
                <w:szCs w:val="1"/>
                <w:color w:val="auto"/>
              </w:rPr>
            </w:pPr>
          </w:p>
        </w:tc>
      </w:tr>
      <w:tr>
        <w:trPr>
          <w:trHeight w:val="252"/>
        </w:trPr>
        <w:tc>
          <w:tcPr>
            <w:tcW w:w="3780" w:type="dxa"/>
            <w:vAlign w:val="bottom"/>
            <w:shd w:val="clear" w:color="auto" w:fill="D8D8D8"/>
          </w:tcPr>
          <w:p>
            <w:pPr>
              <w:ind w:left="180"/>
              <w:spacing w:after="0"/>
              <w:rPr>
                <w:sz w:val="20"/>
                <w:szCs w:val="20"/>
                <w:color w:val="auto"/>
              </w:rPr>
            </w:pPr>
            <w:r>
              <w:rPr>
                <w:rFonts w:ascii="Arial" w:cs="Arial" w:eastAsia="Arial" w:hAnsi="Arial"/>
                <w:sz w:val="18"/>
                <w:szCs w:val="18"/>
                <w:color w:val="auto"/>
              </w:rPr>
              <w:t>reclassifications</w:t>
            </w:r>
          </w:p>
        </w:tc>
        <w:tc>
          <w:tcPr>
            <w:tcW w:w="180" w:type="dxa"/>
            <w:vAlign w:val="bottom"/>
            <w:shd w:val="clear" w:color="auto" w:fill="D8D8D8"/>
          </w:tcPr>
          <w:p>
            <w:pPr>
              <w:spacing w:after="0"/>
              <w:rPr>
                <w:sz w:val="21"/>
                <w:szCs w:val="21"/>
                <w:color w:val="auto"/>
              </w:rPr>
            </w:pPr>
          </w:p>
        </w:tc>
        <w:tc>
          <w:tcPr>
            <w:tcW w:w="1260" w:type="dxa"/>
            <w:vAlign w:val="bottom"/>
            <w:vMerge w:val="continue"/>
            <w:shd w:val="clear" w:color="auto" w:fill="D8D8D8"/>
          </w:tcPr>
          <w:p>
            <w:pPr>
              <w:spacing w:after="0"/>
              <w:rPr>
                <w:sz w:val="21"/>
                <w:szCs w:val="21"/>
                <w:color w:val="auto"/>
              </w:rPr>
            </w:pPr>
          </w:p>
        </w:tc>
        <w:tc>
          <w:tcPr>
            <w:tcW w:w="540" w:type="dxa"/>
            <w:vAlign w:val="bottom"/>
            <w:shd w:val="clear" w:color="auto" w:fill="D8D8D8"/>
          </w:tcPr>
          <w:p>
            <w:pPr>
              <w:spacing w:after="0"/>
              <w:rPr>
                <w:sz w:val="21"/>
                <w:szCs w:val="21"/>
                <w:color w:val="auto"/>
              </w:rPr>
            </w:pPr>
          </w:p>
        </w:tc>
        <w:tc>
          <w:tcPr>
            <w:tcW w:w="1060" w:type="dxa"/>
            <w:vAlign w:val="bottom"/>
            <w:vMerge w:val="continue"/>
            <w:shd w:val="clear" w:color="auto" w:fill="D8D8D8"/>
          </w:tcPr>
          <w:p>
            <w:pPr>
              <w:spacing w:after="0"/>
              <w:rPr>
                <w:sz w:val="21"/>
                <w:szCs w:val="21"/>
                <w:color w:val="auto"/>
              </w:rPr>
            </w:pPr>
          </w:p>
        </w:tc>
        <w:tc>
          <w:tcPr>
            <w:tcW w:w="260" w:type="dxa"/>
            <w:vAlign w:val="bottom"/>
            <w:shd w:val="clear" w:color="auto" w:fill="D8D8D8"/>
          </w:tcPr>
          <w:p>
            <w:pPr>
              <w:spacing w:after="0"/>
              <w:rPr>
                <w:sz w:val="21"/>
                <w:szCs w:val="21"/>
                <w:color w:val="auto"/>
              </w:rPr>
            </w:pPr>
          </w:p>
        </w:tc>
        <w:tc>
          <w:tcPr>
            <w:tcW w:w="1280" w:type="dxa"/>
            <w:vAlign w:val="bottom"/>
            <w:vMerge w:val="continue"/>
            <w:shd w:val="clear" w:color="auto" w:fill="D8D8D8"/>
          </w:tcPr>
          <w:p>
            <w:pPr>
              <w:spacing w:after="0"/>
              <w:rPr>
                <w:sz w:val="21"/>
                <w:szCs w:val="21"/>
                <w:color w:val="auto"/>
              </w:rPr>
            </w:pPr>
          </w:p>
        </w:tc>
        <w:tc>
          <w:tcPr>
            <w:tcW w:w="200" w:type="dxa"/>
            <w:vAlign w:val="bottom"/>
            <w:shd w:val="clear" w:color="auto" w:fill="D8D8D8"/>
          </w:tcPr>
          <w:p>
            <w:pPr>
              <w:spacing w:after="0"/>
              <w:rPr>
                <w:sz w:val="21"/>
                <w:szCs w:val="21"/>
                <w:color w:val="auto"/>
              </w:rPr>
            </w:pPr>
          </w:p>
        </w:tc>
        <w:tc>
          <w:tcPr>
            <w:tcW w:w="1300" w:type="dxa"/>
            <w:vAlign w:val="bottom"/>
            <w:vMerge w:val="continue"/>
            <w:shd w:val="clear" w:color="auto" w:fill="D8D8D8"/>
          </w:tcPr>
          <w:p>
            <w:pPr>
              <w:spacing w:after="0"/>
              <w:rPr>
                <w:sz w:val="21"/>
                <w:szCs w:val="21"/>
                <w:color w:val="auto"/>
              </w:rPr>
            </w:pPr>
          </w:p>
        </w:tc>
        <w:tc>
          <w:tcPr>
            <w:tcW w:w="240" w:type="dxa"/>
            <w:vAlign w:val="bottom"/>
            <w:shd w:val="clear" w:color="auto" w:fill="D8D8D8"/>
          </w:tcPr>
          <w:p>
            <w:pPr>
              <w:spacing w:after="0"/>
              <w:rPr>
                <w:sz w:val="21"/>
                <w:szCs w:val="21"/>
                <w:color w:val="auto"/>
              </w:rPr>
            </w:pPr>
          </w:p>
        </w:tc>
        <w:tc>
          <w:tcPr>
            <w:tcW w:w="1320" w:type="dxa"/>
            <w:vAlign w:val="bottom"/>
            <w:vMerge w:val="continue"/>
            <w:shd w:val="clear" w:color="auto" w:fill="D8D8D8"/>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3780" w:type="dxa"/>
            <w:vAlign w:val="bottom"/>
          </w:tcPr>
          <w:p>
            <w:pPr>
              <w:ind w:left="180"/>
              <w:spacing w:after="0"/>
              <w:rPr>
                <w:sz w:val="20"/>
                <w:szCs w:val="20"/>
                <w:color w:val="auto"/>
              </w:rPr>
            </w:pPr>
            <w:r>
              <w:rPr>
                <w:rFonts w:ascii="Arial" w:cs="Arial" w:eastAsia="Arial" w:hAnsi="Arial"/>
                <w:sz w:val="18"/>
                <w:szCs w:val="18"/>
                <w:color w:val="auto"/>
              </w:rPr>
              <w:t>Net amount reclassified from accumulated</w:t>
            </w:r>
          </w:p>
        </w:tc>
        <w:tc>
          <w:tcPr>
            <w:tcW w:w="180" w:type="dxa"/>
            <w:vAlign w:val="bottom"/>
          </w:tcPr>
          <w:p>
            <w:pPr>
              <w:spacing w:after="0"/>
              <w:rPr>
                <w:sz w:val="17"/>
                <w:szCs w:val="17"/>
                <w:color w:val="auto"/>
              </w:rPr>
            </w:pPr>
          </w:p>
        </w:tc>
        <w:tc>
          <w:tcPr>
            <w:tcW w:w="1260" w:type="dxa"/>
            <w:vAlign w:val="bottom"/>
            <w:vMerge w:val="restart"/>
          </w:tcPr>
          <w:p>
            <w:pPr>
              <w:jc w:val="right"/>
              <w:ind w:right="135"/>
              <w:spacing w:after="0"/>
              <w:rPr>
                <w:sz w:val="20"/>
                <w:szCs w:val="20"/>
                <w:color w:val="auto"/>
              </w:rPr>
            </w:pPr>
            <w:r>
              <w:rPr>
                <w:rFonts w:ascii="Arial" w:cs="Arial" w:eastAsia="Arial" w:hAnsi="Arial"/>
                <w:sz w:val="18"/>
                <w:szCs w:val="18"/>
                <w:b w:val="1"/>
                <w:bCs w:val="1"/>
                <w:color w:val="auto"/>
              </w:rPr>
              <w:t>—</w:t>
            </w:r>
          </w:p>
        </w:tc>
        <w:tc>
          <w:tcPr>
            <w:tcW w:w="540" w:type="dxa"/>
            <w:vAlign w:val="bottom"/>
          </w:tcPr>
          <w:p>
            <w:pPr>
              <w:spacing w:after="0"/>
              <w:rPr>
                <w:sz w:val="17"/>
                <w:szCs w:val="17"/>
                <w:color w:val="auto"/>
              </w:rPr>
            </w:pPr>
          </w:p>
        </w:tc>
        <w:tc>
          <w:tcPr>
            <w:tcW w:w="106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rPr>
              <w:t>(128.2)</w:t>
            </w:r>
          </w:p>
        </w:tc>
        <w:tc>
          <w:tcPr>
            <w:tcW w:w="260" w:type="dxa"/>
            <w:vAlign w:val="bottom"/>
          </w:tcPr>
          <w:p>
            <w:pPr>
              <w:spacing w:after="0"/>
              <w:rPr>
                <w:sz w:val="17"/>
                <w:szCs w:val="17"/>
                <w:color w:val="auto"/>
              </w:rPr>
            </w:pPr>
          </w:p>
        </w:tc>
        <w:tc>
          <w:tcPr>
            <w:tcW w:w="1280" w:type="dxa"/>
            <w:vAlign w:val="bottom"/>
            <w:vMerge w:val="restart"/>
          </w:tcPr>
          <w:p>
            <w:pPr>
              <w:jc w:val="right"/>
              <w:ind w:right="175"/>
              <w:spacing w:after="0"/>
              <w:rPr>
                <w:sz w:val="20"/>
                <w:szCs w:val="20"/>
                <w:color w:val="auto"/>
              </w:rPr>
            </w:pPr>
            <w:r>
              <w:rPr>
                <w:rFonts w:ascii="Arial" w:cs="Arial" w:eastAsia="Arial" w:hAnsi="Arial"/>
                <w:sz w:val="18"/>
                <w:szCs w:val="18"/>
                <w:b w:val="1"/>
                <w:bCs w:val="1"/>
                <w:color w:val="auto"/>
              </w:rPr>
              <w:t>234.9</w:t>
            </w:r>
          </w:p>
        </w:tc>
        <w:tc>
          <w:tcPr>
            <w:tcW w:w="200" w:type="dxa"/>
            <w:vAlign w:val="bottom"/>
          </w:tcPr>
          <w:p>
            <w:pPr>
              <w:spacing w:after="0"/>
              <w:rPr>
                <w:sz w:val="17"/>
                <w:szCs w:val="17"/>
                <w:color w:val="auto"/>
              </w:rPr>
            </w:pPr>
          </w:p>
        </w:tc>
        <w:tc>
          <w:tcPr>
            <w:tcW w:w="1300" w:type="dxa"/>
            <w:vAlign w:val="bottom"/>
            <w:vMerge w:val="restart"/>
          </w:tcPr>
          <w:p>
            <w:pPr>
              <w:jc w:val="right"/>
              <w:ind w:right="134"/>
              <w:spacing w:after="0"/>
              <w:rPr>
                <w:sz w:val="20"/>
                <w:szCs w:val="20"/>
                <w:color w:val="auto"/>
              </w:rPr>
            </w:pPr>
            <w:r>
              <w:rPr>
                <w:rFonts w:ascii="Arial" w:cs="Arial" w:eastAsia="Arial" w:hAnsi="Arial"/>
                <w:sz w:val="18"/>
                <w:szCs w:val="18"/>
                <w:b w:val="1"/>
                <w:bCs w:val="1"/>
                <w:color w:val="auto"/>
              </w:rPr>
              <w:t>9.5</w:t>
            </w:r>
          </w:p>
        </w:tc>
        <w:tc>
          <w:tcPr>
            <w:tcW w:w="240" w:type="dxa"/>
            <w:vAlign w:val="bottom"/>
          </w:tcPr>
          <w:p>
            <w:pPr>
              <w:spacing w:after="0"/>
              <w:rPr>
                <w:sz w:val="17"/>
                <w:szCs w:val="17"/>
                <w:color w:val="auto"/>
              </w:rPr>
            </w:pPr>
          </w:p>
        </w:tc>
        <w:tc>
          <w:tcPr>
            <w:tcW w:w="1320" w:type="dxa"/>
            <w:vAlign w:val="bottom"/>
            <w:vMerge w:val="restart"/>
          </w:tcPr>
          <w:p>
            <w:pPr>
              <w:jc w:val="right"/>
              <w:ind w:right="132"/>
              <w:spacing w:after="0"/>
              <w:rPr>
                <w:sz w:val="20"/>
                <w:szCs w:val="20"/>
                <w:color w:val="auto"/>
              </w:rPr>
            </w:pPr>
            <w:r>
              <w:rPr>
                <w:rFonts w:ascii="Arial" w:cs="Arial" w:eastAsia="Arial" w:hAnsi="Arial"/>
                <w:sz w:val="18"/>
                <w:szCs w:val="18"/>
                <w:b w:val="1"/>
                <w:bCs w:val="1"/>
                <w:color w:val="auto"/>
              </w:rPr>
              <w:t>116.2</w:t>
            </w:r>
          </w:p>
        </w:tc>
        <w:tc>
          <w:tcPr>
            <w:tcW w:w="0" w:type="dxa"/>
            <w:vAlign w:val="bottom"/>
          </w:tcPr>
          <w:p>
            <w:pPr>
              <w:spacing w:after="0"/>
              <w:rPr>
                <w:sz w:val="1"/>
                <w:szCs w:val="1"/>
                <w:color w:val="auto"/>
              </w:rPr>
            </w:pPr>
          </w:p>
        </w:tc>
      </w:tr>
      <w:tr>
        <w:trPr>
          <w:trHeight w:val="252"/>
        </w:trPr>
        <w:tc>
          <w:tcPr>
            <w:tcW w:w="3780" w:type="dxa"/>
            <w:vAlign w:val="bottom"/>
            <w:tcBorders>
              <w:bottom w:val="single" w:sz="8" w:color="D8D8D8"/>
            </w:tcBorders>
          </w:tcPr>
          <w:p>
            <w:pPr>
              <w:ind w:left="180"/>
              <w:spacing w:after="0"/>
              <w:rPr>
                <w:sz w:val="20"/>
                <w:szCs w:val="20"/>
                <w:color w:val="auto"/>
              </w:rPr>
            </w:pPr>
            <w:r>
              <w:rPr>
                <w:rFonts w:ascii="Arial" w:cs="Arial" w:eastAsia="Arial" w:hAnsi="Arial"/>
                <w:sz w:val="18"/>
                <w:szCs w:val="18"/>
                <w:color w:val="auto"/>
              </w:rPr>
              <w:t>other comprehensive loss</w:t>
            </w:r>
          </w:p>
        </w:tc>
        <w:tc>
          <w:tcPr>
            <w:tcW w:w="1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vMerge w:val="continue"/>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vMerge w:val="continue"/>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vMerge w:val="continue"/>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vMerge w:val="continue"/>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3780" w:type="dxa"/>
            <w:vAlign w:val="bottom"/>
            <w:shd w:val="clear" w:color="auto" w:fill="D8D8D8"/>
          </w:tcPr>
          <w:p>
            <w:pPr>
              <w:ind w:left="180"/>
              <w:spacing w:after="0"/>
              <w:rPr>
                <w:sz w:val="20"/>
                <w:szCs w:val="20"/>
                <w:color w:val="auto"/>
              </w:rPr>
            </w:pPr>
            <w:r>
              <w:rPr>
                <w:rFonts w:ascii="Arial" w:cs="Arial" w:eastAsia="Arial" w:hAnsi="Arial"/>
                <w:sz w:val="18"/>
                <w:szCs w:val="18"/>
                <w:color w:val="auto"/>
              </w:rPr>
              <w:t>Net other comprehensive income (loss)</w:t>
            </w:r>
          </w:p>
        </w:tc>
        <w:tc>
          <w:tcPr>
            <w:tcW w:w="180" w:type="dxa"/>
            <w:vAlign w:val="bottom"/>
            <w:shd w:val="clear" w:color="auto" w:fill="D8D8D8"/>
          </w:tcPr>
          <w:p>
            <w:pPr>
              <w:spacing w:after="0"/>
              <w:rPr>
                <w:sz w:val="22"/>
                <w:szCs w:val="22"/>
                <w:color w:val="auto"/>
              </w:rPr>
            </w:pPr>
          </w:p>
        </w:tc>
        <w:tc>
          <w:tcPr>
            <w:tcW w:w="1260" w:type="dxa"/>
            <w:vAlign w:val="bottom"/>
            <w:shd w:val="clear" w:color="auto" w:fill="D8D8D8"/>
          </w:tcPr>
          <w:p>
            <w:pPr>
              <w:jc w:val="right"/>
              <w:ind w:right="75"/>
              <w:spacing w:after="0"/>
              <w:rPr>
                <w:sz w:val="20"/>
                <w:szCs w:val="20"/>
                <w:color w:val="auto"/>
              </w:rPr>
            </w:pPr>
            <w:r>
              <w:rPr>
                <w:rFonts w:ascii="Arial" w:cs="Arial" w:eastAsia="Arial" w:hAnsi="Arial"/>
                <w:sz w:val="18"/>
                <w:szCs w:val="18"/>
                <w:b w:val="1"/>
                <w:bCs w:val="1"/>
                <w:color w:val="auto"/>
              </w:rPr>
              <w:t>(861.8)</w:t>
            </w:r>
          </w:p>
        </w:tc>
        <w:tc>
          <w:tcPr>
            <w:tcW w:w="540" w:type="dxa"/>
            <w:vAlign w:val="bottom"/>
            <w:shd w:val="clear" w:color="auto" w:fill="D8D8D8"/>
          </w:tcPr>
          <w:p>
            <w:pPr>
              <w:spacing w:after="0"/>
              <w:rPr>
                <w:sz w:val="22"/>
                <w:szCs w:val="22"/>
                <w:color w:val="auto"/>
              </w:rPr>
            </w:pPr>
          </w:p>
        </w:tc>
        <w:tc>
          <w:tcPr>
            <w:tcW w:w="1060" w:type="dxa"/>
            <w:vAlign w:val="bottom"/>
            <w:shd w:val="clear" w:color="auto" w:fill="D8D8D8"/>
          </w:tcPr>
          <w:p>
            <w:pPr>
              <w:jc w:val="right"/>
              <w:ind w:right="130"/>
              <w:spacing w:after="0"/>
              <w:rPr>
                <w:sz w:val="20"/>
                <w:szCs w:val="20"/>
                <w:color w:val="auto"/>
              </w:rPr>
            </w:pPr>
            <w:r>
              <w:rPr>
                <w:rFonts w:ascii="Arial" w:cs="Arial" w:eastAsia="Arial" w:hAnsi="Arial"/>
                <w:sz w:val="18"/>
                <w:szCs w:val="18"/>
                <w:b w:val="1"/>
                <w:bCs w:val="1"/>
                <w:color w:val="auto"/>
              </w:rPr>
              <w:t>(89.6)</w:t>
            </w:r>
          </w:p>
        </w:tc>
        <w:tc>
          <w:tcPr>
            <w:tcW w:w="260" w:type="dxa"/>
            <w:vAlign w:val="bottom"/>
            <w:shd w:val="clear" w:color="auto" w:fill="D8D8D8"/>
          </w:tcPr>
          <w:p>
            <w:pPr>
              <w:spacing w:after="0"/>
              <w:rPr>
                <w:sz w:val="22"/>
                <w:szCs w:val="22"/>
                <w:color w:val="auto"/>
              </w:rPr>
            </w:pPr>
          </w:p>
        </w:tc>
        <w:tc>
          <w:tcPr>
            <w:tcW w:w="1280" w:type="dxa"/>
            <w:vAlign w:val="bottom"/>
            <w:shd w:val="clear" w:color="auto" w:fill="D8D8D8"/>
          </w:tcPr>
          <w:p>
            <w:pPr>
              <w:jc w:val="right"/>
              <w:ind w:right="175"/>
              <w:spacing w:after="0"/>
              <w:rPr>
                <w:sz w:val="20"/>
                <w:szCs w:val="20"/>
                <w:color w:val="auto"/>
              </w:rPr>
            </w:pPr>
            <w:r>
              <w:rPr>
                <w:rFonts w:ascii="Arial" w:cs="Arial" w:eastAsia="Arial" w:hAnsi="Arial"/>
                <w:sz w:val="18"/>
                <w:szCs w:val="18"/>
                <w:b w:val="1"/>
                <w:bCs w:val="1"/>
                <w:color w:val="auto"/>
              </w:rPr>
              <w:t>389.9</w:t>
            </w:r>
          </w:p>
        </w:tc>
        <w:tc>
          <w:tcPr>
            <w:tcW w:w="200" w:type="dxa"/>
            <w:vAlign w:val="bottom"/>
            <w:shd w:val="clear" w:color="auto" w:fill="D8D8D8"/>
          </w:tcPr>
          <w:p>
            <w:pPr>
              <w:spacing w:after="0"/>
              <w:rPr>
                <w:sz w:val="22"/>
                <w:szCs w:val="22"/>
                <w:color w:val="auto"/>
              </w:rPr>
            </w:pPr>
          </w:p>
        </w:tc>
        <w:tc>
          <w:tcPr>
            <w:tcW w:w="1300" w:type="dxa"/>
            <w:vAlign w:val="bottom"/>
            <w:shd w:val="clear" w:color="auto" w:fill="D8D8D8"/>
          </w:tcPr>
          <w:p>
            <w:pPr>
              <w:jc w:val="right"/>
              <w:ind w:right="74"/>
              <w:spacing w:after="0"/>
              <w:rPr>
                <w:sz w:val="20"/>
                <w:szCs w:val="20"/>
                <w:color w:val="auto"/>
              </w:rPr>
            </w:pPr>
            <w:r>
              <w:rPr>
                <w:rFonts w:ascii="Arial" w:cs="Arial" w:eastAsia="Arial" w:hAnsi="Arial"/>
                <w:sz w:val="18"/>
                <w:szCs w:val="18"/>
                <w:b w:val="1"/>
                <w:bCs w:val="1"/>
                <w:color w:val="auto"/>
              </w:rPr>
              <w:t>(27.4)</w:t>
            </w:r>
          </w:p>
        </w:tc>
        <w:tc>
          <w:tcPr>
            <w:tcW w:w="240" w:type="dxa"/>
            <w:vAlign w:val="bottom"/>
            <w:shd w:val="clear" w:color="auto" w:fill="D8D8D8"/>
          </w:tcPr>
          <w:p>
            <w:pPr>
              <w:spacing w:after="0"/>
              <w:rPr>
                <w:sz w:val="22"/>
                <w:szCs w:val="22"/>
                <w:color w:val="auto"/>
              </w:rPr>
            </w:pPr>
          </w:p>
        </w:tc>
        <w:tc>
          <w:tcPr>
            <w:tcW w:w="1320" w:type="dxa"/>
            <w:vAlign w:val="bottom"/>
            <w:shd w:val="clear" w:color="auto" w:fill="D8D8D8"/>
          </w:tcPr>
          <w:p>
            <w:pPr>
              <w:jc w:val="right"/>
              <w:ind w:right="72"/>
              <w:spacing w:after="0"/>
              <w:rPr>
                <w:sz w:val="20"/>
                <w:szCs w:val="20"/>
                <w:color w:val="auto"/>
              </w:rPr>
            </w:pPr>
            <w:r>
              <w:rPr>
                <w:rFonts w:ascii="Arial" w:cs="Arial" w:eastAsia="Arial" w:hAnsi="Arial"/>
                <w:sz w:val="18"/>
                <w:szCs w:val="18"/>
                <w:b w:val="1"/>
                <w:bCs w:val="1"/>
                <w:color w:val="auto"/>
              </w:rPr>
              <w:t>(588.9)</w:t>
            </w:r>
          </w:p>
        </w:tc>
        <w:tc>
          <w:tcPr>
            <w:tcW w:w="0" w:type="dxa"/>
            <w:vAlign w:val="bottom"/>
          </w:tcPr>
          <w:p>
            <w:pPr>
              <w:spacing w:after="0"/>
              <w:rPr>
                <w:sz w:val="1"/>
                <w:szCs w:val="1"/>
                <w:color w:val="auto"/>
              </w:rPr>
            </w:pPr>
          </w:p>
        </w:tc>
      </w:tr>
      <w:tr>
        <w:trPr>
          <w:trHeight w:val="189"/>
        </w:trPr>
        <w:tc>
          <w:tcPr>
            <w:tcW w:w="3780" w:type="dxa"/>
            <w:vAlign w:val="bottom"/>
            <w:tcBorders>
              <w:bottom w:val="single" w:sz="8" w:color="D8D8D8"/>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71"/>
        </w:trPr>
        <w:tc>
          <w:tcPr>
            <w:tcW w:w="3780" w:type="dxa"/>
            <w:vAlign w:val="bottom"/>
            <w:tcBorders>
              <w:bottom w:val="single" w:sz="8" w:color="D8D8D8"/>
            </w:tcBorders>
            <w:shd w:val="clear" w:color="auto" w:fill="D8D8D8"/>
          </w:tcPr>
          <w:p>
            <w:pPr>
              <w:ind w:left="40"/>
              <w:spacing w:after="0"/>
              <w:rPr>
                <w:sz w:val="20"/>
                <w:szCs w:val="20"/>
                <w:color w:val="auto"/>
              </w:rPr>
            </w:pPr>
            <w:r>
              <w:rPr>
                <w:rFonts w:ascii="Arial" w:cs="Arial" w:eastAsia="Arial" w:hAnsi="Arial"/>
                <w:sz w:val="18"/>
                <w:szCs w:val="18"/>
                <w:color w:val="auto"/>
              </w:rPr>
              <w:t>Ending Balance at December 31, 2015</w:t>
            </w:r>
          </w:p>
        </w:tc>
        <w:tc>
          <w:tcPr>
            <w:tcW w:w="18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b w:val="1"/>
                <w:bCs w:val="1"/>
                <w:color w:val="auto"/>
              </w:rPr>
              <w:t>$</w:t>
            </w:r>
          </w:p>
        </w:tc>
        <w:tc>
          <w:tcPr>
            <w:tcW w:w="1260" w:type="dxa"/>
            <w:vAlign w:val="bottom"/>
            <w:tcBorders>
              <w:bottom w:val="single" w:sz="8" w:color="auto"/>
            </w:tcBorders>
            <w:shd w:val="clear" w:color="auto" w:fill="D8D8D8"/>
          </w:tcPr>
          <w:p>
            <w:pPr>
              <w:jc w:val="right"/>
              <w:ind w:right="75"/>
              <w:spacing w:after="0"/>
              <w:rPr>
                <w:sz w:val="20"/>
                <w:szCs w:val="20"/>
                <w:color w:val="auto"/>
              </w:rPr>
            </w:pPr>
            <w:r>
              <w:rPr>
                <w:rFonts w:ascii="Arial" w:cs="Arial" w:eastAsia="Arial" w:hAnsi="Arial"/>
                <w:sz w:val="18"/>
                <w:szCs w:val="18"/>
                <w:b w:val="1"/>
                <w:bCs w:val="1"/>
                <w:color w:val="auto"/>
              </w:rPr>
              <w:t>(1,360.2)</w:t>
            </w:r>
          </w:p>
        </w:tc>
        <w:tc>
          <w:tcPr>
            <w:tcW w:w="540" w:type="dxa"/>
            <w:vAlign w:val="bottom"/>
            <w:tcBorders>
              <w:bottom w:val="single" w:sz="8" w:color="auto"/>
            </w:tcBorders>
            <w:shd w:val="clear" w:color="auto" w:fill="D8D8D8"/>
          </w:tcPr>
          <w:p>
            <w:pPr>
              <w:ind w:left="140"/>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tcBorders>
            <w:shd w:val="clear" w:color="auto" w:fill="D8D8D8"/>
          </w:tcPr>
          <w:p>
            <w:pPr>
              <w:jc w:val="right"/>
              <w:ind w:right="190"/>
              <w:spacing w:after="0"/>
              <w:rPr>
                <w:sz w:val="20"/>
                <w:szCs w:val="20"/>
                <w:color w:val="auto"/>
              </w:rPr>
            </w:pPr>
            <w:r>
              <w:rPr>
                <w:rFonts w:ascii="Arial" w:cs="Arial" w:eastAsia="Arial" w:hAnsi="Arial"/>
                <w:sz w:val="18"/>
                <w:szCs w:val="18"/>
                <w:b w:val="1"/>
                <w:bCs w:val="1"/>
                <w:color w:val="auto"/>
              </w:rPr>
              <w:t>10.1</w:t>
            </w:r>
          </w:p>
        </w:tc>
        <w:tc>
          <w:tcPr>
            <w:tcW w:w="26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b w:val="1"/>
                <w:bCs w:val="1"/>
                <w:color w:val="auto"/>
              </w:rPr>
              <w:t>$</w:t>
            </w:r>
          </w:p>
        </w:tc>
        <w:tc>
          <w:tcPr>
            <w:tcW w:w="1280" w:type="dxa"/>
            <w:vAlign w:val="bottom"/>
            <w:tcBorders>
              <w:bottom w:val="single" w:sz="8" w:color="auto"/>
            </w:tcBorders>
            <w:shd w:val="clear" w:color="auto" w:fill="D8D8D8"/>
          </w:tcPr>
          <w:p>
            <w:pPr>
              <w:jc w:val="right"/>
              <w:ind w:right="115"/>
              <w:spacing w:after="0"/>
              <w:rPr>
                <w:sz w:val="20"/>
                <w:szCs w:val="20"/>
                <w:color w:val="auto"/>
              </w:rPr>
            </w:pPr>
            <w:r>
              <w:rPr>
                <w:rFonts w:ascii="Arial" w:cs="Arial" w:eastAsia="Arial" w:hAnsi="Arial"/>
                <w:sz w:val="18"/>
                <w:szCs w:val="18"/>
                <w:b w:val="1"/>
                <w:bCs w:val="1"/>
                <w:color w:val="auto"/>
              </w:rPr>
              <w:t>(3,012.1)</w:t>
            </w:r>
          </w:p>
        </w:tc>
        <w:tc>
          <w:tcPr>
            <w:tcW w:w="20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b w:val="1"/>
                <w:bCs w:val="1"/>
                <w:color w:val="auto"/>
              </w:rPr>
              <w:t>$</w:t>
            </w:r>
          </w:p>
        </w:tc>
        <w:tc>
          <w:tcPr>
            <w:tcW w:w="1300" w:type="dxa"/>
            <w:vAlign w:val="bottom"/>
            <w:tcBorders>
              <w:bottom w:val="single" w:sz="8" w:color="auto"/>
            </w:tcBorders>
            <w:shd w:val="clear" w:color="auto" w:fill="D8D8D8"/>
          </w:tcPr>
          <w:p>
            <w:pPr>
              <w:jc w:val="right"/>
              <w:ind w:right="74"/>
              <w:spacing w:after="0"/>
              <w:rPr>
                <w:sz w:val="20"/>
                <w:szCs w:val="20"/>
                <w:color w:val="auto"/>
              </w:rPr>
            </w:pPr>
            <w:r>
              <w:rPr>
                <w:rFonts w:ascii="Arial" w:cs="Arial" w:eastAsia="Arial" w:hAnsi="Arial"/>
                <w:sz w:val="18"/>
                <w:szCs w:val="18"/>
                <w:b w:val="1"/>
                <w:bCs w:val="1"/>
                <w:color w:val="auto"/>
              </w:rPr>
              <w:t>(218.5)</w:t>
            </w:r>
          </w:p>
        </w:tc>
        <w:tc>
          <w:tcPr>
            <w:tcW w:w="24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b w:val="1"/>
                <w:bCs w:val="1"/>
                <w:color w:val="auto"/>
              </w:rPr>
              <w:t>$</w:t>
            </w:r>
          </w:p>
        </w:tc>
        <w:tc>
          <w:tcPr>
            <w:tcW w:w="1320" w:type="dxa"/>
            <w:vAlign w:val="bottom"/>
            <w:tcBorders>
              <w:bottom w:val="single" w:sz="8" w:color="auto"/>
            </w:tcBorders>
            <w:shd w:val="clear" w:color="auto" w:fill="D8D8D8"/>
          </w:tcPr>
          <w:p>
            <w:pPr>
              <w:jc w:val="right"/>
              <w:ind w:right="72"/>
              <w:spacing w:after="0"/>
              <w:rPr>
                <w:sz w:val="20"/>
                <w:szCs w:val="20"/>
                <w:color w:val="auto"/>
              </w:rPr>
            </w:pPr>
            <w:r>
              <w:rPr>
                <w:rFonts w:ascii="Arial" w:cs="Arial" w:eastAsia="Arial" w:hAnsi="Arial"/>
                <w:sz w:val="18"/>
                <w:szCs w:val="18"/>
                <w:b w:val="1"/>
                <w:bCs w:val="1"/>
                <w:color w:val="auto"/>
              </w:rPr>
              <w:t>(4,580.7)</w:t>
            </w:r>
          </w:p>
        </w:tc>
        <w:tc>
          <w:tcPr>
            <w:tcW w:w="0" w:type="dxa"/>
            <w:vAlign w:val="bottom"/>
          </w:tcPr>
          <w:p>
            <w:pPr>
              <w:spacing w:after="0"/>
              <w:rPr>
                <w:sz w:val="1"/>
                <w:szCs w:val="1"/>
                <w:color w:val="auto"/>
              </w:rPr>
            </w:pPr>
          </w:p>
        </w:tc>
      </w:tr>
    </w:tbl>
    <w:p>
      <w:pPr>
        <w:spacing w:after="0" w:line="85" w:lineRule="exact"/>
        <w:rPr>
          <w:sz w:val="20"/>
          <w:szCs w:val="20"/>
          <w:color w:val="auto"/>
        </w:rPr>
      </w:pPr>
    </w:p>
    <w:p>
      <w:pPr>
        <w:jc w:val="both"/>
        <w:ind w:right="80"/>
        <w:spacing w:after="0" w:line="292" w:lineRule="auto"/>
        <w:rPr>
          <w:sz w:val="20"/>
          <w:szCs w:val="20"/>
          <w:color w:val="auto"/>
        </w:rPr>
      </w:pPr>
      <w:r>
        <w:rPr>
          <w:rFonts w:ascii="Arial" w:cs="Arial" w:eastAsia="Arial" w:hAnsi="Arial"/>
          <w:sz w:val="18"/>
          <w:szCs w:val="18"/>
          <w:color w:val="auto"/>
        </w:rPr>
        <w:t>The tax effects on the net activity related to each component of other comprehensive income (loss) for the years ended December 31, were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8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Tax (expense) benefit</w:t>
            </w: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2015</w:t>
            </w:r>
          </w:p>
        </w:tc>
        <w:tc>
          <w:tcPr>
            <w:tcW w:w="4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2014</w:t>
            </w:r>
          </w:p>
        </w:tc>
        <w:tc>
          <w:tcPr>
            <w:tcW w:w="4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2013</w:t>
            </w:r>
          </w:p>
        </w:tc>
      </w:tr>
      <w:tr>
        <w:trPr>
          <w:trHeight w:val="265"/>
        </w:trPr>
        <w:tc>
          <w:tcPr>
            <w:tcW w:w="6860" w:type="dxa"/>
            <w:vAlign w:val="bottom"/>
            <w:shd w:val="clear" w:color="auto" w:fill="D8D8D8"/>
          </w:tcPr>
          <w:p>
            <w:pPr>
              <w:ind w:left="40"/>
              <w:spacing w:after="0"/>
              <w:rPr>
                <w:sz w:val="20"/>
                <w:szCs w:val="20"/>
                <w:color w:val="auto"/>
              </w:rPr>
            </w:pPr>
            <w:r>
              <w:rPr>
                <w:rFonts w:ascii="Arial" w:cs="Arial" w:eastAsia="Arial" w:hAnsi="Arial"/>
                <w:sz w:val="18"/>
                <w:szCs w:val="18"/>
                <w:color w:val="auto"/>
              </w:rPr>
              <w:t>Foreign currency translation gains (losses)</w:t>
            </w:r>
          </w:p>
        </w:tc>
        <w:tc>
          <w:tcPr>
            <w:tcW w:w="360" w:type="dxa"/>
            <w:vAlign w:val="bottom"/>
            <w:shd w:val="clear" w:color="auto" w:fill="D8D8D8"/>
          </w:tcPr>
          <w:p>
            <w:pPr>
              <w:jc w:val="right"/>
              <w:ind w:right="130"/>
              <w:spacing w:after="0"/>
              <w:rPr>
                <w:sz w:val="20"/>
                <w:szCs w:val="20"/>
                <w:color w:val="auto"/>
              </w:rPr>
            </w:pPr>
            <w:r>
              <w:rPr>
                <w:rFonts w:ascii="Arial" w:cs="Arial" w:eastAsia="Arial" w:hAnsi="Arial"/>
                <w:sz w:val="18"/>
                <w:szCs w:val="18"/>
                <w:b w:val="1"/>
                <w:bCs w:val="1"/>
                <w:color w:val="auto"/>
              </w:rPr>
              <w:t>$</w:t>
            </w:r>
          </w:p>
        </w:tc>
        <w:tc>
          <w:tcPr>
            <w:tcW w:w="1120" w:type="dxa"/>
            <w:vAlign w:val="bottom"/>
            <w:shd w:val="clear" w:color="auto" w:fill="D8D8D8"/>
          </w:tcPr>
          <w:p>
            <w:pPr>
              <w:jc w:val="right"/>
              <w:ind w:right="73"/>
              <w:spacing w:after="0"/>
              <w:rPr>
                <w:sz w:val="20"/>
                <w:szCs w:val="20"/>
                <w:color w:val="auto"/>
              </w:rPr>
            </w:pPr>
            <w:r>
              <w:rPr>
                <w:rFonts w:ascii="Arial" w:cs="Arial" w:eastAsia="Arial" w:hAnsi="Arial"/>
                <w:sz w:val="18"/>
                <w:szCs w:val="18"/>
                <w:b w:val="1"/>
                <w:bCs w:val="1"/>
                <w:color w:val="auto"/>
              </w:rPr>
              <w:t>(2.0)</w:t>
            </w:r>
          </w:p>
        </w:tc>
        <w:tc>
          <w:tcPr>
            <w:tcW w:w="440" w:type="dxa"/>
            <w:vAlign w:val="bottom"/>
            <w:shd w:val="clear" w:color="auto" w:fill="D8D8D8"/>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D8D8D8"/>
          </w:tcPr>
          <w:p>
            <w:pPr>
              <w:jc w:val="right"/>
              <w:ind w:right="33"/>
              <w:spacing w:after="0"/>
              <w:rPr>
                <w:sz w:val="20"/>
                <w:szCs w:val="20"/>
                <w:color w:val="auto"/>
              </w:rPr>
            </w:pPr>
            <w:r>
              <w:rPr>
                <w:rFonts w:ascii="Arial" w:cs="Arial" w:eastAsia="Arial" w:hAnsi="Arial"/>
                <w:sz w:val="18"/>
                <w:szCs w:val="18"/>
                <w:color w:val="auto"/>
              </w:rPr>
              <w:t>—</w:t>
            </w:r>
          </w:p>
        </w:tc>
        <w:tc>
          <w:tcPr>
            <w:tcW w:w="440" w:type="dxa"/>
            <w:vAlign w:val="bottom"/>
            <w:shd w:val="clear" w:color="auto" w:fill="D8D8D8"/>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D8D8D8"/>
          </w:tcPr>
          <w:p>
            <w:pPr>
              <w:jc w:val="right"/>
              <w:ind w:right="133"/>
              <w:spacing w:after="0"/>
              <w:rPr>
                <w:sz w:val="20"/>
                <w:szCs w:val="20"/>
                <w:color w:val="auto"/>
              </w:rPr>
            </w:pPr>
            <w:r>
              <w:rPr>
                <w:rFonts w:ascii="Arial" w:cs="Arial" w:eastAsia="Arial" w:hAnsi="Arial"/>
                <w:sz w:val="18"/>
                <w:szCs w:val="18"/>
                <w:color w:val="auto"/>
              </w:rPr>
              <w:t>—</w:t>
            </w:r>
          </w:p>
        </w:tc>
      </w:tr>
      <w:tr>
        <w:trPr>
          <w:trHeight w:val="269"/>
        </w:trPr>
        <w:tc>
          <w:tcPr>
            <w:tcW w:w="6860" w:type="dxa"/>
            <w:vAlign w:val="bottom"/>
          </w:tcPr>
          <w:p>
            <w:pPr>
              <w:ind w:left="40"/>
              <w:spacing w:after="0"/>
              <w:rPr>
                <w:sz w:val="20"/>
                <w:szCs w:val="20"/>
                <w:color w:val="auto"/>
              </w:rPr>
            </w:pPr>
            <w:r>
              <w:rPr>
                <w:rFonts w:ascii="Arial" w:cs="Arial" w:eastAsia="Arial" w:hAnsi="Arial"/>
                <w:sz w:val="18"/>
                <w:szCs w:val="18"/>
                <w:color w:val="auto"/>
              </w:rPr>
              <w:t>Unrealized net gains (losses) on securities</w:t>
            </w:r>
          </w:p>
        </w:tc>
        <w:tc>
          <w:tcPr>
            <w:tcW w:w="360" w:type="dxa"/>
            <w:vAlign w:val="bottom"/>
          </w:tcPr>
          <w:p>
            <w:pPr>
              <w:spacing w:after="0"/>
              <w:rPr>
                <w:sz w:val="23"/>
                <w:szCs w:val="23"/>
                <w:color w:val="auto"/>
              </w:rPr>
            </w:pPr>
          </w:p>
        </w:tc>
        <w:tc>
          <w:tcPr>
            <w:tcW w:w="1120" w:type="dxa"/>
            <w:vAlign w:val="bottom"/>
          </w:tcPr>
          <w:p>
            <w:pPr>
              <w:jc w:val="right"/>
              <w:ind w:right="133"/>
              <w:spacing w:after="0"/>
              <w:rPr>
                <w:sz w:val="20"/>
                <w:szCs w:val="20"/>
                <w:color w:val="auto"/>
              </w:rPr>
            </w:pPr>
            <w:r>
              <w:rPr>
                <w:rFonts w:ascii="Arial" w:cs="Arial" w:eastAsia="Arial" w:hAnsi="Arial"/>
                <w:sz w:val="18"/>
                <w:szCs w:val="18"/>
                <w:b w:val="1"/>
                <w:bCs w:val="1"/>
                <w:color w:val="auto"/>
              </w:rPr>
              <w:t>48.5</w:t>
            </w:r>
          </w:p>
        </w:tc>
        <w:tc>
          <w:tcPr>
            <w:tcW w:w="440" w:type="dxa"/>
            <w:vAlign w:val="bottom"/>
          </w:tcPr>
          <w:p>
            <w:pPr>
              <w:spacing w:after="0"/>
              <w:rPr>
                <w:sz w:val="23"/>
                <w:szCs w:val="23"/>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56.7</w:t>
            </w:r>
          </w:p>
        </w:tc>
        <w:tc>
          <w:tcPr>
            <w:tcW w:w="440" w:type="dxa"/>
            <w:vAlign w:val="bottom"/>
          </w:tcPr>
          <w:p>
            <w:pPr>
              <w:spacing w:after="0"/>
              <w:rPr>
                <w:sz w:val="23"/>
                <w:szCs w:val="23"/>
                <w:color w:val="auto"/>
              </w:rPr>
            </w:pPr>
          </w:p>
        </w:tc>
        <w:tc>
          <w:tcPr>
            <w:tcW w:w="1140" w:type="dxa"/>
            <w:vAlign w:val="bottom"/>
          </w:tcPr>
          <w:p>
            <w:pPr>
              <w:jc w:val="right"/>
              <w:ind w:right="73"/>
              <w:spacing w:after="0"/>
              <w:rPr>
                <w:sz w:val="20"/>
                <w:szCs w:val="20"/>
                <w:color w:val="auto"/>
              </w:rPr>
            </w:pPr>
            <w:r>
              <w:rPr>
                <w:rFonts w:ascii="Arial" w:cs="Arial" w:eastAsia="Arial" w:hAnsi="Arial"/>
                <w:sz w:val="18"/>
                <w:szCs w:val="18"/>
                <w:color w:val="auto"/>
              </w:rPr>
              <w:t>(71.6)</w:t>
            </w:r>
          </w:p>
        </w:tc>
      </w:tr>
      <w:tr>
        <w:trPr>
          <w:trHeight w:val="271"/>
        </w:trPr>
        <w:tc>
          <w:tcPr>
            <w:tcW w:w="6860" w:type="dxa"/>
            <w:vAlign w:val="bottom"/>
            <w:shd w:val="clear" w:color="auto" w:fill="D8D8D8"/>
          </w:tcPr>
          <w:p>
            <w:pPr>
              <w:ind w:left="40"/>
              <w:spacing w:after="0"/>
              <w:rPr>
                <w:sz w:val="20"/>
                <w:szCs w:val="20"/>
                <w:color w:val="auto"/>
              </w:rPr>
            </w:pPr>
            <w:r>
              <w:rPr>
                <w:rFonts w:ascii="Arial" w:cs="Arial" w:eastAsia="Arial" w:hAnsi="Arial"/>
                <w:sz w:val="18"/>
                <w:szCs w:val="18"/>
                <w:color w:val="auto"/>
              </w:rPr>
              <w:t>Defined benefit pension and retiree health benefit plans</w:t>
            </w:r>
          </w:p>
        </w:tc>
        <w:tc>
          <w:tcPr>
            <w:tcW w:w="360" w:type="dxa"/>
            <w:vAlign w:val="bottom"/>
            <w:shd w:val="clear" w:color="auto" w:fill="D8D8D8"/>
          </w:tcPr>
          <w:p>
            <w:pPr>
              <w:spacing w:after="0"/>
              <w:rPr>
                <w:sz w:val="23"/>
                <w:szCs w:val="23"/>
                <w:color w:val="auto"/>
              </w:rPr>
            </w:pPr>
          </w:p>
        </w:tc>
        <w:tc>
          <w:tcPr>
            <w:tcW w:w="1120" w:type="dxa"/>
            <w:vAlign w:val="bottom"/>
            <w:shd w:val="clear" w:color="auto" w:fill="D8D8D8"/>
          </w:tcPr>
          <w:p>
            <w:pPr>
              <w:jc w:val="right"/>
              <w:ind w:right="73"/>
              <w:spacing w:after="0"/>
              <w:rPr>
                <w:sz w:val="20"/>
                <w:szCs w:val="20"/>
                <w:color w:val="auto"/>
              </w:rPr>
            </w:pPr>
            <w:r>
              <w:rPr>
                <w:rFonts w:ascii="Arial" w:cs="Arial" w:eastAsia="Arial" w:hAnsi="Arial"/>
                <w:sz w:val="18"/>
                <w:szCs w:val="18"/>
                <w:b w:val="1"/>
                <w:bCs w:val="1"/>
                <w:color w:val="auto"/>
              </w:rPr>
              <w:t>(183.0)</w:t>
            </w:r>
          </w:p>
        </w:tc>
        <w:tc>
          <w:tcPr>
            <w:tcW w:w="440" w:type="dxa"/>
            <w:vAlign w:val="bottom"/>
            <w:shd w:val="clear" w:color="auto" w:fill="D8D8D8"/>
          </w:tcPr>
          <w:p>
            <w:pPr>
              <w:spacing w:after="0"/>
              <w:rPr>
                <w:sz w:val="23"/>
                <w:szCs w:val="23"/>
                <w:color w:val="auto"/>
              </w:rPr>
            </w:pPr>
          </w:p>
        </w:tc>
        <w:tc>
          <w:tcPr>
            <w:tcW w:w="1060" w:type="dxa"/>
            <w:vAlign w:val="bottom"/>
            <w:shd w:val="clear" w:color="auto" w:fill="D8D8D8"/>
          </w:tcPr>
          <w:p>
            <w:pPr>
              <w:jc w:val="right"/>
              <w:ind w:right="33"/>
              <w:spacing w:after="0"/>
              <w:rPr>
                <w:sz w:val="20"/>
                <w:szCs w:val="20"/>
                <w:color w:val="auto"/>
              </w:rPr>
            </w:pPr>
            <w:r>
              <w:rPr>
                <w:rFonts w:ascii="Arial" w:cs="Arial" w:eastAsia="Arial" w:hAnsi="Arial"/>
                <w:sz w:val="18"/>
                <w:szCs w:val="18"/>
                <w:color w:val="auto"/>
              </w:rPr>
              <w:t>414.7</w:t>
            </w:r>
          </w:p>
        </w:tc>
        <w:tc>
          <w:tcPr>
            <w:tcW w:w="440" w:type="dxa"/>
            <w:vAlign w:val="bottom"/>
            <w:shd w:val="clear" w:color="auto" w:fill="D8D8D8"/>
          </w:tcPr>
          <w:p>
            <w:pPr>
              <w:spacing w:after="0"/>
              <w:rPr>
                <w:sz w:val="23"/>
                <w:szCs w:val="23"/>
                <w:color w:val="auto"/>
              </w:rPr>
            </w:pPr>
          </w:p>
        </w:tc>
        <w:tc>
          <w:tcPr>
            <w:tcW w:w="1140" w:type="dxa"/>
            <w:vAlign w:val="bottom"/>
            <w:shd w:val="clear" w:color="auto" w:fill="D8D8D8"/>
          </w:tcPr>
          <w:p>
            <w:pPr>
              <w:jc w:val="right"/>
              <w:ind w:right="73"/>
              <w:spacing w:after="0"/>
              <w:rPr>
                <w:sz w:val="20"/>
                <w:szCs w:val="20"/>
                <w:color w:val="auto"/>
              </w:rPr>
            </w:pPr>
            <w:r>
              <w:rPr>
                <w:rFonts w:ascii="Arial" w:cs="Arial" w:eastAsia="Arial" w:hAnsi="Arial"/>
                <w:sz w:val="18"/>
                <w:szCs w:val="18"/>
                <w:color w:val="auto"/>
              </w:rPr>
              <w:t>(886.1)</w:t>
            </w:r>
          </w:p>
        </w:tc>
      </w:tr>
      <w:tr>
        <w:trPr>
          <w:trHeight w:val="269"/>
        </w:trPr>
        <w:tc>
          <w:tcPr>
            <w:tcW w:w="6860" w:type="dxa"/>
            <w:vAlign w:val="bottom"/>
            <w:tcBorders>
              <w:bottom w:val="single" w:sz="8" w:color="D8D8D8"/>
            </w:tcBorders>
          </w:tcPr>
          <w:p>
            <w:pPr>
              <w:ind w:left="40"/>
              <w:spacing w:after="0"/>
              <w:rPr>
                <w:sz w:val="20"/>
                <w:szCs w:val="20"/>
                <w:color w:val="auto"/>
              </w:rPr>
            </w:pPr>
            <w:r>
              <w:rPr>
                <w:rFonts w:ascii="Arial" w:cs="Arial" w:eastAsia="Arial" w:hAnsi="Arial"/>
                <w:sz w:val="18"/>
                <w:szCs w:val="18"/>
                <w:color w:val="auto"/>
              </w:rPr>
              <w:t>Effective portion of cash flow hedges</w:t>
            </w:r>
          </w:p>
        </w:tc>
        <w:tc>
          <w:tcPr>
            <w:tcW w:w="3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b w:val="1"/>
                <w:bCs w:val="1"/>
                <w:color w:val="auto"/>
              </w:rPr>
              <w:t>14.6</w:t>
            </w:r>
          </w:p>
        </w:tc>
        <w:tc>
          <w:tcPr>
            <w:tcW w:w="4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5.2</w:t>
            </w:r>
          </w:p>
        </w:tc>
        <w:tc>
          <w:tcPr>
            <w:tcW w:w="4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43.2</w:t>
            </w:r>
          </w:p>
        </w:tc>
      </w:tr>
      <w:tr>
        <w:trPr>
          <w:trHeight w:val="271"/>
        </w:trPr>
        <w:tc>
          <w:tcPr>
            <w:tcW w:w="6860" w:type="dxa"/>
            <w:vAlign w:val="bottom"/>
            <w:tcBorders>
              <w:bottom w:val="single" w:sz="8" w:color="D8D8D8"/>
            </w:tcBorders>
            <w:shd w:val="clear" w:color="auto" w:fill="D8D8D8"/>
          </w:tcPr>
          <w:p>
            <w:pPr>
              <w:ind w:left="40"/>
              <w:spacing w:after="0"/>
              <w:rPr>
                <w:sz w:val="20"/>
                <w:szCs w:val="20"/>
                <w:color w:val="auto"/>
              </w:rPr>
            </w:pPr>
            <w:r>
              <w:rPr>
                <w:rFonts w:ascii="Arial" w:cs="Arial" w:eastAsia="Arial" w:hAnsi="Arial"/>
                <w:sz w:val="18"/>
                <w:szCs w:val="18"/>
                <w:color w:val="auto"/>
              </w:rPr>
              <w:t>Provision for income taxes related to other comprehensive income (loss) items</w:t>
            </w:r>
          </w:p>
        </w:tc>
        <w:tc>
          <w:tcPr>
            <w:tcW w:w="360" w:type="dxa"/>
            <w:vAlign w:val="bottom"/>
            <w:tcBorders>
              <w:bottom w:val="single" w:sz="8" w:color="auto"/>
            </w:tcBorders>
            <w:shd w:val="clear" w:color="auto" w:fill="D8D8D8"/>
          </w:tcPr>
          <w:p>
            <w:pPr>
              <w:jc w:val="right"/>
              <w:ind w:right="130"/>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auto"/>
            </w:tcBorders>
            <w:shd w:val="clear" w:color="auto" w:fill="D8D8D8"/>
          </w:tcPr>
          <w:p>
            <w:pPr>
              <w:jc w:val="right"/>
              <w:ind w:right="73"/>
              <w:spacing w:after="0"/>
              <w:rPr>
                <w:sz w:val="20"/>
                <w:szCs w:val="20"/>
                <w:color w:val="auto"/>
              </w:rPr>
            </w:pPr>
            <w:r>
              <w:rPr>
                <w:rFonts w:ascii="Arial" w:cs="Arial" w:eastAsia="Arial" w:hAnsi="Arial"/>
                <w:sz w:val="18"/>
                <w:szCs w:val="18"/>
                <w:b w:val="1"/>
                <w:bCs w:val="1"/>
                <w:color w:val="auto"/>
              </w:rPr>
              <w:t>(121.9)</w:t>
            </w:r>
          </w:p>
        </w:tc>
        <w:tc>
          <w:tcPr>
            <w:tcW w:w="440" w:type="dxa"/>
            <w:vAlign w:val="bottom"/>
            <w:tcBorders>
              <w:bottom w:val="single" w:sz="8" w:color="auto"/>
            </w:tcBorders>
            <w:shd w:val="clear" w:color="auto" w:fill="D8D8D8"/>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D8D8D8"/>
          </w:tcPr>
          <w:p>
            <w:pPr>
              <w:jc w:val="right"/>
              <w:ind w:right="33"/>
              <w:spacing w:after="0"/>
              <w:rPr>
                <w:sz w:val="20"/>
                <w:szCs w:val="20"/>
                <w:color w:val="auto"/>
              </w:rPr>
            </w:pPr>
            <w:r>
              <w:rPr>
                <w:rFonts w:ascii="Arial" w:cs="Arial" w:eastAsia="Arial" w:hAnsi="Arial"/>
                <w:sz w:val="18"/>
                <w:szCs w:val="18"/>
                <w:color w:val="auto"/>
              </w:rPr>
              <w:t>476.6</w:t>
            </w:r>
          </w:p>
        </w:tc>
        <w:tc>
          <w:tcPr>
            <w:tcW w:w="440" w:type="dxa"/>
            <w:vAlign w:val="bottom"/>
            <w:tcBorders>
              <w:bottom w:val="single" w:sz="8" w:color="auto"/>
            </w:tcBorders>
            <w:shd w:val="clear" w:color="auto" w:fill="D8D8D8"/>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D8D8D8"/>
          </w:tcPr>
          <w:p>
            <w:pPr>
              <w:jc w:val="right"/>
              <w:ind w:right="73"/>
              <w:spacing w:after="0"/>
              <w:rPr>
                <w:sz w:val="20"/>
                <w:szCs w:val="20"/>
                <w:color w:val="auto"/>
              </w:rPr>
            </w:pPr>
            <w:r>
              <w:rPr>
                <w:rFonts w:ascii="Arial" w:cs="Arial" w:eastAsia="Arial" w:hAnsi="Arial"/>
                <w:sz w:val="18"/>
                <w:szCs w:val="18"/>
                <w:color w:val="auto"/>
              </w:rPr>
              <w:t>(914.5)</w:t>
            </w:r>
          </w:p>
        </w:tc>
      </w:tr>
    </w:tbl>
    <w:p>
      <w:pPr>
        <w:spacing w:after="0" w:line="85" w:lineRule="exact"/>
        <w:rPr>
          <w:sz w:val="20"/>
          <w:szCs w:val="20"/>
          <w:color w:val="auto"/>
        </w:rPr>
      </w:pPr>
    </w:p>
    <w:p>
      <w:pPr>
        <w:ind w:right="100"/>
        <w:spacing w:after="0" w:line="292" w:lineRule="auto"/>
        <w:rPr>
          <w:sz w:val="20"/>
          <w:szCs w:val="20"/>
          <w:color w:val="auto"/>
        </w:rPr>
      </w:pPr>
      <w:r>
        <w:rPr>
          <w:rFonts w:ascii="Arial" w:cs="Arial" w:eastAsia="Arial" w:hAnsi="Arial"/>
          <w:sz w:val="18"/>
          <w:szCs w:val="18"/>
          <w:color w:val="auto"/>
        </w:rPr>
        <w:t>Except for the tax effects of foreign currency translation gains (losses) related to our euro-denominated notes (see Note 7), income taxes were not provided for foreign currency translation.</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99</w:t>
      </w:r>
    </w:p>
    <w:p>
      <w:pPr>
        <w:sectPr>
          <w:pgSz w:w="11900" w:h="16838" w:orient="portrait"/>
          <w:cols w:equalWidth="0" w:num="1">
            <w:col w:w="11420"/>
          </w:cols>
          <w:pgMar w:left="240" w:top="574" w:right="239" w:bottom="1440" w:gutter="0" w:footer="0" w:header="0"/>
        </w:sectPr>
      </w:pPr>
    </w:p>
    <w:bookmarkStart w:id="99" w:name="page100"/>
    <w:bookmarkEnd w:id="99"/>
    <w:tbl>
      <w:tblPr>
        <w:tblLayout w:type="fixed"/>
        <w:tblInd w:w="520" w:type="dxa"/>
        <w:tblCellMar>
          <w:top w:w="0" w:type="dxa"/>
          <w:left w:w="0" w:type="dxa"/>
          <w:bottom w:w="0" w:type="dxa"/>
          <w:right w:w="0" w:type="dxa"/>
        </w:tblCellMar>
      </w:tblPr>
      <w:tr>
        <w:trPr>
          <w:trHeight w:val="203"/>
        </w:trPr>
        <w:tc>
          <w:tcPr>
            <w:tcW w:w="2900" w:type="dxa"/>
            <w:vAlign w:val="bottom"/>
          </w:tcPr>
          <w:p>
            <w:pPr>
              <w:spacing w:after="0"/>
              <w:rPr>
                <w:sz w:val="17"/>
                <w:szCs w:val="17"/>
                <w:color w:val="auto"/>
              </w:rPr>
            </w:pPr>
          </w:p>
        </w:tc>
        <w:tc>
          <w:tcPr>
            <w:tcW w:w="46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Reclassifications Out of Accumulated Other Comprehensive Loss</w:t>
            </w:r>
          </w:p>
        </w:tc>
        <w:tc>
          <w:tcPr>
            <w:tcW w:w="3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900" w:type="dxa"/>
            <w:vAlign w:val="bottom"/>
            <w:vMerge w:val="restart"/>
          </w:tcPr>
          <w:p>
            <w:pPr>
              <w:jc w:val="center"/>
              <w:ind w:right="448"/>
              <w:spacing w:after="0"/>
              <w:rPr>
                <w:sz w:val="20"/>
                <w:szCs w:val="20"/>
                <w:color w:val="auto"/>
              </w:rPr>
            </w:pPr>
            <w:r>
              <w:rPr>
                <w:rFonts w:ascii="Arial" w:cs="Arial" w:eastAsia="Arial" w:hAnsi="Arial"/>
                <w:sz w:val="14"/>
                <w:szCs w:val="14"/>
                <w:b w:val="1"/>
                <w:bCs w:val="1"/>
                <w:color w:val="auto"/>
              </w:rPr>
              <w:t>Details about Accumulated Other</w:t>
            </w:r>
          </w:p>
        </w:tc>
        <w:tc>
          <w:tcPr>
            <w:tcW w:w="1160" w:type="dxa"/>
            <w:vAlign w:val="bottom"/>
          </w:tcPr>
          <w:p>
            <w:pPr>
              <w:spacing w:after="0"/>
              <w:rPr>
                <w:sz w:val="18"/>
                <w:szCs w:val="18"/>
                <w:color w:val="auto"/>
              </w:rPr>
            </w:pPr>
          </w:p>
        </w:tc>
        <w:tc>
          <w:tcPr>
            <w:tcW w:w="2280" w:type="dxa"/>
            <w:vAlign w:val="bottom"/>
          </w:tcPr>
          <w:p>
            <w:pPr>
              <w:jc w:val="center"/>
              <w:spacing w:after="0"/>
              <w:rPr>
                <w:sz w:val="20"/>
                <w:szCs w:val="20"/>
                <w:color w:val="auto"/>
              </w:rPr>
            </w:pPr>
            <w:r>
              <w:rPr>
                <w:rFonts w:ascii="Arial" w:cs="Arial" w:eastAsia="Arial" w:hAnsi="Arial"/>
                <w:sz w:val="14"/>
                <w:szCs w:val="14"/>
                <w:b w:val="1"/>
                <w:bCs w:val="1"/>
                <w:color w:val="auto"/>
              </w:rPr>
              <w:t>Year Ended December 31,</w:t>
            </w:r>
          </w:p>
        </w:tc>
        <w:tc>
          <w:tcPr>
            <w:tcW w:w="1160" w:type="dxa"/>
            <w:vAlign w:val="bottom"/>
          </w:tcPr>
          <w:p>
            <w:pPr>
              <w:spacing w:after="0"/>
              <w:rPr>
                <w:sz w:val="18"/>
                <w:szCs w:val="18"/>
                <w:color w:val="auto"/>
              </w:rPr>
            </w:pPr>
          </w:p>
        </w:tc>
        <w:tc>
          <w:tcPr>
            <w:tcW w:w="3000" w:type="dxa"/>
            <w:vAlign w:val="bottom"/>
            <w:vMerge w:val="restart"/>
          </w:tcPr>
          <w:p>
            <w:pPr>
              <w:jc w:val="center"/>
              <w:ind w:left="308"/>
              <w:spacing w:after="0"/>
              <w:rPr>
                <w:sz w:val="20"/>
                <w:szCs w:val="20"/>
                <w:color w:val="auto"/>
              </w:rPr>
            </w:pPr>
            <w:r>
              <w:rPr>
                <w:rFonts w:ascii="Arial" w:cs="Arial" w:eastAsia="Arial" w:hAnsi="Arial"/>
                <w:sz w:val="14"/>
                <w:szCs w:val="14"/>
                <w:b w:val="1"/>
                <w:bCs w:val="1"/>
                <w:color w:val="auto"/>
              </w:rPr>
              <w:t>Affected Line Item in the Consolidated</w:t>
            </w:r>
          </w:p>
        </w:tc>
        <w:tc>
          <w:tcPr>
            <w:tcW w:w="0" w:type="dxa"/>
            <w:vAlign w:val="bottom"/>
          </w:tcPr>
          <w:p>
            <w:pPr>
              <w:spacing w:after="0"/>
              <w:rPr>
                <w:sz w:val="1"/>
                <w:szCs w:val="1"/>
                <w:color w:val="auto"/>
              </w:rPr>
            </w:pPr>
          </w:p>
        </w:tc>
      </w:tr>
      <w:tr>
        <w:trPr>
          <w:trHeight w:val="68"/>
        </w:trPr>
        <w:tc>
          <w:tcPr>
            <w:tcW w:w="2900" w:type="dxa"/>
            <w:vAlign w:val="bottom"/>
            <w:vMerge w:val="continue"/>
          </w:tcPr>
          <w:p>
            <w:pPr>
              <w:spacing w:after="0"/>
              <w:rPr>
                <w:sz w:val="5"/>
                <w:szCs w:val="5"/>
                <w:color w:val="auto"/>
              </w:rPr>
            </w:pPr>
          </w:p>
        </w:tc>
        <w:tc>
          <w:tcPr>
            <w:tcW w:w="1160" w:type="dxa"/>
            <w:vAlign w:val="bottom"/>
          </w:tcPr>
          <w:p>
            <w:pPr>
              <w:spacing w:after="0"/>
              <w:rPr>
                <w:sz w:val="5"/>
                <w:szCs w:val="5"/>
                <w:color w:val="auto"/>
              </w:rPr>
            </w:pPr>
          </w:p>
        </w:tc>
        <w:tc>
          <w:tcPr>
            <w:tcW w:w="22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30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900" w:type="dxa"/>
            <w:vAlign w:val="bottom"/>
          </w:tcPr>
          <w:p>
            <w:pPr>
              <w:jc w:val="center"/>
              <w:ind w:right="448"/>
              <w:spacing w:after="0"/>
              <w:rPr>
                <w:sz w:val="20"/>
                <w:szCs w:val="20"/>
                <w:color w:val="auto"/>
              </w:rPr>
            </w:pPr>
            <w:r>
              <w:rPr>
                <w:rFonts w:ascii="Arial" w:cs="Arial" w:eastAsia="Arial" w:hAnsi="Arial"/>
                <w:sz w:val="14"/>
                <w:szCs w:val="14"/>
                <w:b w:val="1"/>
                <w:bCs w:val="1"/>
                <w:color w:val="auto"/>
              </w:rPr>
              <w:t>Comprehensive Loss Components</w:t>
            </w:r>
          </w:p>
        </w:tc>
        <w:tc>
          <w:tcPr>
            <w:tcW w:w="1160" w:type="dxa"/>
            <w:vAlign w:val="bottom"/>
          </w:tcPr>
          <w:p>
            <w:pPr>
              <w:jc w:val="right"/>
              <w:ind w:right="208"/>
              <w:spacing w:after="0"/>
              <w:rPr>
                <w:sz w:val="20"/>
                <w:szCs w:val="20"/>
                <w:color w:val="auto"/>
              </w:rPr>
            </w:pPr>
            <w:r>
              <w:rPr>
                <w:rFonts w:ascii="Arial" w:cs="Arial" w:eastAsia="Arial" w:hAnsi="Arial"/>
                <w:sz w:val="14"/>
                <w:szCs w:val="14"/>
                <w:b w:val="1"/>
                <w:bCs w:val="1"/>
                <w:color w:val="auto"/>
              </w:rPr>
              <w:t>2015</w:t>
            </w:r>
          </w:p>
        </w:tc>
        <w:tc>
          <w:tcPr>
            <w:tcW w:w="2280" w:type="dxa"/>
            <w:vAlign w:val="bottom"/>
          </w:tcPr>
          <w:p>
            <w:pPr>
              <w:jc w:val="center"/>
              <w:spacing w:after="0"/>
              <w:rPr>
                <w:sz w:val="20"/>
                <w:szCs w:val="20"/>
                <w:color w:val="auto"/>
              </w:rPr>
            </w:pPr>
            <w:r>
              <w:rPr>
                <w:rFonts w:ascii="Arial" w:cs="Arial" w:eastAsia="Arial" w:hAnsi="Arial"/>
                <w:sz w:val="14"/>
                <w:szCs w:val="14"/>
                <w:b w:val="1"/>
                <w:bCs w:val="1"/>
                <w:color w:val="auto"/>
              </w:rPr>
              <w:t>2014</w:t>
            </w:r>
          </w:p>
        </w:tc>
        <w:tc>
          <w:tcPr>
            <w:tcW w:w="1160" w:type="dxa"/>
            <w:vAlign w:val="bottom"/>
          </w:tcPr>
          <w:p>
            <w:pPr>
              <w:jc w:val="right"/>
              <w:ind w:right="508"/>
              <w:spacing w:after="0"/>
              <w:rPr>
                <w:sz w:val="20"/>
                <w:szCs w:val="20"/>
                <w:color w:val="auto"/>
              </w:rPr>
            </w:pPr>
            <w:r>
              <w:rPr>
                <w:rFonts w:ascii="Arial" w:cs="Arial" w:eastAsia="Arial" w:hAnsi="Arial"/>
                <w:sz w:val="14"/>
                <w:szCs w:val="14"/>
                <w:b w:val="1"/>
                <w:bCs w:val="1"/>
                <w:color w:val="auto"/>
              </w:rPr>
              <w:t>2013</w:t>
            </w:r>
          </w:p>
        </w:tc>
        <w:tc>
          <w:tcPr>
            <w:tcW w:w="3000" w:type="dxa"/>
            <w:vAlign w:val="bottom"/>
          </w:tcPr>
          <w:p>
            <w:pPr>
              <w:jc w:val="center"/>
              <w:ind w:left="328"/>
              <w:spacing w:after="0"/>
              <w:rPr>
                <w:sz w:val="20"/>
                <w:szCs w:val="20"/>
                <w:color w:val="auto"/>
              </w:rPr>
            </w:pPr>
            <w:r>
              <w:rPr>
                <w:rFonts w:ascii="Arial" w:cs="Arial" w:eastAsia="Arial" w:hAnsi="Arial"/>
                <w:sz w:val="14"/>
                <w:szCs w:val="14"/>
                <w:b w:val="1"/>
                <w:bCs w:val="1"/>
                <w:color w:val="auto"/>
              </w:rPr>
              <w:t>Statements of Operations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46620" cy="1803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1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Amortization of defined benefit items: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3420" w:type="dxa"/>
            <w:vAlign w:val="bottom"/>
            <w:vMerge w:val="restart"/>
          </w:tcPr>
          <w:p>
            <w:pPr>
              <w:ind w:left="500"/>
              <w:spacing w:after="0"/>
              <w:rPr>
                <w:sz w:val="20"/>
                <w:szCs w:val="20"/>
                <w:color w:val="auto"/>
              </w:rPr>
            </w:pPr>
            <w:r>
              <w:rPr>
                <w:rFonts w:ascii="Arial" w:cs="Arial" w:eastAsia="Arial" w:hAnsi="Arial"/>
                <w:sz w:val="18"/>
                <w:szCs w:val="18"/>
                <w:color w:val="auto"/>
              </w:rPr>
              <w:t>Prior service benefits, net</w:t>
            </w:r>
          </w:p>
        </w:tc>
        <w:tc>
          <w:tcPr>
            <w:tcW w:w="420" w:type="dxa"/>
            <w:vAlign w:val="bottom"/>
            <w:vMerge w:val="restart"/>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102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rPr>
              <w:t>(80.7)</w:t>
            </w:r>
          </w:p>
        </w:tc>
        <w:tc>
          <w:tcPr>
            <w:tcW w:w="540" w:type="dxa"/>
            <w:vAlign w:val="bottom"/>
            <w:vMerge w:val="restart"/>
          </w:tcPr>
          <w:p>
            <w:pPr>
              <w:jc w:val="right"/>
              <w:ind w:right="210"/>
              <w:spacing w:after="0"/>
              <w:rPr>
                <w:sz w:val="20"/>
                <w:szCs w:val="20"/>
                <w:color w:val="auto"/>
              </w:rPr>
            </w:pPr>
            <w:r>
              <w:rPr>
                <w:rFonts w:ascii="Arial" w:cs="Arial" w:eastAsia="Arial" w:hAnsi="Arial"/>
                <w:sz w:val="18"/>
                <w:szCs w:val="18"/>
                <w:color w:val="auto"/>
              </w:rPr>
              <w:t>$</w:t>
            </w:r>
          </w:p>
        </w:tc>
        <w:tc>
          <w:tcPr>
            <w:tcW w:w="1020" w:type="dxa"/>
            <w:vAlign w:val="bottom"/>
            <w:vMerge w:val="restart"/>
          </w:tcPr>
          <w:p>
            <w:pPr>
              <w:jc w:val="right"/>
              <w:ind w:right="70"/>
              <w:spacing w:after="0"/>
              <w:rPr>
                <w:sz w:val="20"/>
                <w:szCs w:val="20"/>
                <w:color w:val="auto"/>
              </w:rPr>
            </w:pPr>
            <w:r>
              <w:rPr>
                <w:rFonts w:ascii="Arial" w:cs="Arial" w:eastAsia="Arial" w:hAnsi="Arial"/>
                <w:sz w:val="18"/>
                <w:szCs w:val="18"/>
                <w:color w:val="auto"/>
              </w:rPr>
              <w:t>(34.0)</w:t>
            </w:r>
          </w:p>
        </w:tc>
        <w:tc>
          <w:tcPr>
            <w:tcW w:w="560" w:type="dxa"/>
            <w:vAlign w:val="bottom"/>
            <w:vMerge w:val="restart"/>
          </w:tcPr>
          <w:p>
            <w:pPr>
              <w:jc w:val="right"/>
              <w:ind w:right="210"/>
              <w:spacing w:after="0"/>
              <w:rPr>
                <w:sz w:val="20"/>
                <w:szCs w:val="20"/>
                <w:color w:val="auto"/>
              </w:rPr>
            </w:pPr>
            <w:r>
              <w:rPr>
                <w:rFonts w:ascii="Arial" w:cs="Arial" w:eastAsia="Arial" w:hAnsi="Arial"/>
                <w:sz w:val="18"/>
                <w:szCs w:val="18"/>
                <w:color w:val="auto"/>
              </w:rPr>
              <w:t>$</w:t>
            </w:r>
          </w:p>
        </w:tc>
        <w:tc>
          <w:tcPr>
            <w:tcW w:w="1040" w:type="dxa"/>
            <w:vAlign w:val="bottom"/>
            <w:vMerge w:val="restart"/>
          </w:tcPr>
          <w:p>
            <w:pPr>
              <w:jc w:val="right"/>
              <w:ind w:right="90"/>
              <w:spacing w:after="0"/>
              <w:rPr>
                <w:sz w:val="20"/>
                <w:szCs w:val="20"/>
                <w:color w:val="auto"/>
              </w:rPr>
            </w:pPr>
            <w:r>
              <w:rPr>
                <w:rFonts w:ascii="Arial" w:cs="Arial" w:eastAsia="Arial" w:hAnsi="Arial"/>
                <w:sz w:val="18"/>
                <w:szCs w:val="18"/>
                <w:color w:val="auto"/>
              </w:rPr>
              <w:t>(31.9)</w:t>
            </w:r>
          </w:p>
        </w:tc>
        <w:tc>
          <w:tcPr>
            <w:tcW w:w="3400" w:type="dxa"/>
            <w:vAlign w:val="bottom"/>
          </w:tcPr>
          <w:p>
            <w:pPr>
              <w:ind w:left="20"/>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100"/>
        </w:trPr>
        <w:tc>
          <w:tcPr>
            <w:tcW w:w="3420" w:type="dxa"/>
            <w:vAlign w:val="bottom"/>
            <w:vMerge w:val="continue"/>
          </w:tcPr>
          <w:p>
            <w:pPr>
              <w:spacing w:after="0"/>
              <w:rPr>
                <w:sz w:val="8"/>
                <w:szCs w:val="8"/>
                <w:color w:val="auto"/>
              </w:rPr>
            </w:pPr>
          </w:p>
        </w:tc>
        <w:tc>
          <w:tcPr>
            <w:tcW w:w="420" w:type="dxa"/>
            <w:vAlign w:val="bottom"/>
            <w:vMerge w:val="continue"/>
          </w:tcPr>
          <w:p>
            <w:pPr>
              <w:spacing w:after="0"/>
              <w:rPr>
                <w:sz w:val="8"/>
                <w:szCs w:val="8"/>
                <w:color w:val="auto"/>
              </w:rPr>
            </w:pPr>
          </w:p>
        </w:tc>
        <w:tc>
          <w:tcPr>
            <w:tcW w:w="1020" w:type="dxa"/>
            <w:vAlign w:val="bottom"/>
            <w:vMerge w:val="continue"/>
          </w:tcPr>
          <w:p>
            <w:pPr>
              <w:spacing w:after="0"/>
              <w:rPr>
                <w:sz w:val="8"/>
                <w:szCs w:val="8"/>
                <w:color w:val="auto"/>
              </w:rPr>
            </w:pPr>
          </w:p>
        </w:tc>
        <w:tc>
          <w:tcPr>
            <w:tcW w:w="540" w:type="dxa"/>
            <w:vAlign w:val="bottom"/>
            <w:vMerge w:val="continue"/>
          </w:tcPr>
          <w:p>
            <w:pPr>
              <w:spacing w:after="0"/>
              <w:rPr>
                <w:sz w:val="8"/>
                <w:szCs w:val="8"/>
                <w:color w:val="auto"/>
              </w:rPr>
            </w:pPr>
          </w:p>
        </w:tc>
        <w:tc>
          <w:tcPr>
            <w:tcW w:w="1020" w:type="dxa"/>
            <w:vAlign w:val="bottom"/>
            <w:vMerge w:val="continue"/>
          </w:tcPr>
          <w:p>
            <w:pPr>
              <w:spacing w:after="0"/>
              <w:rPr>
                <w:sz w:val="8"/>
                <w:szCs w:val="8"/>
                <w:color w:val="auto"/>
              </w:rPr>
            </w:pPr>
          </w:p>
        </w:tc>
        <w:tc>
          <w:tcPr>
            <w:tcW w:w="560" w:type="dxa"/>
            <w:vAlign w:val="bottom"/>
            <w:vMerge w:val="continue"/>
          </w:tcPr>
          <w:p>
            <w:pPr>
              <w:spacing w:after="0"/>
              <w:rPr>
                <w:sz w:val="8"/>
                <w:szCs w:val="8"/>
                <w:color w:val="auto"/>
              </w:rPr>
            </w:pPr>
          </w:p>
        </w:tc>
        <w:tc>
          <w:tcPr>
            <w:tcW w:w="1040" w:type="dxa"/>
            <w:vAlign w:val="bottom"/>
            <w:vMerge w:val="continue"/>
          </w:tcPr>
          <w:p>
            <w:pPr>
              <w:spacing w:after="0"/>
              <w:rPr>
                <w:sz w:val="8"/>
                <w:szCs w:val="8"/>
                <w:color w:val="auto"/>
              </w:rPr>
            </w:pPr>
          </w:p>
        </w:tc>
        <w:tc>
          <w:tcPr>
            <w:tcW w:w="3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0"/>
        </w:trPr>
        <w:tc>
          <w:tcPr>
            <w:tcW w:w="3420" w:type="dxa"/>
            <w:vAlign w:val="bottom"/>
            <w:vMerge w:val="restart"/>
            <w:shd w:val="clear" w:color="auto" w:fill="D8D8D8"/>
          </w:tcPr>
          <w:p>
            <w:pPr>
              <w:ind w:left="500"/>
              <w:spacing w:after="0"/>
              <w:rPr>
                <w:sz w:val="20"/>
                <w:szCs w:val="20"/>
                <w:color w:val="auto"/>
              </w:rPr>
            </w:pPr>
            <w:r>
              <w:rPr>
                <w:rFonts w:ascii="Arial" w:cs="Arial" w:eastAsia="Arial" w:hAnsi="Arial"/>
                <w:sz w:val="18"/>
                <w:szCs w:val="18"/>
                <w:color w:val="auto"/>
              </w:rPr>
              <w:t>Actuarial losses</w:t>
            </w:r>
          </w:p>
        </w:tc>
        <w:tc>
          <w:tcPr>
            <w:tcW w:w="420" w:type="dxa"/>
            <w:vAlign w:val="bottom"/>
            <w:shd w:val="clear" w:color="auto" w:fill="D8D8D8"/>
          </w:tcPr>
          <w:p>
            <w:pPr>
              <w:spacing w:after="0"/>
              <w:rPr>
                <w:sz w:val="14"/>
                <w:szCs w:val="14"/>
                <w:color w:val="auto"/>
              </w:rPr>
            </w:pPr>
          </w:p>
        </w:tc>
        <w:tc>
          <w:tcPr>
            <w:tcW w:w="1020" w:type="dxa"/>
            <w:vAlign w:val="bottom"/>
            <w:vMerge w:val="restart"/>
            <w:shd w:val="clear" w:color="auto" w:fill="D8D8D8"/>
          </w:tcPr>
          <w:p>
            <w:pPr>
              <w:jc w:val="right"/>
              <w:ind w:right="130"/>
              <w:spacing w:after="0"/>
              <w:rPr>
                <w:sz w:val="20"/>
                <w:szCs w:val="20"/>
                <w:color w:val="auto"/>
              </w:rPr>
            </w:pPr>
            <w:r>
              <w:rPr>
                <w:rFonts w:ascii="Arial" w:cs="Arial" w:eastAsia="Arial" w:hAnsi="Arial"/>
                <w:sz w:val="18"/>
                <w:szCs w:val="18"/>
                <w:b w:val="1"/>
                <w:bCs w:val="1"/>
                <w:color w:val="auto"/>
              </w:rPr>
              <w:t>421.2</w:t>
            </w:r>
          </w:p>
        </w:tc>
        <w:tc>
          <w:tcPr>
            <w:tcW w:w="540" w:type="dxa"/>
            <w:vAlign w:val="bottom"/>
            <w:shd w:val="clear" w:color="auto" w:fill="D8D8D8"/>
          </w:tcPr>
          <w:p>
            <w:pPr>
              <w:spacing w:after="0"/>
              <w:rPr>
                <w:sz w:val="14"/>
                <w:szCs w:val="14"/>
                <w:color w:val="auto"/>
              </w:rPr>
            </w:pPr>
          </w:p>
        </w:tc>
        <w:tc>
          <w:tcPr>
            <w:tcW w:w="1020" w:type="dxa"/>
            <w:vAlign w:val="bottom"/>
            <w:vMerge w:val="restart"/>
            <w:shd w:val="clear" w:color="auto" w:fill="D8D8D8"/>
          </w:tcPr>
          <w:p>
            <w:pPr>
              <w:jc w:val="right"/>
              <w:ind w:right="130"/>
              <w:spacing w:after="0"/>
              <w:rPr>
                <w:sz w:val="20"/>
                <w:szCs w:val="20"/>
                <w:color w:val="auto"/>
              </w:rPr>
            </w:pPr>
            <w:r>
              <w:rPr>
                <w:rFonts w:ascii="Arial" w:cs="Arial" w:eastAsia="Arial" w:hAnsi="Arial"/>
                <w:sz w:val="18"/>
                <w:szCs w:val="18"/>
                <w:color w:val="auto"/>
              </w:rPr>
              <w:t>303.0</w:t>
            </w:r>
          </w:p>
        </w:tc>
        <w:tc>
          <w:tcPr>
            <w:tcW w:w="560" w:type="dxa"/>
            <w:vAlign w:val="bottom"/>
            <w:shd w:val="clear" w:color="auto" w:fill="D8D8D8"/>
          </w:tcPr>
          <w:p>
            <w:pPr>
              <w:spacing w:after="0"/>
              <w:rPr>
                <w:sz w:val="14"/>
                <w:szCs w:val="14"/>
                <w:color w:val="auto"/>
              </w:rPr>
            </w:pPr>
          </w:p>
        </w:tc>
        <w:tc>
          <w:tcPr>
            <w:tcW w:w="1040" w:type="dxa"/>
            <w:vAlign w:val="bottom"/>
            <w:vMerge w:val="restart"/>
            <w:shd w:val="clear" w:color="auto" w:fill="D8D8D8"/>
          </w:tcPr>
          <w:p>
            <w:pPr>
              <w:jc w:val="right"/>
              <w:ind w:right="150"/>
              <w:spacing w:after="0"/>
              <w:rPr>
                <w:sz w:val="20"/>
                <w:szCs w:val="20"/>
                <w:color w:val="auto"/>
              </w:rPr>
            </w:pPr>
            <w:r>
              <w:rPr>
                <w:rFonts w:ascii="Arial" w:cs="Arial" w:eastAsia="Arial" w:hAnsi="Arial"/>
                <w:sz w:val="18"/>
                <w:szCs w:val="18"/>
                <w:color w:val="auto"/>
              </w:rPr>
              <w:t>515.2</w:t>
            </w:r>
          </w:p>
        </w:tc>
        <w:tc>
          <w:tcPr>
            <w:tcW w:w="3400" w:type="dxa"/>
            <w:vAlign w:val="bottom"/>
            <w:shd w:val="clear" w:color="auto" w:fill="D8D8D8"/>
          </w:tcPr>
          <w:p>
            <w:pPr>
              <w:ind w:left="20"/>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100"/>
        </w:trPr>
        <w:tc>
          <w:tcPr>
            <w:tcW w:w="3420" w:type="dxa"/>
            <w:vAlign w:val="bottom"/>
            <w:vMerge w:val="continue"/>
            <w:shd w:val="clear" w:color="auto" w:fill="D8D8D8"/>
          </w:tcPr>
          <w:p>
            <w:pPr>
              <w:spacing w:after="0"/>
              <w:rPr>
                <w:sz w:val="8"/>
                <w:szCs w:val="8"/>
                <w:color w:val="auto"/>
              </w:rPr>
            </w:pPr>
          </w:p>
        </w:tc>
        <w:tc>
          <w:tcPr>
            <w:tcW w:w="420" w:type="dxa"/>
            <w:vAlign w:val="bottom"/>
            <w:tcBorders>
              <w:bottom w:val="single" w:sz="8" w:color="auto"/>
            </w:tcBorders>
            <w:shd w:val="clear" w:color="auto" w:fill="D8D8D8"/>
          </w:tcPr>
          <w:p>
            <w:pPr>
              <w:spacing w:after="0"/>
              <w:rPr>
                <w:sz w:val="8"/>
                <w:szCs w:val="8"/>
                <w:color w:val="auto"/>
              </w:rPr>
            </w:pPr>
          </w:p>
        </w:tc>
        <w:tc>
          <w:tcPr>
            <w:tcW w:w="1020" w:type="dxa"/>
            <w:vAlign w:val="bottom"/>
            <w:tcBorders>
              <w:bottom w:val="single" w:sz="8" w:color="auto"/>
            </w:tcBorders>
            <w:vMerge w:val="continue"/>
            <w:shd w:val="clear" w:color="auto" w:fill="D8D8D8"/>
          </w:tcPr>
          <w:p>
            <w:pPr>
              <w:spacing w:after="0"/>
              <w:rPr>
                <w:sz w:val="8"/>
                <w:szCs w:val="8"/>
                <w:color w:val="auto"/>
              </w:rPr>
            </w:pPr>
          </w:p>
        </w:tc>
        <w:tc>
          <w:tcPr>
            <w:tcW w:w="540" w:type="dxa"/>
            <w:vAlign w:val="bottom"/>
            <w:tcBorders>
              <w:bottom w:val="single" w:sz="8" w:color="auto"/>
            </w:tcBorders>
            <w:shd w:val="clear" w:color="auto" w:fill="D8D8D8"/>
          </w:tcPr>
          <w:p>
            <w:pPr>
              <w:spacing w:after="0"/>
              <w:rPr>
                <w:sz w:val="8"/>
                <w:szCs w:val="8"/>
                <w:color w:val="auto"/>
              </w:rPr>
            </w:pPr>
          </w:p>
        </w:tc>
        <w:tc>
          <w:tcPr>
            <w:tcW w:w="1020" w:type="dxa"/>
            <w:vAlign w:val="bottom"/>
            <w:tcBorders>
              <w:bottom w:val="single" w:sz="8" w:color="auto"/>
            </w:tcBorders>
            <w:vMerge w:val="continue"/>
            <w:shd w:val="clear" w:color="auto" w:fill="D8D8D8"/>
          </w:tcPr>
          <w:p>
            <w:pPr>
              <w:spacing w:after="0"/>
              <w:rPr>
                <w:sz w:val="8"/>
                <w:szCs w:val="8"/>
                <w:color w:val="auto"/>
              </w:rPr>
            </w:pPr>
          </w:p>
        </w:tc>
        <w:tc>
          <w:tcPr>
            <w:tcW w:w="560" w:type="dxa"/>
            <w:vAlign w:val="bottom"/>
            <w:tcBorders>
              <w:bottom w:val="single" w:sz="8" w:color="auto"/>
            </w:tcBorders>
            <w:shd w:val="clear" w:color="auto" w:fill="D8D8D8"/>
          </w:tcPr>
          <w:p>
            <w:pPr>
              <w:spacing w:after="0"/>
              <w:rPr>
                <w:sz w:val="8"/>
                <w:szCs w:val="8"/>
                <w:color w:val="auto"/>
              </w:rPr>
            </w:pPr>
          </w:p>
        </w:tc>
        <w:tc>
          <w:tcPr>
            <w:tcW w:w="1040" w:type="dxa"/>
            <w:vAlign w:val="bottom"/>
            <w:tcBorders>
              <w:bottom w:val="single" w:sz="8" w:color="auto"/>
            </w:tcBorders>
            <w:vMerge w:val="continue"/>
            <w:shd w:val="clear" w:color="auto" w:fill="D8D8D8"/>
          </w:tcPr>
          <w:p>
            <w:pPr>
              <w:spacing w:after="0"/>
              <w:rPr>
                <w:sz w:val="8"/>
                <w:szCs w:val="8"/>
                <w:color w:val="auto"/>
              </w:rPr>
            </w:pPr>
          </w:p>
        </w:tc>
        <w:tc>
          <w:tcPr>
            <w:tcW w:w="3400" w:type="dxa"/>
            <w:vAlign w:val="bottom"/>
            <w:shd w:val="clear" w:color="auto" w:fill="D8D8D8"/>
          </w:tcPr>
          <w:p>
            <w:pPr>
              <w:spacing w:after="0"/>
              <w:rPr>
                <w:sz w:val="8"/>
                <w:szCs w:val="8"/>
                <w:color w:val="auto"/>
              </w:rPr>
            </w:pPr>
          </w:p>
        </w:tc>
        <w:tc>
          <w:tcPr>
            <w:tcW w:w="0" w:type="dxa"/>
            <w:vAlign w:val="bottom"/>
          </w:tcPr>
          <w:p>
            <w:pPr>
              <w:spacing w:after="0"/>
              <w:rPr>
                <w:sz w:val="1"/>
                <w:szCs w:val="1"/>
                <w:color w:val="auto"/>
              </w:rPr>
            </w:pPr>
          </w:p>
        </w:tc>
      </w:tr>
      <w:tr>
        <w:trPr>
          <w:trHeight w:val="264"/>
        </w:trPr>
        <w:tc>
          <w:tcPr>
            <w:tcW w:w="3420" w:type="dxa"/>
            <w:vAlign w:val="bottom"/>
          </w:tcPr>
          <w:p>
            <w:pPr>
              <w:jc w:val="right"/>
              <w:ind w:right="90"/>
              <w:spacing w:after="0"/>
              <w:rPr>
                <w:sz w:val="20"/>
                <w:szCs w:val="20"/>
                <w:color w:val="auto"/>
              </w:rPr>
            </w:pPr>
            <w:r>
              <w:rPr>
                <w:rFonts w:ascii="Arial" w:cs="Arial" w:eastAsia="Arial" w:hAnsi="Arial"/>
                <w:sz w:val="18"/>
                <w:szCs w:val="18"/>
                <w:color w:val="auto"/>
              </w:rPr>
              <w:t>Total before tax</w:t>
            </w:r>
          </w:p>
        </w:tc>
        <w:tc>
          <w:tcPr>
            <w:tcW w:w="420" w:type="dxa"/>
            <w:vAlign w:val="bottom"/>
          </w:tcPr>
          <w:p>
            <w:pPr>
              <w:spacing w:after="0"/>
              <w:rPr>
                <w:sz w:val="22"/>
                <w:szCs w:val="22"/>
                <w:color w:val="auto"/>
              </w:rPr>
            </w:pPr>
          </w:p>
        </w:tc>
        <w:tc>
          <w:tcPr>
            <w:tcW w:w="1020" w:type="dxa"/>
            <w:vAlign w:val="bottom"/>
          </w:tcPr>
          <w:p>
            <w:pPr>
              <w:jc w:val="right"/>
              <w:ind w:right="130"/>
              <w:spacing w:after="0"/>
              <w:rPr>
                <w:sz w:val="20"/>
                <w:szCs w:val="20"/>
                <w:color w:val="auto"/>
              </w:rPr>
            </w:pPr>
            <w:r>
              <w:rPr>
                <w:rFonts w:ascii="Arial" w:cs="Arial" w:eastAsia="Arial" w:hAnsi="Arial"/>
                <w:sz w:val="18"/>
                <w:szCs w:val="18"/>
                <w:b w:val="1"/>
                <w:bCs w:val="1"/>
                <w:color w:val="auto"/>
              </w:rPr>
              <w:t>340.5</w:t>
            </w:r>
          </w:p>
        </w:tc>
        <w:tc>
          <w:tcPr>
            <w:tcW w:w="540" w:type="dxa"/>
            <w:vAlign w:val="bottom"/>
          </w:tcPr>
          <w:p>
            <w:pPr>
              <w:spacing w:after="0"/>
              <w:rPr>
                <w:sz w:val="22"/>
                <w:szCs w:val="22"/>
                <w:color w:val="auto"/>
              </w:rPr>
            </w:pP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269.0</w:t>
            </w:r>
          </w:p>
        </w:tc>
        <w:tc>
          <w:tcPr>
            <w:tcW w:w="560" w:type="dxa"/>
            <w:vAlign w:val="bottom"/>
          </w:tcPr>
          <w:p>
            <w:pPr>
              <w:spacing w:after="0"/>
              <w:rPr>
                <w:sz w:val="22"/>
                <w:szCs w:val="22"/>
                <w:color w:val="auto"/>
              </w:rPr>
            </w:pPr>
          </w:p>
        </w:tc>
        <w:tc>
          <w:tcPr>
            <w:tcW w:w="1040" w:type="dxa"/>
            <w:vAlign w:val="bottom"/>
          </w:tcPr>
          <w:p>
            <w:pPr>
              <w:jc w:val="right"/>
              <w:ind w:right="150"/>
              <w:spacing w:after="0"/>
              <w:rPr>
                <w:sz w:val="20"/>
                <w:szCs w:val="20"/>
                <w:color w:val="auto"/>
              </w:rPr>
            </w:pPr>
            <w:r>
              <w:rPr>
                <w:rFonts w:ascii="Arial" w:cs="Arial" w:eastAsia="Arial" w:hAnsi="Arial"/>
                <w:sz w:val="18"/>
                <w:szCs w:val="18"/>
                <w:color w:val="auto"/>
              </w:rPr>
              <w:t>483.3</w:t>
            </w:r>
          </w:p>
        </w:tc>
        <w:tc>
          <w:tcPr>
            <w:tcW w:w="3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420" w:type="dxa"/>
            <w:vAlign w:val="bottom"/>
            <w:shd w:val="clear" w:color="auto" w:fill="D8D8D8"/>
          </w:tcPr>
          <w:p>
            <w:pPr>
              <w:jc w:val="right"/>
              <w:ind w:right="90"/>
              <w:spacing w:after="0"/>
              <w:rPr>
                <w:sz w:val="20"/>
                <w:szCs w:val="20"/>
                <w:color w:val="auto"/>
              </w:rPr>
            </w:pPr>
            <w:r>
              <w:rPr>
                <w:rFonts w:ascii="Arial" w:cs="Arial" w:eastAsia="Arial" w:hAnsi="Arial"/>
                <w:sz w:val="18"/>
                <w:szCs w:val="18"/>
                <w:color w:val="auto"/>
              </w:rPr>
              <w:t>Tax benefit</w:t>
            </w:r>
          </w:p>
        </w:tc>
        <w:tc>
          <w:tcPr>
            <w:tcW w:w="420" w:type="dxa"/>
            <w:vAlign w:val="bottom"/>
            <w:tcBorders>
              <w:bottom w:val="single" w:sz="8" w:color="auto"/>
            </w:tcBorders>
            <w:shd w:val="clear" w:color="auto" w:fill="D8D8D8"/>
          </w:tcPr>
          <w:p>
            <w:pPr>
              <w:spacing w:after="0"/>
              <w:rPr>
                <w:sz w:val="23"/>
                <w:szCs w:val="23"/>
                <w:color w:val="auto"/>
              </w:rPr>
            </w:pPr>
          </w:p>
        </w:tc>
        <w:tc>
          <w:tcPr>
            <w:tcW w:w="1020" w:type="dxa"/>
            <w:vAlign w:val="bottom"/>
            <w:tcBorders>
              <w:bottom w:val="single" w:sz="8" w:color="auto"/>
            </w:tcBorders>
            <w:shd w:val="clear" w:color="auto" w:fill="D8D8D8"/>
          </w:tcPr>
          <w:p>
            <w:pPr>
              <w:jc w:val="right"/>
              <w:ind w:right="70"/>
              <w:spacing w:after="0"/>
              <w:rPr>
                <w:sz w:val="20"/>
                <w:szCs w:val="20"/>
                <w:color w:val="auto"/>
              </w:rPr>
            </w:pPr>
            <w:r>
              <w:rPr>
                <w:rFonts w:ascii="Arial" w:cs="Arial" w:eastAsia="Arial" w:hAnsi="Arial"/>
                <w:sz w:val="18"/>
                <w:szCs w:val="18"/>
                <w:b w:val="1"/>
                <w:bCs w:val="1"/>
                <w:color w:val="auto"/>
              </w:rPr>
              <w:t>(105.6)</w:t>
            </w:r>
          </w:p>
        </w:tc>
        <w:tc>
          <w:tcPr>
            <w:tcW w:w="540" w:type="dxa"/>
            <w:vAlign w:val="bottom"/>
            <w:tcBorders>
              <w:bottom w:val="single" w:sz="8" w:color="auto"/>
            </w:tcBorders>
            <w:shd w:val="clear" w:color="auto" w:fill="D8D8D8"/>
          </w:tcPr>
          <w:p>
            <w:pPr>
              <w:spacing w:after="0"/>
              <w:rPr>
                <w:sz w:val="23"/>
                <w:szCs w:val="23"/>
                <w:color w:val="auto"/>
              </w:rPr>
            </w:pPr>
          </w:p>
        </w:tc>
        <w:tc>
          <w:tcPr>
            <w:tcW w:w="1020" w:type="dxa"/>
            <w:vAlign w:val="bottom"/>
            <w:tcBorders>
              <w:bottom w:val="single" w:sz="8" w:color="auto"/>
            </w:tcBorders>
            <w:shd w:val="clear" w:color="auto" w:fill="D8D8D8"/>
          </w:tcPr>
          <w:p>
            <w:pPr>
              <w:jc w:val="right"/>
              <w:ind w:right="70"/>
              <w:spacing w:after="0"/>
              <w:rPr>
                <w:sz w:val="20"/>
                <w:szCs w:val="20"/>
                <w:color w:val="auto"/>
              </w:rPr>
            </w:pPr>
            <w:r>
              <w:rPr>
                <w:rFonts w:ascii="Arial" w:cs="Arial" w:eastAsia="Arial" w:hAnsi="Arial"/>
                <w:sz w:val="18"/>
                <w:szCs w:val="18"/>
                <w:color w:val="auto"/>
              </w:rPr>
              <w:t>(83.4)</w:t>
            </w:r>
          </w:p>
        </w:tc>
        <w:tc>
          <w:tcPr>
            <w:tcW w:w="560" w:type="dxa"/>
            <w:vAlign w:val="bottom"/>
            <w:tcBorders>
              <w:bottom w:val="single" w:sz="8" w:color="auto"/>
            </w:tcBorders>
            <w:shd w:val="clear" w:color="auto" w:fill="D8D8D8"/>
          </w:tcPr>
          <w:p>
            <w:pPr>
              <w:spacing w:after="0"/>
              <w:rPr>
                <w:sz w:val="23"/>
                <w:szCs w:val="23"/>
                <w:color w:val="auto"/>
              </w:rPr>
            </w:pPr>
          </w:p>
        </w:tc>
        <w:tc>
          <w:tcPr>
            <w:tcW w:w="1040" w:type="dxa"/>
            <w:vAlign w:val="bottom"/>
            <w:tcBorders>
              <w:bottom w:val="single" w:sz="8" w:color="auto"/>
            </w:tcBorders>
            <w:shd w:val="clear" w:color="auto" w:fill="D8D8D8"/>
          </w:tcPr>
          <w:p>
            <w:pPr>
              <w:jc w:val="right"/>
              <w:ind w:right="90"/>
              <w:spacing w:after="0"/>
              <w:rPr>
                <w:sz w:val="20"/>
                <w:szCs w:val="20"/>
                <w:color w:val="auto"/>
              </w:rPr>
            </w:pPr>
            <w:r>
              <w:rPr>
                <w:rFonts w:ascii="Arial" w:cs="Arial" w:eastAsia="Arial" w:hAnsi="Arial"/>
                <w:sz w:val="18"/>
                <w:szCs w:val="18"/>
                <w:color w:val="auto"/>
              </w:rPr>
              <w:t>(164.3)</w:t>
            </w:r>
          </w:p>
        </w:tc>
        <w:tc>
          <w:tcPr>
            <w:tcW w:w="3400" w:type="dxa"/>
            <w:vAlign w:val="bottom"/>
            <w:shd w:val="clear" w:color="auto" w:fill="D8D8D8"/>
          </w:tcPr>
          <w:p>
            <w:pPr>
              <w:ind w:left="160"/>
              <w:spacing w:after="0"/>
              <w:rPr>
                <w:sz w:val="20"/>
                <w:szCs w:val="20"/>
                <w:color w:val="auto"/>
              </w:rPr>
            </w:pPr>
            <w:r>
              <w:rPr>
                <w:rFonts w:ascii="Arial" w:cs="Arial" w:eastAsia="Arial" w:hAnsi="Arial"/>
                <w:sz w:val="18"/>
                <w:szCs w:val="18"/>
                <w:color w:val="auto"/>
              </w:rPr>
              <w:t>Income taxes</w:t>
            </w:r>
          </w:p>
        </w:tc>
        <w:tc>
          <w:tcPr>
            <w:tcW w:w="0" w:type="dxa"/>
            <w:vAlign w:val="bottom"/>
          </w:tcPr>
          <w:p>
            <w:pPr>
              <w:spacing w:after="0"/>
              <w:rPr>
                <w:sz w:val="1"/>
                <w:szCs w:val="1"/>
                <w:color w:val="auto"/>
              </w:rPr>
            </w:pPr>
          </w:p>
        </w:tc>
      </w:tr>
      <w:tr>
        <w:trPr>
          <w:trHeight w:val="264"/>
        </w:trPr>
        <w:tc>
          <w:tcPr>
            <w:tcW w:w="3420" w:type="dxa"/>
            <w:vAlign w:val="bottom"/>
          </w:tcPr>
          <w:p>
            <w:pPr>
              <w:jc w:val="right"/>
              <w:ind w:right="90"/>
              <w:spacing w:after="0"/>
              <w:rPr>
                <w:sz w:val="20"/>
                <w:szCs w:val="20"/>
                <w:color w:val="auto"/>
              </w:rPr>
            </w:pPr>
            <w:r>
              <w:rPr>
                <w:rFonts w:ascii="Arial" w:cs="Arial" w:eastAsia="Arial" w:hAnsi="Arial"/>
                <w:sz w:val="18"/>
                <w:szCs w:val="18"/>
                <w:color w:val="auto"/>
              </w:rPr>
              <w:t>Net of tax</w:t>
            </w:r>
          </w:p>
        </w:tc>
        <w:tc>
          <w:tcPr>
            <w:tcW w:w="420" w:type="dxa"/>
            <w:vAlign w:val="bottom"/>
          </w:tcPr>
          <w:p>
            <w:pPr>
              <w:spacing w:after="0"/>
              <w:rPr>
                <w:sz w:val="22"/>
                <w:szCs w:val="22"/>
                <w:color w:val="auto"/>
              </w:rPr>
            </w:pPr>
          </w:p>
        </w:tc>
        <w:tc>
          <w:tcPr>
            <w:tcW w:w="1020" w:type="dxa"/>
            <w:vAlign w:val="bottom"/>
          </w:tcPr>
          <w:p>
            <w:pPr>
              <w:jc w:val="right"/>
              <w:ind w:right="130"/>
              <w:spacing w:after="0"/>
              <w:rPr>
                <w:sz w:val="20"/>
                <w:szCs w:val="20"/>
                <w:color w:val="auto"/>
              </w:rPr>
            </w:pPr>
            <w:r>
              <w:rPr>
                <w:rFonts w:ascii="Arial" w:cs="Arial" w:eastAsia="Arial" w:hAnsi="Arial"/>
                <w:sz w:val="18"/>
                <w:szCs w:val="18"/>
                <w:b w:val="1"/>
                <w:bCs w:val="1"/>
                <w:color w:val="auto"/>
              </w:rPr>
              <w:t>234.9</w:t>
            </w:r>
          </w:p>
        </w:tc>
        <w:tc>
          <w:tcPr>
            <w:tcW w:w="540" w:type="dxa"/>
            <w:vAlign w:val="bottom"/>
          </w:tcPr>
          <w:p>
            <w:pPr>
              <w:spacing w:after="0"/>
              <w:rPr>
                <w:sz w:val="22"/>
                <w:szCs w:val="22"/>
                <w:color w:val="auto"/>
              </w:rPr>
            </w:pP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185.6</w:t>
            </w:r>
          </w:p>
        </w:tc>
        <w:tc>
          <w:tcPr>
            <w:tcW w:w="560" w:type="dxa"/>
            <w:vAlign w:val="bottom"/>
          </w:tcPr>
          <w:p>
            <w:pPr>
              <w:spacing w:after="0"/>
              <w:rPr>
                <w:sz w:val="22"/>
                <w:szCs w:val="22"/>
                <w:color w:val="auto"/>
              </w:rPr>
            </w:pPr>
          </w:p>
        </w:tc>
        <w:tc>
          <w:tcPr>
            <w:tcW w:w="1040" w:type="dxa"/>
            <w:vAlign w:val="bottom"/>
          </w:tcPr>
          <w:p>
            <w:pPr>
              <w:jc w:val="right"/>
              <w:ind w:right="150"/>
              <w:spacing w:after="0"/>
              <w:rPr>
                <w:sz w:val="20"/>
                <w:szCs w:val="20"/>
                <w:color w:val="auto"/>
              </w:rPr>
            </w:pPr>
            <w:r>
              <w:rPr>
                <w:rFonts w:ascii="Arial" w:cs="Arial" w:eastAsia="Arial" w:hAnsi="Arial"/>
                <w:sz w:val="18"/>
                <w:szCs w:val="18"/>
                <w:color w:val="auto"/>
              </w:rPr>
              <w:t>319.0</w:t>
            </w:r>
          </w:p>
        </w:tc>
        <w:tc>
          <w:tcPr>
            <w:tcW w:w="3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1"/>
        </w:trPr>
        <w:tc>
          <w:tcPr>
            <w:tcW w:w="3420" w:type="dxa"/>
            <w:vAlign w:val="bottom"/>
            <w:shd w:val="clear" w:color="auto" w:fill="D8D8D8"/>
          </w:tcPr>
          <w:p>
            <w:pPr>
              <w:spacing w:after="0"/>
              <w:rPr>
                <w:sz w:val="23"/>
                <w:szCs w:val="23"/>
                <w:color w:val="auto"/>
              </w:rPr>
            </w:pPr>
          </w:p>
        </w:tc>
        <w:tc>
          <w:tcPr>
            <w:tcW w:w="420" w:type="dxa"/>
            <w:vAlign w:val="bottom"/>
            <w:shd w:val="clear" w:color="auto" w:fill="D8D8D8"/>
          </w:tcPr>
          <w:p>
            <w:pPr>
              <w:spacing w:after="0"/>
              <w:rPr>
                <w:sz w:val="23"/>
                <w:szCs w:val="23"/>
                <w:color w:val="auto"/>
              </w:rPr>
            </w:pPr>
          </w:p>
        </w:tc>
        <w:tc>
          <w:tcPr>
            <w:tcW w:w="1020" w:type="dxa"/>
            <w:vAlign w:val="bottom"/>
            <w:shd w:val="clear" w:color="auto" w:fill="D8D8D8"/>
          </w:tcPr>
          <w:p>
            <w:pPr>
              <w:spacing w:after="0"/>
              <w:rPr>
                <w:sz w:val="23"/>
                <w:szCs w:val="23"/>
                <w:color w:val="auto"/>
              </w:rPr>
            </w:pPr>
          </w:p>
        </w:tc>
        <w:tc>
          <w:tcPr>
            <w:tcW w:w="540" w:type="dxa"/>
            <w:vAlign w:val="bottom"/>
            <w:shd w:val="clear" w:color="auto" w:fill="D8D8D8"/>
          </w:tcPr>
          <w:p>
            <w:pPr>
              <w:spacing w:after="0"/>
              <w:rPr>
                <w:sz w:val="23"/>
                <w:szCs w:val="23"/>
                <w:color w:val="auto"/>
              </w:rPr>
            </w:pPr>
          </w:p>
        </w:tc>
        <w:tc>
          <w:tcPr>
            <w:tcW w:w="1020" w:type="dxa"/>
            <w:vAlign w:val="bottom"/>
            <w:shd w:val="clear" w:color="auto" w:fill="D8D8D8"/>
          </w:tcPr>
          <w:p>
            <w:pPr>
              <w:spacing w:after="0"/>
              <w:rPr>
                <w:sz w:val="23"/>
                <w:szCs w:val="23"/>
                <w:color w:val="auto"/>
              </w:rPr>
            </w:pPr>
          </w:p>
        </w:tc>
        <w:tc>
          <w:tcPr>
            <w:tcW w:w="560" w:type="dxa"/>
            <w:vAlign w:val="bottom"/>
            <w:shd w:val="clear" w:color="auto" w:fill="D8D8D8"/>
          </w:tcPr>
          <w:p>
            <w:pPr>
              <w:spacing w:after="0"/>
              <w:rPr>
                <w:sz w:val="23"/>
                <w:szCs w:val="23"/>
                <w:color w:val="auto"/>
              </w:rPr>
            </w:pPr>
          </w:p>
        </w:tc>
        <w:tc>
          <w:tcPr>
            <w:tcW w:w="1040" w:type="dxa"/>
            <w:vAlign w:val="bottom"/>
            <w:shd w:val="clear" w:color="auto" w:fill="D8D8D8"/>
          </w:tcPr>
          <w:p>
            <w:pPr>
              <w:spacing w:after="0"/>
              <w:rPr>
                <w:sz w:val="23"/>
                <w:szCs w:val="23"/>
                <w:color w:val="auto"/>
              </w:rPr>
            </w:pPr>
          </w:p>
        </w:tc>
        <w:tc>
          <w:tcPr>
            <w:tcW w:w="3400" w:type="dxa"/>
            <w:vAlign w:val="bottom"/>
            <w:shd w:val="clear" w:color="auto" w:fill="D8D8D8"/>
          </w:tcPr>
          <w:p>
            <w:pPr>
              <w:spacing w:after="0"/>
              <w:rPr>
                <w:sz w:val="23"/>
                <w:szCs w:val="23"/>
                <w:color w:val="auto"/>
              </w:rPr>
            </w:pPr>
          </w:p>
        </w:tc>
        <w:tc>
          <w:tcPr>
            <w:tcW w:w="0" w:type="dxa"/>
            <w:vAlign w:val="bottom"/>
          </w:tcPr>
          <w:p>
            <w:pPr>
              <w:spacing w:after="0"/>
              <w:rPr>
                <w:sz w:val="1"/>
                <w:szCs w:val="1"/>
                <w:color w:val="auto"/>
              </w:rPr>
            </w:pPr>
          </w:p>
        </w:tc>
      </w:tr>
      <w:tr>
        <w:trPr>
          <w:trHeight w:val="207"/>
        </w:trPr>
        <w:tc>
          <w:tcPr>
            <w:tcW w:w="3420" w:type="dxa"/>
            <w:vAlign w:val="bottom"/>
          </w:tcPr>
          <w:p>
            <w:pPr>
              <w:ind w:left="180"/>
              <w:spacing w:after="0"/>
              <w:rPr>
                <w:sz w:val="20"/>
                <w:szCs w:val="20"/>
                <w:color w:val="auto"/>
              </w:rPr>
            </w:pPr>
            <w:r>
              <w:rPr>
                <w:rFonts w:ascii="Arial" w:cs="Arial" w:eastAsia="Arial" w:hAnsi="Arial"/>
                <w:sz w:val="18"/>
                <w:szCs w:val="18"/>
                <w:color w:val="auto"/>
              </w:rPr>
              <w:t>Unrealized gains/losses on available-</w:t>
            </w: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3420" w:type="dxa"/>
            <w:vAlign w:val="bottom"/>
          </w:tcPr>
          <w:p>
            <w:pPr>
              <w:ind w:left="180"/>
              <w:spacing w:after="0"/>
              <w:rPr>
                <w:sz w:val="20"/>
                <w:szCs w:val="20"/>
                <w:color w:val="auto"/>
              </w:rPr>
            </w:pPr>
            <w:r>
              <w:rPr>
                <w:rFonts w:ascii="Arial" w:cs="Arial" w:eastAsia="Arial" w:hAnsi="Arial"/>
                <w:sz w:val="18"/>
                <w:szCs w:val="18"/>
                <w:color w:val="auto"/>
              </w:rPr>
              <w:t>for-sale securities:</w:t>
            </w:r>
          </w:p>
        </w:tc>
        <w:tc>
          <w:tcPr>
            <w:tcW w:w="4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3420" w:type="dxa"/>
            <w:vAlign w:val="bottom"/>
            <w:shd w:val="clear" w:color="auto" w:fill="D8D8D8"/>
          </w:tcPr>
          <w:p>
            <w:pPr>
              <w:ind w:left="500"/>
              <w:spacing w:after="0"/>
              <w:rPr>
                <w:sz w:val="20"/>
                <w:szCs w:val="20"/>
                <w:color w:val="auto"/>
              </w:rPr>
            </w:pPr>
            <w:r>
              <w:rPr>
                <w:rFonts w:ascii="Arial" w:cs="Arial" w:eastAsia="Arial" w:hAnsi="Arial"/>
                <w:sz w:val="18"/>
                <w:szCs w:val="18"/>
                <w:color w:val="auto"/>
              </w:rPr>
              <w:t>Realized gains, net</w:t>
            </w:r>
          </w:p>
        </w:tc>
        <w:tc>
          <w:tcPr>
            <w:tcW w:w="420" w:type="dxa"/>
            <w:vAlign w:val="bottom"/>
            <w:shd w:val="clear" w:color="auto" w:fill="D8D8D8"/>
          </w:tcPr>
          <w:p>
            <w:pPr>
              <w:spacing w:after="0"/>
              <w:rPr>
                <w:sz w:val="23"/>
                <w:szCs w:val="23"/>
                <w:color w:val="auto"/>
              </w:rPr>
            </w:pPr>
          </w:p>
        </w:tc>
        <w:tc>
          <w:tcPr>
            <w:tcW w:w="1020" w:type="dxa"/>
            <w:vAlign w:val="bottom"/>
            <w:shd w:val="clear" w:color="auto" w:fill="D8D8D8"/>
          </w:tcPr>
          <w:p>
            <w:pPr>
              <w:jc w:val="right"/>
              <w:ind w:right="70"/>
              <w:spacing w:after="0"/>
              <w:rPr>
                <w:sz w:val="20"/>
                <w:szCs w:val="20"/>
                <w:color w:val="auto"/>
              </w:rPr>
            </w:pPr>
            <w:r>
              <w:rPr>
                <w:rFonts w:ascii="Arial" w:cs="Arial" w:eastAsia="Arial" w:hAnsi="Arial"/>
                <w:sz w:val="18"/>
                <w:szCs w:val="18"/>
                <w:b w:val="1"/>
                <w:bCs w:val="1"/>
                <w:color w:val="auto"/>
              </w:rPr>
              <w:t>(209.3)</w:t>
            </w:r>
          </w:p>
        </w:tc>
        <w:tc>
          <w:tcPr>
            <w:tcW w:w="540" w:type="dxa"/>
            <w:vAlign w:val="bottom"/>
            <w:shd w:val="clear" w:color="auto" w:fill="D8D8D8"/>
          </w:tcPr>
          <w:p>
            <w:pPr>
              <w:spacing w:after="0"/>
              <w:rPr>
                <w:sz w:val="23"/>
                <w:szCs w:val="23"/>
                <w:color w:val="auto"/>
              </w:rPr>
            </w:pPr>
          </w:p>
        </w:tc>
        <w:tc>
          <w:tcPr>
            <w:tcW w:w="1020" w:type="dxa"/>
            <w:vAlign w:val="bottom"/>
            <w:shd w:val="clear" w:color="auto" w:fill="D8D8D8"/>
          </w:tcPr>
          <w:p>
            <w:pPr>
              <w:jc w:val="right"/>
              <w:ind w:right="70"/>
              <w:spacing w:after="0"/>
              <w:rPr>
                <w:sz w:val="20"/>
                <w:szCs w:val="20"/>
                <w:color w:val="auto"/>
              </w:rPr>
            </w:pPr>
            <w:r>
              <w:rPr>
                <w:rFonts w:ascii="Arial" w:cs="Arial" w:eastAsia="Arial" w:hAnsi="Arial"/>
                <w:sz w:val="18"/>
                <w:szCs w:val="18"/>
                <w:color w:val="auto"/>
              </w:rPr>
              <w:t>(324.1)</w:t>
            </w:r>
          </w:p>
        </w:tc>
        <w:tc>
          <w:tcPr>
            <w:tcW w:w="560" w:type="dxa"/>
            <w:vAlign w:val="bottom"/>
            <w:shd w:val="clear" w:color="auto" w:fill="D8D8D8"/>
          </w:tcPr>
          <w:p>
            <w:pPr>
              <w:spacing w:after="0"/>
              <w:rPr>
                <w:sz w:val="23"/>
                <w:szCs w:val="23"/>
                <w:color w:val="auto"/>
              </w:rPr>
            </w:pPr>
          </w:p>
        </w:tc>
        <w:tc>
          <w:tcPr>
            <w:tcW w:w="1040" w:type="dxa"/>
            <w:vAlign w:val="bottom"/>
            <w:shd w:val="clear" w:color="auto" w:fill="D8D8D8"/>
          </w:tcPr>
          <w:p>
            <w:pPr>
              <w:jc w:val="right"/>
              <w:ind w:right="90"/>
              <w:spacing w:after="0"/>
              <w:rPr>
                <w:sz w:val="20"/>
                <w:szCs w:val="20"/>
                <w:color w:val="auto"/>
              </w:rPr>
            </w:pPr>
            <w:r>
              <w:rPr>
                <w:rFonts w:ascii="Arial" w:cs="Arial" w:eastAsia="Arial" w:hAnsi="Arial"/>
                <w:sz w:val="18"/>
                <w:szCs w:val="18"/>
                <w:color w:val="auto"/>
              </w:rPr>
              <w:t>(12.0)</w:t>
            </w:r>
          </w:p>
        </w:tc>
        <w:tc>
          <w:tcPr>
            <w:tcW w:w="3400" w:type="dxa"/>
            <w:vAlign w:val="bottom"/>
            <w:shd w:val="clear" w:color="auto" w:fill="D8D8D8"/>
          </w:tcPr>
          <w:p>
            <w:pPr>
              <w:ind w:left="160"/>
              <w:spacing w:after="0"/>
              <w:rPr>
                <w:sz w:val="20"/>
                <w:szCs w:val="20"/>
                <w:color w:val="auto"/>
              </w:rPr>
            </w:pPr>
            <w:r>
              <w:rPr>
                <w:rFonts w:ascii="Arial" w:cs="Arial" w:eastAsia="Arial" w:hAnsi="Arial"/>
                <w:sz w:val="18"/>
                <w:szCs w:val="18"/>
                <w:color w:val="auto"/>
              </w:rPr>
              <w:t>Other—net, (income) expense</w:t>
            </w:r>
          </w:p>
        </w:tc>
        <w:tc>
          <w:tcPr>
            <w:tcW w:w="0" w:type="dxa"/>
            <w:vAlign w:val="bottom"/>
          </w:tcPr>
          <w:p>
            <w:pPr>
              <w:spacing w:after="0"/>
              <w:rPr>
                <w:sz w:val="1"/>
                <w:szCs w:val="1"/>
                <w:color w:val="auto"/>
              </w:rPr>
            </w:pPr>
          </w:p>
        </w:tc>
      </w:tr>
      <w:tr>
        <w:trPr>
          <w:trHeight w:val="269"/>
        </w:trPr>
        <w:tc>
          <w:tcPr>
            <w:tcW w:w="3420" w:type="dxa"/>
            <w:vAlign w:val="bottom"/>
            <w:tcBorders>
              <w:bottom w:val="single" w:sz="8" w:color="D8D8D8"/>
            </w:tcBorders>
          </w:tcPr>
          <w:p>
            <w:pPr>
              <w:ind w:left="500"/>
              <w:spacing w:after="0"/>
              <w:rPr>
                <w:sz w:val="20"/>
                <w:szCs w:val="20"/>
                <w:color w:val="auto"/>
              </w:rPr>
            </w:pPr>
            <w:r>
              <w:rPr>
                <w:rFonts w:ascii="Arial" w:cs="Arial" w:eastAsia="Arial" w:hAnsi="Arial"/>
                <w:sz w:val="18"/>
                <w:szCs w:val="18"/>
                <w:color w:val="auto"/>
              </w:rPr>
              <w:t>Impairment losses</w:t>
            </w:r>
          </w:p>
        </w:tc>
        <w:tc>
          <w:tcPr>
            <w:tcW w:w="4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12.0</w:t>
            </w:r>
          </w:p>
        </w:tc>
        <w:tc>
          <w:tcPr>
            <w:tcW w:w="5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2.4</w:t>
            </w:r>
          </w:p>
        </w:tc>
        <w:tc>
          <w:tcPr>
            <w:tcW w:w="3400" w:type="dxa"/>
            <w:vAlign w:val="bottom"/>
            <w:tcBorders>
              <w:bottom w:val="single" w:sz="8" w:color="D8D8D8"/>
            </w:tcBorders>
          </w:tcPr>
          <w:p>
            <w:pPr>
              <w:ind w:left="160"/>
              <w:spacing w:after="0"/>
              <w:rPr>
                <w:sz w:val="20"/>
                <w:szCs w:val="20"/>
                <w:color w:val="auto"/>
              </w:rPr>
            </w:pPr>
            <w:r>
              <w:rPr>
                <w:rFonts w:ascii="Arial" w:cs="Arial" w:eastAsia="Arial" w:hAnsi="Arial"/>
                <w:sz w:val="18"/>
                <w:szCs w:val="18"/>
                <w:color w:val="auto"/>
              </w:rPr>
              <w:t>Other—net, (income) expense</w:t>
            </w:r>
          </w:p>
        </w:tc>
        <w:tc>
          <w:tcPr>
            <w:tcW w:w="0" w:type="dxa"/>
            <w:vAlign w:val="bottom"/>
          </w:tcPr>
          <w:p>
            <w:pPr>
              <w:spacing w:after="0"/>
              <w:rPr>
                <w:sz w:val="1"/>
                <w:szCs w:val="1"/>
                <w:color w:val="auto"/>
              </w:rPr>
            </w:pPr>
          </w:p>
        </w:tc>
      </w:tr>
      <w:tr>
        <w:trPr>
          <w:trHeight w:val="264"/>
        </w:trPr>
        <w:tc>
          <w:tcPr>
            <w:tcW w:w="3420" w:type="dxa"/>
            <w:vAlign w:val="bottom"/>
            <w:shd w:val="clear" w:color="auto" w:fill="D8D8D8"/>
          </w:tcPr>
          <w:p>
            <w:pPr>
              <w:jc w:val="right"/>
              <w:ind w:right="90"/>
              <w:spacing w:after="0"/>
              <w:rPr>
                <w:sz w:val="20"/>
                <w:szCs w:val="20"/>
                <w:color w:val="auto"/>
              </w:rPr>
            </w:pPr>
            <w:r>
              <w:rPr>
                <w:rFonts w:ascii="Arial" w:cs="Arial" w:eastAsia="Arial" w:hAnsi="Arial"/>
                <w:sz w:val="18"/>
                <w:szCs w:val="18"/>
                <w:color w:val="auto"/>
              </w:rPr>
              <w:t>Total before tax</w:t>
            </w:r>
          </w:p>
        </w:tc>
        <w:tc>
          <w:tcPr>
            <w:tcW w:w="420" w:type="dxa"/>
            <w:vAlign w:val="bottom"/>
            <w:shd w:val="clear" w:color="auto" w:fill="D8D8D8"/>
          </w:tcPr>
          <w:p>
            <w:pPr>
              <w:spacing w:after="0"/>
              <w:rPr>
                <w:sz w:val="22"/>
                <w:szCs w:val="22"/>
                <w:color w:val="auto"/>
              </w:rPr>
            </w:pPr>
          </w:p>
        </w:tc>
        <w:tc>
          <w:tcPr>
            <w:tcW w:w="1020" w:type="dxa"/>
            <w:vAlign w:val="bottom"/>
            <w:shd w:val="clear" w:color="auto" w:fill="D8D8D8"/>
          </w:tcPr>
          <w:p>
            <w:pPr>
              <w:jc w:val="right"/>
              <w:ind w:right="70"/>
              <w:spacing w:after="0"/>
              <w:rPr>
                <w:sz w:val="20"/>
                <w:szCs w:val="20"/>
                <w:color w:val="auto"/>
              </w:rPr>
            </w:pPr>
            <w:r>
              <w:rPr>
                <w:rFonts w:ascii="Arial" w:cs="Arial" w:eastAsia="Arial" w:hAnsi="Arial"/>
                <w:sz w:val="18"/>
                <w:szCs w:val="18"/>
                <w:b w:val="1"/>
                <w:bCs w:val="1"/>
                <w:color w:val="auto"/>
              </w:rPr>
              <w:t>(197.3)</w:t>
            </w:r>
          </w:p>
        </w:tc>
        <w:tc>
          <w:tcPr>
            <w:tcW w:w="540" w:type="dxa"/>
            <w:vAlign w:val="bottom"/>
            <w:shd w:val="clear" w:color="auto" w:fill="D8D8D8"/>
          </w:tcPr>
          <w:p>
            <w:pPr>
              <w:spacing w:after="0"/>
              <w:rPr>
                <w:sz w:val="22"/>
                <w:szCs w:val="22"/>
                <w:color w:val="auto"/>
              </w:rPr>
            </w:pPr>
          </w:p>
        </w:tc>
        <w:tc>
          <w:tcPr>
            <w:tcW w:w="1020" w:type="dxa"/>
            <w:vAlign w:val="bottom"/>
            <w:shd w:val="clear" w:color="auto" w:fill="D8D8D8"/>
          </w:tcPr>
          <w:p>
            <w:pPr>
              <w:jc w:val="right"/>
              <w:ind w:right="70"/>
              <w:spacing w:after="0"/>
              <w:rPr>
                <w:sz w:val="20"/>
                <w:szCs w:val="20"/>
                <w:color w:val="auto"/>
              </w:rPr>
            </w:pPr>
            <w:r>
              <w:rPr>
                <w:rFonts w:ascii="Arial" w:cs="Arial" w:eastAsia="Arial" w:hAnsi="Arial"/>
                <w:sz w:val="18"/>
                <w:szCs w:val="18"/>
                <w:color w:val="auto"/>
              </w:rPr>
              <w:t>(324.1)</w:t>
            </w:r>
          </w:p>
        </w:tc>
        <w:tc>
          <w:tcPr>
            <w:tcW w:w="560" w:type="dxa"/>
            <w:vAlign w:val="bottom"/>
            <w:shd w:val="clear" w:color="auto" w:fill="D8D8D8"/>
          </w:tcPr>
          <w:p>
            <w:pPr>
              <w:spacing w:after="0"/>
              <w:rPr>
                <w:sz w:val="22"/>
                <w:szCs w:val="22"/>
                <w:color w:val="auto"/>
              </w:rPr>
            </w:pPr>
          </w:p>
        </w:tc>
        <w:tc>
          <w:tcPr>
            <w:tcW w:w="1040" w:type="dxa"/>
            <w:vAlign w:val="bottom"/>
            <w:shd w:val="clear" w:color="auto" w:fill="D8D8D8"/>
          </w:tcPr>
          <w:p>
            <w:pPr>
              <w:jc w:val="right"/>
              <w:ind w:right="90"/>
              <w:spacing w:after="0"/>
              <w:rPr>
                <w:sz w:val="20"/>
                <w:szCs w:val="20"/>
                <w:color w:val="auto"/>
              </w:rPr>
            </w:pPr>
            <w:r>
              <w:rPr>
                <w:rFonts w:ascii="Arial" w:cs="Arial" w:eastAsia="Arial" w:hAnsi="Arial"/>
                <w:sz w:val="18"/>
                <w:szCs w:val="18"/>
                <w:color w:val="auto"/>
              </w:rPr>
              <w:t>(9.6)</w:t>
            </w:r>
          </w:p>
        </w:tc>
        <w:tc>
          <w:tcPr>
            <w:tcW w:w="3400" w:type="dxa"/>
            <w:vAlign w:val="bottom"/>
            <w:shd w:val="clear" w:color="auto" w:fill="D8D8D8"/>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3420" w:type="dxa"/>
            <w:vAlign w:val="bottom"/>
            <w:tcBorders>
              <w:bottom w:val="single" w:sz="8" w:color="D8D8D8"/>
            </w:tcBorders>
          </w:tcPr>
          <w:p>
            <w:pPr>
              <w:jc w:val="right"/>
              <w:ind w:right="90"/>
              <w:spacing w:after="0"/>
              <w:rPr>
                <w:sz w:val="20"/>
                <w:szCs w:val="20"/>
                <w:color w:val="auto"/>
              </w:rPr>
            </w:pPr>
            <w:r>
              <w:rPr>
                <w:rFonts w:ascii="Arial" w:cs="Arial" w:eastAsia="Arial" w:hAnsi="Arial"/>
                <w:sz w:val="18"/>
                <w:szCs w:val="18"/>
                <w:color w:val="auto"/>
              </w:rPr>
              <w:t>Tax expense</w:t>
            </w:r>
          </w:p>
        </w:tc>
        <w:tc>
          <w:tcPr>
            <w:tcW w:w="4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69.1</w:t>
            </w:r>
          </w:p>
        </w:tc>
        <w:tc>
          <w:tcPr>
            <w:tcW w:w="5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113.4</w:t>
            </w:r>
          </w:p>
        </w:tc>
        <w:tc>
          <w:tcPr>
            <w:tcW w:w="56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3.4</w:t>
            </w:r>
          </w:p>
        </w:tc>
        <w:tc>
          <w:tcPr>
            <w:tcW w:w="3400" w:type="dxa"/>
            <w:vAlign w:val="bottom"/>
            <w:tcBorders>
              <w:bottom w:val="single" w:sz="8" w:color="D8D8D8"/>
            </w:tcBorders>
          </w:tcPr>
          <w:p>
            <w:pPr>
              <w:ind w:left="160"/>
              <w:spacing w:after="0"/>
              <w:rPr>
                <w:sz w:val="20"/>
                <w:szCs w:val="20"/>
                <w:color w:val="auto"/>
              </w:rPr>
            </w:pPr>
            <w:r>
              <w:rPr>
                <w:rFonts w:ascii="Arial" w:cs="Arial" w:eastAsia="Arial" w:hAnsi="Arial"/>
                <w:sz w:val="18"/>
                <w:szCs w:val="18"/>
                <w:color w:val="auto"/>
              </w:rPr>
              <w:t>Income taxes</w:t>
            </w:r>
          </w:p>
        </w:tc>
        <w:tc>
          <w:tcPr>
            <w:tcW w:w="0" w:type="dxa"/>
            <w:vAlign w:val="bottom"/>
          </w:tcPr>
          <w:p>
            <w:pPr>
              <w:spacing w:after="0"/>
              <w:rPr>
                <w:sz w:val="1"/>
                <w:szCs w:val="1"/>
                <w:color w:val="auto"/>
              </w:rPr>
            </w:pPr>
          </w:p>
        </w:tc>
      </w:tr>
      <w:tr>
        <w:trPr>
          <w:trHeight w:val="264"/>
        </w:trPr>
        <w:tc>
          <w:tcPr>
            <w:tcW w:w="3420" w:type="dxa"/>
            <w:vAlign w:val="bottom"/>
            <w:shd w:val="clear" w:color="auto" w:fill="D8D8D8"/>
          </w:tcPr>
          <w:p>
            <w:pPr>
              <w:jc w:val="right"/>
              <w:ind w:right="90"/>
              <w:spacing w:after="0"/>
              <w:rPr>
                <w:sz w:val="20"/>
                <w:szCs w:val="20"/>
                <w:color w:val="auto"/>
              </w:rPr>
            </w:pPr>
            <w:r>
              <w:rPr>
                <w:rFonts w:ascii="Arial" w:cs="Arial" w:eastAsia="Arial" w:hAnsi="Arial"/>
                <w:sz w:val="18"/>
                <w:szCs w:val="18"/>
                <w:color w:val="auto"/>
              </w:rPr>
              <w:t>Net of tax</w:t>
            </w:r>
          </w:p>
        </w:tc>
        <w:tc>
          <w:tcPr>
            <w:tcW w:w="420" w:type="dxa"/>
            <w:vAlign w:val="bottom"/>
            <w:shd w:val="clear" w:color="auto" w:fill="D8D8D8"/>
          </w:tcPr>
          <w:p>
            <w:pPr>
              <w:spacing w:after="0"/>
              <w:rPr>
                <w:sz w:val="22"/>
                <w:szCs w:val="22"/>
                <w:color w:val="auto"/>
              </w:rPr>
            </w:pPr>
          </w:p>
        </w:tc>
        <w:tc>
          <w:tcPr>
            <w:tcW w:w="1020" w:type="dxa"/>
            <w:vAlign w:val="bottom"/>
            <w:shd w:val="clear" w:color="auto" w:fill="D8D8D8"/>
          </w:tcPr>
          <w:p>
            <w:pPr>
              <w:jc w:val="right"/>
              <w:ind w:right="70"/>
              <w:spacing w:after="0"/>
              <w:rPr>
                <w:sz w:val="20"/>
                <w:szCs w:val="20"/>
                <w:color w:val="auto"/>
              </w:rPr>
            </w:pPr>
            <w:r>
              <w:rPr>
                <w:rFonts w:ascii="Arial" w:cs="Arial" w:eastAsia="Arial" w:hAnsi="Arial"/>
                <w:sz w:val="18"/>
                <w:szCs w:val="18"/>
                <w:b w:val="1"/>
                <w:bCs w:val="1"/>
                <w:color w:val="auto"/>
              </w:rPr>
              <w:t>(128.2)</w:t>
            </w:r>
          </w:p>
        </w:tc>
        <w:tc>
          <w:tcPr>
            <w:tcW w:w="540" w:type="dxa"/>
            <w:vAlign w:val="bottom"/>
            <w:shd w:val="clear" w:color="auto" w:fill="D8D8D8"/>
          </w:tcPr>
          <w:p>
            <w:pPr>
              <w:spacing w:after="0"/>
              <w:rPr>
                <w:sz w:val="22"/>
                <w:szCs w:val="22"/>
                <w:color w:val="auto"/>
              </w:rPr>
            </w:pPr>
          </w:p>
        </w:tc>
        <w:tc>
          <w:tcPr>
            <w:tcW w:w="1020" w:type="dxa"/>
            <w:vAlign w:val="bottom"/>
            <w:shd w:val="clear" w:color="auto" w:fill="D8D8D8"/>
          </w:tcPr>
          <w:p>
            <w:pPr>
              <w:jc w:val="right"/>
              <w:ind w:right="70"/>
              <w:spacing w:after="0"/>
              <w:rPr>
                <w:sz w:val="20"/>
                <w:szCs w:val="20"/>
                <w:color w:val="auto"/>
              </w:rPr>
            </w:pPr>
            <w:r>
              <w:rPr>
                <w:rFonts w:ascii="Arial" w:cs="Arial" w:eastAsia="Arial" w:hAnsi="Arial"/>
                <w:sz w:val="18"/>
                <w:szCs w:val="18"/>
                <w:color w:val="auto"/>
              </w:rPr>
              <w:t>(210.7)</w:t>
            </w:r>
          </w:p>
        </w:tc>
        <w:tc>
          <w:tcPr>
            <w:tcW w:w="560" w:type="dxa"/>
            <w:vAlign w:val="bottom"/>
            <w:shd w:val="clear" w:color="auto" w:fill="D8D8D8"/>
          </w:tcPr>
          <w:p>
            <w:pPr>
              <w:spacing w:after="0"/>
              <w:rPr>
                <w:sz w:val="22"/>
                <w:szCs w:val="22"/>
                <w:color w:val="auto"/>
              </w:rPr>
            </w:pPr>
          </w:p>
        </w:tc>
        <w:tc>
          <w:tcPr>
            <w:tcW w:w="1040" w:type="dxa"/>
            <w:vAlign w:val="bottom"/>
            <w:shd w:val="clear" w:color="auto" w:fill="D8D8D8"/>
          </w:tcPr>
          <w:p>
            <w:pPr>
              <w:jc w:val="right"/>
              <w:ind w:right="90"/>
              <w:spacing w:after="0"/>
              <w:rPr>
                <w:sz w:val="20"/>
                <w:szCs w:val="20"/>
                <w:color w:val="auto"/>
              </w:rPr>
            </w:pPr>
            <w:r>
              <w:rPr>
                <w:rFonts w:ascii="Arial" w:cs="Arial" w:eastAsia="Arial" w:hAnsi="Arial"/>
                <w:sz w:val="18"/>
                <w:szCs w:val="18"/>
                <w:color w:val="auto"/>
              </w:rPr>
              <w:t>(6.2)</w:t>
            </w:r>
          </w:p>
        </w:tc>
        <w:tc>
          <w:tcPr>
            <w:tcW w:w="3400" w:type="dxa"/>
            <w:vAlign w:val="bottom"/>
            <w:shd w:val="clear" w:color="auto" w:fill="D8D8D8"/>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4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3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420" w:type="dxa"/>
            <w:vAlign w:val="bottom"/>
            <w:shd w:val="clear" w:color="auto" w:fill="D8D8D8"/>
          </w:tcPr>
          <w:p>
            <w:pPr>
              <w:ind w:left="180"/>
              <w:spacing w:after="0"/>
              <w:rPr>
                <w:sz w:val="20"/>
                <w:szCs w:val="20"/>
                <w:color w:val="auto"/>
              </w:rPr>
            </w:pPr>
            <w:r>
              <w:rPr>
                <w:rFonts w:ascii="Arial" w:cs="Arial" w:eastAsia="Arial" w:hAnsi="Arial"/>
                <w:sz w:val="18"/>
                <w:szCs w:val="18"/>
                <w:color w:val="auto"/>
              </w:rPr>
              <w:t>Other, net of tax</w:t>
            </w:r>
          </w:p>
        </w:tc>
        <w:tc>
          <w:tcPr>
            <w:tcW w:w="420" w:type="dxa"/>
            <w:vAlign w:val="bottom"/>
            <w:tcBorders>
              <w:bottom w:val="single" w:sz="8" w:color="auto"/>
            </w:tcBorders>
            <w:shd w:val="clear" w:color="auto" w:fill="D8D8D8"/>
          </w:tcPr>
          <w:p>
            <w:pPr>
              <w:spacing w:after="0"/>
              <w:rPr>
                <w:sz w:val="23"/>
                <w:szCs w:val="23"/>
                <w:color w:val="auto"/>
              </w:rPr>
            </w:pPr>
          </w:p>
        </w:tc>
        <w:tc>
          <w:tcPr>
            <w:tcW w:w="1020" w:type="dxa"/>
            <w:vAlign w:val="bottom"/>
            <w:tcBorders>
              <w:bottom w:val="single" w:sz="8" w:color="auto"/>
            </w:tcBorders>
            <w:shd w:val="clear" w:color="auto" w:fill="D8D8D8"/>
          </w:tcPr>
          <w:p>
            <w:pPr>
              <w:jc w:val="right"/>
              <w:ind w:right="130"/>
              <w:spacing w:after="0"/>
              <w:rPr>
                <w:sz w:val="20"/>
                <w:szCs w:val="20"/>
                <w:color w:val="auto"/>
              </w:rPr>
            </w:pPr>
            <w:r>
              <w:rPr>
                <w:rFonts w:ascii="Arial" w:cs="Arial" w:eastAsia="Arial" w:hAnsi="Arial"/>
                <w:sz w:val="18"/>
                <w:szCs w:val="18"/>
                <w:b w:val="1"/>
                <w:bCs w:val="1"/>
                <w:color w:val="auto"/>
              </w:rPr>
              <w:t>9.5</w:t>
            </w:r>
          </w:p>
        </w:tc>
        <w:tc>
          <w:tcPr>
            <w:tcW w:w="540" w:type="dxa"/>
            <w:vAlign w:val="bottom"/>
            <w:tcBorders>
              <w:bottom w:val="single" w:sz="8" w:color="auto"/>
            </w:tcBorders>
            <w:shd w:val="clear" w:color="auto" w:fill="D8D8D8"/>
          </w:tcPr>
          <w:p>
            <w:pPr>
              <w:spacing w:after="0"/>
              <w:rPr>
                <w:sz w:val="23"/>
                <w:szCs w:val="23"/>
                <w:color w:val="auto"/>
              </w:rPr>
            </w:pPr>
          </w:p>
        </w:tc>
        <w:tc>
          <w:tcPr>
            <w:tcW w:w="1020" w:type="dxa"/>
            <w:vAlign w:val="bottom"/>
            <w:tcBorders>
              <w:bottom w:val="single" w:sz="8" w:color="auto"/>
            </w:tcBorders>
            <w:shd w:val="clear" w:color="auto" w:fill="D8D8D8"/>
          </w:tcPr>
          <w:p>
            <w:pPr>
              <w:jc w:val="right"/>
              <w:ind w:right="130"/>
              <w:spacing w:after="0"/>
              <w:rPr>
                <w:sz w:val="20"/>
                <w:szCs w:val="20"/>
                <w:color w:val="auto"/>
              </w:rPr>
            </w:pPr>
            <w:r>
              <w:rPr>
                <w:rFonts w:ascii="Arial" w:cs="Arial" w:eastAsia="Arial" w:hAnsi="Arial"/>
                <w:sz w:val="18"/>
                <w:szCs w:val="18"/>
                <w:color w:val="auto"/>
              </w:rPr>
              <w:t>5.9</w:t>
            </w:r>
          </w:p>
        </w:tc>
        <w:tc>
          <w:tcPr>
            <w:tcW w:w="560" w:type="dxa"/>
            <w:vAlign w:val="bottom"/>
            <w:tcBorders>
              <w:bottom w:val="single" w:sz="8" w:color="auto"/>
            </w:tcBorders>
            <w:shd w:val="clear" w:color="auto" w:fill="D8D8D8"/>
          </w:tcPr>
          <w:p>
            <w:pPr>
              <w:spacing w:after="0"/>
              <w:rPr>
                <w:sz w:val="23"/>
                <w:szCs w:val="23"/>
                <w:color w:val="auto"/>
              </w:rPr>
            </w:pPr>
          </w:p>
        </w:tc>
        <w:tc>
          <w:tcPr>
            <w:tcW w:w="1040" w:type="dxa"/>
            <w:vAlign w:val="bottom"/>
            <w:tcBorders>
              <w:bottom w:val="single" w:sz="8" w:color="auto"/>
            </w:tcBorders>
            <w:shd w:val="clear" w:color="auto" w:fill="D8D8D8"/>
          </w:tcPr>
          <w:p>
            <w:pPr>
              <w:jc w:val="right"/>
              <w:ind w:right="150"/>
              <w:spacing w:after="0"/>
              <w:rPr>
                <w:sz w:val="20"/>
                <w:szCs w:val="20"/>
                <w:color w:val="auto"/>
              </w:rPr>
            </w:pPr>
            <w:r>
              <w:rPr>
                <w:rFonts w:ascii="Arial" w:cs="Arial" w:eastAsia="Arial" w:hAnsi="Arial"/>
                <w:sz w:val="18"/>
                <w:szCs w:val="18"/>
                <w:color w:val="auto"/>
              </w:rPr>
              <w:t>5.9</w:t>
            </w:r>
          </w:p>
        </w:tc>
        <w:tc>
          <w:tcPr>
            <w:tcW w:w="3400" w:type="dxa"/>
            <w:vAlign w:val="bottom"/>
            <w:shd w:val="clear" w:color="auto" w:fill="D8D8D8"/>
          </w:tcPr>
          <w:p>
            <w:pPr>
              <w:ind w:left="160"/>
              <w:spacing w:after="0"/>
              <w:rPr>
                <w:sz w:val="20"/>
                <w:szCs w:val="20"/>
                <w:color w:val="auto"/>
              </w:rPr>
            </w:pPr>
            <w:r>
              <w:rPr>
                <w:rFonts w:ascii="Arial" w:cs="Arial" w:eastAsia="Arial" w:hAnsi="Arial"/>
                <w:sz w:val="18"/>
                <w:szCs w:val="18"/>
                <w:color w:val="auto"/>
              </w:rPr>
              <w:t>Other—net, (income) expense</w:t>
            </w:r>
          </w:p>
        </w:tc>
        <w:tc>
          <w:tcPr>
            <w:tcW w:w="0" w:type="dxa"/>
            <w:vAlign w:val="bottom"/>
          </w:tcPr>
          <w:p>
            <w:pPr>
              <w:spacing w:after="0"/>
              <w:rPr>
                <w:sz w:val="1"/>
                <w:szCs w:val="1"/>
                <w:color w:val="auto"/>
              </w:rPr>
            </w:pPr>
          </w:p>
        </w:tc>
      </w:tr>
      <w:tr>
        <w:trPr>
          <w:trHeight w:val="187"/>
        </w:trPr>
        <w:tc>
          <w:tcPr>
            <w:tcW w:w="3420" w:type="dxa"/>
            <w:vAlign w:val="bottom"/>
          </w:tcPr>
          <w:p>
            <w:pPr>
              <w:ind w:left="180"/>
              <w:spacing w:after="0" w:line="187" w:lineRule="exact"/>
              <w:rPr>
                <w:sz w:val="20"/>
                <w:szCs w:val="20"/>
                <w:color w:val="auto"/>
              </w:rPr>
            </w:pPr>
            <w:r>
              <w:rPr>
                <w:rFonts w:ascii="Arial" w:cs="Arial" w:eastAsia="Arial" w:hAnsi="Arial"/>
                <w:sz w:val="18"/>
                <w:szCs w:val="18"/>
                <w:color w:val="auto"/>
              </w:rPr>
              <w:t>Total reclassifications for the period (net</w:t>
            </w:r>
          </w:p>
        </w:tc>
        <w:tc>
          <w:tcPr>
            <w:tcW w:w="420" w:type="dxa"/>
            <w:vAlign w:val="bottom"/>
            <w:vMerge w:val="restart"/>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102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rPr>
              <w:t>116.2</w:t>
            </w:r>
          </w:p>
        </w:tc>
        <w:tc>
          <w:tcPr>
            <w:tcW w:w="540" w:type="dxa"/>
            <w:vAlign w:val="bottom"/>
            <w:vMerge w:val="restart"/>
          </w:tcPr>
          <w:p>
            <w:pPr>
              <w:jc w:val="right"/>
              <w:ind w:right="210"/>
              <w:spacing w:after="0"/>
              <w:rPr>
                <w:sz w:val="20"/>
                <w:szCs w:val="20"/>
                <w:color w:val="auto"/>
              </w:rPr>
            </w:pPr>
            <w:r>
              <w:rPr>
                <w:rFonts w:ascii="Arial" w:cs="Arial" w:eastAsia="Arial" w:hAnsi="Arial"/>
                <w:sz w:val="18"/>
                <w:szCs w:val="18"/>
                <w:color w:val="auto"/>
              </w:rPr>
              <w:t>$</w:t>
            </w:r>
          </w:p>
        </w:tc>
        <w:tc>
          <w:tcPr>
            <w:tcW w:w="1020" w:type="dxa"/>
            <w:vAlign w:val="bottom"/>
            <w:vMerge w:val="restart"/>
          </w:tcPr>
          <w:p>
            <w:pPr>
              <w:jc w:val="right"/>
              <w:ind w:right="70"/>
              <w:spacing w:after="0"/>
              <w:rPr>
                <w:sz w:val="20"/>
                <w:szCs w:val="20"/>
                <w:color w:val="auto"/>
              </w:rPr>
            </w:pPr>
            <w:r>
              <w:rPr>
                <w:rFonts w:ascii="Arial" w:cs="Arial" w:eastAsia="Arial" w:hAnsi="Arial"/>
                <w:sz w:val="18"/>
                <w:szCs w:val="18"/>
                <w:color w:val="auto"/>
              </w:rPr>
              <w:t>(19.2)</w:t>
            </w:r>
          </w:p>
        </w:tc>
        <w:tc>
          <w:tcPr>
            <w:tcW w:w="560" w:type="dxa"/>
            <w:vAlign w:val="bottom"/>
            <w:vMerge w:val="restart"/>
          </w:tcPr>
          <w:p>
            <w:pPr>
              <w:jc w:val="right"/>
              <w:ind w:right="210"/>
              <w:spacing w:after="0"/>
              <w:rPr>
                <w:sz w:val="20"/>
                <w:szCs w:val="20"/>
                <w:color w:val="auto"/>
              </w:rPr>
            </w:pPr>
            <w:r>
              <w:rPr>
                <w:rFonts w:ascii="Arial" w:cs="Arial" w:eastAsia="Arial" w:hAnsi="Arial"/>
                <w:sz w:val="18"/>
                <w:szCs w:val="18"/>
                <w:color w:val="auto"/>
              </w:rPr>
              <w:t>$</w:t>
            </w:r>
          </w:p>
        </w:tc>
        <w:tc>
          <w:tcPr>
            <w:tcW w:w="1040" w:type="dxa"/>
            <w:vAlign w:val="bottom"/>
            <w:vMerge w:val="restart"/>
          </w:tcPr>
          <w:p>
            <w:pPr>
              <w:jc w:val="right"/>
              <w:ind w:right="150"/>
              <w:spacing w:after="0"/>
              <w:rPr>
                <w:sz w:val="20"/>
                <w:szCs w:val="20"/>
                <w:color w:val="auto"/>
              </w:rPr>
            </w:pPr>
            <w:r>
              <w:rPr>
                <w:rFonts w:ascii="Arial" w:cs="Arial" w:eastAsia="Arial" w:hAnsi="Arial"/>
                <w:sz w:val="18"/>
                <w:szCs w:val="18"/>
                <w:color w:val="auto"/>
              </w:rPr>
              <w:t>318.7</w:t>
            </w:r>
          </w:p>
        </w:tc>
        <w:tc>
          <w:tcPr>
            <w:tcW w:w="3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1"/>
        </w:trPr>
        <w:tc>
          <w:tcPr>
            <w:tcW w:w="3420" w:type="dxa"/>
            <w:vAlign w:val="bottom"/>
          </w:tcPr>
          <w:p>
            <w:pPr>
              <w:ind w:left="180"/>
              <w:spacing w:after="0"/>
              <w:rPr>
                <w:sz w:val="20"/>
                <w:szCs w:val="20"/>
                <w:color w:val="auto"/>
              </w:rPr>
            </w:pPr>
            <w:r>
              <w:rPr>
                <w:rFonts w:ascii="Arial" w:cs="Arial" w:eastAsia="Arial" w:hAnsi="Arial"/>
                <w:sz w:val="18"/>
                <w:szCs w:val="18"/>
                <w:color w:val="auto"/>
              </w:rPr>
              <w:t>of tax)</w:t>
            </w:r>
          </w:p>
        </w:tc>
        <w:tc>
          <w:tcPr>
            <w:tcW w:w="420" w:type="dxa"/>
            <w:vAlign w:val="bottom"/>
            <w:tcBorders>
              <w:bottom w:val="single" w:sz="8" w:color="auto"/>
            </w:tcBorders>
            <w:vMerge w:val="continue"/>
          </w:tcPr>
          <w:p>
            <w:pPr>
              <w:spacing w:after="0"/>
              <w:rPr>
                <w:sz w:val="21"/>
                <w:szCs w:val="21"/>
                <w:color w:val="auto"/>
              </w:rPr>
            </w:pPr>
          </w:p>
        </w:tc>
        <w:tc>
          <w:tcPr>
            <w:tcW w:w="1020" w:type="dxa"/>
            <w:vAlign w:val="bottom"/>
            <w:tcBorders>
              <w:bottom w:val="single" w:sz="8" w:color="auto"/>
            </w:tcBorders>
            <w:vMerge w:val="continue"/>
          </w:tcPr>
          <w:p>
            <w:pPr>
              <w:spacing w:after="0"/>
              <w:rPr>
                <w:sz w:val="21"/>
                <w:szCs w:val="21"/>
                <w:color w:val="auto"/>
              </w:rPr>
            </w:pPr>
          </w:p>
        </w:tc>
        <w:tc>
          <w:tcPr>
            <w:tcW w:w="540" w:type="dxa"/>
            <w:vAlign w:val="bottom"/>
            <w:tcBorders>
              <w:bottom w:val="single" w:sz="8" w:color="auto"/>
            </w:tcBorders>
            <w:vMerge w:val="continue"/>
          </w:tcPr>
          <w:p>
            <w:pPr>
              <w:spacing w:after="0"/>
              <w:rPr>
                <w:sz w:val="21"/>
                <w:szCs w:val="21"/>
                <w:color w:val="auto"/>
              </w:rPr>
            </w:pPr>
          </w:p>
        </w:tc>
        <w:tc>
          <w:tcPr>
            <w:tcW w:w="1020" w:type="dxa"/>
            <w:vAlign w:val="bottom"/>
            <w:tcBorders>
              <w:bottom w:val="single" w:sz="8" w:color="auto"/>
            </w:tcBorders>
            <w:vMerge w:val="continue"/>
          </w:tcPr>
          <w:p>
            <w:pPr>
              <w:spacing w:after="0"/>
              <w:rPr>
                <w:sz w:val="21"/>
                <w:szCs w:val="21"/>
                <w:color w:val="auto"/>
              </w:rPr>
            </w:pPr>
          </w:p>
        </w:tc>
        <w:tc>
          <w:tcPr>
            <w:tcW w:w="560" w:type="dxa"/>
            <w:vAlign w:val="bottom"/>
            <w:tcBorders>
              <w:bottom w:val="single" w:sz="8" w:color="auto"/>
            </w:tcBorders>
            <w:vMerge w:val="continue"/>
          </w:tcPr>
          <w:p>
            <w:pPr>
              <w:spacing w:after="0"/>
              <w:rPr>
                <w:sz w:val="21"/>
                <w:szCs w:val="21"/>
                <w:color w:val="auto"/>
              </w:rPr>
            </w:pPr>
          </w:p>
        </w:tc>
        <w:tc>
          <w:tcPr>
            <w:tcW w:w="1040" w:type="dxa"/>
            <w:vAlign w:val="bottom"/>
            <w:tcBorders>
              <w:bottom w:val="single" w:sz="8" w:color="auto"/>
            </w:tcBorders>
            <w:vMerge w:val="continue"/>
          </w:tcPr>
          <w:p>
            <w:pPr>
              <w:spacing w:after="0"/>
              <w:rPr>
                <w:sz w:val="21"/>
                <w:szCs w:val="21"/>
                <w:color w:val="auto"/>
              </w:rPr>
            </w:pPr>
          </w:p>
        </w:tc>
        <w:tc>
          <w:tcPr>
            <w:tcW w:w="34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311" w:lineRule="exact"/>
        <w:rPr>
          <w:sz w:val="20"/>
          <w:szCs w:val="20"/>
          <w:color w:val="auto"/>
        </w:rPr>
      </w:pPr>
    </w:p>
    <w:p>
      <w:pPr>
        <w:ind w:left="1500" w:hanging="125"/>
        <w:spacing w:after="0"/>
        <w:tabs>
          <w:tab w:leader="none" w:pos="1500" w:val="left"/>
        </w:tabs>
        <w:numPr>
          <w:ilvl w:val="0"/>
          <w:numId w:val="63"/>
        </w:numPr>
        <w:rPr>
          <w:rFonts w:ascii="Arial" w:cs="Arial" w:eastAsia="Arial" w:hAnsi="Arial"/>
          <w:sz w:val="15"/>
          <w:szCs w:val="15"/>
          <w:color w:val="auto"/>
          <w:vertAlign w:val="superscript"/>
        </w:rPr>
      </w:pPr>
      <w:r>
        <w:rPr>
          <w:rFonts w:ascii="Arial" w:cs="Arial" w:eastAsia="Arial" w:hAnsi="Arial"/>
          <w:sz w:val="12"/>
          <w:szCs w:val="12"/>
          <w:color w:val="auto"/>
        </w:rPr>
        <w:t>These accumulated other comprehensive loss components are included in the computation of net periodic pension cost (see Note 14).</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Note 17: Other–Net, (Income) Expense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Other–net, (income) expense consisted of the following:</w:t>
      </w:r>
    </w:p>
    <w:p>
      <w:pPr>
        <w:spacing w:after="0" w:line="233" w:lineRule="exact"/>
        <w:rPr>
          <w:sz w:val="20"/>
          <w:szCs w:val="20"/>
          <w:color w:val="auto"/>
        </w:rPr>
      </w:pPr>
    </w:p>
    <w:p>
      <w:pPr>
        <w:ind w:left="7160"/>
        <w:spacing w:after="0"/>
        <w:tabs>
          <w:tab w:leader="none" w:pos="8800" w:val="left"/>
          <w:tab w:leader="none" w:pos="10460" w:val="left"/>
        </w:tabs>
        <w:rPr>
          <w:sz w:val="20"/>
          <w:szCs w:val="20"/>
          <w:color w:val="auto"/>
        </w:rPr>
      </w:pPr>
      <w:r>
        <w:rPr>
          <w:rFonts w:ascii="Arial" w:cs="Arial" w:eastAsia="Arial" w:hAnsi="Arial"/>
          <w:sz w:val="14"/>
          <w:szCs w:val="14"/>
          <w:b w:val="1"/>
          <w:bCs w:val="1"/>
          <w:color w:val="auto"/>
        </w:rPr>
        <w:t>2015</w:t>
      </w:r>
      <w:r>
        <w:rPr>
          <w:sz w:val="20"/>
          <w:szCs w:val="20"/>
          <w:color w:val="auto"/>
        </w:rPr>
        <w:tab/>
      </w:r>
      <w:r>
        <w:rPr>
          <w:rFonts w:ascii="Arial" w:cs="Arial" w:eastAsia="Arial" w:hAnsi="Arial"/>
          <w:sz w:val="14"/>
          <w:szCs w:val="14"/>
          <w:b w:val="1"/>
          <w:bCs w:val="1"/>
          <w:color w:val="auto"/>
        </w:rPr>
        <w:t>2014</w:t>
      </w:r>
      <w:r>
        <w:rPr>
          <w:sz w:val="20"/>
          <w:szCs w:val="20"/>
          <w:color w:val="auto"/>
        </w:rPr>
        <w:tab/>
      </w:r>
      <w:r>
        <w:rPr>
          <w:rFonts w:ascii="Arial" w:cs="Arial" w:eastAsia="Arial" w:hAnsi="Arial"/>
          <w:sz w:val="14"/>
          <w:szCs w:val="14"/>
          <w:b w:val="1"/>
          <w:bCs w:val="1"/>
          <w:color w:val="auto"/>
        </w:rPr>
        <w:t>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7246620" cy="1803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p>
      <w:pPr>
        <w:spacing w:after="0" w:line="61" w:lineRule="exact"/>
        <w:rPr>
          <w:sz w:val="20"/>
          <w:szCs w:val="20"/>
          <w:color w:val="auto"/>
        </w:rPr>
      </w:pPr>
    </w:p>
    <w:p>
      <w:pPr>
        <w:ind w:left="40"/>
        <w:spacing w:after="0" w:line="313" w:lineRule="auto"/>
        <w:rPr>
          <w:sz w:val="20"/>
          <w:szCs w:val="20"/>
          <w:color w:val="auto"/>
        </w:rPr>
      </w:pPr>
      <w:r>
        <w:rPr>
          <w:rFonts w:ascii="Arial" w:cs="Arial" w:eastAsia="Arial" w:hAnsi="Arial"/>
          <w:sz w:val="18"/>
          <w:szCs w:val="18"/>
          <w:color w:val="auto"/>
        </w:rPr>
        <w:t xml:space="preserve">Income related to termination of the exenatide collaboration with Amylin (Note 4) </w:t>
      </w:r>
      <w:r>
        <w:rPr>
          <w:rFonts w:ascii="Arial" w:cs="Arial" w:eastAsia="Arial" w:hAnsi="Arial"/>
          <w:sz w:val="18"/>
          <w:szCs w:val="18"/>
          <w:b w:val="1"/>
          <w:bCs w:val="1"/>
          <w:color w:val="auto"/>
        </w:rPr>
        <w:t>$</w:t>
      </w:r>
      <w:r>
        <w:rPr>
          <w:rFonts w:ascii="Arial" w:cs="Arial" w:eastAsia="Arial" w:hAnsi="Arial"/>
          <w:sz w:val="18"/>
          <w:szCs w:val="18"/>
          <w:color w:val="auto"/>
        </w:rPr>
        <w:t xml:space="preserve"> Interest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1714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ind w:left="40"/>
        <w:spacing w:after="0"/>
        <w:rPr>
          <w:sz w:val="20"/>
          <w:szCs w:val="20"/>
          <w:color w:val="auto"/>
        </w:rPr>
      </w:pPr>
      <w:r>
        <w:rPr>
          <w:rFonts w:ascii="Arial" w:cs="Arial" w:eastAsia="Arial" w:hAnsi="Arial"/>
          <w:sz w:val="18"/>
          <w:szCs w:val="18"/>
          <w:color w:val="auto"/>
        </w:rPr>
        <w:t>Interest income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Debt extinguishment loss (Note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1714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Other income</w:t>
      </w:r>
    </w:p>
    <w:p>
      <w:pPr>
        <w:spacing w:after="0" w:line="88" w:lineRule="exact"/>
        <w:rPr>
          <w:sz w:val="20"/>
          <w:szCs w:val="20"/>
          <w:color w:val="auto"/>
        </w:rPr>
      </w:pPr>
    </w:p>
    <w:p>
      <w:pPr>
        <w:ind w:left="40"/>
        <w:spacing w:after="0"/>
        <w:tabs>
          <w:tab w:leader="none" w:pos="6560" w:val="left"/>
        </w:tabs>
        <w:rPr>
          <w:sz w:val="20"/>
          <w:szCs w:val="20"/>
          <w:color w:val="auto"/>
        </w:rPr>
      </w:pPr>
      <w:r>
        <w:rPr>
          <w:rFonts w:ascii="Arial" w:cs="Arial" w:eastAsia="Arial" w:hAnsi="Arial"/>
          <w:sz w:val="18"/>
          <w:szCs w:val="18"/>
          <w:color w:val="auto"/>
        </w:rPr>
        <w:t>Other–net, (income) expense</w:t>
      </w:r>
      <w:r>
        <w:rPr>
          <w:sz w:val="20"/>
          <w:szCs w:val="20"/>
          <w:color w:val="auto"/>
        </w:rPr>
        <w:tab/>
      </w:r>
      <w:r>
        <w:rPr>
          <w:rFonts w:ascii="Arial" w:cs="Arial" w:eastAsia="Arial" w:hAnsi="Arial"/>
          <w:sz w:val="17"/>
          <w:szCs w:val="17"/>
          <w:b w:val="1"/>
          <w:bCs w:val="1"/>
          <w:color w:val="auto"/>
        </w:rPr>
        <w:t>$</w:t>
      </w:r>
    </w:p>
    <w:p>
      <w:pPr>
        <w:spacing w:after="0" w:line="20" w:lineRule="exact"/>
        <w:rPr>
          <w:sz w:val="20"/>
          <w:szCs w:val="20"/>
          <w:color w:val="auto"/>
        </w:rPr>
      </w:pPr>
      <w:r>
        <w:rPr>
          <w:sz w:val="20"/>
          <w:szCs w:val="20"/>
          <w:color w:val="auto"/>
        </w:rPr>
        <w:br w:type="column"/>
      </w:r>
    </w:p>
    <w:p>
      <w:pPr>
        <w:spacing w:after="0" w:line="5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780" w:type="dxa"/>
            <w:vAlign w:val="bottom"/>
          </w:tcPr>
          <w:p>
            <w:pPr>
              <w:jc w:val="right"/>
              <w:ind w:right="170"/>
              <w:spacing w:after="0"/>
              <w:rPr>
                <w:sz w:val="20"/>
                <w:szCs w:val="20"/>
                <w:color w:val="auto"/>
              </w:rPr>
            </w:pPr>
            <w:r>
              <w:rPr>
                <w:rFonts w:ascii="Arial" w:cs="Arial" w:eastAsia="Arial" w:hAnsi="Arial"/>
                <w:sz w:val="18"/>
                <w:szCs w:val="18"/>
                <w:b w:val="1"/>
                <w:bCs w:val="1"/>
                <w:color w:val="auto"/>
              </w:rPr>
              <w:t>—</w:t>
            </w:r>
          </w:p>
        </w:tc>
        <w:tc>
          <w:tcPr>
            <w:tcW w:w="60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(495.4)</w:t>
            </w:r>
          </w:p>
        </w:tc>
      </w:tr>
      <w:tr>
        <w:trPr>
          <w:trHeight w:val="270"/>
        </w:trPr>
        <w:tc>
          <w:tcPr>
            <w:tcW w:w="780" w:type="dxa"/>
            <w:vAlign w:val="bottom"/>
          </w:tcPr>
          <w:p>
            <w:pPr>
              <w:jc w:val="right"/>
              <w:ind w:right="170"/>
              <w:spacing w:after="0"/>
              <w:rPr>
                <w:sz w:val="20"/>
                <w:szCs w:val="20"/>
                <w:color w:val="auto"/>
              </w:rPr>
            </w:pPr>
            <w:r>
              <w:rPr>
                <w:rFonts w:ascii="Arial" w:cs="Arial" w:eastAsia="Arial" w:hAnsi="Arial"/>
                <w:sz w:val="18"/>
                <w:szCs w:val="18"/>
                <w:b w:val="1"/>
                <w:bCs w:val="1"/>
                <w:color w:val="auto"/>
              </w:rPr>
              <w:t>161.2</w:t>
            </w:r>
          </w:p>
        </w:tc>
        <w:tc>
          <w:tcPr>
            <w:tcW w:w="600" w:type="dxa"/>
            <w:vAlign w:val="bottom"/>
          </w:tcPr>
          <w:p>
            <w:pPr>
              <w:spacing w:after="0"/>
              <w:rPr>
                <w:sz w:val="23"/>
                <w:szCs w:val="23"/>
                <w:color w:val="auto"/>
              </w:rPr>
            </w:pPr>
          </w:p>
        </w:tc>
        <w:tc>
          <w:tcPr>
            <w:tcW w:w="1060" w:type="dxa"/>
            <w:vAlign w:val="bottom"/>
          </w:tcPr>
          <w:p>
            <w:pPr>
              <w:jc w:val="right"/>
              <w:ind w:right="170"/>
              <w:spacing w:after="0"/>
              <w:rPr>
                <w:sz w:val="20"/>
                <w:szCs w:val="20"/>
                <w:color w:val="auto"/>
              </w:rPr>
            </w:pPr>
            <w:r>
              <w:rPr>
                <w:rFonts w:ascii="Arial" w:cs="Arial" w:eastAsia="Arial" w:hAnsi="Arial"/>
                <w:sz w:val="18"/>
                <w:szCs w:val="18"/>
                <w:color w:val="auto"/>
              </w:rPr>
              <w:t>148.8</w:t>
            </w:r>
          </w:p>
        </w:tc>
        <w:tc>
          <w:tcPr>
            <w:tcW w:w="6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160.1</w:t>
            </w:r>
          </w:p>
        </w:tc>
      </w:tr>
      <w:tr>
        <w:trPr>
          <w:trHeight w:val="270"/>
        </w:trPr>
        <w:tc>
          <w:tcPr>
            <w:tcW w:w="780" w:type="dxa"/>
            <w:vAlign w:val="bottom"/>
          </w:tcPr>
          <w:p>
            <w:pPr>
              <w:jc w:val="right"/>
              <w:ind w:right="110"/>
              <w:spacing w:after="0"/>
              <w:rPr>
                <w:sz w:val="20"/>
                <w:szCs w:val="20"/>
                <w:color w:val="auto"/>
              </w:rPr>
            </w:pPr>
            <w:r>
              <w:rPr>
                <w:rFonts w:ascii="Arial" w:cs="Arial" w:eastAsia="Arial" w:hAnsi="Arial"/>
                <w:sz w:val="18"/>
                <w:szCs w:val="18"/>
                <w:b w:val="1"/>
                <w:bCs w:val="1"/>
                <w:color w:val="auto"/>
              </w:rPr>
              <w:t>(87.0)</w:t>
            </w:r>
          </w:p>
        </w:tc>
        <w:tc>
          <w:tcPr>
            <w:tcW w:w="600" w:type="dxa"/>
            <w:vAlign w:val="bottom"/>
          </w:tcPr>
          <w:p>
            <w:pPr>
              <w:spacing w:after="0"/>
              <w:rPr>
                <w:sz w:val="23"/>
                <w:szCs w:val="23"/>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(121.0)</w:t>
            </w:r>
          </w:p>
        </w:tc>
        <w:tc>
          <w:tcPr>
            <w:tcW w:w="6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(119.7)</w:t>
            </w:r>
          </w:p>
        </w:tc>
      </w:tr>
      <w:tr>
        <w:trPr>
          <w:trHeight w:val="270"/>
        </w:trPr>
        <w:tc>
          <w:tcPr>
            <w:tcW w:w="780" w:type="dxa"/>
            <w:vAlign w:val="bottom"/>
          </w:tcPr>
          <w:p>
            <w:pPr>
              <w:jc w:val="right"/>
              <w:ind w:right="170"/>
              <w:spacing w:after="0"/>
              <w:rPr>
                <w:sz w:val="20"/>
                <w:szCs w:val="20"/>
                <w:color w:val="auto"/>
              </w:rPr>
            </w:pPr>
            <w:r>
              <w:rPr>
                <w:rFonts w:ascii="Arial" w:cs="Arial" w:eastAsia="Arial" w:hAnsi="Arial"/>
                <w:sz w:val="18"/>
                <w:szCs w:val="18"/>
                <w:b w:val="1"/>
                <w:bCs w:val="1"/>
                <w:color w:val="auto"/>
              </w:rPr>
              <w:t>166.7</w:t>
            </w:r>
          </w:p>
        </w:tc>
        <w:tc>
          <w:tcPr>
            <w:tcW w:w="600" w:type="dxa"/>
            <w:vAlign w:val="bottom"/>
          </w:tcPr>
          <w:p>
            <w:pPr>
              <w:spacing w:after="0"/>
              <w:rPr>
                <w:sz w:val="23"/>
                <w:szCs w:val="23"/>
                <w:color w:val="auto"/>
              </w:rPr>
            </w:pPr>
          </w:p>
        </w:tc>
        <w:tc>
          <w:tcPr>
            <w:tcW w:w="10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780" w:type="dxa"/>
            <w:vAlign w:val="bottom"/>
          </w:tcPr>
          <w:p>
            <w:pPr>
              <w:jc w:val="right"/>
              <w:ind w:right="110"/>
              <w:spacing w:after="0"/>
              <w:rPr>
                <w:sz w:val="20"/>
                <w:szCs w:val="20"/>
                <w:color w:val="auto"/>
              </w:rPr>
            </w:pPr>
            <w:r>
              <w:rPr>
                <w:rFonts w:ascii="Arial" w:cs="Arial" w:eastAsia="Arial" w:hAnsi="Arial"/>
                <w:sz w:val="18"/>
                <w:szCs w:val="18"/>
                <w:b w:val="1"/>
                <w:bCs w:val="1"/>
                <w:color w:val="auto"/>
                <w:w w:val="98"/>
              </w:rPr>
              <w:t>(341.5)</w:t>
            </w:r>
          </w:p>
        </w:tc>
        <w:tc>
          <w:tcPr>
            <w:tcW w:w="600" w:type="dxa"/>
            <w:vAlign w:val="bottom"/>
          </w:tcPr>
          <w:p>
            <w:pPr>
              <w:spacing w:after="0"/>
              <w:rPr>
                <w:sz w:val="23"/>
                <w:szCs w:val="23"/>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(368.3)</w:t>
            </w:r>
          </w:p>
        </w:tc>
        <w:tc>
          <w:tcPr>
            <w:tcW w:w="6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(63.9)</w:t>
            </w:r>
          </w:p>
        </w:tc>
      </w:tr>
      <w:tr>
        <w:trPr>
          <w:trHeight w:val="284"/>
        </w:trPr>
        <w:tc>
          <w:tcPr>
            <w:tcW w:w="780" w:type="dxa"/>
            <w:vAlign w:val="bottom"/>
          </w:tcPr>
          <w:p>
            <w:pPr>
              <w:jc w:val="right"/>
              <w:ind w:right="110"/>
              <w:spacing w:after="0"/>
              <w:rPr>
                <w:sz w:val="20"/>
                <w:szCs w:val="20"/>
                <w:color w:val="auto"/>
              </w:rPr>
            </w:pPr>
            <w:r>
              <w:rPr>
                <w:rFonts w:ascii="Arial" w:cs="Arial" w:eastAsia="Arial" w:hAnsi="Arial"/>
                <w:sz w:val="18"/>
                <w:szCs w:val="18"/>
                <w:b w:val="1"/>
                <w:bCs w:val="1"/>
                <w:color w:val="auto"/>
                <w:w w:val="98"/>
              </w:rPr>
              <w:t>(100.6)</w:t>
            </w:r>
          </w:p>
        </w:tc>
        <w:tc>
          <w:tcPr>
            <w:tcW w:w="60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(340.5)</w:t>
            </w:r>
          </w:p>
        </w:tc>
        <w:tc>
          <w:tcPr>
            <w:tcW w:w="60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(518.9)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1270</wp:posOffset>
            </wp:positionV>
            <wp:extent cx="309562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095625" cy="17145"/>
                    </a:xfrm>
                    <a:prstGeom prst="rect">
                      <a:avLst/>
                    </a:prstGeom>
                    <a:noFill/>
                  </pic:spPr>
                </pic:pic>
              </a:graphicData>
            </a:graphic>
          </wp:anchor>
        </w:drawing>
        <w:drawing>
          <wp:anchor simplePos="0" relativeHeight="251657728" behindDoc="1" locked="0" layoutInCell="0" allowOverlap="1">
            <wp:simplePos x="0" y="0"/>
            <wp:positionH relativeFrom="column">
              <wp:posOffset>-440690</wp:posOffset>
            </wp:positionH>
            <wp:positionV relativeFrom="paragraph">
              <wp:posOffset>-178435</wp:posOffset>
            </wp:positionV>
            <wp:extent cx="309562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095625" cy="8890"/>
                    </a:xfrm>
                    <a:prstGeom prst="rect">
                      <a:avLst/>
                    </a:prstGeom>
                    <a:noFill/>
                  </pic:spPr>
                </pic:pic>
              </a:graphicData>
            </a:graphic>
          </wp:anchor>
        </w:drawing>
      </w:r>
    </w:p>
    <w:p>
      <w:pPr>
        <w:spacing w:after="0" w:line="114" w:lineRule="exact"/>
        <w:rPr>
          <w:sz w:val="20"/>
          <w:szCs w:val="20"/>
          <w:color w:val="auto"/>
        </w:rPr>
      </w:pPr>
    </w:p>
    <w:p>
      <w:pPr>
        <w:sectPr>
          <w:pgSz w:w="11900" w:h="16838" w:orient="portrait"/>
          <w:cols w:equalWidth="0" w:num="2">
            <w:col w:w="6680" w:space="560"/>
            <w:col w:w="4180"/>
          </w:cols>
          <w:pgMar w:left="240" w:top="908" w:right="239" w:bottom="1440" w:gutter="0" w:footer="0" w:header="0"/>
          <w:type w:val="continuous"/>
        </w:sectPr>
      </w:pPr>
    </w:p>
    <w:p>
      <w:pPr>
        <w:ind w:right="360"/>
        <w:spacing w:after="0" w:line="271" w:lineRule="auto"/>
        <w:rPr>
          <w:sz w:val="20"/>
          <w:szCs w:val="20"/>
          <w:color w:val="auto"/>
        </w:rPr>
      </w:pPr>
      <w:r>
        <w:rPr>
          <w:rFonts w:ascii="Arial" w:cs="Arial" w:eastAsia="Arial" w:hAnsi="Arial"/>
          <w:sz w:val="18"/>
          <w:szCs w:val="18"/>
          <w:color w:val="auto"/>
        </w:rPr>
        <w:t>For the year ended December 31, 2015, other income is primarily related to net gains on investments (Note 7). For the year ended December 31, 2014, other income is primarily related to net gains on investments (Note 7) and income related to the transfer to Boehringer Ingelheim of our license rights to co-promote linagliptin and empagliflozin in certain countries (Note 4).</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100</w:t>
      </w:r>
    </w:p>
    <w:p>
      <w:pPr>
        <w:sectPr>
          <w:pgSz w:w="11900" w:h="16838" w:orient="portrait"/>
          <w:cols w:equalWidth="0" w:num="1">
            <w:col w:w="11420"/>
          </w:cols>
          <w:pgMar w:left="240" w:top="908" w:right="239" w:bottom="1440" w:gutter="0" w:footer="0" w:header="0"/>
          <w:type w:val="continuous"/>
        </w:sectPr>
      </w:pPr>
    </w:p>
    <w:bookmarkStart w:id="100" w:name="page101"/>
    <w:bookmarkEnd w:id="100"/>
    <w:p>
      <w:pPr>
        <w:spacing w:after="0"/>
        <w:rPr>
          <w:sz w:val="20"/>
          <w:szCs w:val="20"/>
          <w:color w:val="auto"/>
        </w:rPr>
      </w:pPr>
      <w:r>
        <w:rPr>
          <w:rFonts w:ascii="Arial" w:cs="Arial" w:eastAsia="Arial" w:hAnsi="Arial"/>
          <w:sz w:val="18"/>
          <w:szCs w:val="18"/>
          <w:b w:val="1"/>
          <w:bCs w:val="1"/>
          <w:color w:val="CC0000"/>
        </w:rPr>
        <w:t>Note 18: Segment Information</w:t>
      </w:r>
    </w:p>
    <w:p>
      <w:pPr>
        <w:spacing w:after="0" w:line="173"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We operate in two business segments—human pharmaceutical products and animal health. Our business segments are distinguished by the ultimate end user of the product—humans or animals. Performance is evaluated based on profit or loss from operations before income taxes. The accounting policies of the individual segments are the same as those described throughout the notes to the consolidated financial statements.</w:t>
      </w:r>
    </w:p>
    <w:p>
      <w:pPr>
        <w:spacing w:after="0" w:line="62" w:lineRule="exact"/>
        <w:rPr>
          <w:sz w:val="20"/>
          <w:szCs w:val="20"/>
          <w:color w:val="auto"/>
        </w:rPr>
      </w:pPr>
    </w:p>
    <w:p>
      <w:pPr>
        <w:ind w:right="260"/>
        <w:spacing w:after="0" w:line="251" w:lineRule="auto"/>
        <w:rPr>
          <w:sz w:val="20"/>
          <w:szCs w:val="20"/>
          <w:color w:val="auto"/>
        </w:rPr>
      </w:pPr>
      <w:r>
        <w:rPr>
          <w:rFonts w:ascii="Arial" w:cs="Arial" w:eastAsia="Arial" w:hAnsi="Arial"/>
          <w:sz w:val="18"/>
          <w:szCs w:val="18"/>
          <w:color w:val="auto"/>
        </w:rPr>
        <w:t>Our human pharmaceutical products segment includes the discovery, development, manufacturing, marketing, and sales of human pharmaceutical products worldwide in the following therapeutic areas: endocrinology, neuroscience, oncology, cardiovascular, and other. We lost U.S. patent exclusivity for Cymbalta in December 2013 and Evista</w:t>
      </w:r>
      <w:r>
        <w:rPr>
          <w:rFonts w:ascii="Arial" w:cs="Arial" w:eastAsia="Arial" w:hAnsi="Arial"/>
          <w:sz w:val="21"/>
          <w:szCs w:val="21"/>
          <w:color w:val="auto"/>
          <w:vertAlign w:val="superscript"/>
        </w:rPr>
        <w:t>®</w:t>
      </w:r>
      <w:r>
        <w:rPr>
          <w:rFonts w:ascii="Arial" w:cs="Arial" w:eastAsia="Arial" w:hAnsi="Arial"/>
          <w:sz w:val="18"/>
          <w:szCs w:val="18"/>
          <w:color w:val="auto"/>
        </w:rPr>
        <w:t xml:space="preserve"> in March 2014, which resulted in the immediate entry of generic competitors and a rapid and severe decline in revenue.</w:t>
      </w:r>
    </w:p>
    <w:p>
      <w:pPr>
        <w:spacing w:after="0" w:line="70" w:lineRule="exact"/>
        <w:rPr>
          <w:sz w:val="20"/>
          <w:szCs w:val="20"/>
          <w:color w:val="auto"/>
        </w:rPr>
      </w:pPr>
    </w:p>
    <w:p>
      <w:pPr>
        <w:ind w:right="160"/>
        <w:spacing w:after="0"/>
        <w:rPr>
          <w:sz w:val="20"/>
          <w:szCs w:val="20"/>
          <w:color w:val="auto"/>
        </w:rPr>
      </w:pPr>
      <w:r>
        <w:rPr>
          <w:rFonts w:ascii="Arial" w:cs="Arial" w:eastAsia="Arial" w:hAnsi="Arial"/>
          <w:sz w:val="18"/>
          <w:szCs w:val="18"/>
          <w:color w:val="auto"/>
        </w:rPr>
        <w:t>Our animal health segment, operating through our Elanco animal health division, includes the development, manufacturing, marketing, and sales of animal health products worldwide for both food and companion animals. Animal health products include Rumensin</w:t>
      </w:r>
      <w:r>
        <w:rPr>
          <w:rFonts w:ascii="Arial" w:cs="Arial" w:eastAsia="Arial" w:hAnsi="Arial"/>
          <w:sz w:val="21"/>
          <w:szCs w:val="21"/>
          <w:color w:val="auto"/>
          <w:vertAlign w:val="superscript"/>
        </w:rPr>
        <w:t>®</w:t>
      </w:r>
      <w:r>
        <w:rPr>
          <w:rFonts w:ascii="Arial" w:cs="Arial" w:eastAsia="Arial" w:hAnsi="Arial"/>
          <w:sz w:val="18"/>
          <w:szCs w:val="18"/>
          <w:color w:val="auto"/>
        </w:rPr>
        <w:t>, Posilac</w:t>
      </w:r>
      <w:r>
        <w:rPr>
          <w:rFonts w:ascii="Arial" w:cs="Arial" w:eastAsia="Arial" w:hAnsi="Arial"/>
          <w:sz w:val="21"/>
          <w:szCs w:val="21"/>
          <w:color w:val="auto"/>
          <w:vertAlign w:val="superscript"/>
        </w:rPr>
        <w:t>®</w:t>
      </w:r>
      <w:r>
        <w:rPr>
          <w:rFonts w:ascii="Arial" w:cs="Arial" w:eastAsia="Arial" w:hAnsi="Arial"/>
          <w:sz w:val="18"/>
          <w:szCs w:val="18"/>
          <w:color w:val="auto"/>
        </w:rPr>
        <w:t>, Tylan</w:t>
      </w:r>
      <w:r>
        <w:rPr>
          <w:rFonts w:ascii="Arial" w:cs="Arial" w:eastAsia="Arial" w:hAnsi="Arial"/>
          <w:sz w:val="21"/>
          <w:szCs w:val="21"/>
          <w:color w:val="auto"/>
          <w:vertAlign w:val="superscript"/>
        </w:rPr>
        <w:t>®</w:t>
      </w:r>
      <w:r>
        <w:rPr>
          <w:rFonts w:ascii="Arial" w:cs="Arial" w:eastAsia="Arial" w:hAnsi="Arial"/>
          <w:sz w:val="18"/>
          <w:szCs w:val="18"/>
          <w:color w:val="auto"/>
        </w:rPr>
        <w:t>, Denagard</w:t>
      </w:r>
      <w:r>
        <w:rPr>
          <w:rFonts w:ascii="Arial" w:cs="Arial" w:eastAsia="Arial" w:hAnsi="Arial"/>
          <w:sz w:val="21"/>
          <w:szCs w:val="21"/>
          <w:color w:val="auto"/>
          <w:vertAlign w:val="superscript"/>
        </w:rPr>
        <w:t>®</w:t>
      </w:r>
      <w:r>
        <w:rPr>
          <w:rFonts w:ascii="Arial" w:cs="Arial" w:eastAsia="Arial" w:hAnsi="Arial"/>
          <w:sz w:val="18"/>
          <w:szCs w:val="18"/>
          <w:color w:val="auto"/>
        </w:rPr>
        <w:t>, Maxiban</w:t>
      </w:r>
      <w:r>
        <w:rPr>
          <w:rFonts w:ascii="Arial" w:cs="Arial" w:eastAsia="Arial" w:hAnsi="Arial"/>
          <w:sz w:val="21"/>
          <w:szCs w:val="21"/>
          <w:color w:val="auto"/>
          <w:vertAlign w:val="superscript"/>
        </w:rPr>
        <w:t>®,</w:t>
      </w:r>
      <w:r>
        <w:rPr>
          <w:rFonts w:ascii="Arial" w:cs="Arial" w:eastAsia="Arial" w:hAnsi="Arial"/>
          <w:sz w:val="18"/>
          <w:szCs w:val="18"/>
          <w:color w:val="auto"/>
        </w:rPr>
        <w:t xml:space="preserve"> Optaflexx</w:t>
      </w:r>
      <w:r>
        <w:rPr>
          <w:rFonts w:ascii="Arial" w:cs="Arial" w:eastAsia="Arial" w:hAnsi="Arial"/>
          <w:sz w:val="21"/>
          <w:szCs w:val="21"/>
          <w:color w:val="auto"/>
          <w:vertAlign w:val="superscript"/>
        </w:rPr>
        <w:t>®</w:t>
      </w:r>
      <w:r>
        <w:rPr>
          <w:rFonts w:ascii="Arial" w:cs="Arial" w:eastAsia="Arial" w:hAnsi="Arial"/>
          <w:sz w:val="18"/>
          <w:szCs w:val="18"/>
          <w:color w:val="auto"/>
        </w:rPr>
        <w:t>, and other products for livestock and poultry, as well as Trifexis</w:t>
      </w:r>
      <w:r>
        <w:rPr>
          <w:rFonts w:ascii="Arial" w:cs="Arial" w:eastAsia="Arial" w:hAnsi="Arial"/>
          <w:sz w:val="21"/>
          <w:szCs w:val="21"/>
          <w:color w:val="auto"/>
          <w:vertAlign w:val="superscript"/>
        </w:rPr>
        <w:t>®</w:t>
      </w:r>
      <w:r>
        <w:rPr>
          <w:rFonts w:ascii="Arial" w:cs="Arial" w:eastAsia="Arial" w:hAnsi="Arial"/>
          <w:sz w:val="18"/>
          <w:szCs w:val="18"/>
          <w:color w:val="auto"/>
        </w:rPr>
        <w:t>, Comfortis</w:t>
      </w:r>
      <w:r>
        <w:rPr>
          <w:rFonts w:ascii="Arial" w:cs="Arial" w:eastAsia="Arial" w:hAnsi="Arial"/>
          <w:sz w:val="21"/>
          <w:szCs w:val="21"/>
          <w:color w:val="auto"/>
          <w:vertAlign w:val="superscript"/>
        </w:rPr>
        <w:t>®</w:t>
      </w:r>
      <w:r>
        <w:rPr>
          <w:rFonts w:ascii="Arial" w:cs="Arial" w:eastAsia="Arial" w:hAnsi="Arial"/>
          <w:sz w:val="18"/>
          <w:szCs w:val="18"/>
          <w:color w:val="auto"/>
        </w:rPr>
        <w:t>, and other products for companion animals. The animal health segment amounts for the year ended December 31, 2015 include the results of operations from Novartis AH, which was acquired on January 1, 2015 (Note 3).</w:t>
      </w:r>
    </w:p>
    <w:p>
      <w:pPr>
        <w:spacing w:after="0" w:line="85" w:lineRule="exact"/>
        <w:rPr>
          <w:sz w:val="20"/>
          <w:szCs w:val="20"/>
          <w:color w:val="auto"/>
        </w:rPr>
      </w:pPr>
    </w:p>
    <w:p>
      <w:pPr>
        <w:ind w:right="500"/>
        <w:spacing w:after="0" w:line="264" w:lineRule="auto"/>
        <w:rPr>
          <w:sz w:val="20"/>
          <w:szCs w:val="20"/>
          <w:color w:val="auto"/>
        </w:rPr>
      </w:pPr>
      <w:r>
        <w:rPr>
          <w:rFonts w:ascii="Arial" w:cs="Arial" w:eastAsia="Arial" w:hAnsi="Arial"/>
          <w:sz w:val="18"/>
          <w:szCs w:val="18"/>
          <w:color w:val="auto"/>
        </w:rPr>
        <w:t>Most of our pharmaceutical products are distributed through wholesalers that serve pharmacies, physicians and other health care professionals, and hospitals. For the years ended December 31, 2015, 2014, and 2013, our three largest wholesalers each accounted for between 8 percent and 19 percent of consolidated total revenue. Further, they each accounted for between 9 percent and 16 percent of accounts receivable as of December 31, 2015 and 2014. Animal health products are sold primarily to wholesale distributors.</w:t>
      </w:r>
    </w:p>
    <w:p>
      <w:pPr>
        <w:spacing w:after="0" w:line="62" w:lineRule="exact"/>
        <w:rPr>
          <w:sz w:val="20"/>
          <w:szCs w:val="20"/>
          <w:color w:val="auto"/>
        </w:rPr>
      </w:pPr>
    </w:p>
    <w:p>
      <w:pPr>
        <w:ind w:right="280"/>
        <w:spacing w:after="0" w:line="271" w:lineRule="auto"/>
        <w:rPr>
          <w:sz w:val="20"/>
          <w:szCs w:val="20"/>
          <w:color w:val="auto"/>
        </w:rPr>
      </w:pPr>
      <w:r>
        <w:rPr>
          <w:rFonts w:ascii="Arial" w:cs="Arial" w:eastAsia="Arial" w:hAnsi="Arial"/>
          <w:sz w:val="18"/>
          <w:szCs w:val="18"/>
          <w:color w:val="auto"/>
        </w:rPr>
        <w:t>We manage our assets on a total company basis, not by operating segment, as the assets of the animal health business are intermixed with those of the pharmaceutical products business. Therefore, our chief operating decision maker does not review any asset information by operating segment and, accordingly, we do not report asset information by operating segment.</w:t>
      </w:r>
    </w:p>
    <w:p>
      <w:pPr>
        <w:spacing w:after="0" w:line="55" w:lineRule="exact"/>
        <w:rPr>
          <w:sz w:val="20"/>
          <w:szCs w:val="20"/>
          <w:color w:val="auto"/>
        </w:rPr>
      </w:pPr>
    </w:p>
    <w:p>
      <w:pPr>
        <w:ind w:right="100"/>
        <w:spacing w:after="0" w:line="292" w:lineRule="auto"/>
        <w:rPr>
          <w:sz w:val="20"/>
          <w:szCs w:val="20"/>
          <w:color w:val="auto"/>
        </w:rPr>
      </w:pPr>
      <w:r>
        <w:rPr>
          <w:rFonts w:ascii="Arial" w:cs="Arial" w:eastAsia="Arial" w:hAnsi="Arial"/>
          <w:sz w:val="18"/>
          <w:szCs w:val="18"/>
          <w:color w:val="auto"/>
        </w:rPr>
        <w:t>We are exposed to the risk of changes in social, political, and economic conditions inherent in foreign operations, and our results of operations and the value of our foreign assets are affected by fluctuations in foreign currency exchange rates.</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revenue activity:</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0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2015</w:t>
            </w:r>
          </w:p>
        </w:tc>
        <w:tc>
          <w:tcPr>
            <w:tcW w:w="4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2014</w:t>
            </w:r>
          </w:p>
        </w:tc>
        <w:tc>
          <w:tcPr>
            <w:tcW w:w="4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2013</w:t>
            </w:r>
          </w:p>
        </w:tc>
      </w:tr>
      <w:tr>
        <w:trPr>
          <w:trHeight w:val="265"/>
        </w:trPr>
        <w:tc>
          <w:tcPr>
            <w:tcW w:w="7080" w:type="dxa"/>
            <w:vAlign w:val="bottom"/>
            <w:shd w:val="clear" w:color="auto" w:fill="D8D8D8"/>
          </w:tcPr>
          <w:p>
            <w:pPr>
              <w:ind w:left="40"/>
              <w:spacing w:after="0"/>
              <w:rPr>
                <w:sz w:val="20"/>
                <w:szCs w:val="20"/>
                <w:color w:val="auto"/>
              </w:rPr>
            </w:pPr>
            <w:r>
              <w:rPr>
                <w:rFonts w:ascii="Arial" w:cs="Arial" w:eastAsia="Arial" w:hAnsi="Arial"/>
                <w:sz w:val="18"/>
                <w:szCs w:val="18"/>
                <w:color w:val="auto"/>
              </w:rPr>
              <w:t>Segment revenue—to unaffiliated customers:</w:t>
            </w:r>
          </w:p>
        </w:tc>
        <w:tc>
          <w:tcPr>
            <w:tcW w:w="320" w:type="dxa"/>
            <w:vAlign w:val="bottom"/>
            <w:shd w:val="clear" w:color="auto" w:fill="D8D8D8"/>
          </w:tcPr>
          <w:p>
            <w:pPr>
              <w:spacing w:after="0"/>
              <w:rPr>
                <w:sz w:val="23"/>
                <w:szCs w:val="23"/>
                <w:color w:val="auto"/>
              </w:rPr>
            </w:pPr>
          </w:p>
        </w:tc>
        <w:tc>
          <w:tcPr>
            <w:tcW w:w="1060" w:type="dxa"/>
            <w:vAlign w:val="bottom"/>
            <w:shd w:val="clear" w:color="auto" w:fill="D8D8D8"/>
          </w:tcPr>
          <w:p>
            <w:pPr>
              <w:spacing w:after="0"/>
              <w:rPr>
                <w:sz w:val="23"/>
                <w:szCs w:val="23"/>
                <w:color w:val="auto"/>
              </w:rPr>
            </w:pPr>
          </w:p>
        </w:tc>
        <w:tc>
          <w:tcPr>
            <w:tcW w:w="420" w:type="dxa"/>
            <w:vAlign w:val="bottom"/>
            <w:shd w:val="clear" w:color="auto" w:fill="D8D8D8"/>
          </w:tcPr>
          <w:p>
            <w:pPr>
              <w:spacing w:after="0"/>
              <w:rPr>
                <w:sz w:val="23"/>
                <w:szCs w:val="23"/>
                <w:color w:val="auto"/>
              </w:rPr>
            </w:pPr>
          </w:p>
        </w:tc>
        <w:tc>
          <w:tcPr>
            <w:tcW w:w="1060" w:type="dxa"/>
            <w:vAlign w:val="bottom"/>
            <w:shd w:val="clear" w:color="auto" w:fill="D8D8D8"/>
          </w:tcPr>
          <w:p>
            <w:pPr>
              <w:spacing w:after="0"/>
              <w:rPr>
                <w:sz w:val="23"/>
                <w:szCs w:val="23"/>
                <w:color w:val="auto"/>
              </w:rPr>
            </w:pPr>
          </w:p>
        </w:tc>
        <w:tc>
          <w:tcPr>
            <w:tcW w:w="440" w:type="dxa"/>
            <w:vAlign w:val="bottom"/>
            <w:shd w:val="clear" w:color="auto" w:fill="D8D8D8"/>
          </w:tcPr>
          <w:p>
            <w:pPr>
              <w:spacing w:after="0"/>
              <w:rPr>
                <w:sz w:val="23"/>
                <w:szCs w:val="23"/>
                <w:color w:val="auto"/>
              </w:rPr>
            </w:pPr>
          </w:p>
        </w:tc>
        <w:tc>
          <w:tcPr>
            <w:tcW w:w="1040" w:type="dxa"/>
            <w:vAlign w:val="bottom"/>
            <w:shd w:val="clear" w:color="auto" w:fill="D8D8D8"/>
          </w:tcPr>
          <w:p>
            <w:pPr>
              <w:spacing w:after="0"/>
              <w:rPr>
                <w:sz w:val="23"/>
                <w:szCs w:val="23"/>
                <w:color w:val="auto"/>
              </w:rPr>
            </w:pPr>
          </w:p>
        </w:tc>
      </w:tr>
      <w:tr>
        <w:trPr>
          <w:trHeight w:val="247"/>
        </w:trPr>
        <w:tc>
          <w:tcPr>
            <w:tcW w:w="7080" w:type="dxa"/>
            <w:vAlign w:val="bottom"/>
          </w:tcPr>
          <w:p>
            <w:pPr>
              <w:ind w:left="180"/>
              <w:spacing w:after="0"/>
              <w:rPr>
                <w:sz w:val="20"/>
                <w:szCs w:val="20"/>
                <w:color w:val="auto"/>
              </w:rPr>
            </w:pPr>
            <w:r>
              <w:rPr>
                <w:rFonts w:ascii="Arial" w:cs="Arial" w:eastAsia="Arial" w:hAnsi="Arial"/>
                <w:sz w:val="18"/>
                <w:szCs w:val="18"/>
                <w:color w:val="auto"/>
              </w:rPr>
              <w:t>Human pharmaceutical products:</w:t>
            </w: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3"/>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62"/>
        </w:trPr>
        <w:tc>
          <w:tcPr>
            <w:tcW w:w="7080" w:type="dxa"/>
            <w:vAlign w:val="bottom"/>
            <w:shd w:val="clear" w:color="auto" w:fill="D8D8D8"/>
          </w:tcPr>
          <w:p>
            <w:pPr>
              <w:spacing w:after="0"/>
              <w:rPr>
                <w:sz w:val="14"/>
                <w:szCs w:val="14"/>
                <w:color w:val="auto"/>
              </w:rPr>
            </w:pPr>
          </w:p>
        </w:tc>
        <w:tc>
          <w:tcPr>
            <w:tcW w:w="320" w:type="dxa"/>
            <w:vAlign w:val="bottom"/>
            <w:shd w:val="clear" w:color="auto" w:fill="D8D8D8"/>
          </w:tcPr>
          <w:p>
            <w:pPr>
              <w:spacing w:after="0"/>
              <w:rPr>
                <w:sz w:val="14"/>
                <w:szCs w:val="14"/>
                <w:color w:val="auto"/>
              </w:rPr>
            </w:pPr>
          </w:p>
        </w:tc>
        <w:tc>
          <w:tcPr>
            <w:tcW w:w="1060" w:type="dxa"/>
            <w:vAlign w:val="bottom"/>
            <w:shd w:val="clear" w:color="auto" w:fill="D8D8D8"/>
          </w:tcPr>
          <w:p>
            <w:pPr>
              <w:spacing w:after="0"/>
              <w:rPr>
                <w:sz w:val="14"/>
                <w:szCs w:val="14"/>
                <w:color w:val="auto"/>
              </w:rPr>
            </w:pPr>
          </w:p>
        </w:tc>
        <w:tc>
          <w:tcPr>
            <w:tcW w:w="420" w:type="dxa"/>
            <w:vAlign w:val="bottom"/>
            <w:shd w:val="clear" w:color="auto" w:fill="D8D8D8"/>
          </w:tcPr>
          <w:p>
            <w:pPr>
              <w:spacing w:after="0"/>
              <w:rPr>
                <w:sz w:val="14"/>
                <w:szCs w:val="14"/>
                <w:color w:val="auto"/>
              </w:rPr>
            </w:pPr>
          </w:p>
        </w:tc>
        <w:tc>
          <w:tcPr>
            <w:tcW w:w="1060" w:type="dxa"/>
            <w:vAlign w:val="bottom"/>
            <w:shd w:val="clear" w:color="auto" w:fill="D8D8D8"/>
          </w:tcPr>
          <w:p>
            <w:pPr>
              <w:spacing w:after="0"/>
              <w:rPr>
                <w:sz w:val="14"/>
                <w:szCs w:val="14"/>
                <w:color w:val="auto"/>
              </w:rPr>
            </w:pPr>
          </w:p>
        </w:tc>
        <w:tc>
          <w:tcPr>
            <w:tcW w:w="440" w:type="dxa"/>
            <w:vAlign w:val="bottom"/>
            <w:shd w:val="clear" w:color="auto" w:fill="D8D8D8"/>
          </w:tcPr>
          <w:p>
            <w:pPr>
              <w:spacing w:after="0"/>
              <w:rPr>
                <w:sz w:val="14"/>
                <w:szCs w:val="14"/>
                <w:color w:val="auto"/>
              </w:rPr>
            </w:pPr>
          </w:p>
        </w:tc>
        <w:tc>
          <w:tcPr>
            <w:tcW w:w="1040" w:type="dxa"/>
            <w:vAlign w:val="bottom"/>
            <w:shd w:val="clear" w:color="auto" w:fill="D8D8D8"/>
          </w:tcPr>
          <w:p>
            <w:pPr>
              <w:spacing w:after="0"/>
              <w:rPr>
                <w:sz w:val="14"/>
                <w:szCs w:val="14"/>
                <w:color w:val="auto"/>
              </w:rPr>
            </w:pPr>
          </w:p>
        </w:tc>
      </w:tr>
      <w:tr>
        <w:trPr>
          <w:trHeight w:val="265"/>
        </w:trPr>
        <w:tc>
          <w:tcPr>
            <w:tcW w:w="7080" w:type="dxa"/>
            <w:vAlign w:val="bottom"/>
          </w:tcPr>
          <w:p>
            <w:pPr>
              <w:ind w:left="500"/>
              <w:spacing w:after="0"/>
              <w:rPr>
                <w:sz w:val="20"/>
                <w:szCs w:val="20"/>
                <w:color w:val="auto"/>
              </w:rPr>
            </w:pPr>
            <w:r>
              <w:rPr>
                <w:rFonts w:ascii="Arial" w:cs="Arial" w:eastAsia="Arial" w:hAnsi="Arial"/>
                <w:sz w:val="18"/>
                <w:szCs w:val="18"/>
                <w:color w:val="auto"/>
              </w:rPr>
              <w:t>Endocrinology:</w:t>
            </w:r>
          </w:p>
        </w:tc>
        <w:tc>
          <w:tcPr>
            <w:tcW w:w="3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75"/>
        </w:trPr>
        <w:tc>
          <w:tcPr>
            <w:tcW w:w="7080" w:type="dxa"/>
            <w:vAlign w:val="bottom"/>
            <w:shd w:val="clear" w:color="auto" w:fill="D8D8D8"/>
          </w:tcPr>
          <w:p>
            <w:pPr>
              <w:ind w:left="820"/>
              <w:spacing w:after="0"/>
              <w:rPr>
                <w:sz w:val="20"/>
                <w:szCs w:val="20"/>
                <w:color w:val="auto"/>
              </w:rPr>
            </w:pPr>
            <w:r>
              <w:rPr>
                <w:rFonts w:ascii="Arial" w:cs="Arial" w:eastAsia="Arial" w:hAnsi="Arial"/>
                <w:sz w:val="18"/>
                <w:szCs w:val="18"/>
                <w:i w:val="1"/>
                <w:iCs w:val="1"/>
                <w:color w:val="auto"/>
              </w:rPr>
              <w:t>Humalog</w:t>
            </w:r>
            <w:r>
              <w:rPr>
                <w:rFonts w:ascii="Arial" w:cs="Arial" w:eastAsia="Arial" w:hAnsi="Arial"/>
                <w:sz w:val="21"/>
                <w:szCs w:val="21"/>
                <w:color w:val="auto"/>
                <w:vertAlign w:val="superscript"/>
              </w:rPr>
              <w:t>®</w:t>
            </w:r>
          </w:p>
        </w:tc>
        <w:tc>
          <w:tcPr>
            <w:tcW w:w="320" w:type="dxa"/>
            <w:vAlign w:val="bottom"/>
            <w:shd w:val="clear" w:color="auto" w:fill="D8D8D8"/>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60" w:type="dxa"/>
            <w:vAlign w:val="bottom"/>
            <w:shd w:val="clear" w:color="auto" w:fill="D8D8D8"/>
          </w:tcPr>
          <w:p>
            <w:pPr>
              <w:jc w:val="right"/>
              <w:ind w:right="32"/>
              <w:spacing w:after="0"/>
              <w:rPr>
                <w:sz w:val="20"/>
                <w:szCs w:val="20"/>
                <w:color w:val="auto"/>
              </w:rPr>
            </w:pPr>
            <w:r>
              <w:rPr>
                <w:rFonts w:ascii="Arial" w:cs="Arial" w:eastAsia="Arial" w:hAnsi="Arial"/>
                <w:sz w:val="18"/>
                <w:szCs w:val="18"/>
                <w:b w:val="1"/>
                <w:bCs w:val="1"/>
                <w:color w:val="auto"/>
              </w:rPr>
              <w:t>2,841.9</w:t>
            </w:r>
          </w:p>
        </w:tc>
        <w:tc>
          <w:tcPr>
            <w:tcW w:w="420" w:type="dxa"/>
            <w:vAlign w:val="bottom"/>
            <w:shd w:val="clear" w:color="auto" w:fill="D8D8D8"/>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D8D8D8"/>
          </w:tcPr>
          <w:p>
            <w:pPr>
              <w:jc w:val="right"/>
              <w:ind w:right="32"/>
              <w:spacing w:after="0"/>
              <w:rPr>
                <w:sz w:val="20"/>
                <w:szCs w:val="20"/>
                <w:color w:val="auto"/>
              </w:rPr>
            </w:pPr>
            <w:r>
              <w:rPr>
                <w:rFonts w:ascii="Arial" w:cs="Arial" w:eastAsia="Arial" w:hAnsi="Arial"/>
                <w:sz w:val="18"/>
                <w:szCs w:val="18"/>
                <w:color w:val="auto"/>
              </w:rPr>
              <w:t>2,785.2</w:t>
            </w:r>
          </w:p>
        </w:tc>
        <w:tc>
          <w:tcPr>
            <w:tcW w:w="440" w:type="dxa"/>
            <w:vAlign w:val="bottom"/>
            <w:shd w:val="clear" w:color="auto" w:fill="D8D8D8"/>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D8D8D8"/>
          </w:tcPr>
          <w:p>
            <w:pPr>
              <w:jc w:val="right"/>
              <w:ind w:right="12"/>
              <w:spacing w:after="0"/>
              <w:rPr>
                <w:sz w:val="20"/>
                <w:szCs w:val="20"/>
                <w:color w:val="auto"/>
              </w:rPr>
            </w:pPr>
            <w:r>
              <w:rPr>
                <w:rFonts w:ascii="Arial" w:cs="Arial" w:eastAsia="Arial" w:hAnsi="Arial"/>
                <w:sz w:val="18"/>
                <w:szCs w:val="18"/>
                <w:color w:val="auto"/>
              </w:rPr>
              <w:t>2,611.2</w:t>
            </w:r>
          </w:p>
        </w:tc>
      </w:tr>
      <w:tr>
        <w:trPr>
          <w:trHeight w:val="270"/>
        </w:trPr>
        <w:tc>
          <w:tcPr>
            <w:tcW w:w="7080" w:type="dxa"/>
            <w:vAlign w:val="bottom"/>
          </w:tcPr>
          <w:p>
            <w:pPr>
              <w:ind w:left="820"/>
              <w:spacing w:after="0"/>
              <w:rPr>
                <w:sz w:val="20"/>
                <w:szCs w:val="20"/>
                <w:color w:val="auto"/>
              </w:rPr>
            </w:pPr>
            <w:r>
              <w:rPr>
                <w:rFonts w:ascii="Arial" w:cs="Arial" w:eastAsia="Arial" w:hAnsi="Arial"/>
                <w:sz w:val="18"/>
                <w:szCs w:val="18"/>
                <w:i w:val="1"/>
                <w:iCs w:val="1"/>
                <w:color w:val="auto"/>
              </w:rPr>
              <w:t>Forteo</w:t>
            </w:r>
            <w:r>
              <w:rPr>
                <w:rFonts w:ascii="Arial" w:cs="Arial" w:eastAsia="Arial" w:hAnsi="Arial"/>
                <w:sz w:val="21"/>
                <w:szCs w:val="21"/>
                <w:color w:val="auto"/>
                <w:vertAlign w:val="superscript"/>
              </w:rPr>
              <w:t>®</w:t>
            </w:r>
          </w:p>
        </w:tc>
        <w:tc>
          <w:tcPr>
            <w:tcW w:w="320" w:type="dxa"/>
            <w:vAlign w:val="bottom"/>
          </w:tcPr>
          <w:p>
            <w:pPr>
              <w:spacing w:after="0"/>
              <w:rPr>
                <w:sz w:val="23"/>
                <w:szCs w:val="23"/>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b w:val="1"/>
                <w:bCs w:val="1"/>
                <w:color w:val="auto"/>
              </w:rPr>
              <w:t>1,348.3</w:t>
            </w:r>
          </w:p>
        </w:tc>
        <w:tc>
          <w:tcPr>
            <w:tcW w:w="420" w:type="dxa"/>
            <w:vAlign w:val="bottom"/>
          </w:tcPr>
          <w:p>
            <w:pPr>
              <w:spacing w:after="0"/>
              <w:rPr>
                <w:sz w:val="23"/>
                <w:szCs w:val="23"/>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1,322.0</w:t>
            </w:r>
          </w:p>
        </w:tc>
        <w:tc>
          <w:tcPr>
            <w:tcW w:w="44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1,244.9</w:t>
            </w:r>
          </w:p>
        </w:tc>
      </w:tr>
      <w:tr>
        <w:trPr>
          <w:trHeight w:val="270"/>
        </w:trPr>
        <w:tc>
          <w:tcPr>
            <w:tcW w:w="7080" w:type="dxa"/>
            <w:vAlign w:val="bottom"/>
            <w:shd w:val="clear" w:color="auto" w:fill="D8D8D8"/>
          </w:tcPr>
          <w:p>
            <w:pPr>
              <w:ind w:left="820"/>
              <w:spacing w:after="0"/>
              <w:rPr>
                <w:sz w:val="20"/>
                <w:szCs w:val="20"/>
                <w:color w:val="auto"/>
              </w:rPr>
            </w:pPr>
            <w:r>
              <w:rPr>
                <w:rFonts w:ascii="Arial" w:cs="Arial" w:eastAsia="Arial" w:hAnsi="Arial"/>
                <w:sz w:val="18"/>
                <w:szCs w:val="18"/>
                <w:i w:val="1"/>
                <w:iCs w:val="1"/>
                <w:color w:val="auto"/>
              </w:rPr>
              <w:t>Humulin</w:t>
            </w:r>
            <w:r>
              <w:rPr>
                <w:rFonts w:ascii="Arial" w:cs="Arial" w:eastAsia="Arial" w:hAnsi="Arial"/>
                <w:sz w:val="21"/>
                <w:szCs w:val="21"/>
                <w:color w:val="auto"/>
                <w:vertAlign w:val="superscript"/>
              </w:rPr>
              <w:t>®</w:t>
            </w:r>
          </w:p>
        </w:tc>
        <w:tc>
          <w:tcPr>
            <w:tcW w:w="320" w:type="dxa"/>
            <w:vAlign w:val="bottom"/>
            <w:shd w:val="clear" w:color="auto" w:fill="D8D8D8"/>
          </w:tcPr>
          <w:p>
            <w:pPr>
              <w:spacing w:after="0"/>
              <w:rPr>
                <w:sz w:val="23"/>
                <w:szCs w:val="23"/>
                <w:color w:val="auto"/>
              </w:rPr>
            </w:pPr>
          </w:p>
        </w:tc>
        <w:tc>
          <w:tcPr>
            <w:tcW w:w="1060" w:type="dxa"/>
            <w:vAlign w:val="bottom"/>
            <w:shd w:val="clear" w:color="auto" w:fill="D8D8D8"/>
          </w:tcPr>
          <w:p>
            <w:pPr>
              <w:jc w:val="right"/>
              <w:ind w:right="32"/>
              <w:spacing w:after="0"/>
              <w:rPr>
                <w:sz w:val="20"/>
                <w:szCs w:val="20"/>
                <w:color w:val="auto"/>
              </w:rPr>
            </w:pPr>
            <w:r>
              <w:rPr>
                <w:rFonts w:ascii="Arial" w:cs="Arial" w:eastAsia="Arial" w:hAnsi="Arial"/>
                <w:sz w:val="18"/>
                <w:szCs w:val="18"/>
                <w:b w:val="1"/>
                <w:bCs w:val="1"/>
                <w:color w:val="auto"/>
              </w:rPr>
              <w:t>1,307.4</w:t>
            </w:r>
          </w:p>
        </w:tc>
        <w:tc>
          <w:tcPr>
            <w:tcW w:w="420" w:type="dxa"/>
            <w:vAlign w:val="bottom"/>
            <w:shd w:val="clear" w:color="auto" w:fill="D8D8D8"/>
          </w:tcPr>
          <w:p>
            <w:pPr>
              <w:spacing w:after="0"/>
              <w:rPr>
                <w:sz w:val="23"/>
                <w:szCs w:val="23"/>
                <w:color w:val="auto"/>
              </w:rPr>
            </w:pPr>
          </w:p>
        </w:tc>
        <w:tc>
          <w:tcPr>
            <w:tcW w:w="1060" w:type="dxa"/>
            <w:vAlign w:val="bottom"/>
            <w:shd w:val="clear" w:color="auto" w:fill="D8D8D8"/>
          </w:tcPr>
          <w:p>
            <w:pPr>
              <w:jc w:val="right"/>
              <w:ind w:right="32"/>
              <w:spacing w:after="0"/>
              <w:rPr>
                <w:sz w:val="20"/>
                <w:szCs w:val="20"/>
                <w:color w:val="auto"/>
              </w:rPr>
            </w:pPr>
            <w:r>
              <w:rPr>
                <w:rFonts w:ascii="Arial" w:cs="Arial" w:eastAsia="Arial" w:hAnsi="Arial"/>
                <w:sz w:val="18"/>
                <w:szCs w:val="18"/>
                <w:color w:val="auto"/>
              </w:rPr>
              <w:t>1,400.1</w:t>
            </w:r>
          </w:p>
        </w:tc>
        <w:tc>
          <w:tcPr>
            <w:tcW w:w="440" w:type="dxa"/>
            <w:vAlign w:val="bottom"/>
            <w:shd w:val="clear" w:color="auto" w:fill="D8D8D8"/>
          </w:tcPr>
          <w:p>
            <w:pPr>
              <w:spacing w:after="0"/>
              <w:rPr>
                <w:sz w:val="23"/>
                <w:szCs w:val="23"/>
                <w:color w:val="auto"/>
              </w:rPr>
            </w:pPr>
          </w:p>
        </w:tc>
        <w:tc>
          <w:tcPr>
            <w:tcW w:w="1040" w:type="dxa"/>
            <w:vAlign w:val="bottom"/>
            <w:shd w:val="clear" w:color="auto" w:fill="D8D8D8"/>
          </w:tcPr>
          <w:p>
            <w:pPr>
              <w:jc w:val="right"/>
              <w:ind w:right="12"/>
              <w:spacing w:after="0"/>
              <w:rPr>
                <w:sz w:val="20"/>
                <w:szCs w:val="20"/>
                <w:color w:val="auto"/>
              </w:rPr>
            </w:pPr>
            <w:r>
              <w:rPr>
                <w:rFonts w:ascii="Arial" w:cs="Arial" w:eastAsia="Arial" w:hAnsi="Arial"/>
                <w:sz w:val="18"/>
                <w:szCs w:val="18"/>
                <w:color w:val="auto"/>
              </w:rPr>
              <w:t>1,315.8</w:t>
            </w:r>
          </w:p>
        </w:tc>
      </w:tr>
      <w:tr>
        <w:trPr>
          <w:trHeight w:val="269"/>
        </w:trPr>
        <w:tc>
          <w:tcPr>
            <w:tcW w:w="7080" w:type="dxa"/>
            <w:vAlign w:val="bottom"/>
          </w:tcPr>
          <w:p>
            <w:pPr>
              <w:ind w:left="820"/>
              <w:spacing w:after="0"/>
              <w:rPr>
                <w:sz w:val="20"/>
                <w:szCs w:val="20"/>
                <w:color w:val="auto"/>
              </w:rPr>
            </w:pPr>
            <w:r>
              <w:rPr>
                <w:rFonts w:ascii="Arial" w:cs="Arial" w:eastAsia="Arial" w:hAnsi="Arial"/>
                <w:sz w:val="18"/>
                <w:szCs w:val="18"/>
                <w:i w:val="1"/>
                <w:iCs w:val="1"/>
                <w:color w:val="auto"/>
              </w:rPr>
              <w:t>Trajenta</w:t>
            </w:r>
          </w:p>
        </w:tc>
        <w:tc>
          <w:tcPr>
            <w:tcW w:w="320" w:type="dxa"/>
            <w:vAlign w:val="bottom"/>
          </w:tcPr>
          <w:p>
            <w:pPr>
              <w:spacing w:after="0"/>
              <w:rPr>
                <w:sz w:val="23"/>
                <w:szCs w:val="23"/>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b w:val="1"/>
                <w:bCs w:val="1"/>
                <w:color w:val="auto"/>
              </w:rPr>
              <w:t>356.8</w:t>
            </w:r>
          </w:p>
        </w:tc>
        <w:tc>
          <w:tcPr>
            <w:tcW w:w="420" w:type="dxa"/>
            <w:vAlign w:val="bottom"/>
          </w:tcPr>
          <w:p>
            <w:pPr>
              <w:spacing w:after="0"/>
              <w:rPr>
                <w:sz w:val="23"/>
                <w:szCs w:val="23"/>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328.8</w:t>
            </w:r>
          </w:p>
        </w:tc>
        <w:tc>
          <w:tcPr>
            <w:tcW w:w="44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249.2</w:t>
            </w:r>
          </w:p>
        </w:tc>
      </w:tr>
      <w:tr>
        <w:trPr>
          <w:trHeight w:val="271"/>
        </w:trPr>
        <w:tc>
          <w:tcPr>
            <w:tcW w:w="7080" w:type="dxa"/>
            <w:vAlign w:val="bottom"/>
            <w:shd w:val="clear" w:color="auto" w:fill="D8D8D8"/>
          </w:tcPr>
          <w:p>
            <w:pPr>
              <w:ind w:left="820"/>
              <w:spacing w:after="0"/>
              <w:rPr>
                <w:sz w:val="20"/>
                <w:szCs w:val="20"/>
                <w:color w:val="auto"/>
              </w:rPr>
            </w:pPr>
            <w:r>
              <w:rPr>
                <w:rFonts w:ascii="Arial" w:cs="Arial" w:eastAsia="Arial" w:hAnsi="Arial"/>
                <w:sz w:val="18"/>
                <w:szCs w:val="18"/>
                <w:i w:val="1"/>
                <w:iCs w:val="1"/>
                <w:color w:val="auto"/>
              </w:rPr>
              <w:t>Trulicity</w:t>
            </w:r>
            <w:r>
              <w:rPr>
                <w:rFonts w:ascii="Arial" w:cs="Arial" w:eastAsia="Arial" w:hAnsi="Arial"/>
                <w:sz w:val="21"/>
                <w:szCs w:val="21"/>
                <w:color w:val="auto"/>
                <w:vertAlign w:val="superscript"/>
              </w:rPr>
              <w:t>®</w:t>
            </w:r>
          </w:p>
        </w:tc>
        <w:tc>
          <w:tcPr>
            <w:tcW w:w="320" w:type="dxa"/>
            <w:vAlign w:val="bottom"/>
            <w:shd w:val="clear" w:color="auto" w:fill="D8D8D8"/>
          </w:tcPr>
          <w:p>
            <w:pPr>
              <w:spacing w:after="0"/>
              <w:rPr>
                <w:sz w:val="23"/>
                <w:szCs w:val="23"/>
                <w:color w:val="auto"/>
              </w:rPr>
            </w:pPr>
          </w:p>
        </w:tc>
        <w:tc>
          <w:tcPr>
            <w:tcW w:w="1060" w:type="dxa"/>
            <w:vAlign w:val="bottom"/>
            <w:shd w:val="clear" w:color="auto" w:fill="D8D8D8"/>
          </w:tcPr>
          <w:p>
            <w:pPr>
              <w:jc w:val="right"/>
              <w:ind w:right="32"/>
              <w:spacing w:after="0"/>
              <w:rPr>
                <w:sz w:val="20"/>
                <w:szCs w:val="20"/>
                <w:color w:val="auto"/>
              </w:rPr>
            </w:pPr>
            <w:r>
              <w:rPr>
                <w:rFonts w:ascii="Arial" w:cs="Arial" w:eastAsia="Arial" w:hAnsi="Arial"/>
                <w:sz w:val="18"/>
                <w:szCs w:val="18"/>
                <w:b w:val="1"/>
                <w:bCs w:val="1"/>
                <w:color w:val="auto"/>
              </w:rPr>
              <w:t>248.7</w:t>
            </w:r>
          </w:p>
        </w:tc>
        <w:tc>
          <w:tcPr>
            <w:tcW w:w="420" w:type="dxa"/>
            <w:vAlign w:val="bottom"/>
            <w:shd w:val="clear" w:color="auto" w:fill="D8D8D8"/>
          </w:tcPr>
          <w:p>
            <w:pPr>
              <w:spacing w:after="0"/>
              <w:rPr>
                <w:sz w:val="23"/>
                <w:szCs w:val="23"/>
                <w:color w:val="auto"/>
              </w:rPr>
            </w:pPr>
          </w:p>
        </w:tc>
        <w:tc>
          <w:tcPr>
            <w:tcW w:w="1060" w:type="dxa"/>
            <w:vAlign w:val="bottom"/>
            <w:shd w:val="clear" w:color="auto" w:fill="D8D8D8"/>
          </w:tcPr>
          <w:p>
            <w:pPr>
              <w:jc w:val="right"/>
              <w:ind w:right="32"/>
              <w:spacing w:after="0"/>
              <w:rPr>
                <w:sz w:val="20"/>
                <w:szCs w:val="20"/>
                <w:color w:val="auto"/>
              </w:rPr>
            </w:pPr>
            <w:r>
              <w:rPr>
                <w:rFonts w:ascii="Arial" w:cs="Arial" w:eastAsia="Arial" w:hAnsi="Arial"/>
                <w:sz w:val="18"/>
                <w:szCs w:val="18"/>
                <w:color w:val="auto"/>
              </w:rPr>
              <w:t>10.2</w:t>
            </w:r>
          </w:p>
        </w:tc>
        <w:tc>
          <w:tcPr>
            <w:tcW w:w="440" w:type="dxa"/>
            <w:vAlign w:val="bottom"/>
            <w:shd w:val="clear" w:color="auto" w:fill="D8D8D8"/>
          </w:tcPr>
          <w:p>
            <w:pPr>
              <w:spacing w:after="0"/>
              <w:rPr>
                <w:sz w:val="23"/>
                <w:szCs w:val="23"/>
                <w:color w:val="auto"/>
              </w:rPr>
            </w:pPr>
          </w:p>
        </w:tc>
        <w:tc>
          <w:tcPr>
            <w:tcW w:w="1040" w:type="dxa"/>
            <w:vAlign w:val="bottom"/>
            <w:shd w:val="clear" w:color="auto" w:fill="D8D8D8"/>
          </w:tcPr>
          <w:p>
            <w:pPr>
              <w:jc w:val="right"/>
              <w:ind w:right="12"/>
              <w:spacing w:after="0"/>
              <w:rPr>
                <w:sz w:val="20"/>
                <w:szCs w:val="20"/>
                <w:color w:val="auto"/>
              </w:rPr>
            </w:pPr>
            <w:r>
              <w:rPr>
                <w:rFonts w:ascii="Arial" w:cs="Arial" w:eastAsia="Arial" w:hAnsi="Arial"/>
                <w:sz w:val="18"/>
                <w:szCs w:val="18"/>
                <w:color w:val="auto"/>
              </w:rPr>
              <w:t>—</w:t>
            </w:r>
          </w:p>
        </w:tc>
      </w:tr>
      <w:tr>
        <w:trPr>
          <w:trHeight w:val="269"/>
        </w:trPr>
        <w:tc>
          <w:tcPr>
            <w:tcW w:w="7080" w:type="dxa"/>
            <w:vAlign w:val="bottom"/>
          </w:tcPr>
          <w:p>
            <w:pPr>
              <w:ind w:left="820"/>
              <w:spacing w:after="0"/>
              <w:rPr>
                <w:sz w:val="20"/>
                <w:szCs w:val="20"/>
                <w:color w:val="auto"/>
              </w:rPr>
            </w:pPr>
            <w:r>
              <w:rPr>
                <w:rFonts w:ascii="Arial" w:cs="Arial" w:eastAsia="Arial" w:hAnsi="Arial"/>
                <w:sz w:val="18"/>
                <w:szCs w:val="18"/>
                <w:i w:val="1"/>
                <w:iCs w:val="1"/>
                <w:color w:val="auto"/>
              </w:rPr>
              <w:t>Evista</w:t>
            </w:r>
          </w:p>
        </w:tc>
        <w:tc>
          <w:tcPr>
            <w:tcW w:w="320" w:type="dxa"/>
            <w:vAlign w:val="bottom"/>
          </w:tcPr>
          <w:p>
            <w:pPr>
              <w:spacing w:after="0"/>
              <w:rPr>
                <w:sz w:val="23"/>
                <w:szCs w:val="23"/>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b w:val="1"/>
                <w:bCs w:val="1"/>
                <w:color w:val="auto"/>
              </w:rPr>
              <w:t>237.3</w:t>
            </w:r>
          </w:p>
        </w:tc>
        <w:tc>
          <w:tcPr>
            <w:tcW w:w="420" w:type="dxa"/>
            <w:vAlign w:val="bottom"/>
          </w:tcPr>
          <w:p>
            <w:pPr>
              <w:spacing w:after="0"/>
              <w:rPr>
                <w:sz w:val="23"/>
                <w:szCs w:val="23"/>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419.8</w:t>
            </w:r>
          </w:p>
        </w:tc>
        <w:tc>
          <w:tcPr>
            <w:tcW w:w="44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1,050.4</w:t>
            </w:r>
          </w:p>
        </w:tc>
      </w:tr>
      <w:tr>
        <w:trPr>
          <w:trHeight w:val="271"/>
        </w:trPr>
        <w:tc>
          <w:tcPr>
            <w:tcW w:w="7080" w:type="dxa"/>
            <w:vAlign w:val="bottom"/>
            <w:shd w:val="clear" w:color="auto" w:fill="D8D8D8"/>
          </w:tcPr>
          <w:p>
            <w:pPr>
              <w:ind w:left="820"/>
              <w:spacing w:after="0"/>
              <w:rPr>
                <w:sz w:val="20"/>
                <w:szCs w:val="20"/>
                <w:color w:val="auto"/>
              </w:rPr>
            </w:pPr>
            <w:r>
              <w:rPr>
                <w:rFonts w:ascii="Arial" w:cs="Arial" w:eastAsia="Arial" w:hAnsi="Arial"/>
                <w:sz w:val="18"/>
                <w:szCs w:val="18"/>
                <w:i w:val="1"/>
                <w:iCs w:val="1"/>
                <w:color w:val="auto"/>
              </w:rPr>
              <w:t>Other Endocrinology</w:t>
            </w:r>
          </w:p>
        </w:tc>
        <w:tc>
          <w:tcPr>
            <w:tcW w:w="320" w:type="dxa"/>
            <w:vAlign w:val="bottom"/>
            <w:tcBorders>
              <w:bottom w:val="single" w:sz="8" w:color="auto"/>
            </w:tcBorders>
            <w:shd w:val="clear" w:color="auto" w:fill="D8D8D8"/>
          </w:tcPr>
          <w:p>
            <w:pPr>
              <w:spacing w:after="0"/>
              <w:rPr>
                <w:sz w:val="23"/>
                <w:szCs w:val="23"/>
                <w:color w:val="auto"/>
              </w:rPr>
            </w:pPr>
          </w:p>
        </w:tc>
        <w:tc>
          <w:tcPr>
            <w:tcW w:w="1060" w:type="dxa"/>
            <w:vAlign w:val="bottom"/>
            <w:tcBorders>
              <w:bottom w:val="single" w:sz="8" w:color="auto"/>
            </w:tcBorders>
            <w:shd w:val="clear" w:color="auto" w:fill="D8D8D8"/>
          </w:tcPr>
          <w:p>
            <w:pPr>
              <w:jc w:val="right"/>
              <w:ind w:right="32"/>
              <w:spacing w:after="0"/>
              <w:rPr>
                <w:sz w:val="20"/>
                <w:szCs w:val="20"/>
                <w:color w:val="auto"/>
              </w:rPr>
            </w:pPr>
            <w:r>
              <w:rPr>
                <w:rFonts w:ascii="Arial" w:cs="Arial" w:eastAsia="Arial" w:hAnsi="Arial"/>
                <w:sz w:val="18"/>
                <w:szCs w:val="18"/>
                <w:b w:val="1"/>
                <w:bCs w:val="1"/>
                <w:color w:val="auto"/>
              </w:rPr>
              <w:t>696.4</w:t>
            </w:r>
          </w:p>
        </w:tc>
        <w:tc>
          <w:tcPr>
            <w:tcW w:w="420" w:type="dxa"/>
            <w:vAlign w:val="bottom"/>
            <w:tcBorders>
              <w:bottom w:val="single" w:sz="8" w:color="auto"/>
            </w:tcBorders>
            <w:shd w:val="clear" w:color="auto" w:fill="D8D8D8"/>
          </w:tcPr>
          <w:p>
            <w:pPr>
              <w:spacing w:after="0"/>
              <w:rPr>
                <w:sz w:val="23"/>
                <w:szCs w:val="23"/>
                <w:color w:val="auto"/>
              </w:rPr>
            </w:pPr>
          </w:p>
        </w:tc>
        <w:tc>
          <w:tcPr>
            <w:tcW w:w="1060" w:type="dxa"/>
            <w:vAlign w:val="bottom"/>
            <w:tcBorders>
              <w:bottom w:val="single" w:sz="8" w:color="auto"/>
            </w:tcBorders>
            <w:shd w:val="clear" w:color="auto" w:fill="D8D8D8"/>
          </w:tcPr>
          <w:p>
            <w:pPr>
              <w:jc w:val="right"/>
              <w:ind w:right="32"/>
              <w:spacing w:after="0"/>
              <w:rPr>
                <w:sz w:val="20"/>
                <w:szCs w:val="20"/>
                <w:color w:val="auto"/>
              </w:rPr>
            </w:pPr>
            <w:r>
              <w:rPr>
                <w:rFonts w:ascii="Arial" w:cs="Arial" w:eastAsia="Arial" w:hAnsi="Arial"/>
                <w:sz w:val="18"/>
                <w:szCs w:val="18"/>
                <w:color w:val="auto"/>
              </w:rPr>
              <w:t>672.9</w:t>
            </w:r>
          </w:p>
        </w:tc>
        <w:tc>
          <w:tcPr>
            <w:tcW w:w="440" w:type="dxa"/>
            <w:vAlign w:val="bottom"/>
            <w:tcBorders>
              <w:bottom w:val="single" w:sz="8" w:color="auto"/>
            </w:tcBorders>
            <w:shd w:val="clear" w:color="auto" w:fill="D8D8D8"/>
          </w:tcPr>
          <w:p>
            <w:pPr>
              <w:spacing w:after="0"/>
              <w:rPr>
                <w:sz w:val="23"/>
                <w:szCs w:val="23"/>
                <w:color w:val="auto"/>
              </w:rPr>
            </w:pPr>
          </w:p>
        </w:tc>
        <w:tc>
          <w:tcPr>
            <w:tcW w:w="1040" w:type="dxa"/>
            <w:vAlign w:val="bottom"/>
            <w:tcBorders>
              <w:bottom w:val="single" w:sz="8" w:color="auto"/>
            </w:tcBorders>
            <w:shd w:val="clear" w:color="auto" w:fill="D8D8D8"/>
          </w:tcPr>
          <w:p>
            <w:pPr>
              <w:jc w:val="right"/>
              <w:ind w:right="12"/>
              <w:spacing w:after="0"/>
              <w:rPr>
                <w:sz w:val="20"/>
                <w:szCs w:val="20"/>
                <w:color w:val="auto"/>
              </w:rPr>
            </w:pPr>
            <w:r>
              <w:rPr>
                <w:rFonts w:ascii="Arial" w:cs="Arial" w:eastAsia="Arial" w:hAnsi="Arial"/>
                <w:sz w:val="18"/>
                <w:szCs w:val="18"/>
                <w:color w:val="auto"/>
              </w:rPr>
              <w:t>832.9</w:t>
            </w:r>
          </w:p>
        </w:tc>
      </w:tr>
      <w:tr>
        <w:trPr>
          <w:trHeight w:val="263"/>
        </w:trPr>
        <w:tc>
          <w:tcPr>
            <w:tcW w:w="7080" w:type="dxa"/>
            <w:vAlign w:val="bottom"/>
          </w:tcPr>
          <w:p>
            <w:pPr>
              <w:ind w:left="720"/>
              <w:spacing w:after="0"/>
              <w:rPr>
                <w:sz w:val="20"/>
                <w:szCs w:val="20"/>
                <w:color w:val="auto"/>
              </w:rPr>
            </w:pPr>
            <w:r>
              <w:rPr>
                <w:rFonts w:ascii="Arial" w:cs="Arial" w:eastAsia="Arial" w:hAnsi="Arial"/>
                <w:sz w:val="18"/>
                <w:szCs w:val="18"/>
                <w:color w:val="auto"/>
              </w:rPr>
              <w:t>Total Endocrinology</w:t>
            </w:r>
          </w:p>
        </w:tc>
        <w:tc>
          <w:tcPr>
            <w:tcW w:w="320" w:type="dxa"/>
            <w:vAlign w:val="bottom"/>
          </w:tcPr>
          <w:p>
            <w:pPr>
              <w:spacing w:after="0"/>
              <w:rPr>
                <w:sz w:val="22"/>
                <w:szCs w:val="22"/>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b w:val="1"/>
                <w:bCs w:val="1"/>
                <w:color w:val="auto"/>
              </w:rPr>
              <w:t>7,036.8</w:t>
            </w:r>
          </w:p>
        </w:tc>
        <w:tc>
          <w:tcPr>
            <w:tcW w:w="420" w:type="dxa"/>
            <w:vAlign w:val="bottom"/>
          </w:tcPr>
          <w:p>
            <w:pPr>
              <w:spacing w:after="0"/>
              <w:rPr>
                <w:sz w:val="22"/>
                <w:szCs w:val="22"/>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6,939.0</w:t>
            </w:r>
          </w:p>
        </w:tc>
        <w:tc>
          <w:tcPr>
            <w:tcW w:w="440" w:type="dxa"/>
            <w:vAlign w:val="bottom"/>
          </w:tcPr>
          <w:p>
            <w:pPr>
              <w:spacing w:after="0"/>
              <w:rPr>
                <w:sz w:val="22"/>
                <w:szCs w:val="22"/>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7,304.4</w:t>
            </w:r>
          </w:p>
        </w:tc>
      </w:tr>
      <w:tr>
        <w:trPr>
          <w:trHeight w:val="163"/>
        </w:trPr>
        <w:tc>
          <w:tcPr>
            <w:tcW w:w="7080" w:type="dxa"/>
            <w:vAlign w:val="bottom"/>
            <w:shd w:val="clear" w:color="auto" w:fill="D8D8D8"/>
          </w:tcPr>
          <w:p>
            <w:pPr>
              <w:spacing w:after="0"/>
              <w:rPr>
                <w:sz w:val="14"/>
                <w:szCs w:val="14"/>
                <w:color w:val="auto"/>
              </w:rPr>
            </w:pPr>
          </w:p>
        </w:tc>
        <w:tc>
          <w:tcPr>
            <w:tcW w:w="320" w:type="dxa"/>
            <w:vAlign w:val="bottom"/>
            <w:shd w:val="clear" w:color="auto" w:fill="D8D8D8"/>
          </w:tcPr>
          <w:p>
            <w:pPr>
              <w:spacing w:after="0"/>
              <w:rPr>
                <w:sz w:val="14"/>
                <w:szCs w:val="14"/>
                <w:color w:val="auto"/>
              </w:rPr>
            </w:pPr>
          </w:p>
        </w:tc>
        <w:tc>
          <w:tcPr>
            <w:tcW w:w="1060" w:type="dxa"/>
            <w:vAlign w:val="bottom"/>
            <w:shd w:val="clear" w:color="auto" w:fill="D8D8D8"/>
          </w:tcPr>
          <w:p>
            <w:pPr>
              <w:spacing w:after="0"/>
              <w:rPr>
                <w:sz w:val="14"/>
                <w:szCs w:val="14"/>
                <w:color w:val="auto"/>
              </w:rPr>
            </w:pPr>
          </w:p>
        </w:tc>
        <w:tc>
          <w:tcPr>
            <w:tcW w:w="420" w:type="dxa"/>
            <w:vAlign w:val="bottom"/>
            <w:shd w:val="clear" w:color="auto" w:fill="D8D8D8"/>
          </w:tcPr>
          <w:p>
            <w:pPr>
              <w:spacing w:after="0"/>
              <w:rPr>
                <w:sz w:val="14"/>
                <w:szCs w:val="14"/>
                <w:color w:val="auto"/>
              </w:rPr>
            </w:pPr>
          </w:p>
        </w:tc>
        <w:tc>
          <w:tcPr>
            <w:tcW w:w="1060" w:type="dxa"/>
            <w:vAlign w:val="bottom"/>
            <w:shd w:val="clear" w:color="auto" w:fill="D8D8D8"/>
          </w:tcPr>
          <w:p>
            <w:pPr>
              <w:spacing w:after="0"/>
              <w:rPr>
                <w:sz w:val="14"/>
                <w:szCs w:val="14"/>
                <w:color w:val="auto"/>
              </w:rPr>
            </w:pPr>
          </w:p>
        </w:tc>
        <w:tc>
          <w:tcPr>
            <w:tcW w:w="440" w:type="dxa"/>
            <w:vAlign w:val="bottom"/>
            <w:shd w:val="clear" w:color="auto" w:fill="D8D8D8"/>
          </w:tcPr>
          <w:p>
            <w:pPr>
              <w:spacing w:after="0"/>
              <w:rPr>
                <w:sz w:val="14"/>
                <w:szCs w:val="14"/>
                <w:color w:val="auto"/>
              </w:rPr>
            </w:pPr>
          </w:p>
        </w:tc>
        <w:tc>
          <w:tcPr>
            <w:tcW w:w="1040" w:type="dxa"/>
            <w:vAlign w:val="bottom"/>
            <w:shd w:val="clear" w:color="auto" w:fill="D8D8D8"/>
          </w:tcPr>
          <w:p>
            <w:pPr>
              <w:spacing w:after="0"/>
              <w:rPr>
                <w:sz w:val="14"/>
                <w:szCs w:val="14"/>
                <w:color w:val="auto"/>
              </w:rPr>
            </w:pPr>
          </w:p>
        </w:tc>
      </w:tr>
    </w:tbl>
    <w:p>
      <w:pPr>
        <w:spacing w:after="0" w:line="2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101</w:t>
      </w:r>
    </w:p>
    <w:p>
      <w:pPr>
        <w:sectPr>
          <w:pgSz w:w="11900" w:h="16838" w:orient="portrait"/>
          <w:cols w:equalWidth="0" w:num="1">
            <w:col w:w="11420"/>
          </w:cols>
          <w:pgMar w:left="240" w:top="574" w:right="239" w:bottom="1440" w:gutter="0" w:footer="0" w:header="0"/>
        </w:sectPr>
      </w:pPr>
    </w:p>
    <w:bookmarkStart w:id="101" w:name="page102"/>
    <w:bookmarkEnd w:id="101"/>
    <w:tbl>
      <w:tblPr>
        <w:tblLayout w:type="fixed"/>
        <w:tblInd w:w="0" w:type="dxa"/>
        <w:tblCellMar>
          <w:top w:w="0" w:type="dxa"/>
          <w:left w:w="0" w:type="dxa"/>
          <w:bottom w:w="0" w:type="dxa"/>
          <w:right w:w="0" w:type="dxa"/>
        </w:tblCellMar>
      </w:tblPr>
      <w:tr>
        <w:trPr>
          <w:trHeight w:val="203"/>
        </w:trPr>
        <w:tc>
          <w:tcPr>
            <w:tcW w:w="70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2015</w:t>
            </w:r>
          </w:p>
        </w:tc>
        <w:tc>
          <w:tcPr>
            <w:tcW w:w="3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2014</w:t>
            </w:r>
          </w:p>
        </w:tc>
        <w:tc>
          <w:tcPr>
            <w:tcW w:w="4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60"/>
        </w:trPr>
        <w:tc>
          <w:tcPr>
            <w:tcW w:w="7080" w:type="dxa"/>
            <w:vAlign w:val="bottom"/>
          </w:tcPr>
          <w:p>
            <w:pPr>
              <w:ind w:left="500"/>
              <w:spacing w:after="0"/>
              <w:rPr>
                <w:sz w:val="20"/>
                <w:szCs w:val="20"/>
                <w:color w:val="auto"/>
              </w:rPr>
            </w:pPr>
            <w:r>
              <w:rPr>
                <w:rFonts w:ascii="Arial" w:cs="Arial" w:eastAsia="Arial" w:hAnsi="Arial"/>
                <w:sz w:val="18"/>
                <w:szCs w:val="18"/>
                <w:color w:val="auto"/>
              </w:rPr>
              <w:t>Neuroscience:</w:t>
            </w:r>
          </w:p>
        </w:tc>
        <w:tc>
          <w:tcPr>
            <w:tcW w:w="3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7080" w:type="dxa"/>
            <w:vAlign w:val="bottom"/>
            <w:shd w:val="clear" w:color="auto" w:fill="D8D8D8"/>
          </w:tcPr>
          <w:p>
            <w:pPr>
              <w:ind w:left="820"/>
              <w:spacing w:after="0"/>
              <w:rPr>
                <w:sz w:val="20"/>
                <w:szCs w:val="20"/>
                <w:color w:val="auto"/>
              </w:rPr>
            </w:pPr>
            <w:r>
              <w:rPr>
                <w:rFonts w:ascii="Arial" w:cs="Arial" w:eastAsia="Arial" w:hAnsi="Arial"/>
                <w:sz w:val="18"/>
                <w:szCs w:val="18"/>
                <w:i w:val="1"/>
                <w:iCs w:val="1"/>
                <w:color w:val="auto"/>
              </w:rPr>
              <w:t>Cymbalta</w:t>
            </w:r>
          </w:p>
        </w:tc>
        <w:tc>
          <w:tcPr>
            <w:tcW w:w="320" w:type="dxa"/>
            <w:vAlign w:val="bottom"/>
            <w:shd w:val="clear" w:color="auto" w:fill="D8D8D8"/>
          </w:tcPr>
          <w:p>
            <w:pPr>
              <w:spacing w:after="0"/>
              <w:rPr>
                <w:sz w:val="23"/>
                <w:szCs w:val="23"/>
                <w:color w:val="auto"/>
              </w:rPr>
            </w:pPr>
          </w:p>
        </w:tc>
        <w:tc>
          <w:tcPr>
            <w:tcW w:w="1100" w:type="dxa"/>
            <w:vAlign w:val="bottom"/>
            <w:shd w:val="clear" w:color="auto" w:fill="D8D8D8"/>
          </w:tcPr>
          <w:p>
            <w:pPr>
              <w:jc w:val="right"/>
              <w:ind w:right="71"/>
              <w:spacing w:after="0"/>
              <w:rPr>
                <w:sz w:val="20"/>
                <w:szCs w:val="20"/>
                <w:color w:val="auto"/>
              </w:rPr>
            </w:pPr>
            <w:r>
              <w:rPr>
                <w:rFonts w:ascii="Arial" w:cs="Arial" w:eastAsia="Arial" w:hAnsi="Arial"/>
                <w:sz w:val="18"/>
                <w:szCs w:val="18"/>
                <w:b w:val="1"/>
                <w:bCs w:val="1"/>
                <w:color w:val="auto"/>
              </w:rPr>
              <w:t>1,027.6</w:t>
            </w:r>
          </w:p>
        </w:tc>
        <w:tc>
          <w:tcPr>
            <w:tcW w:w="380" w:type="dxa"/>
            <w:vAlign w:val="bottom"/>
            <w:shd w:val="clear" w:color="auto" w:fill="D8D8D8"/>
          </w:tcPr>
          <w:p>
            <w:pPr>
              <w:spacing w:after="0"/>
              <w:rPr>
                <w:sz w:val="23"/>
                <w:szCs w:val="23"/>
                <w:color w:val="auto"/>
              </w:rPr>
            </w:pPr>
          </w:p>
        </w:tc>
        <w:tc>
          <w:tcPr>
            <w:tcW w:w="1100" w:type="dxa"/>
            <w:vAlign w:val="bottom"/>
            <w:shd w:val="clear" w:color="auto" w:fill="D8D8D8"/>
          </w:tcPr>
          <w:p>
            <w:pPr>
              <w:jc w:val="right"/>
              <w:ind w:right="71"/>
              <w:spacing w:after="0"/>
              <w:rPr>
                <w:sz w:val="20"/>
                <w:szCs w:val="20"/>
                <w:color w:val="auto"/>
              </w:rPr>
            </w:pPr>
            <w:r>
              <w:rPr>
                <w:rFonts w:ascii="Arial" w:cs="Arial" w:eastAsia="Arial" w:hAnsi="Arial"/>
                <w:sz w:val="18"/>
                <w:szCs w:val="18"/>
                <w:color w:val="auto"/>
              </w:rPr>
              <w:t>1,614.7</w:t>
            </w:r>
          </w:p>
        </w:tc>
        <w:tc>
          <w:tcPr>
            <w:tcW w:w="400" w:type="dxa"/>
            <w:vAlign w:val="bottom"/>
            <w:shd w:val="clear" w:color="auto" w:fill="D8D8D8"/>
          </w:tcPr>
          <w:p>
            <w:pPr>
              <w:spacing w:after="0"/>
              <w:rPr>
                <w:sz w:val="23"/>
                <w:szCs w:val="23"/>
                <w:color w:val="auto"/>
              </w:rPr>
            </w:pPr>
          </w:p>
        </w:tc>
        <w:tc>
          <w:tcPr>
            <w:tcW w:w="1040" w:type="dxa"/>
            <w:vAlign w:val="bottom"/>
            <w:shd w:val="clear" w:color="auto" w:fill="D8D8D8"/>
          </w:tcPr>
          <w:p>
            <w:pPr>
              <w:jc w:val="right"/>
              <w:ind w:right="11"/>
              <w:spacing w:after="0"/>
              <w:rPr>
                <w:sz w:val="20"/>
                <w:szCs w:val="20"/>
                <w:color w:val="auto"/>
              </w:rPr>
            </w:pPr>
            <w:r>
              <w:rPr>
                <w:rFonts w:ascii="Arial" w:cs="Arial" w:eastAsia="Arial" w:hAnsi="Arial"/>
                <w:sz w:val="18"/>
                <w:szCs w:val="18"/>
                <w:color w:val="auto"/>
              </w:rPr>
              <w:t>5,084.4</w:t>
            </w:r>
          </w:p>
        </w:tc>
        <w:tc>
          <w:tcPr>
            <w:tcW w:w="0" w:type="dxa"/>
            <w:vAlign w:val="bottom"/>
          </w:tcPr>
          <w:p>
            <w:pPr>
              <w:spacing w:after="0"/>
              <w:rPr>
                <w:sz w:val="1"/>
                <w:szCs w:val="1"/>
                <w:color w:val="auto"/>
              </w:rPr>
            </w:pPr>
          </w:p>
        </w:tc>
      </w:tr>
      <w:tr>
        <w:trPr>
          <w:trHeight w:val="270"/>
        </w:trPr>
        <w:tc>
          <w:tcPr>
            <w:tcW w:w="7080" w:type="dxa"/>
            <w:vAlign w:val="bottom"/>
          </w:tcPr>
          <w:p>
            <w:pPr>
              <w:ind w:left="820"/>
              <w:spacing w:after="0"/>
              <w:rPr>
                <w:sz w:val="20"/>
                <w:szCs w:val="20"/>
                <w:color w:val="auto"/>
              </w:rPr>
            </w:pPr>
            <w:r>
              <w:rPr>
                <w:rFonts w:ascii="Arial" w:cs="Arial" w:eastAsia="Arial" w:hAnsi="Arial"/>
                <w:sz w:val="18"/>
                <w:szCs w:val="18"/>
                <w:i w:val="1"/>
                <w:iCs w:val="1"/>
                <w:color w:val="auto"/>
              </w:rPr>
              <w:t>Zyprexa</w:t>
            </w:r>
            <w:r>
              <w:rPr>
                <w:rFonts w:ascii="Arial" w:cs="Arial" w:eastAsia="Arial" w:hAnsi="Arial"/>
                <w:sz w:val="21"/>
                <w:szCs w:val="21"/>
                <w:color w:val="auto"/>
                <w:vertAlign w:val="superscript"/>
              </w:rPr>
              <w:t>®</w:t>
            </w:r>
          </w:p>
        </w:tc>
        <w:tc>
          <w:tcPr>
            <w:tcW w:w="320" w:type="dxa"/>
            <w:vAlign w:val="bottom"/>
          </w:tcPr>
          <w:p>
            <w:pPr>
              <w:spacing w:after="0"/>
              <w:rPr>
                <w:sz w:val="23"/>
                <w:szCs w:val="23"/>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b w:val="1"/>
                <w:bCs w:val="1"/>
                <w:color w:val="auto"/>
              </w:rPr>
              <w:t>940.3</w:t>
            </w:r>
          </w:p>
        </w:tc>
        <w:tc>
          <w:tcPr>
            <w:tcW w:w="380" w:type="dxa"/>
            <w:vAlign w:val="bottom"/>
          </w:tcPr>
          <w:p>
            <w:pPr>
              <w:spacing w:after="0"/>
              <w:rPr>
                <w:sz w:val="23"/>
                <w:szCs w:val="23"/>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1,037.3</w:t>
            </w:r>
          </w:p>
        </w:tc>
        <w:tc>
          <w:tcPr>
            <w:tcW w:w="40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1,194.8</w:t>
            </w:r>
          </w:p>
        </w:tc>
        <w:tc>
          <w:tcPr>
            <w:tcW w:w="0" w:type="dxa"/>
            <w:vAlign w:val="bottom"/>
          </w:tcPr>
          <w:p>
            <w:pPr>
              <w:spacing w:after="0"/>
              <w:rPr>
                <w:sz w:val="1"/>
                <w:szCs w:val="1"/>
                <w:color w:val="auto"/>
              </w:rPr>
            </w:pPr>
          </w:p>
        </w:tc>
      </w:tr>
      <w:tr>
        <w:trPr>
          <w:trHeight w:val="270"/>
        </w:trPr>
        <w:tc>
          <w:tcPr>
            <w:tcW w:w="7080" w:type="dxa"/>
            <w:vAlign w:val="bottom"/>
            <w:shd w:val="clear" w:color="auto" w:fill="D8D8D8"/>
          </w:tcPr>
          <w:p>
            <w:pPr>
              <w:ind w:left="820"/>
              <w:spacing w:after="0"/>
              <w:rPr>
                <w:sz w:val="20"/>
                <w:szCs w:val="20"/>
                <w:color w:val="auto"/>
              </w:rPr>
            </w:pPr>
            <w:r>
              <w:rPr>
                <w:rFonts w:ascii="Arial" w:cs="Arial" w:eastAsia="Arial" w:hAnsi="Arial"/>
                <w:sz w:val="18"/>
                <w:szCs w:val="18"/>
                <w:i w:val="1"/>
                <w:iCs w:val="1"/>
                <w:color w:val="auto"/>
              </w:rPr>
              <w:t>Strattera</w:t>
            </w:r>
            <w:r>
              <w:rPr>
                <w:rFonts w:ascii="Arial" w:cs="Arial" w:eastAsia="Arial" w:hAnsi="Arial"/>
                <w:sz w:val="21"/>
                <w:szCs w:val="21"/>
                <w:color w:val="auto"/>
                <w:vertAlign w:val="superscript"/>
              </w:rPr>
              <w:t>®</w:t>
            </w:r>
          </w:p>
        </w:tc>
        <w:tc>
          <w:tcPr>
            <w:tcW w:w="320" w:type="dxa"/>
            <w:vAlign w:val="bottom"/>
            <w:shd w:val="clear" w:color="auto" w:fill="D8D8D8"/>
          </w:tcPr>
          <w:p>
            <w:pPr>
              <w:spacing w:after="0"/>
              <w:rPr>
                <w:sz w:val="23"/>
                <w:szCs w:val="23"/>
                <w:color w:val="auto"/>
              </w:rPr>
            </w:pPr>
          </w:p>
        </w:tc>
        <w:tc>
          <w:tcPr>
            <w:tcW w:w="1100" w:type="dxa"/>
            <w:vAlign w:val="bottom"/>
            <w:shd w:val="clear" w:color="auto" w:fill="D8D8D8"/>
          </w:tcPr>
          <w:p>
            <w:pPr>
              <w:jc w:val="right"/>
              <w:ind w:right="71"/>
              <w:spacing w:after="0"/>
              <w:rPr>
                <w:sz w:val="20"/>
                <w:szCs w:val="20"/>
                <w:color w:val="auto"/>
              </w:rPr>
            </w:pPr>
            <w:r>
              <w:rPr>
                <w:rFonts w:ascii="Arial" w:cs="Arial" w:eastAsia="Arial" w:hAnsi="Arial"/>
                <w:sz w:val="18"/>
                <w:szCs w:val="18"/>
                <w:b w:val="1"/>
                <w:bCs w:val="1"/>
                <w:color w:val="auto"/>
              </w:rPr>
              <w:t>784.0</w:t>
            </w:r>
          </w:p>
        </w:tc>
        <w:tc>
          <w:tcPr>
            <w:tcW w:w="380" w:type="dxa"/>
            <w:vAlign w:val="bottom"/>
            <w:shd w:val="clear" w:color="auto" w:fill="D8D8D8"/>
          </w:tcPr>
          <w:p>
            <w:pPr>
              <w:spacing w:after="0"/>
              <w:rPr>
                <w:sz w:val="23"/>
                <w:szCs w:val="23"/>
                <w:color w:val="auto"/>
              </w:rPr>
            </w:pPr>
          </w:p>
        </w:tc>
        <w:tc>
          <w:tcPr>
            <w:tcW w:w="1100" w:type="dxa"/>
            <w:vAlign w:val="bottom"/>
            <w:shd w:val="clear" w:color="auto" w:fill="D8D8D8"/>
          </w:tcPr>
          <w:p>
            <w:pPr>
              <w:jc w:val="right"/>
              <w:ind w:right="71"/>
              <w:spacing w:after="0"/>
              <w:rPr>
                <w:sz w:val="20"/>
                <w:szCs w:val="20"/>
                <w:color w:val="auto"/>
              </w:rPr>
            </w:pPr>
            <w:r>
              <w:rPr>
                <w:rFonts w:ascii="Arial" w:cs="Arial" w:eastAsia="Arial" w:hAnsi="Arial"/>
                <w:sz w:val="18"/>
                <w:szCs w:val="18"/>
                <w:color w:val="auto"/>
              </w:rPr>
              <w:t>738.5</w:t>
            </w:r>
          </w:p>
        </w:tc>
        <w:tc>
          <w:tcPr>
            <w:tcW w:w="400" w:type="dxa"/>
            <w:vAlign w:val="bottom"/>
            <w:shd w:val="clear" w:color="auto" w:fill="D8D8D8"/>
          </w:tcPr>
          <w:p>
            <w:pPr>
              <w:spacing w:after="0"/>
              <w:rPr>
                <w:sz w:val="23"/>
                <w:szCs w:val="23"/>
                <w:color w:val="auto"/>
              </w:rPr>
            </w:pPr>
          </w:p>
        </w:tc>
        <w:tc>
          <w:tcPr>
            <w:tcW w:w="1040" w:type="dxa"/>
            <w:vAlign w:val="bottom"/>
            <w:shd w:val="clear" w:color="auto" w:fill="D8D8D8"/>
          </w:tcPr>
          <w:p>
            <w:pPr>
              <w:jc w:val="right"/>
              <w:ind w:right="11"/>
              <w:spacing w:after="0"/>
              <w:rPr>
                <w:sz w:val="20"/>
                <w:szCs w:val="20"/>
                <w:color w:val="auto"/>
              </w:rPr>
            </w:pPr>
            <w:r>
              <w:rPr>
                <w:rFonts w:ascii="Arial" w:cs="Arial" w:eastAsia="Arial" w:hAnsi="Arial"/>
                <w:sz w:val="18"/>
                <w:szCs w:val="18"/>
                <w:color w:val="auto"/>
              </w:rPr>
              <w:t>709.2</w:t>
            </w:r>
          </w:p>
        </w:tc>
        <w:tc>
          <w:tcPr>
            <w:tcW w:w="0" w:type="dxa"/>
            <w:vAlign w:val="bottom"/>
          </w:tcPr>
          <w:p>
            <w:pPr>
              <w:spacing w:after="0"/>
              <w:rPr>
                <w:sz w:val="1"/>
                <w:szCs w:val="1"/>
                <w:color w:val="auto"/>
              </w:rPr>
            </w:pPr>
          </w:p>
        </w:tc>
      </w:tr>
      <w:tr>
        <w:trPr>
          <w:trHeight w:val="269"/>
        </w:trPr>
        <w:tc>
          <w:tcPr>
            <w:tcW w:w="7080" w:type="dxa"/>
            <w:vAlign w:val="bottom"/>
            <w:tcBorders>
              <w:bottom w:val="single" w:sz="8" w:color="D8D8D8"/>
            </w:tcBorders>
          </w:tcPr>
          <w:p>
            <w:pPr>
              <w:ind w:left="820"/>
              <w:spacing w:after="0"/>
              <w:rPr>
                <w:sz w:val="20"/>
                <w:szCs w:val="20"/>
                <w:color w:val="auto"/>
              </w:rPr>
            </w:pPr>
            <w:r>
              <w:rPr>
                <w:rFonts w:ascii="Arial" w:cs="Arial" w:eastAsia="Arial" w:hAnsi="Arial"/>
                <w:sz w:val="18"/>
                <w:szCs w:val="18"/>
                <w:i w:val="1"/>
                <w:iCs w:val="1"/>
                <w:color w:val="auto"/>
              </w:rPr>
              <w:t>Other Neuroscience</w:t>
            </w:r>
          </w:p>
        </w:tc>
        <w:tc>
          <w:tcPr>
            <w:tcW w:w="32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183.5</w:t>
            </w:r>
          </w:p>
        </w:tc>
        <w:tc>
          <w:tcPr>
            <w:tcW w:w="38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206.0</w:t>
            </w:r>
          </w:p>
        </w:tc>
        <w:tc>
          <w:tcPr>
            <w:tcW w:w="4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227.8</w:t>
            </w:r>
          </w:p>
        </w:tc>
        <w:tc>
          <w:tcPr>
            <w:tcW w:w="0" w:type="dxa"/>
            <w:vAlign w:val="bottom"/>
          </w:tcPr>
          <w:p>
            <w:pPr>
              <w:spacing w:after="0"/>
              <w:rPr>
                <w:sz w:val="1"/>
                <w:szCs w:val="1"/>
                <w:color w:val="auto"/>
              </w:rPr>
            </w:pPr>
          </w:p>
        </w:tc>
      </w:tr>
      <w:tr>
        <w:trPr>
          <w:trHeight w:val="264"/>
        </w:trPr>
        <w:tc>
          <w:tcPr>
            <w:tcW w:w="7080" w:type="dxa"/>
            <w:vAlign w:val="bottom"/>
            <w:shd w:val="clear" w:color="auto" w:fill="D8D8D8"/>
          </w:tcPr>
          <w:p>
            <w:pPr>
              <w:ind w:left="720"/>
              <w:spacing w:after="0"/>
              <w:rPr>
                <w:sz w:val="20"/>
                <w:szCs w:val="20"/>
                <w:color w:val="auto"/>
              </w:rPr>
            </w:pPr>
            <w:r>
              <w:rPr>
                <w:rFonts w:ascii="Arial" w:cs="Arial" w:eastAsia="Arial" w:hAnsi="Arial"/>
                <w:sz w:val="18"/>
                <w:szCs w:val="18"/>
                <w:color w:val="auto"/>
              </w:rPr>
              <w:t>Total Neuroscience</w:t>
            </w:r>
          </w:p>
        </w:tc>
        <w:tc>
          <w:tcPr>
            <w:tcW w:w="320" w:type="dxa"/>
            <w:vAlign w:val="bottom"/>
            <w:shd w:val="clear" w:color="auto" w:fill="D8D8D8"/>
          </w:tcPr>
          <w:p>
            <w:pPr>
              <w:spacing w:after="0"/>
              <w:rPr>
                <w:sz w:val="22"/>
                <w:szCs w:val="22"/>
                <w:color w:val="auto"/>
              </w:rPr>
            </w:pPr>
          </w:p>
        </w:tc>
        <w:tc>
          <w:tcPr>
            <w:tcW w:w="1100" w:type="dxa"/>
            <w:vAlign w:val="bottom"/>
            <w:shd w:val="clear" w:color="auto" w:fill="D8D8D8"/>
          </w:tcPr>
          <w:p>
            <w:pPr>
              <w:jc w:val="right"/>
              <w:ind w:right="71"/>
              <w:spacing w:after="0"/>
              <w:rPr>
                <w:sz w:val="20"/>
                <w:szCs w:val="20"/>
                <w:color w:val="auto"/>
              </w:rPr>
            </w:pPr>
            <w:r>
              <w:rPr>
                <w:rFonts w:ascii="Arial" w:cs="Arial" w:eastAsia="Arial" w:hAnsi="Arial"/>
                <w:sz w:val="18"/>
                <w:szCs w:val="18"/>
                <w:b w:val="1"/>
                <w:bCs w:val="1"/>
                <w:color w:val="auto"/>
              </w:rPr>
              <w:t>2,935.4</w:t>
            </w:r>
          </w:p>
        </w:tc>
        <w:tc>
          <w:tcPr>
            <w:tcW w:w="380" w:type="dxa"/>
            <w:vAlign w:val="bottom"/>
            <w:shd w:val="clear" w:color="auto" w:fill="D8D8D8"/>
          </w:tcPr>
          <w:p>
            <w:pPr>
              <w:spacing w:after="0"/>
              <w:rPr>
                <w:sz w:val="22"/>
                <w:szCs w:val="22"/>
                <w:color w:val="auto"/>
              </w:rPr>
            </w:pPr>
          </w:p>
        </w:tc>
        <w:tc>
          <w:tcPr>
            <w:tcW w:w="1100" w:type="dxa"/>
            <w:vAlign w:val="bottom"/>
            <w:shd w:val="clear" w:color="auto" w:fill="D8D8D8"/>
          </w:tcPr>
          <w:p>
            <w:pPr>
              <w:jc w:val="right"/>
              <w:ind w:right="71"/>
              <w:spacing w:after="0"/>
              <w:rPr>
                <w:sz w:val="20"/>
                <w:szCs w:val="20"/>
                <w:color w:val="auto"/>
              </w:rPr>
            </w:pPr>
            <w:r>
              <w:rPr>
                <w:rFonts w:ascii="Arial" w:cs="Arial" w:eastAsia="Arial" w:hAnsi="Arial"/>
                <w:sz w:val="18"/>
                <w:szCs w:val="18"/>
                <w:color w:val="auto"/>
              </w:rPr>
              <w:t>3,596.5</w:t>
            </w:r>
          </w:p>
        </w:tc>
        <w:tc>
          <w:tcPr>
            <w:tcW w:w="400" w:type="dxa"/>
            <w:vAlign w:val="bottom"/>
            <w:shd w:val="clear" w:color="auto" w:fill="D8D8D8"/>
          </w:tcPr>
          <w:p>
            <w:pPr>
              <w:spacing w:after="0"/>
              <w:rPr>
                <w:sz w:val="22"/>
                <w:szCs w:val="22"/>
                <w:color w:val="auto"/>
              </w:rPr>
            </w:pPr>
          </w:p>
        </w:tc>
        <w:tc>
          <w:tcPr>
            <w:tcW w:w="1040" w:type="dxa"/>
            <w:vAlign w:val="bottom"/>
            <w:shd w:val="clear" w:color="auto" w:fill="D8D8D8"/>
          </w:tcPr>
          <w:p>
            <w:pPr>
              <w:jc w:val="right"/>
              <w:ind w:right="11"/>
              <w:spacing w:after="0"/>
              <w:rPr>
                <w:sz w:val="20"/>
                <w:szCs w:val="20"/>
                <w:color w:val="auto"/>
              </w:rPr>
            </w:pPr>
            <w:r>
              <w:rPr>
                <w:rFonts w:ascii="Arial" w:cs="Arial" w:eastAsia="Arial" w:hAnsi="Arial"/>
                <w:sz w:val="18"/>
                <w:szCs w:val="18"/>
                <w:color w:val="auto"/>
              </w:rPr>
              <w:t>7,216.2</w:t>
            </w:r>
          </w:p>
        </w:tc>
        <w:tc>
          <w:tcPr>
            <w:tcW w:w="0" w:type="dxa"/>
            <w:vAlign w:val="bottom"/>
          </w:tcPr>
          <w:p>
            <w:pPr>
              <w:spacing w:after="0"/>
              <w:rPr>
                <w:sz w:val="1"/>
                <w:szCs w:val="1"/>
                <w:color w:val="auto"/>
              </w:rPr>
            </w:pPr>
          </w:p>
        </w:tc>
      </w:tr>
      <w:tr>
        <w:trPr>
          <w:trHeight w:val="162"/>
        </w:trPr>
        <w:tc>
          <w:tcPr>
            <w:tcW w:w="7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7080" w:type="dxa"/>
            <w:vAlign w:val="bottom"/>
            <w:tcBorders>
              <w:bottom w:val="single" w:sz="8" w:color="D8D8D8"/>
            </w:tcBorders>
            <w:shd w:val="clear" w:color="auto" w:fill="D8D8D8"/>
          </w:tcPr>
          <w:p>
            <w:pPr>
              <w:ind w:left="460"/>
              <w:spacing w:after="0"/>
              <w:rPr>
                <w:sz w:val="20"/>
                <w:szCs w:val="20"/>
                <w:color w:val="auto"/>
              </w:rPr>
            </w:pPr>
            <w:r>
              <w:rPr>
                <w:rFonts w:ascii="Arial" w:cs="Arial" w:eastAsia="Arial" w:hAnsi="Arial"/>
                <w:sz w:val="18"/>
                <w:szCs w:val="18"/>
                <w:color w:val="auto"/>
              </w:rPr>
              <w:t>Oncology:</w:t>
            </w:r>
          </w:p>
        </w:tc>
        <w:tc>
          <w:tcPr>
            <w:tcW w:w="320" w:type="dxa"/>
            <w:vAlign w:val="bottom"/>
            <w:tcBorders>
              <w:bottom w:val="single" w:sz="8" w:color="D8D8D8"/>
            </w:tcBorders>
            <w:shd w:val="clear" w:color="auto" w:fill="D8D8D8"/>
          </w:tcPr>
          <w:p>
            <w:pPr>
              <w:spacing w:after="0"/>
              <w:rPr>
                <w:sz w:val="21"/>
                <w:szCs w:val="21"/>
                <w:color w:val="auto"/>
              </w:rPr>
            </w:pPr>
          </w:p>
        </w:tc>
        <w:tc>
          <w:tcPr>
            <w:tcW w:w="1100" w:type="dxa"/>
            <w:vAlign w:val="bottom"/>
            <w:tcBorders>
              <w:bottom w:val="single" w:sz="8" w:color="D8D8D8"/>
            </w:tcBorders>
            <w:shd w:val="clear" w:color="auto" w:fill="D8D8D8"/>
          </w:tcPr>
          <w:p>
            <w:pPr>
              <w:spacing w:after="0"/>
              <w:rPr>
                <w:sz w:val="21"/>
                <w:szCs w:val="21"/>
                <w:color w:val="auto"/>
              </w:rPr>
            </w:pPr>
          </w:p>
        </w:tc>
        <w:tc>
          <w:tcPr>
            <w:tcW w:w="380" w:type="dxa"/>
            <w:vAlign w:val="bottom"/>
            <w:tcBorders>
              <w:bottom w:val="single" w:sz="8" w:color="D8D8D8"/>
            </w:tcBorders>
            <w:shd w:val="clear" w:color="auto" w:fill="D8D8D8"/>
          </w:tcPr>
          <w:p>
            <w:pPr>
              <w:spacing w:after="0"/>
              <w:rPr>
                <w:sz w:val="21"/>
                <w:szCs w:val="21"/>
                <w:color w:val="auto"/>
              </w:rPr>
            </w:pPr>
          </w:p>
        </w:tc>
        <w:tc>
          <w:tcPr>
            <w:tcW w:w="1100" w:type="dxa"/>
            <w:vAlign w:val="bottom"/>
            <w:tcBorders>
              <w:bottom w:val="single" w:sz="8" w:color="D8D8D8"/>
            </w:tcBorders>
            <w:shd w:val="clear" w:color="auto" w:fill="D8D8D8"/>
          </w:tcPr>
          <w:p>
            <w:pPr>
              <w:spacing w:after="0"/>
              <w:rPr>
                <w:sz w:val="21"/>
                <w:szCs w:val="21"/>
                <w:color w:val="auto"/>
              </w:rPr>
            </w:pPr>
          </w:p>
        </w:tc>
        <w:tc>
          <w:tcPr>
            <w:tcW w:w="400" w:type="dxa"/>
            <w:vAlign w:val="bottom"/>
            <w:tcBorders>
              <w:bottom w:val="single" w:sz="8" w:color="D8D8D8"/>
            </w:tcBorders>
            <w:shd w:val="clear" w:color="auto" w:fill="D8D8D8"/>
          </w:tcPr>
          <w:p>
            <w:pPr>
              <w:spacing w:after="0"/>
              <w:rPr>
                <w:sz w:val="21"/>
                <w:szCs w:val="21"/>
                <w:color w:val="auto"/>
              </w:rPr>
            </w:pPr>
          </w:p>
        </w:tc>
        <w:tc>
          <w:tcPr>
            <w:tcW w:w="1040" w:type="dxa"/>
            <w:vAlign w:val="bottom"/>
            <w:tcBorders>
              <w:bottom w:val="single" w:sz="8" w:color="D8D8D8"/>
            </w:tcBorders>
            <w:shd w:val="clear" w:color="auto" w:fill="D8D8D8"/>
          </w:tcPr>
          <w:p>
            <w:pPr>
              <w:spacing w:after="0"/>
              <w:rPr>
                <w:sz w:val="21"/>
                <w:szCs w:val="21"/>
                <w:color w:val="auto"/>
              </w:rPr>
            </w:pPr>
          </w:p>
        </w:tc>
        <w:tc>
          <w:tcPr>
            <w:tcW w:w="0" w:type="dxa"/>
            <w:vAlign w:val="bottom"/>
          </w:tcPr>
          <w:p>
            <w:pPr>
              <w:spacing w:after="0"/>
              <w:rPr>
                <w:sz w:val="1"/>
                <w:szCs w:val="1"/>
                <w:color w:val="auto"/>
              </w:rPr>
            </w:pPr>
          </w:p>
        </w:tc>
      </w:tr>
      <w:tr>
        <w:trPr>
          <w:trHeight w:val="269"/>
        </w:trPr>
        <w:tc>
          <w:tcPr>
            <w:tcW w:w="7080" w:type="dxa"/>
            <w:vAlign w:val="bottom"/>
          </w:tcPr>
          <w:p>
            <w:pPr>
              <w:ind w:left="820"/>
              <w:spacing w:after="0"/>
              <w:rPr>
                <w:sz w:val="20"/>
                <w:szCs w:val="20"/>
                <w:color w:val="auto"/>
              </w:rPr>
            </w:pPr>
            <w:r>
              <w:rPr>
                <w:rFonts w:ascii="Arial" w:cs="Arial" w:eastAsia="Arial" w:hAnsi="Arial"/>
                <w:sz w:val="18"/>
                <w:szCs w:val="18"/>
                <w:i w:val="1"/>
                <w:iCs w:val="1"/>
                <w:color w:val="auto"/>
              </w:rPr>
              <w:t>Alimta</w:t>
            </w:r>
          </w:p>
        </w:tc>
        <w:tc>
          <w:tcPr>
            <w:tcW w:w="320" w:type="dxa"/>
            <w:vAlign w:val="bottom"/>
          </w:tcPr>
          <w:p>
            <w:pPr>
              <w:spacing w:after="0"/>
              <w:rPr>
                <w:sz w:val="23"/>
                <w:szCs w:val="23"/>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b w:val="1"/>
                <w:bCs w:val="1"/>
                <w:color w:val="auto"/>
              </w:rPr>
              <w:t>2,493.1</w:t>
            </w:r>
          </w:p>
        </w:tc>
        <w:tc>
          <w:tcPr>
            <w:tcW w:w="380" w:type="dxa"/>
            <w:vAlign w:val="bottom"/>
          </w:tcPr>
          <w:p>
            <w:pPr>
              <w:spacing w:after="0"/>
              <w:rPr>
                <w:sz w:val="23"/>
                <w:szCs w:val="23"/>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2,792.0</w:t>
            </w:r>
          </w:p>
        </w:tc>
        <w:tc>
          <w:tcPr>
            <w:tcW w:w="40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2,703.0</w:t>
            </w:r>
          </w:p>
        </w:tc>
        <w:tc>
          <w:tcPr>
            <w:tcW w:w="0" w:type="dxa"/>
            <w:vAlign w:val="bottom"/>
          </w:tcPr>
          <w:p>
            <w:pPr>
              <w:spacing w:after="0"/>
              <w:rPr>
                <w:sz w:val="1"/>
                <w:szCs w:val="1"/>
                <w:color w:val="auto"/>
              </w:rPr>
            </w:pPr>
          </w:p>
        </w:tc>
      </w:tr>
      <w:tr>
        <w:trPr>
          <w:trHeight w:val="271"/>
        </w:trPr>
        <w:tc>
          <w:tcPr>
            <w:tcW w:w="7080" w:type="dxa"/>
            <w:vAlign w:val="bottom"/>
            <w:shd w:val="clear" w:color="auto" w:fill="D8D8D8"/>
          </w:tcPr>
          <w:p>
            <w:pPr>
              <w:ind w:left="820"/>
              <w:spacing w:after="0"/>
              <w:rPr>
                <w:sz w:val="20"/>
                <w:szCs w:val="20"/>
                <w:color w:val="auto"/>
              </w:rPr>
            </w:pPr>
            <w:r>
              <w:rPr>
                <w:rFonts w:ascii="Arial" w:cs="Arial" w:eastAsia="Arial" w:hAnsi="Arial"/>
                <w:sz w:val="18"/>
                <w:szCs w:val="18"/>
                <w:i w:val="1"/>
                <w:iCs w:val="1"/>
                <w:color w:val="auto"/>
              </w:rPr>
              <w:t>Erbitux</w:t>
            </w:r>
          </w:p>
        </w:tc>
        <w:tc>
          <w:tcPr>
            <w:tcW w:w="320" w:type="dxa"/>
            <w:vAlign w:val="bottom"/>
            <w:shd w:val="clear" w:color="auto" w:fill="D8D8D8"/>
          </w:tcPr>
          <w:p>
            <w:pPr>
              <w:spacing w:after="0"/>
              <w:rPr>
                <w:sz w:val="23"/>
                <w:szCs w:val="23"/>
                <w:color w:val="auto"/>
              </w:rPr>
            </w:pPr>
          </w:p>
        </w:tc>
        <w:tc>
          <w:tcPr>
            <w:tcW w:w="1100" w:type="dxa"/>
            <w:vAlign w:val="bottom"/>
            <w:shd w:val="clear" w:color="auto" w:fill="D8D8D8"/>
          </w:tcPr>
          <w:p>
            <w:pPr>
              <w:jc w:val="right"/>
              <w:ind w:right="71"/>
              <w:spacing w:after="0"/>
              <w:rPr>
                <w:sz w:val="20"/>
                <w:szCs w:val="20"/>
                <w:color w:val="auto"/>
              </w:rPr>
            </w:pPr>
            <w:r>
              <w:rPr>
                <w:rFonts w:ascii="Arial" w:cs="Arial" w:eastAsia="Arial" w:hAnsi="Arial"/>
                <w:sz w:val="18"/>
                <w:szCs w:val="18"/>
                <w:b w:val="1"/>
                <w:bCs w:val="1"/>
                <w:color w:val="auto"/>
              </w:rPr>
              <w:t>485.0</w:t>
            </w:r>
          </w:p>
        </w:tc>
        <w:tc>
          <w:tcPr>
            <w:tcW w:w="380" w:type="dxa"/>
            <w:vAlign w:val="bottom"/>
            <w:shd w:val="clear" w:color="auto" w:fill="D8D8D8"/>
          </w:tcPr>
          <w:p>
            <w:pPr>
              <w:spacing w:after="0"/>
              <w:rPr>
                <w:sz w:val="23"/>
                <w:szCs w:val="23"/>
                <w:color w:val="auto"/>
              </w:rPr>
            </w:pPr>
          </w:p>
        </w:tc>
        <w:tc>
          <w:tcPr>
            <w:tcW w:w="1100" w:type="dxa"/>
            <w:vAlign w:val="bottom"/>
            <w:shd w:val="clear" w:color="auto" w:fill="D8D8D8"/>
          </w:tcPr>
          <w:p>
            <w:pPr>
              <w:jc w:val="right"/>
              <w:ind w:right="71"/>
              <w:spacing w:after="0"/>
              <w:rPr>
                <w:sz w:val="20"/>
                <w:szCs w:val="20"/>
                <w:color w:val="auto"/>
              </w:rPr>
            </w:pPr>
            <w:r>
              <w:rPr>
                <w:rFonts w:ascii="Arial" w:cs="Arial" w:eastAsia="Arial" w:hAnsi="Arial"/>
                <w:sz w:val="18"/>
                <w:szCs w:val="18"/>
                <w:color w:val="auto"/>
              </w:rPr>
              <w:t>373.3</w:t>
            </w:r>
          </w:p>
        </w:tc>
        <w:tc>
          <w:tcPr>
            <w:tcW w:w="400" w:type="dxa"/>
            <w:vAlign w:val="bottom"/>
            <w:shd w:val="clear" w:color="auto" w:fill="D8D8D8"/>
          </w:tcPr>
          <w:p>
            <w:pPr>
              <w:spacing w:after="0"/>
              <w:rPr>
                <w:sz w:val="23"/>
                <w:szCs w:val="23"/>
                <w:color w:val="auto"/>
              </w:rPr>
            </w:pPr>
          </w:p>
        </w:tc>
        <w:tc>
          <w:tcPr>
            <w:tcW w:w="1040" w:type="dxa"/>
            <w:vAlign w:val="bottom"/>
            <w:shd w:val="clear" w:color="auto" w:fill="D8D8D8"/>
          </w:tcPr>
          <w:p>
            <w:pPr>
              <w:jc w:val="right"/>
              <w:ind w:right="11"/>
              <w:spacing w:after="0"/>
              <w:rPr>
                <w:sz w:val="20"/>
                <w:szCs w:val="20"/>
                <w:color w:val="auto"/>
              </w:rPr>
            </w:pPr>
            <w:r>
              <w:rPr>
                <w:rFonts w:ascii="Arial" w:cs="Arial" w:eastAsia="Arial" w:hAnsi="Arial"/>
                <w:sz w:val="18"/>
                <w:szCs w:val="18"/>
                <w:color w:val="auto"/>
              </w:rPr>
              <w:t>373.7</w:t>
            </w:r>
          </w:p>
        </w:tc>
        <w:tc>
          <w:tcPr>
            <w:tcW w:w="0" w:type="dxa"/>
            <w:vAlign w:val="bottom"/>
          </w:tcPr>
          <w:p>
            <w:pPr>
              <w:spacing w:after="0"/>
              <w:rPr>
                <w:sz w:val="1"/>
                <w:szCs w:val="1"/>
                <w:color w:val="auto"/>
              </w:rPr>
            </w:pPr>
          </w:p>
        </w:tc>
      </w:tr>
      <w:tr>
        <w:trPr>
          <w:trHeight w:val="270"/>
        </w:trPr>
        <w:tc>
          <w:tcPr>
            <w:tcW w:w="7080" w:type="dxa"/>
            <w:vAlign w:val="bottom"/>
          </w:tcPr>
          <w:p>
            <w:pPr>
              <w:ind w:left="820"/>
              <w:spacing w:after="0"/>
              <w:rPr>
                <w:sz w:val="20"/>
                <w:szCs w:val="20"/>
                <w:color w:val="auto"/>
              </w:rPr>
            </w:pPr>
            <w:r>
              <w:rPr>
                <w:rFonts w:ascii="Arial" w:cs="Arial" w:eastAsia="Arial" w:hAnsi="Arial"/>
                <w:sz w:val="18"/>
                <w:szCs w:val="18"/>
                <w:i w:val="1"/>
                <w:iCs w:val="1"/>
                <w:color w:val="auto"/>
              </w:rPr>
              <w:t>Cyramza</w:t>
            </w:r>
            <w:r>
              <w:rPr>
                <w:rFonts w:ascii="Arial" w:cs="Arial" w:eastAsia="Arial" w:hAnsi="Arial"/>
                <w:sz w:val="21"/>
                <w:szCs w:val="21"/>
                <w:i w:val="1"/>
                <w:iCs w:val="1"/>
                <w:color w:val="auto"/>
                <w:vertAlign w:val="superscript"/>
              </w:rPr>
              <w:t>®</w:t>
            </w:r>
          </w:p>
        </w:tc>
        <w:tc>
          <w:tcPr>
            <w:tcW w:w="320" w:type="dxa"/>
            <w:vAlign w:val="bottom"/>
          </w:tcPr>
          <w:p>
            <w:pPr>
              <w:spacing w:after="0"/>
              <w:rPr>
                <w:sz w:val="23"/>
                <w:szCs w:val="23"/>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b w:val="1"/>
                <w:bCs w:val="1"/>
                <w:color w:val="auto"/>
              </w:rPr>
              <w:t>383.8</w:t>
            </w:r>
          </w:p>
        </w:tc>
        <w:tc>
          <w:tcPr>
            <w:tcW w:w="380" w:type="dxa"/>
            <w:vAlign w:val="bottom"/>
          </w:tcPr>
          <w:p>
            <w:pPr>
              <w:spacing w:after="0"/>
              <w:rPr>
                <w:sz w:val="23"/>
                <w:szCs w:val="23"/>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75.6</w:t>
            </w:r>
          </w:p>
        </w:tc>
        <w:tc>
          <w:tcPr>
            <w:tcW w:w="40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7080" w:type="dxa"/>
            <w:vAlign w:val="bottom"/>
            <w:shd w:val="clear" w:color="auto" w:fill="D8D8D8"/>
          </w:tcPr>
          <w:p>
            <w:pPr>
              <w:ind w:left="820"/>
              <w:spacing w:after="0"/>
              <w:rPr>
                <w:sz w:val="20"/>
                <w:szCs w:val="20"/>
                <w:color w:val="auto"/>
              </w:rPr>
            </w:pPr>
            <w:r>
              <w:rPr>
                <w:rFonts w:ascii="Arial" w:cs="Arial" w:eastAsia="Arial" w:hAnsi="Arial"/>
                <w:sz w:val="18"/>
                <w:szCs w:val="18"/>
                <w:i w:val="1"/>
                <w:iCs w:val="1"/>
                <w:color w:val="auto"/>
              </w:rPr>
              <w:t>Other Oncology</w:t>
            </w:r>
          </w:p>
        </w:tc>
        <w:tc>
          <w:tcPr>
            <w:tcW w:w="320" w:type="dxa"/>
            <w:vAlign w:val="bottom"/>
            <w:tcBorders>
              <w:bottom w:val="single" w:sz="8" w:color="auto"/>
            </w:tcBorders>
            <w:shd w:val="clear" w:color="auto" w:fill="D8D8D8"/>
          </w:tcPr>
          <w:p>
            <w:pPr>
              <w:spacing w:after="0"/>
              <w:rPr>
                <w:sz w:val="23"/>
                <w:szCs w:val="23"/>
                <w:color w:val="auto"/>
              </w:rPr>
            </w:pPr>
          </w:p>
        </w:tc>
        <w:tc>
          <w:tcPr>
            <w:tcW w:w="1100" w:type="dxa"/>
            <w:vAlign w:val="bottom"/>
            <w:tcBorders>
              <w:bottom w:val="single" w:sz="8" w:color="auto"/>
            </w:tcBorders>
            <w:shd w:val="clear" w:color="auto" w:fill="D8D8D8"/>
          </w:tcPr>
          <w:p>
            <w:pPr>
              <w:jc w:val="right"/>
              <w:ind w:right="71"/>
              <w:spacing w:after="0"/>
              <w:rPr>
                <w:sz w:val="20"/>
                <w:szCs w:val="20"/>
                <w:color w:val="auto"/>
              </w:rPr>
            </w:pPr>
            <w:r>
              <w:rPr>
                <w:rFonts w:ascii="Arial" w:cs="Arial" w:eastAsia="Arial" w:hAnsi="Arial"/>
                <w:sz w:val="18"/>
                <w:szCs w:val="18"/>
                <w:b w:val="1"/>
                <w:bCs w:val="1"/>
                <w:color w:val="auto"/>
              </w:rPr>
              <w:t>147.9</w:t>
            </w:r>
          </w:p>
        </w:tc>
        <w:tc>
          <w:tcPr>
            <w:tcW w:w="380" w:type="dxa"/>
            <w:vAlign w:val="bottom"/>
            <w:tcBorders>
              <w:bottom w:val="single" w:sz="8" w:color="auto"/>
            </w:tcBorders>
            <w:shd w:val="clear" w:color="auto" w:fill="D8D8D8"/>
          </w:tcPr>
          <w:p>
            <w:pPr>
              <w:spacing w:after="0"/>
              <w:rPr>
                <w:sz w:val="23"/>
                <w:szCs w:val="23"/>
                <w:color w:val="auto"/>
              </w:rPr>
            </w:pPr>
          </w:p>
        </w:tc>
        <w:tc>
          <w:tcPr>
            <w:tcW w:w="1100" w:type="dxa"/>
            <w:vAlign w:val="bottom"/>
            <w:tcBorders>
              <w:bottom w:val="single" w:sz="8" w:color="auto"/>
            </w:tcBorders>
            <w:shd w:val="clear" w:color="auto" w:fill="D8D8D8"/>
          </w:tcPr>
          <w:p>
            <w:pPr>
              <w:jc w:val="right"/>
              <w:ind w:right="71"/>
              <w:spacing w:after="0"/>
              <w:rPr>
                <w:sz w:val="20"/>
                <w:szCs w:val="20"/>
                <w:color w:val="auto"/>
              </w:rPr>
            </w:pPr>
            <w:r>
              <w:rPr>
                <w:rFonts w:ascii="Arial" w:cs="Arial" w:eastAsia="Arial" w:hAnsi="Arial"/>
                <w:sz w:val="18"/>
                <w:szCs w:val="18"/>
                <w:color w:val="auto"/>
              </w:rPr>
              <w:t>152.1</w:t>
            </w:r>
          </w:p>
        </w:tc>
        <w:tc>
          <w:tcPr>
            <w:tcW w:w="400" w:type="dxa"/>
            <w:vAlign w:val="bottom"/>
            <w:tcBorders>
              <w:bottom w:val="single" w:sz="8" w:color="auto"/>
            </w:tcBorders>
            <w:shd w:val="clear" w:color="auto" w:fill="D8D8D8"/>
          </w:tcPr>
          <w:p>
            <w:pPr>
              <w:spacing w:after="0"/>
              <w:rPr>
                <w:sz w:val="23"/>
                <w:szCs w:val="23"/>
                <w:color w:val="auto"/>
              </w:rPr>
            </w:pPr>
          </w:p>
        </w:tc>
        <w:tc>
          <w:tcPr>
            <w:tcW w:w="1040" w:type="dxa"/>
            <w:vAlign w:val="bottom"/>
            <w:tcBorders>
              <w:bottom w:val="single" w:sz="8" w:color="auto"/>
            </w:tcBorders>
            <w:shd w:val="clear" w:color="auto" w:fill="D8D8D8"/>
          </w:tcPr>
          <w:p>
            <w:pPr>
              <w:jc w:val="right"/>
              <w:ind w:right="11"/>
              <w:spacing w:after="0"/>
              <w:rPr>
                <w:sz w:val="20"/>
                <w:szCs w:val="20"/>
                <w:color w:val="auto"/>
              </w:rPr>
            </w:pPr>
            <w:r>
              <w:rPr>
                <w:rFonts w:ascii="Arial" w:cs="Arial" w:eastAsia="Arial" w:hAnsi="Arial"/>
                <w:sz w:val="18"/>
                <w:szCs w:val="18"/>
                <w:color w:val="auto"/>
              </w:rPr>
              <w:t>191.8</w:t>
            </w:r>
          </w:p>
        </w:tc>
        <w:tc>
          <w:tcPr>
            <w:tcW w:w="0" w:type="dxa"/>
            <w:vAlign w:val="bottom"/>
          </w:tcPr>
          <w:p>
            <w:pPr>
              <w:spacing w:after="0"/>
              <w:rPr>
                <w:sz w:val="1"/>
                <w:szCs w:val="1"/>
                <w:color w:val="auto"/>
              </w:rPr>
            </w:pPr>
          </w:p>
        </w:tc>
      </w:tr>
      <w:tr>
        <w:trPr>
          <w:trHeight w:val="263"/>
        </w:trPr>
        <w:tc>
          <w:tcPr>
            <w:tcW w:w="7080" w:type="dxa"/>
            <w:vAlign w:val="bottom"/>
          </w:tcPr>
          <w:p>
            <w:pPr>
              <w:ind w:left="720"/>
              <w:spacing w:after="0"/>
              <w:rPr>
                <w:sz w:val="20"/>
                <w:szCs w:val="20"/>
                <w:color w:val="auto"/>
              </w:rPr>
            </w:pPr>
            <w:r>
              <w:rPr>
                <w:rFonts w:ascii="Arial" w:cs="Arial" w:eastAsia="Arial" w:hAnsi="Arial"/>
                <w:sz w:val="18"/>
                <w:szCs w:val="18"/>
                <w:color w:val="auto"/>
              </w:rPr>
              <w:t>Total Oncology</w:t>
            </w:r>
          </w:p>
        </w:tc>
        <w:tc>
          <w:tcPr>
            <w:tcW w:w="320" w:type="dxa"/>
            <w:vAlign w:val="bottom"/>
          </w:tcPr>
          <w:p>
            <w:pPr>
              <w:spacing w:after="0"/>
              <w:rPr>
                <w:sz w:val="22"/>
                <w:szCs w:val="22"/>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b w:val="1"/>
                <w:bCs w:val="1"/>
                <w:color w:val="auto"/>
              </w:rPr>
              <w:t>3,509.8</w:t>
            </w:r>
          </w:p>
        </w:tc>
        <w:tc>
          <w:tcPr>
            <w:tcW w:w="380" w:type="dxa"/>
            <w:vAlign w:val="bottom"/>
          </w:tcPr>
          <w:p>
            <w:pPr>
              <w:spacing w:after="0"/>
              <w:rPr>
                <w:sz w:val="22"/>
                <w:szCs w:val="22"/>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3,393.0</w:t>
            </w:r>
          </w:p>
        </w:tc>
        <w:tc>
          <w:tcPr>
            <w:tcW w:w="400" w:type="dxa"/>
            <w:vAlign w:val="bottom"/>
          </w:tcPr>
          <w:p>
            <w:pPr>
              <w:spacing w:after="0"/>
              <w:rPr>
                <w:sz w:val="22"/>
                <w:szCs w:val="22"/>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3,268.5</w:t>
            </w:r>
          </w:p>
        </w:tc>
        <w:tc>
          <w:tcPr>
            <w:tcW w:w="0" w:type="dxa"/>
            <w:vAlign w:val="bottom"/>
          </w:tcPr>
          <w:p>
            <w:pPr>
              <w:spacing w:after="0"/>
              <w:rPr>
                <w:sz w:val="1"/>
                <w:szCs w:val="1"/>
                <w:color w:val="auto"/>
              </w:rPr>
            </w:pPr>
          </w:p>
        </w:tc>
      </w:tr>
      <w:tr>
        <w:trPr>
          <w:trHeight w:val="163"/>
        </w:trPr>
        <w:tc>
          <w:tcPr>
            <w:tcW w:w="7080" w:type="dxa"/>
            <w:vAlign w:val="bottom"/>
            <w:shd w:val="clear" w:color="auto" w:fill="D8D8D8"/>
          </w:tcPr>
          <w:p>
            <w:pPr>
              <w:spacing w:after="0"/>
              <w:rPr>
                <w:sz w:val="14"/>
                <w:szCs w:val="14"/>
                <w:color w:val="auto"/>
              </w:rPr>
            </w:pPr>
          </w:p>
        </w:tc>
        <w:tc>
          <w:tcPr>
            <w:tcW w:w="320" w:type="dxa"/>
            <w:vAlign w:val="bottom"/>
            <w:shd w:val="clear" w:color="auto" w:fill="D8D8D8"/>
          </w:tcPr>
          <w:p>
            <w:pPr>
              <w:spacing w:after="0"/>
              <w:rPr>
                <w:sz w:val="14"/>
                <w:szCs w:val="14"/>
                <w:color w:val="auto"/>
              </w:rPr>
            </w:pPr>
          </w:p>
        </w:tc>
        <w:tc>
          <w:tcPr>
            <w:tcW w:w="1100" w:type="dxa"/>
            <w:vAlign w:val="bottom"/>
            <w:shd w:val="clear" w:color="auto" w:fill="D8D8D8"/>
          </w:tcPr>
          <w:p>
            <w:pPr>
              <w:spacing w:after="0"/>
              <w:rPr>
                <w:sz w:val="14"/>
                <w:szCs w:val="14"/>
                <w:color w:val="auto"/>
              </w:rPr>
            </w:pPr>
          </w:p>
        </w:tc>
        <w:tc>
          <w:tcPr>
            <w:tcW w:w="380" w:type="dxa"/>
            <w:vAlign w:val="bottom"/>
            <w:shd w:val="clear" w:color="auto" w:fill="D8D8D8"/>
          </w:tcPr>
          <w:p>
            <w:pPr>
              <w:spacing w:after="0"/>
              <w:rPr>
                <w:sz w:val="14"/>
                <w:szCs w:val="14"/>
                <w:color w:val="auto"/>
              </w:rPr>
            </w:pPr>
          </w:p>
        </w:tc>
        <w:tc>
          <w:tcPr>
            <w:tcW w:w="1100" w:type="dxa"/>
            <w:vAlign w:val="bottom"/>
            <w:shd w:val="clear" w:color="auto" w:fill="D8D8D8"/>
          </w:tcPr>
          <w:p>
            <w:pPr>
              <w:spacing w:after="0"/>
              <w:rPr>
                <w:sz w:val="14"/>
                <w:szCs w:val="14"/>
                <w:color w:val="auto"/>
              </w:rPr>
            </w:pPr>
          </w:p>
        </w:tc>
        <w:tc>
          <w:tcPr>
            <w:tcW w:w="400" w:type="dxa"/>
            <w:vAlign w:val="bottom"/>
            <w:shd w:val="clear" w:color="auto" w:fill="D8D8D8"/>
          </w:tcPr>
          <w:p>
            <w:pPr>
              <w:spacing w:after="0"/>
              <w:rPr>
                <w:sz w:val="14"/>
                <w:szCs w:val="14"/>
                <w:color w:val="auto"/>
              </w:rPr>
            </w:pPr>
          </w:p>
        </w:tc>
        <w:tc>
          <w:tcPr>
            <w:tcW w:w="1040" w:type="dxa"/>
            <w:vAlign w:val="bottom"/>
            <w:shd w:val="clear" w:color="auto" w:fill="D8D8D8"/>
          </w:tcPr>
          <w:p>
            <w:pPr>
              <w:spacing w:after="0"/>
              <w:rPr>
                <w:sz w:val="14"/>
                <w:szCs w:val="14"/>
                <w:color w:val="auto"/>
              </w:rPr>
            </w:pPr>
          </w:p>
        </w:tc>
        <w:tc>
          <w:tcPr>
            <w:tcW w:w="0" w:type="dxa"/>
            <w:vAlign w:val="bottom"/>
          </w:tcPr>
          <w:p>
            <w:pPr>
              <w:spacing w:after="0"/>
              <w:rPr>
                <w:sz w:val="1"/>
                <w:szCs w:val="1"/>
                <w:color w:val="auto"/>
              </w:rPr>
            </w:pPr>
          </w:p>
        </w:tc>
      </w:tr>
      <w:tr>
        <w:trPr>
          <w:trHeight w:val="247"/>
        </w:trPr>
        <w:tc>
          <w:tcPr>
            <w:tcW w:w="7080" w:type="dxa"/>
            <w:vAlign w:val="bottom"/>
          </w:tcPr>
          <w:p>
            <w:pPr>
              <w:ind w:left="460"/>
              <w:spacing w:after="0"/>
              <w:rPr>
                <w:sz w:val="20"/>
                <w:szCs w:val="20"/>
                <w:color w:val="auto"/>
              </w:rPr>
            </w:pPr>
            <w:r>
              <w:rPr>
                <w:rFonts w:ascii="Arial" w:cs="Arial" w:eastAsia="Arial" w:hAnsi="Arial"/>
                <w:sz w:val="18"/>
                <w:szCs w:val="18"/>
                <w:color w:val="auto"/>
              </w:rPr>
              <w:t>Cardiovascular:</w:t>
            </w: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shd w:val="clear" w:color="auto" w:fill="D8D8D8"/>
          </w:tcPr>
          <w:p>
            <w:pPr>
              <w:ind w:left="820"/>
              <w:spacing w:after="0"/>
              <w:rPr>
                <w:sz w:val="20"/>
                <w:szCs w:val="20"/>
                <w:color w:val="auto"/>
              </w:rPr>
            </w:pPr>
            <w:r>
              <w:rPr>
                <w:rFonts w:ascii="Arial" w:cs="Arial" w:eastAsia="Arial" w:hAnsi="Arial"/>
                <w:sz w:val="18"/>
                <w:szCs w:val="18"/>
                <w:i w:val="1"/>
                <w:iCs w:val="1"/>
                <w:color w:val="auto"/>
              </w:rPr>
              <w:t>Cialis</w:t>
            </w:r>
            <w:r>
              <w:rPr>
                <w:rFonts w:ascii="Arial" w:cs="Arial" w:eastAsia="Arial" w:hAnsi="Arial"/>
                <w:sz w:val="21"/>
                <w:szCs w:val="21"/>
                <w:i w:val="1"/>
                <w:iCs w:val="1"/>
                <w:color w:val="auto"/>
                <w:vertAlign w:val="superscript"/>
              </w:rPr>
              <w:t>®</w:t>
            </w:r>
          </w:p>
        </w:tc>
        <w:tc>
          <w:tcPr>
            <w:tcW w:w="320" w:type="dxa"/>
            <w:vAlign w:val="bottom"/>
            <w:shd w:val="clear" w:color="auto" w:fill="D8D8D8"/>
          </w:tcPr>
          <w:p>
            <w:pPr>
              <w:spacing w:after="0"/>
              <w:rPr>
                <w:sz w:val="23"/>
                <w:szCs w:val="23"/>
                <w:color w:val="auto"/>
              </w:rPr>
            </w:pPr>
          </w:p>
        </w:tc>
        <w:tc>
          <w:tcPr>
            <w:tcW w:w="1100" w:type="dxa"/>
            <w:vAlign w:val="bottom"/>
            <w:shd w:val="clear" w:color="auto" w:fill="D8D8D8"/>
          </w:tcPr>
          <w:p>
            <w:pPr>
              <w:jc w:val="right"/>
              <w:ind w:right="71"/>
              <w:spacing w:after="0"/>
              <w:rPr>
                <w:sz w:val="20"/>
                <w:szCs w:val="20"/>
                <w:color w:val="auto"/>
              </w:rPr>
            </w:pPr>
            <w:r>
              <w:rPr>
                <w:rFonts w:ascii="Arial" w:cs="Arial" w:eastAsia="Arial" w:hAnsi="Arial"/>
                <w:sz w:val="18"/>
                <w:szCs w:val="18"/>
                <w:b w:val="1"/>
                <w:bCs w:val="1"/>
                <w:color w:val="auto"/>
              </w:rPr>
              <w:t>2,310.7</w:t>
            </w:r>
          </w:p>
        </w:tc>
        <w:tc>
          <w:tcPr>
            <w:tcW w:w="380" w:type="dxa"/>
            <w:vAlign w:val="bottom"/>
            <w:shd w:val="clear" w:color="auto" w:fill="D8D8D8"/>
          </w:tcPr>
          <w:p>
            <w:pPr>
              <w:spacing w:after="0"/>
              <w:rPr>
                <w:sz w:val="23"/>
                <w:szCs w:val="23"/>
                <w:color w:val="auto"/>
              </w:rPr>
            </w:pPr>
          </w:p>
        </w:tc>
        <w:tc>
          <w:tcPr>
            <w:tcW w:w="1100" w:type="dxa"/>
            <w:vAlign w:val="bottom"/>
            <w:shd w:val="clear" w:color="auto" w:fill="D8D8D8"/>
          </w:tcPr>
          <w:p>
            <w:pPr>
              <w:jc w:val="right"/>
              <w:ind w:right="71"/>
              <w:spacing w:after="0"/>
              <w:rPr>
                <w:sz w:val="20"/>
                <w:szCs w:val="20"/>
                <w:color w:val="auto"/>
              </w:rPr>
            </w:pPr>
            <w:r>
              <w:rPr>
                <w:rFonts w:ascii="Arial" w:cs="Arial" w:eastAsia="Arial" w:hAnsi="Arial"/>
                <w:sz w:val="18"/>
                <w:szCs w:val="18"/>
                <w:color w:val="auto"/>
              </w:rPr>
              <w:t>2,291.0</w:t>
            </w:r>
          </w:p>
        </w:tc>
        <w:tc>
          <w:tcPr>
            <w:tcW w:w="400" w:type="dxa"/>
            <w:vAlign w:val="bottom"/>
            <w:shd w:val="clear" w:color="auto" w:fill="D8D8D8"/>
          </w:tcPr>
          <w:p>
            <w:pPr>
              <w:spacing w:after="0"/>
              <w:rPr>
                <w:sz w:val="23"/>
                <w:szCs w:val="23"/>
                <w:color w:val="auto"/>
              </w:rPr>
            </w:pPr>
          </w:p>
        </w:tc>
        <w:tc>
          <w:tcPr>
            <w:tcW w:w="1040" w:type="dxa"/>
            <w:vAlign w:val="bottom"/>
            <w:shd w:val="clear" w:color="auto" w:fill="D8D8D8"/>
          </w:tcPr>
          <w:p>
            <w:pPr>
              <w:jc w:val="right"/>
              <w:ind w:right="11"/>
              <w:spacing w:after="0"/>
              <w:rPr>
                <w:sz w:val="20"/>
                <w:szCs w:val="20"/>
                <w:color w:val="auto"/>
              </w:rPr>
            </w:pPr>
            <w:r>
              <w:rPr>
                <w:rFonts w:ascii="Arial" w:cs="Arial" w:eastAsia="Arial" w:hAnsi="Arial"/>
                <w:sz w:val="18"/>
                <w:szCs w:val="18"/>
                <w:color w:val="auto"/>
              </w:rPr>
              <w:t>2,159.4</w:t>
            </w:r>
          </w:p>
        </w:tc>
        <w:tc>
          <w:tcPr>
            <w:tcW w:w="0" w:type="dxa"/>
            <w:vAlign w:val="bottom"/>
          </w:tcPr>
          <w:p>
            <w:pPr>
              <w:spacing w:after="0"/>
              <w:rPr>
                <w:sz w:val="1"/>
                <w:szCs w:val="1"/>
                <w:color w:val="auto"/>
              </w:rPr>
            </w:pPr>
          </w:p>
        </w:tc>
      </w:tr>
      <w:tr>
        <w:trPr>
          <w:trHeight w:val="269"/>
        </w:trPr>
        <w:tc>
          <w:tcPr>
            <w:tcW w:w="7080" w:type="dxa"/>
            <w:vAlign w:val="bottom"/>
          </w:tcPr>
          <w:p>
            <w:pPr>
              <w:ind w:left="820"/>
              <w:spacing w:after="0"/>
              <w:rPr>
                <w:sz w:val="20"/>
                <w:szCs w:val="20"/>
                <w:color w:val="auto"/>
              </w:rPr>
            </w:pPr>
            <w:r>
              <w:rPr>
                <w:rFonts w:ascii="Arial" w:cs="Arial" w:eastAsia="Arial" w:hAnsi="Arial"/>
                <w:sz w:val="18"/>
                <w:szCs w:val="18"/>
                <w:i w:val="1"/>
                <w:iCs w:val="1"/>
                <w:color w:val="auto"/>
              </w:rPr>
              <w:t>Effient</w:t>
            </w:r>
          </w:p>
        </w:tc>
        <w:tc>
          <w:tcPr>
            <w:tcW w:w="320" w:type="dxa"/>
            <w:vAlign w:val="bottom"/>
          </w:tcPr>
          <w:p>
            <w:pPr>
              <w:spacing w:after="0"/>
              <w:rPr>
                <w:sz w:val="23"/>
                <w:szCs w:val="23"/>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b w:val="1"/>
                <w:bCs w:val="1"/>
                <w:color w:val="auto"/>
              </w:rPr>
              <w:t>523.0</w:t>
            </w:r>
          </w:p>
        </w:tc>
        <w:tc>
          <w:tcPr>
            <w:tcW w:w="380" w:type="dxa"/>
            <w:vAlign w:val="bottom"/>
          </w:tcPr>
          <w:p>
            <w:pPr>
              <w:spacing w:after="0"/>
              <w:rPr>
                <w:sz w:val="23"/>
                <w:szCs w:val="23"/>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522.2</w:t>
            </w:r>
          </w:p>
        </w:tc>
        <w:tc>
          <w:tcPr>
            <w:tcW w:w="40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508.7</w:t>
            </w:r>
          </w:p>
        </w:tc>
        <w:tc>
          <w:tcPr>
            <w:tcW w:w="0" w:type="dxa"/>
            <w:vAlign w:val="bottom"/>
          </w:tcPr>
          <w:p>
            <w:pPr>
              <w:spacing w:after="0"/>
              <w:rPr>
                <w:sz w:val="1"/>
                <w:szCs w:val="1"/>
                <w:color w:val="auto"/>
              </w:rPr>
            </w:pPr>
          </w:p>
        </w:tc>
      </w:tr>
      <w:tr>
        <w:trPr>
          <w:trHeight w:val="271"/>
        </w:trPr>
        <w:tc>
          <w:tcPr>
            <w:tcW w:w="7080" w:type="dxa"/>
            <w:vAlign w:val="bottom"/>
            <w:shd w:val="clear" w:color="auto" w:fill="D8D8D8"/>
          </w:tcPr>
          <w:p>
            <w:pPr>
              <w:ind w:left="820"/>
              <w:spacing w:after="0"/>
              <w:rPr>
                <w:sz w:val="20"/>
                <w:szCs w:val="20"/>
                <w:color w:val="auto"/>
              </w:rPr>
            </w:pPr>
            <w:r>
              <w:rPr>
                <w:rFonts w:ascii="Arial" w:cs="Arial" w:eastAsia="Arial" w:hAnsi="Arial"/>
                <w:sz w:val="18"/>
                <w:szCs w:val="18"/>
                <w:i w:val="1"/>
                <w:iCs w:val="1"/>
                <w:color w:val="auto"/>
              </w:rPr>
              <w:t>Other Cardiovascular</w:t>
            </w:r>
          </w:p>
        </w:tc>
        <w:tc>
          <w:tcPr>
            <w:tcW w:w="320" w:type="dxa"/>
            <w:vAlign w:val="bottom"/>
            <w:tcBorders>
              <w:bottom w:val="single" w:sz="8" w:color="auto"/>
            </w:tcBorders>
            <w:shd w:val="clear" w:color="auto" w:fill="D8D8D8"/>
          </w:tcPr>
          <w:p>
            <w:pPr>
              <w:spacing w:after="0"/>
              <w:rPr>
                <w:sz w:val="23"/>
                <w:szCs w:val="23"/>
                <w:color w:val="auto"/>
              </w:rPr>
            </w:pPr>
          </w:p>
        </w:tc>
        <w:tc>
          <w:tcPr>
            <w:tcW w:w="1100" w:type="dxa"/>
            <w:vAlign w:val="bottom"/>
            <w:tcBorders>
              <w:bottom w:val="single" w:sz="8" w:color="auto"/>
            </w:tcBorders>
            <w:shd w:val="clear" w:color="auto" w:fill="D8D8D8"/>
          </w:tcPr>
          <w:p>
            <w:pPr>
              <w:jc w:val="right"/>
              <w:ind w:right="71"/>
              <w:spacing w:after="0"/>
              <w:rPr>
                <w:sz w:val="20"/>
                <w:szCs w:val="20"/>
                <w:color w:val="auto"/>
              </w:rPr>
            </w:pPr>
            <w:r>
              <w:rPr>
                <w:rFonts w:ascii="Arial" w:cs="Arial" w:eastAsia="Arial" w:hAnsi="Arial"/>
                <w:sz w:val="18"/>
                <w:szCs w:val="18"/>
                <w:b w:val="1"/>
                <w:bCs w:val="1"/>
                <w:color w:val="auto"/>
              </w:rPr>
              <w:t>234.3</w:t>
            </w:r>
          </w:p>
        </w:tc>
        <w:tc>
          <w:tcPr>
            <w:tcW w:w="380" w:type="dxa"/>
            <w:vAlign w:val="bottom"/>
            <w:tcBorders>
              <w:bottom w:val="single" w:sz="8" w:color="auto"/>
            </w:tcBorders>
            <w:shd w:val="clear" w:color="auto" w:fill="D8D8D8"/>
          </w:tcPr>
          <w:p>
            <w:pPr>
              <w:spacing w:after="0"/>
              <w:rPr>
                <w:sz w:val="23"/>
                <w:szCs w:val="23"/>
                <w:color w:val="auto"/>
              </w:rPr>
            </w:pPr>
          </w:p>
        </w:tc>
        <w:tc>
          <w:tcPr>
            <w:tcW w:w="1100" w:type="dxa"/>
            <w:vAlign w:val="bottom"/>
            <w:tcBorders>
              <w:bottom w:val="single" w:sz="8" w:color="auto"/>
            </w:tcBorders>
            <w:shd w:val="clear" w:color="auto" w:fill="D8D8D8"/>
          </w:tcPr>
          <w:p>
            <w:pPr>
              <w:jc w:val="right"/>
              <w:ind w:right="71"/>
              <w:spacing w:after="0"/>
              <w:rPr>
                <w:sz w:val="20"/>
                <w:szCs w:val="20"/>
                <w:color w:val="auto"/>
              </w:rPr>
            </w:pPr>
            <w:r>
              <w:rPr>
                <w:rFonts w:ascii="Arial" w:cs="Arial" w:eastAsia="Arial" w:hAnsi="Arial"/>
                <w:sz w:val="18"/>
                <w:szCs w:val="18"/>
                <w:color w:val="auto"/>
              </w:rPr>
              <w:t>240.3</w:t>
            </w:r>
          </w:p>
        </w:tc>
        <w:tc>
          <w:tcPr>
            <w:tcW w:w="400" w:type="dxa"/>
            <w:vAlign w:val="bottom"/>
            <w:tcBorders>
              <w:bottom w:val="single" w:sz="8" w:color="auto"/>
            </w:tcBorders>
            <w:shd w:val="clear" w:color="auto" w:fill="D8D8D8"/>
          </w:tcPr>
          <w:p>
            <w:pPr>
              <w:spacing w:after="0"/>
              <w:rPr>
                <w:sz w:val="23"/>
                <w:szCs w:val="23"/>
                <w:color w:val="auto"/>
              </w:rPr>
            </w:pPr>
          </w:p>
        </w:tc>
        <w:tc>
          <w:tcPr>
            <w:tcW w:w="1040" w:type="dxa"/>
            <w:vAlign w:val="bottom"/>
            <w:tcBorders>
              <w:bottom w:val="single" w:sz="8" w:color="auto"/>
            </w:tcBorders>
            <w:shd w:val="clear" w:color="auto" w:fill="D8D8D8"/>
          </w:tcPr>
          <w:p>
            <w:pPr>
              <w:jc w:val="right"/>
              <w:ind w:right="11"/>
              <w:spacing w:after="0"/>
              <w:rPr>
                <w:sz w:val="20"/>
                <w:szCs w:val="20"/>
                <w:color w:val="auto"/>
              </w:rPr>
            </w:pPr>
            <w:r>
              <w:rPr>
                <w:rFonts w:ascii="Arial" w:cs="Arial" w:eastAsia="Arial" w:hAnsi="Arial"/>
                <w:sz w:val="18"/>
                <w:szCs w:val="18"/>
                <w:color w:val="auto"/>
              </w:rPr>
              <w:t>255.1</w:t>
            </w:r>
          </w:p>
        </w:tc>
        <w:tc>
          <w:tcPr>
            <w:tcW w:w="0" w:type="dxa"/>
            <w:vAlign w:val="bottom"/>
          </w:tcPr>
          <w:p>
            <w:pPr>
              <w:spacing w:after="0"/>
              <w:rPr>
                <w:sz w:val="1"/>
                <w:szCs w:val="1"/>
                <w:color w:val="auto"/>
              </w:rPr>
            </w:pPr>
          </w:p>
        </w:tc>
      </w:tr>
      <w:tr>
        <w:trPr>
          <w:trHeight w:val="263"/>
        </w:trPr>
        <w:tc>
          <w:tcPr>
            <w:tcW w:w="7080" w:type="dxa"/>
            <w:vAlign w:val="bottom"/>
          </w:tcPr>
          <w:p>
            <w:pPr>
              <w:ind w:left="720"/>
              <w:spacing w:after="0"/>
              <w:rPr>
                <w:sz w:val="20"/>
                <w:szCs w:val="20"/>
                <w:color w:val="auto"/>
              </w:rPr>
            </w:pPr>
            <w:r>
              <w:rPr>
                <w:rFonts w:ascii="Arial" w:cs="Arial" w:eastAsia="Arial" w:hAnsi="Arial"/>
                <w:sz w:val="18"/>
                <w:szCs w:val="18"/>
                <w:color w:val="auto"/>
              </w:rPr>
              <w:t>Total Cardiovascular</w:t>
            </w:r>
          </w:p>
        </w:tc>
        <w:tc>
          <w:tcPr>
            <w:tcW w:w="320" w:type="dxa"/>
            <w:vAlign w:val="bottom"/>
          </w:tcPr>
          <w:p>
            <w:pPr>
              <w:spacing w:after="0"/>
              <w:rPr>
                <w:sz w:val="22"/>
                <w:szCs w:val="22"/>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b w:val="1"/>
                <w:bCs w:val="1"/>
                <w:color w:val="auto"/>
              </w:rPr>
              <w:t>3,068.0</w:t>
            </w:r>
          </w:p>
        </w:tc>
        <w:tc>
          <w:tcPr>
            <w:tcW w:w="380" w:type="dxa"/>
            <w:vAlign w:val="bottom"/>
          </w:tcPr>
          <w:p>
            <w:pPr>
              <w:spacing w:after="0"/>
              <w:rPr>
                <w:sz w:val="22"/>
                <w:szCs w:val="22"/>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3,053.5</w:t>
            </w:r>
          </w:p>
        </w:tc>
        <w:tc>
          <w:tcPr>
            <w:tcW w:w="400" w:type="dxa"/>
            <w:vAlign w:val="bottom"/>
          </w:tcPr>
          <w:p>
            <w:pPr>
              <w:spacing w:after="0"/>
              <w:rPr>
                <w:sz w:val="22"/>
                <w:szCs w:val="22"/>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2,923.2</w:t>
            </w:r>
          </w:p>
        </w:tc>
        <w:tc>
          <w:tcPr>
            <w:tcW w:w="0" w:type="dxa"/>
            <w:vAlign w:val="bottom"/>
          </w:tcPr>
          <w:p>
            <w:pPr>
              <w:spacing w:after="0"/>
              <w:rPr>
                <w:sz w:val="1"/>
                <w:szCs w:val="1"/>
                <w:color w:val="auto"/>
              </w:rPr>
            </w:pPr>
          </w:p>
        </w:tc>
      </w:tr>
      <w:tr>
        <w:trPr>
          <w:trHeight w:val="163"/>
        </w:trPr>
        <w:tc>
          <w:tcPr>
            <w:tcW w:w="7080" w:type="dxa"/>
            <w:vAlign w:val="bottom"/>
            <w:shd w:val="clear" w:color="auto" w:fill="D8D8D8"/>
          </w:tcPr>
          <w:p>
            <w:pPr>
              <w:spacing w:after="0"/>
              <w:rPr>
                <w:sz w:val="14"/>
                <w:szCs w:val="14"/>
                <w:color w:val="auto"/>
              </w:rPr>
            </w:pPr>
          </w:p>
        </w:tc>
        <w:tc>
          <w:tcPr>
            <w:tcW w:w="320" w:type="dxa"/>
            <w:vAlign w:val="bottom"/>
            <w:shd w:val="clear" w:color="auto" w:fill="D8D8D8"/>
          </w:tcPr>
          <w:p>
            <w:pPr>
              <w:spacing w:after="0"/>
              <w:rPr>
                <w:sz w:val="14"/>
                <w:szCs w:val="14"/>
                <w:color w:val="auto"/>
              </w:rPr>
            </w:pPr>
          </w:p>
        </w:tc>
        <w:tc>
          <w:tcPr>
            <w:tcW w:w="1100" w:type="dxa"/>
            <w:vAlign w:val="bottom"/>
            <w:shd w:val="clear" w:color="auto" w:fill="D8D8D8"/>
          </w:tcPr>
          <w:p>
            <w:pPr>
              <w:spacing w:after="0"/>
              <w:rPr>
                <w:sz w:val="14"/>
                <w:szCs w:val="14"/>
                <w:color w:val="auto"/>
              </w:rPr>
            </w:pPr>
          </w:p>
        </w:tc>
        <w:tc>
          <w:tcPr>
            <w:tcW w:w="380" w:type="dxa"/>
            <w:vAlign w:val="bottom"/>
            <w:shd w:val="clear" w:color="auto" w:fill="D8D8D8"/>
          </w:tcPr>
          <w:p>
            <w:pPr>
              <w:spacing w:after="0"/>
              <w:rPr>
                <w:sz w:val="14"/>
                <w:szCs w:val="14"/>
                <w:color w:val="auto"/>
              </w:rPr>
            </w:pPr>
          </w:p>
        </w:tc>
        <w:tc>
          <w:tcPr>
            <w:tcW w:w="1100" w:type="dxa"/>
            <w:vAlign w:val="bottom"/>
            <w:shd w:val="clear" w:color="auto" w:fill="D8D8D8"/>
          </w:tcPr>
          <w:p>
            <w:pPr>
              <w:spacing w:after="0"/>
              <w:rPr>
                <w:sz w:val="14"/>
                <w:szCs w:val="14"/>
                <w:color w:val="auto"/>
              </w:rPr>
            </w:pPr>
          </w:p>
        </w:tc>
        <w:tc>
          <w:tcPr>
            <w:tcW w:w="400" w:type="dxa"/>
            <w:vAlign w:val="bottom"/>
            <w:shd w:val="clear" w:color="auto" w:fill="D8D8D8"/>
          </w:tcPr>
          <w:p>
            <w:pPr>
              <w:spacing w:after="0"/>
              <w:rPr>
                <w:sz w:val="14"/>
                <w:szCs w:val="14"/>
                <w:color w:val="auto"/>
              </w:rPr>
            </w:pPr>
          </w:p>
        </w:tc>
        <w:tc>
          <w:tcPr>
            <w:tcW w:w="1040" w:type="dxa"/>
            <w:vAlign w:val="bottom"/>
            <w:shd w:val="clear" w:color="auto" w:fill="D8D8D8"/>
          </w:tcPr>
          <w:p>
            <w:pPr>
              <w:spacing w:after="0"/>
              <w:rPr>
                <w:sz w:val="14"/>
                <w:szCs w:val="14"/>
                <w:color w:val="auto"/>
              </w:rPr>
            </w:pPr>
          </w:p>
        </w:tc>
        <w:tc>
          <w:tcPr>
            <w:tcW w:w="0" w:type="dxa"/>
            <w:vAlign w:val="bottom"/>
          </w:tcPr>
          <w:p>
            <w:pPr>
              <w:spacing w:after="0"/>
              <w:rPr>
                <w:sz w:val="1"/>
                <w:szCs w:val="1"/>
                <w:color w:val="auto"/>
              </w:rPr>
            </w:pPr>
          </w:p>
        </w:tc>
      </w:tr>
      <w:tr>
        <w:trPr>
          <w:trHeight w:val="269"/>
        </w:trPr>
        <w:tc>
          <w:tcPr>
            <w:tcW w:w="7080" w:type="dxa"/>
            <w:vAlign w:val="bottom"/>
            <w:tcBorders>
              <w:bottom w:val="single" w:sz="8" w:color="D8D8D8"/>
            </w:tcBorders>
          </w:tcPr>
          <w:p>
            <w:pPr>
              <w:ind w:left="720"/>
              <w:spacing w:after="0"/>
              <w:rPr>
                <w:sz w:val="20"/>
                <w:szCs w:val="20"/>
                <w:color w:val="auto"/>
              </w:rPr>
            </w:pPr>
            <w:r>
              <w:rPr>
                <w:rFonts w:ascii="Arial" w:cs="Arial" w:eastAsia="Arial" w:hAnsi="Arial"/>
                <w:sz w:val="18"/>
                <w:szCs w:val="18"/>
                <w:color w:val="auto"/>
              </w:rPr>
              <w:t>Other pharmaceuticals</w:t>
            </w:r>
          </w:p>
        </w:tc>
        <w:tc>
          <w:tcPr>
            <w:tcW w:w="32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227.7</w:t>
            </w:r>
          </w:p>
        </w:tc>
        <w:tc>
          <w:tcPr>
            <w:tcW w:w="38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287.0</w:t>
            </w:r>
          </w:p>
        </w:tc>
        <w:tc>
          <w:tcPr>
            <w:tcW w:w="4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249.3</w:t>
            </w:r>
          </w:p>
        </w:tc>
        <w:tc>
          <w:tcPr>
            <w:tcW w:w="0" w:type="dxa"/>
            <w:vAlign w:val="bottom"/>
          </w:tcPr>
          <w:p>
            <w:pPr>
              <w:spacing w:after="0"/>
              <w:rPr>
                <w:sz w:val="1"/>
                <w:szCs w:val="1"/>
                <w:color w:val="auto"/>
              </w:rPr>
            </w:pPr>
          </w:p>
        </w:tc>
      </w:tr>
      <w:tr>
        <w:trPr>
          <w:trHeight w:val="264"/>
        </w:trPr>
        <w:tc>
          <w:tcPr>
            <w:tcW w:w="7080" w:type="dxa"/>
            <w:vAlign w:val="bottom"/>
            <w:shd w:val="clear" w:color="auto" w:fill="D8D8D8"/>
          </w:tcPr>
          <w:p>
            <w:pPr>
              <w:ind w:left="280"/>
              <w:spacing w:after="0"/>
              <w:rPr>
                <w:sz w:val="20"/>
                <w:szCs w:val="20"/>
                <w:color w:val="auto"/>
              </w:rPr>
            </w:pPr>
            <w:r>
              <w:rPr>
                <w:rFonts w:ascii="Arial" w:cs="Arial" w:eastAsia="Arial" w:hAnsi="Arial"/>
                <w:sz w:val="18"/>
                <w:szCs w:val="18"/>
                <w:color w:val="auto"/>
              </w:rPr>
              <w:t>Total human pharmaceutical products</w:t>
            </w:r>
          </w:p>
        </w:tc>
        <w:tc>
          <w:tcPr>
            <w:tcW w:w="320" w:type="dxa"/>
            <w:vAlign w:val="bottom"/>
            <w:shd w:val="clear" w:color="auto" w:fill="D8D8D8"/>
          </w:tcPr>
          <w:p>
            <w:pPr>
              <w:spacing w:after="0"/>
              <w:rPr>
                <w:sz w:val="22"/>
                <w:szCs w:val="22"/>
                <w:color w:val="auto"/>
              </w:rPr>
            </w:pPr>
          </w:p>
        </w:tc>
        <w:tc>
          <w:tcPr>
            <w:tcW w:w="1100" w:type="dxa"/>
            <w:vAlign w:val="bottom"/>
            <w:shd w:val="clear" w:color="auto" w:fill="D8D8D8"/>
          </w:tcPr>
          <w:p>
            <w:pPr>
              <w:jc w:val="right"/>
              <w:ind w:right="71"/>
              <w:spacing w:after="0"/>
              <w:rPr>
                <w:sz w:val="20"/>
                <w:szCs w:val="20"/>
                <w:color w:val="auto"/>
              </w:rPr>
            </w:pPr>
            <w:r>
              <w:rPr>
                <w:rFonts w:ascii="Arial" w:cs="Arial" w:eastAsia="Arial" w:hAnsi="Arial"/>
                <w:sz w:val="18"/>
                <w:szCs w:val="18"/>
                <w:b w:val="1"/>
                <w:bCs w:val="1"/>
                <w:color w:val="auto"/>
              </w:rPr>
              <w:t>16,777.7</w:t>
            </w:r>
          </w:p>
        </w:tc>
        <w:tc>
          <w:tcPr>
            <w:tcW w:w="380" w:type="dxa"/>
            <w:vAlign w:val="bottom"/>
            <w:shd w:val="clear" w:color="auto" w:fill="D8D8D8"/>
          </w:tcPr>
          <w:p>
            <w:pPr>
              <w:spacing w:after="0"/>
              <w:rPr>
                <w:sz w:val="22"/>
                <w:szCs w:val="22"/>
                <w:color w:val="auto"/>
              </w:rPr>
            </w:pPr>
          </w:p>
        </w:tc>
        <w:tc>
          <w:tcPr>
            <w:tcW w:w="1100" w:type="dxa"/>
            <w:vAlign w:val="bottom"/>
            <w:shd w:val="clear" w:color="auto" w:fill="D8D8D8"/>
          </w:tcPr>
          <w:p>
            <w:pPr>
              <w:jc w:val="right"/>
              <w:ind w:right="71"/>
              <w:spacing w:after="0"/>
              <w:rPr>
                <w:sz w:val="20"/>
                <w:szCs w:val="20"/>
                <w:color w:val="auto"/>
              </w:rPr>
            </w:pPr>
            <w:r>
              <w:rPr>
                <w:rFonts w:ascii="Arial" w:cs="Arial" w:eastAsia="Arial" w:hAnsi="Arial"/>
                <w:sz w:val="18"/>
                <w:szCs w:val="18"/>
                <w:color w:val="auto"/>
              </w:rPr>
              <w:t>17,269.0</w:t>
            </w:r>
          </w:p>
        </w:tc>
        <w:tc>
          <w:tcPr>
            <w:tcW w:w="400" w:type="dxa"/>
            <w:vAlign w:val="bottom"/>
            <w:shd w:val="clear" w:color="auto" w:fill="D8D8D8"/>
          </w:tcPr>
          <w:p>
            <w:pPr>
              <w:spacing w:after="0"/>
              <w:rPr>
                <w:sz w:val="22"/>
                <w:szCs w:val="22"/>
                <w:color w:val="auto"/>
              </w:rPr>
            </w:pPr>
          </w:p>
        </w:tc>
        <w:tc>
          <w:tcPr>
            <w:tcW w:w="1040" w:type="dxa"/>
            <w:vAlign w:val="bottom"/>
            <w:shd w:val="clear" w:color="auto" w:fill="D8D8D8"/>
          </w:tcPr>
          <w:p>
            <w:pPr>
              <w:jc w:val="right"/>
              <w:ind w:right="11"/>
              <w:spacing w:after="0"/>
              <w:rPr>
                <w:sz w:val="20"/>
                <w:szCs w:val="20"/>
                <w:color w:val="auto"/>
              </w:rPr>
            </w:pPr>
            <w:r>
              <w:rPr>
                <w:rFonts w:ascii="Arial" w:cs="Arial" w:eastAsia="Arial" w:hAnsi="Arial"/>
                <w:sz w:val="18"/>
                <w:szCs w:val="18"/>
                <w:color w:val="auto"/>
              </w:rPr>
              <w:t>20,961.6</w:t>
            </w:r>
          </w:p>
        </w:tc>
        <w:tc>
          <w:tcPr>
            <w:tcW w:w="0" w:type="dxa"/>
            <w:vAlign w:val="bottom"/>
          </w:tcPr>
          <w:p>
            <w:pPr>
              <w:spacing w:after="0"/>
              <w:rPr>
                <w:sz w:val="1"/>
                <w:szCs w:val="1"/>
                <w:color w:val="auto"/>
              </w:rPr>
            </w:pPr>
          </w:p>
        </w:tc>
      </w:tr>
      <w:tr>
        <w:trPr>
          <w:trHeight w:val="269"/>
        </w:trPr>
        <w:tc>
          <w:tcPr>
            <w:tcW w:w="7080" w:type="dxa"/>
            <w:vAlign w:val="bottom"/>
            <w:tcBorders>
              <w:bottom w:val="single" w:sz="8" w:color="D8D8D8"/>
            </w:tcBorders>
          </w:tcPr>
          <w:p>
            <w:pPr>
              <w:ind w:left="280"/>
              <w:spacing w:after="0"/>
              <w:rPr>
                <w:sz w:val="20"/>
                <w:szCs w:val="20"/>
                <w:color w:val="auto"/>
              </w:rPr>
            </w:pPr>
            <w:r>
              <w:rPr>
                <w:rFonts w:ascii="Arial" w:cs="Arial" w:eastAsia="Arial" w:hAnsi="Arial"/>
                <w:sz w:val="18"/>
                <w:szCs w:val="18"/>
                <w:color w:val="auto"/>
              </w:rPr>
              <w:t>Animal health</w:t>
            </w:r>
          </w:p>
        </w:tc>
        <w:tc>
          <w:tcPr>
            <w:tcW w:w="32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3,181.0</w:t>
            </w:r>
          </w:p>
        </w:tc>
        <w:tc>
          <w:tcPr>
            <w:tcW w:w="38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2,346.6</w:t>
            </w:r>
          </w:p>
        </w:tc>
        <w:tc>
          <w:tcPr>
            <w:tcW w:w="4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2,151.5</w:t>
            </w:r>
          </w:p>
        </w:tc>
        <w:tc>
          <w:tcPr>
            <w:tcW w:w="0" w:type="dxa"/>
            <w:vAlign w:val="bottom"/>
          </w:tcPr>
          <w:p>
            <w:pPr>
              <w:spacing w:after="0"/>
              <w:rPr>
                <w:sz w:val="1"/>
                <w:szCs w:val="1"/>
                <w:color w:val="auto"/>
              </w:rPr>
            </w:pPr>
          </w:p>
        </w:tc>
      </w:tr>
      <w:tr>
        <w:trPr>
          <w:trHeight w:val="271"/>
        </w:trPr>
        <w:tc>
          <w:tcPr>
            <w:tcW w:w="7080" w:type="dxa"/>
            <w:vAlign w:val="bottom"/>
            <w:tcBorders>
              <w:bottom w:val="single" w:sz="8" w:color="D8D8D8"/>
            </w:tcBorders>
            <w:shd w:val="clear" w:color="auto" w:fill="D8D8D8"/>
          </w:tcPr>
          <w:p>
            <w:pPr>
              <w:ind w:left="40"/>
              <w:spacing w:after="0"/>
              <w:rPr>
                <w:sz w:val="20"/>
                <w:szCs w:val="20"/>
                <w:color w:val="auto"/>
              </w:rPr>
            </w:pPr>
            <w:r>
              <w:rPr>
                <w:rFonts w:ascii="Arial" w:cs="Arial" w:eastAsia="Arial" w:hAnsi="Arial"/>
                <w:sz w:val="18"/>
                <w:szCs w:val="18"/>
                <w:color w:val="auto"/>
              </w:rPr>
              <w:t>Revenue</w:t>
            </w:r>
          </w:p>
        </w:tc>
        <w:tc>
          <w:tcPr>
            <w:tcW w:w="320" w:type="dxa"/>
            <w:vAlign w:val="bottom"/>
            <w:tcBorders>
              <w:bottom w:val="single" w:sz="8" w:color="auto"/>
            </w:tcBorders>
            <w:shd w:val="clear" w:color="auto" w:fill="D8D8D8"/>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D8D8D8"/>
          </w:tcPr>
          <w:p>
            <w:pPr>
              <w:jc w:val="right"/>
              <w:ind w:right="71"/>
              <w:spacing w:after="0"/>
              <w:rPr>
                <w:sz w:val="20"/>
                <w:szCs w:val="20"/>
                <w:color w:val="auto"/>
              </w:rPr>
            </w:pPr>
            <w:r>
              <w:rPr>
                <w:rFonts w:ascii="Arial" w:cs="Arial" w:eastAsia="Arial" w:hAnsi="Arial"/>
                <w:sz w:val="18"/>
                <w:szCs w:val="18"/>
                <w:b w:val="1"/>
                <w:bCs w:val="1"/>
                <w:color w:val="auto"/>
              </w:rPr>
              <w:t>19,958.7</w:t>
            </w:r>
          </w:p>
        </w:tc>
        <w:tc>
          <w:tcPr>
            <w:tcW w:w="380" w:type="dxa"/>
            <w:vAlign w:val="bottom"/>
            <w:tcBorders>
              <w:bottom w:val="single" w:sz="8" w:color="auto"/>
            </w:tcBorders>
            <w:shd w:val="clear" w:color="auto" w:fill="D8D8D8"/>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D8D8D8"/>
          </w:tcPr>
          <w:p>
            <w:pPr>
              <w:jc w:val="right"/>
              <w:ind w:right="71"/>
              <w:spacing w:after="0"/>
              <w:rPr>
                <w:sz w:val="20"/>
                <w:szCs w:val="20"/>
                <w:color w:val="auto"/>
              </w:rPr>
            </w:pPr>
            <w:r>
              <w:rPr>
                <w:rFonts w:ascii="Arial" w:cs="Arial" w:eastAsia="Arial" w:hAnsi="Arial"/>
                <w:sz w:val="18"/>
                <w:szCs w:val="18"/>
                <w:color w:val="auto"/>
              </w:rPr>
              <w:t>19,615.6</w:t>
            </w:r>
          </w:p>
        </w:tc>
        <w:tc>
          <w:tcPr>
            <w:tcW w:w="400" w:type="dxa"/>
            <w:vAlign w:val="bottom"/>
            <w:tcBorders>
              <w:bottom w:val="single" w:sz="8" w:color="auto"/>
            </w:tcBorders>
            <w:shd w:val="clear" w:color="auto" w:fill="D8D8D8"/>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D8D8D8"/>
          </w:tcPr>
          <w:p>
            <w:pPr>
              <w:jc w:val="right"/>
              <w:ind w:right="11"/>
              <w:spacing w:after="0"/>
              <w:rPr>
                <w:sz w:val="20"/>
                <w:szCs w:val="20"/>
                <w:color w:val="auto"/>
              </w:rPr>
            </w:pPr>
            <w:r>
              <w:rPr>
                <w:rFonts w:ascii="Arial" w:cs="Arial" w:eastAsia="Arial" w:hAnsi="Arial"/>
                <w:sz w:val="18"/>
                <w:szCs w:val="18"/>
                <w:color w:val="auto"/>
              </w:rPr>
              <w:t>23,113.1</w:t>
            </w:r>
          </w:p>
        </w:tc>
        <w:tc>
          <w:tcPr>
            <w:tcW w:w="0" w:type="dxa"/>
            <w:vAlign w:val="bottom"/>
          </w:tcPr>
          <w:p>
            <w:pPr>
              <w:spacing w:after="0"/>
              <w:rPr>
                <w:sz w:val="1"/>
                <w:szCs w:val="1"/>
                <w:color w:val="auto"/>
              </w:rPr>
            </w:pPr>
          </w:p>
        </w:tc>
      </w:tr>
      <w:tr>
        <w:trPr>
          <w:trHeight w:val="270"/>
        </w:trPr>
        <w:tc>
          <w:tcPr>
            <w:tcW w:w="70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080" w:type="dxa"/>
            <w:vAlign w:val="bottom"/>
            <w:shd w:val="clear" w:color="auto" w:fill="D8D8D8"/>
          </w:tcPr>
          <w:p>
            <w:pPr>
              <w:ind w:left="40"/>
              <w:spacing w:after="0"/>
              <w:rPr>
                <w:sz w:val="20"/>
                <w:szCs w:val="20"/>
                <w:color w:val="auto"/>
              </w:rPr>
            </w:pPr>
            <w:r>
              <w:rPr>
                <w:rFonts w:ascii="Arial" w:cs="Arial" w:eastAsia="Arial" w:hAnsi="Arial"/>
                <w:sz w:val="18"/>
                <w:szCs w:val="18"/>
                <w:color w:val="auto"/>
              </w:rPr>
              <w:t>Segment profits:</w:t>
            </w:r>
          </w:p>
        </w:tc>
        <w:tc>
          <w:tcPr>
            <w:tcW w:w="320" w:type="dxa"/>
            <w:vAlign w:val="bottom"/>
            <w:shd w:val="clear" w:color="auto" w:fill="D8D8D8"/>
          </w:tcPr>
          <w:p>
            <w:pPr>
              <w:spacing w:after="0"/>
              <w:rPr>
                <w:sz w:val="23"/>
                <w:szCs w:val="23"/>
                <w:color w:val="auto"/>
              </w:rPr>
            </w:pPr>
          </w:p>
        </w:tc>
        <w:tc>
          <w:tcPr>
            <w:tcW w:w="1100" w:type="dxa"/>
            <w:vAlign w:val="bottom"/>
            <w:shd w:val="clear" w:color="auto" w:fill="D8D8D8"/>
          </w:tcPr>
          <w:p>
            <w:pPr>
              <w:spacing w:after="0"/>
              <w:rPr>
                <w:sz w:val="23"/>
                <w:szCs w:val="23"/>
                <w:color w:val="auto"/>
              </w:rPr>
            </w:pPr>
          </w:p>
        </w:tc>
        <w:tc>
          <w:tcPr>
            <w:tcW w:w="380" w:type="dxa"/>
            <w:vAlign w:val="bottom"/>
            <w:shd w:val="clear" w:color="auto" w:fill="D8D8D8"/>
          </w:tcPr>
          <w:p>
            <w:pPr>
              <w:spacing w:after="0"/>
              <w:rPr>
                <w:sz w:val="23"/>
                <w:szCs w:val="23"/>
                <w:color w:val="auto"/>
              </w:rPr>
            </w:pPr>
          </w:p>
        </w:tc>
        <w:tc>
          <w:tcPr>
            <w:tcW w:w="1100" w:type="dxa"/>
            <w:vAlign w:val="bottom"/>
            <w:shd w:val="clear" w:color="auto" w:fill="D8D8D8"/>
          </w:tcPr>
          <w:p>
            <w:pPr>
              <w:spacing w:after="0"/>
              <w:rPr>
                <w:sz w:val="23"/>
                <w:szCs w:val="23"/>
                <w:color w:val="auto"/>
              </w:rPr>
            </w:pPr>
          </w:p>
        </w:tc>
        <w:tc>
          <w:tcPr>
            <w:tcW w:w="400" w:type="dxa"/>
            <w:vAlign w:val="bottom"/>
            <w:shd w:val="clear" w:color="auto" w:fill="D8D8D8"/>
          </w:tcPr>
          <w:p>
            <w:pPr>
              <w:spacing w:after="0"/>
              <w:rPr>
                <w:sz w:val="23"/>
                <w:szCs w:val="23"/>
                <w:color w:val="auto"/>
              </w:rPr>
            </w:pPr>
          </w:p>
        </w:tc>
        <w:tc>
          <w:tcPr>
            <w:tcW w:w="1040" w:type="dxa"/>
            <w:vAlign w:val="bottom"/>
            <w:shd w:val="clear" w:color="auto" w:fill="D8D8D8"/>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7080" w:type="dxa"/>
            <w:vAlign w:val="bottom"/>
          </w:tcPr>
          <w:p>
            <w:pPr>
              <w:ind w:left="280"/>
              <w:spacing w:after="0"/>
              <w:rPr>
                <w:sz w:val="20"/>
                <w:szCs w:val="20"/>
                <w:color w:val="auto"/>
              </w:rPr>
            </w:pPr>
            <w:r>
              <w:rPr>
                <w:rFonts w:ascii="Arial" w:cs="Arial" w:eastAsia="Arial" w:hAnsi="Arial"/>
                <w:sz w:val="18"/>
                <w:szCs w:val="18"/>
                <w:color w:val="auto"/>
              </w:rPr>
              <w:t>Human pharmaceutical products</w:t>
            </w: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Pr>
          <w:p>
            <w:pPr>
              <w:jc w:val="right"/>
              <w:ind w:right="71"/>
              <w:spacing w:after="0"/>
              <w:rPr>
                <w:sz w:val="20"/>
                <w:szCs w:val="20"/>
                <w:color w:val="auto"/>
              </w:rPr>
            </w:pPr>
            <w:r>
              <w:rPr>
                <w:rFonts w:ascii="Arial" w:cs="Arial" w:eastAsia="Arial" w:hAnsi="Arial"/>
                <w:sz w:val="18"/>
                <w:szCs w:val="18"/>
                <w:b w:val="1"/>
                <w:bCs w:val="1"/>
                <w:color w:val="auto"/>
              </w:rPr>
              <w:t>4,026.7</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3,604.6</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5,521.0</w:t>
            </w:r>
          </w:p>
        </w:tc>
        <w:tc>
          <w:tcPr>
            <w:tcW w:w="0" w:type="dxa"/>
            <w:vAlign w:val="bottom"/>
          </w:tcPr>
          <w:p>
            <w:pPr>
              <w:spacing w:after="0"/>
              <w:rPr>
                <w:sz w:val="1"/>
                <w:szCs w:val="1"/>
                <w:color w:val="auto"/>
              </w:rPr>
            </w:pPr>
          </w:p>
        </w:tc>
      </w:tr>
      <w:tr>
        <w:trPr>
          <w:trHeight w:val="271"/>
        </w:trPr>
        <w:tc>
          <w:tcPr>
            <w:tcW w:w="7080" w:type="dxa"/>
            <w:vAlign w:val="bottom"/>
            <w:shd w:val="clear" w:color="auto" w:fill="D8D8D8"/>
          </w:tcPr>
          <w:p>
            <w:pPr>
              <w:ind w:left="280"/>
              <w:spacing w:after="0"/>
              <w:rPr>
                <w:sz w:val="20"/>
                <w:szCs w:val="20"/>
                <w:color w:val="auto"/>
              </w:rPr>
            </w:pPr>
            <w:r>
              <w:rPr>
                <w:rFonts w:ascii="Arial" w:cs="Arial" w:eastAsia="Arial" w:hAnsi="Arial"/>
                <w:sz w:val="18"/>
                <w:szCs w:val="18"/>
                <w:color w:val="auto"/>
              </w:rPr>
              <w:t>Animal health</w:t>
            </w:r>
          </w:p>
        </w:tc>
        <w:tc>
          <w:tcPr>
            <w:tcW w:w="320" w:type="dxa"/>
            <w:vAlign w:val="bottom"/>
            <w:tcBorders>
              <w:bottom w:val="single" w:sz="8" w:color="auto"/>
            </w:tcBorders>
            <w:shd w:val="clear" w:color="auto" w:fill="D8D8D8"/>
          </w:tcPr>
          <w:p>
            <w:pPr>
              <w:spacing w:after="0"/>
              <w:rPr>
                <w:sz w:val="23"/>
                <w:szCs w:val="23"/>
                <w:color w:val="auto"/>
              </w:rPr>
            </w:pPr>
          </w:p>
        </w:tc>
        <w:tc>
          <w:tcPr>
            <w:tcW w:w="1100" w:type="dxa"/>
            <w:vAlign w:val="bottom"/>
            <w:tcBorders>
              <w:bottom w:val="single" w:sz="8" w:color="auto"/>
            </w:tcBorders>
            <w:shd w:val="clear" w:color="auto" w:fill="D8D8D8"/>
          </w:tcPr>
          <w:p>
            <w:pPr>
              <w:jc w:val="right"/>
              <w:ind w:right="71"/>
              <w:spacing w:after="0"/>
              <w:rPr>
                <w:sz w:val="20"/>
                <w:szCs w:val="20"/>
                <w:color w:val="auto"/>
              </w:rPr>
            </w:pPr>
            <w:r>
              <w:rPr>
                <w:rFonts w:ascii="Arial" w:cs="Arial" w:eastAsia="Arial" w:hAnsi="Arial"/>
                <w:sz w:val="18"/>
                <w:szCs w:val="18"/>
                <w:b w:val="1"/>
                <w:bCs w:val="1"/>
                <w:color w:val="auto"/>
              </w:rPr>
              <w:t>597.9</w:t>
            </w:r>
          </w:p>
        </w:tc>
        <w:tc>
          <w:tcPr>
            <w:tcW w:w="380" w:type="dxa"/>
            <w:vAlign w:val="bottom"/>
            <w:tcBorders>
              <w:bottom w:val="single" w:sz="8" w:color="auto"/>
            </w:tcBorders>
            <w:shd w:val="clear" w:color="auto" w:fill="D8D8D8"/>
          </w:tcPr>
          <w:p>
            <w:pPr>
              <w:spacing w:after="0"/>
              <w:rPr>
                <w:sz w:val="23"/>
                <w:szCs w:val="23"/>
                <w:color w:val="auto"/>
              </w:rPr>
            </w:pPr>
          </w:p>
        </w:tc>
        <w:tc>
          <w:tcPr>
            <w:tcW w:w="1100" w:type="dxa"/>
            <w:vAlign w:val="bottom"/>
            <w:tcBorders>
              <w:bottom w:val="single" w:sz="8" w:color="auto"/>
            </w:tcBorders>
            <w:shd w:val="clear" w:color="auto" w:fill="D8D8D8"/>
          </w:tcPr>
          <w:p>
            <w:pPr>
              <w:jc w:val="right"/>
              <w:ind w:right="71"/>
              <w:spacing w:after="0"/>
              <w:rPr>
                <w:sz w:val="20"/>
                <w:szCs w:val="20"/>
                <w:color w:val="auto"/>
              </w:rPr>
            </w:pPr>
            <w:r>
              <w:rPr>
                <w:rFonts w:ascii="Arial" w:cs="Arial" w:eastAsia="Arial" w:hAnsi="Arial"/>
                <w:sz w:val="18"/>
                <w:szCs w:val="18"/>
                <w:color w:val="auto"/>
              </w:rPr>
              <w:t>621.8</w:t>
            </w:r>
          </w:p>
        </w:tc>
        <w:tc>
          <w:tcPr>
            <w:tcW w:w="400" w:type="dxa"/>
            <w:vAlign w:val="bottom"/>
            <w:tcBorders>
              <w:bottom w:val="single" w:sz="8" w:color="auto"/>
            </w:tcBorders>
            <w:shd w:val="clear" w:color="auto" w:fill="D8D8D8"/>
          </w:tcPr>
          <w:p>
            <w:pPr>
              <w:spacing w:after="0"/>
              <w:rPr>
                <w:sz w:val="23"/>
                <w:szCs w:val="23"/>
                <w:color w:val="auto"/>
              </w:rPr>
            </w:pPr>
          </w:p>
        </w:tc>
        <w:tc>
          <w:tcPr>
            <w:tcW w:w="1040" w:type="dxa"/>
            <w:vAlign w:val="bottom"/>
            <w:tcBorders>
              <w:bottom w:val="single" w:sz="8" w:color="auto"/>
            </w:tcBorders>
            <w:shd w:val="clear" w:color="auto" w:fill="D8D8D8"/>
          </w:tcPr>
          <w:p>
            <w:pPr>
              <w:jc w:val="right"/>
              <w:ind w:right="11"/>
              <w:spacing w:after="0"/>
              <w:rPr>
                <w:sz w:val="20"/>
                <w:szCs w:val="20"/>
                <w:color w:val="auto"/>
              </w:rPr>
            </w:pPr>
            <w:r>
              <w:rPr>
                <w:rFonts w:ascii="Arial" w:cs="Arial" w:eastAsia="Arial" w:hAnsi="Arial"/>
                <w:sz w:val="18"/>
                <w:szCs w:val="18"/>
                <w:color w:val="auto"/>
              </w:rPr>
              <w:t>605.6</w:t>
            </w:r>
          </w:p>
        </w:tc>
        <w:tc>
          <w:tcPr>
            <w:tcW w:w="0" w:type="dxa"/>
            <w:vAlign w:val="bottom"/>
          </w:tcPr>
          <w:p>
            <w:pPr>
              <w:spacing w:after="0"/>
              <w:rPr>
                <w:sz w:val="1"/>
                <w:szCs w:val="1"/>
                <w:color w:val="auto"/>
              </w:rPr>
            </w:pPr>
          </w:p>
        </w:tc>
      </w:tr>
      <w:tr>
        <w:trPr>
          <w:trHeight w:val="271"/>
        </w:trPr>
        <w:tc>
          <w:tcPr>
            <w:tcW w:w="7080" w:type="dxa"/>
            <w:vAlign w:val="bottom"/>
            <w:tcBorders>
              <w:bottom w:val="single" w:sz="8" w:color="D8D8D8"/>
            </w:tcBorders>
          </w:tcPr>
          <w:p>
            <w:pPr>
              <w:ind w:left="40"/>
              <w:spacing w:after="0"/>
              <w:rPr>
                <w:sz w:val="20"/>
                <w:szCs w:val="20"/>
                <w:color w:val="auto"/>
              </w:rPr>
            </w:pPr>
            <w:r>
              <w:rPr>
                <w:rFonts w:ascii="Arial" w:cs="Arial" w:eastAsia="Arial" w:hAnsi="Arial"/>
                <w:sz w:val="18"/>
                <w:szCs w:val="18"/>
                <w:color w:val="auto"/>
              </w:rPr>
              <w:t>Total segment profits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4,624.6</w:t>
            </w:r>
          </w:p>
        </w:tc>
        <w:tc>
          <w:tcPr>
            <w:tcW w:w="3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4,226.4</w:t>
            </w:r>
          </w:p>
        </w:tc>
        <w:tc>
          <w:tcPr>
            <w:tcW w:w="4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6,126.6</w:t>
            </w:r>
          </w:p>
        </w:tc>
        <w:tc>
          <w:tcPr>
            <w:tcW w:w="0" w:type="dxa"/>
            <w:vAlign w:val="bottom"/>
          </w:tcPr>
          <w:p>
            <w:pPr>
              <w:spacing w:after="0"/>
              <w:rPr>
                <w:sz w:val="1"/>
                <w:szCs w:val="1"/>
                <w:color w:val="auto"/>
              </w:rPr>
            </w:pPr>
          </w:p>
        </w:tc>
      </w:tr>
      <w:tr>
        <w:trPr>
          <w:trHeight w:val="270"/>
        </w:trPr>
        <w:tc>
          <w:tcPr>
            <w:tcW w:w="7080" w:type="dxa"/>
            <w:vAlign w:val="bottom"/>
            <w:shd w:val="clear" w:color="auto" w:fill="D8D8D8"/>
          </w:tcPr>
          <w:p>
            <w:pPr>
              <w:spacing w:after="0"/>
              <w:rPr>
                <w:sz w:val="23"/>
                <w:szCs w:val="23"/>
                <w:color w:val="auto"/>
              </w:rPr>
            </w:pPr>
          </w:p>
        </w:tc>
        <w:tc>
          <w:tcPr>
            <w:tcW w:w="320" w:type="dxa"/>
            <w:vAlign w:val="bottom"/>
            <w:shd w:val="clear" w:color="auto" w:fill="D8D8D8"/>
          </w:tcPr>
          <w:p>
            <w:pPr>
              <w:spacing w:after="0"/>
              <w:rPr>
                <w:sz w:val="23"/>
                <w:szCs w:val="23"/>
                <w:color w:val="auto"/>
              </w:rPr>
            </w:pPr>
          </w:p>
        </w:tc>
        <w:tc>
          <w:tcPr>
            <w:tcW w:w="1100" w:type="dxa"/>
            <w:vAlign w:val="bottom"/>
            <w:shd w:val="clear" w:color="auto" w:fill="D8D8D8"/>
          </w:tcPr>
          <w:p>
            <w:pPr>
              <w:spacing w:after="0"/>
              <w:rPr>
                <w:sz w:val="23"/>
                <w:szCs w:val="23"/>
                <w:color w:val="auto"/>
              </w:rPr>
            </w:pPr>
          </w:p>
        </w:tc>
        <w:tc>
          <w:tcPr>
            <w:tcW w:w="380" w:type="dxa"/>
            <w:vAlign w:val="bottom"/>
            <w:shd w:val="clear" w:color="auto" w:fill="D8D8D8"/>
          </w:tcPr>
          <w:p>
            <w:pPr>
              <w:spacing w:after="0"/>
              <w:rPr>
                <w:sz w:val="23"/>
                <w:szCs w:val="23"/>
                <w:color w:val="auto"/>
              </w:rPr>
            </w:pPr>
          </w:p>
        </w:tc>
        <w:tc>
          <w:tcPr>
            <w:tcW w:w="1100" w:type="dxa"/>
            <w:vAlign w:val="bottom"/>
            <w:shd w:val="clear" w:color="auto" w:fill="D8D8D8"/>
          </w:tcPr>
          <w:p>
            <w:pPr>
              <w:spacing w:after="0"/>
              <w:rPr>
                <w:sz w:val="23"/>
                <w:szCs w:val="23"/>
                <w:color w:val="auto"/>
              </w:rPr>
            </w:pPr>
          </w:p>
        </w:tc>
        <w:tc>
          <w:tcPr>
            <w:tcW w:w="400" w:type="dxa"/>
            <w:vAlign w:val="bottom"/>
            <w:shd w:val="clear" w:color="auto" w:fill="D8D8D8"/>
          </w:tcPr>
          <w:p>
            <w:pPr>
              <w:spacing w:after="0"/>
              <w:rPr>
                <w:sz w:val="23"/>
                <w:szCs w:val="23"/>
                <w:color w:val="auto"/>
              </w:rPr>
            </w:pPr>
          </w:p>
        </w:tc>
        <w:tc>
          <w:tcPr>
            <w:tcW w:w="1040" w:type="dxa"/>
            <w:vAlign w:val="bottom"/>
            <w:shd w:val="clear" w:color="auto" w:fill="D8D8D8"/>
          </w:tcPr>
          <w:p>
            <w:pPr>
              <w:spacing w:after="0"/>
              <w:rPr>
                <w:sz w:val="23"/>
                <w:szCs w:val="23"/>
                <w:color w:val="auto"/>
              </w:rPr>
            </w:pPr>
          </w:p>
        </w:tc>
        <w:tc>
          <w:tcPr>
            <w:tcW w:w="0" w:type="dxa"/>
            <w:vAlign w:val="bottom"/>
          </w:tcPr>
          <w:p>
            <w:pPr>
              <w:spacing w:after="0"/>
              <w:rPr>
                <w:sz w:val="1"/>
                <w:szCs w:val="1"/>
                <w:color w:val="auto"/>
              </w:rPr>
            </w:pPr>
          </w:p>
        </w:tc>
      </w:tr>
      <w:tr>
        <w:trPr>
          <w:trHeight w:val="247"/>
        </w:trPr>
        <w:tc>
          <w:tcPr>
            <w:tcW w:w="7080" w:type="dxa"/>
            <w:vAlign w:val="bottom"/>
          </w:tcPr>
          <w:p>
            <w:pPr>
              <w:ind w:left="40"/>
              <w:spacing w:after="0"/>
              <w:rPr>
                <w:sz w:val="20"/>
                <w:szCs w:val="20"/>
                <w:color w:val="auto"/>
              </w:rPr>
            </w:pPr>
            <w:r>
              <w:rPr>
                <w:rFonts w:ascii="Arial" w:cs="Arial" w:eastAsia="Arial" w:hAnsi="Arial"/>
                <w:sz w:val="18"/>
                <w:szCs w:val="18"/>
                <w:color w:val="auto"/>
              </w:rPr>
              <w:t>Reconciliation of total segment profits to consolidated income before taxes:</w:t>
            </w: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shd w:val="clear" w:color="auto" w:fill="D8D8D8"/>
          </w:tcPr>
          <w:p>
            <w:pPr>
              <w:ind w:left="280"/>
              <w:spacing w:after="0"/>
              <w:rPr>
                <w:sz w:val="20"/>
                <w:szCs w:val="20"/>
                <w:color w:val="auto"/>
              </w:rPr>
            </w:pPr>
            <w:r>
              <w:rPr>
                <w:rFonts w:ascii="Arial" w:cs="Arial" w:eastAsia="Arial" w:hAnsi="Arial"/>
                <w:sz w:val="18"/>
                <w:szCs w:val="18"/>
                <w:color w:val="auto"/>
              </w:rPr>
              <w:t>Segment profits</w:t>
            </w:r>
          </w:p>
        </w:tc>
        <w:tc>
          <w:tcPr>
            <w:tcW w:w="320" w:type="dxa"/>
            <w:vAlign w:val="bottom"/>
            <w:shd w:val="clear" w:color="auto" w:fill="D8D8D8"/>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00" w:type="dxa"/>
            <w:vAlign w:val="bottom"/>
            <w:shd w:val="clear" w:color="auto" w:fill="D8D8D8"/>
          </w:tcPr>
          <w:p>
            <w:pPr>
              <w:jc w:val="right"/>
              <w:ind w:right="71"/>
              <w:spacing w:after="0"/>
              <w:rPr>
                <w:sz w:val="20"/>
                <w:szCs w:val="20"/>
                <w:color w:val="auto"/>
              </w:rPr>
            </w:pPr>
            <w:r>
              <w:rPr>
                <w:rFonts w:ascii="Arial" w:cs="Arial" w:eastAsia="Arial" w:hAnsi="Arial"/>
                <w:sz w:val="18"/>
                <w:szCs w:val="18"/>
                <w:b w:val="1"/>
                <w:bCs w:val="1"/>
                <w:color w:val="auto"/>
              </w:rPr>
              <w:t>4,624.6</w:t>
            </w:r>
          </w:p>
        </w:tc>
        <w:tc>
          <w:tcPr>
            <w:tcW w:w="380" w:type="dxa"/>
            <w:vAlign w:val="bottom"/>
            <w:shd w:val="clear" w:color="auto" w:fill="D8D8D8"/>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D8D8D8"/>
          </w:tcPr>
          <w:p>
            <w:pPr>
              <w:jc w:val="right"/>
              <w:ind w:right="71"/>
              <w:spacing w:after="0"/>
              <w:rPr>
                <w:sz w:val="20"/>
                <w:szCs w:val="20"/>
                <w:color w:val="auto"/>
              </w:rPr>
            </w:pPr>
            <w:r>
              <w:rPr>
                <w:rFonts w:ascii="Arial" w:cs="Arial" w:eastAsia="Arial" w:hAnsi="Arial"/>
                <w:sz w:val="18"/>
                <w:szCs w:val="18"/>
                <w:color w:val="auto"/>
              </w:rPr>
              <w:t>4,226.4</w:t>
            </w:r>
          </w:p>
        </w:tc>
        <w:tc>
          <w:tcPr>
            <w:tcW w:w="400" w:type="dxa"/>
            <w:vAlign w:val="bottom"/>
            <w:shd w:val="clear" w:color="auto" w:fill="D8D8D8"/>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D8D8D8"/>
          </w:tcPr>
          <w:p>
            <w:pPr>
              <w:jc w:val="right"/>
              <w:ind w:right="11"/>
              <w:spacing w:after="0"/>
              <w:rPr>
                <w:sz w:val="20"/>
                <w:szCs w:val="20"/>
                <w:color w:val="auto"/>
              </w:rPr>
            </w:pPr>
            <w:r>
              <w:rPr>
                <w:rFonts w:ascii="Arial" w:cs="Arial" w:eastAsia="Arial" w:hAnsi="Arial"/>
                <w:sz w:val="18"/>
                <w:szCs w:val="18"/>
                <w:color w:val="auto"/>
              </w:rPr>
              <w:t>6,126.6</w:t>
            </w:r>
          </w:p>
        </w:tc>
        <w:tc>
          <w:tcPr>
            <w:tcW w:w="0" w:type="dxa"/>
            <w:vAlign w:val="bottom"/>
          </w:tcPr>
          <w:p>
            <w:pPr>
              <w:spacing w:after="0"/>
              <w:rPr>
                <w:sz w:val="1"/>
                <w:szCs w:val="1"/>
                <w:color w:val="auto"/>
              </w:rPr>
            </w:pPr>
          </w:p>
        </w:tc>
      </w:tr>
      <w:tr>
        <w:trPr>
          <w:trHeight w:val="247"/>
        </w:trPr>
        <w:tc>
          <w:tcPr>
            <w:tcW w:w="7080" w:type="dxa"/>
            <w:vAlign w:val="bottom"/>
          </w:tcPr>
          <w:p>
            <w:pPr>
              <w:ind w:left="280"/>
              <w:spacing w:after="0"/>
              <w:rPr>
                <w:sz w:val="20"/>
                <w:szCs w:val="20"/>
                <w:color w:val="auto"/>
              </w:rPr>
            </w:pPr>
            <w:r>
              <w:rPr>
                <w:rFonts w:ascii="Arial" w:cs="Arial" w:eastAsia="Arial" w:hAnsi="Arial"/>
                <w:sz w:val="18"/>
                <w:szCs w:val="18"/>
                <w:color w:val="auto"/>
              </w:rPr>
              <w:t>Other profits (losses):</w:t>
            </w: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shd w:val="clear" w:color="auto" w:fill="D8D8D8"/>
          </w:tcPr>
          <w:p>
            <w:pPr>
              <w:ind w:left="500"/>
              <w:spacing w:after="0"/>
              <w:rPr>
                <w:sz w:val="20"/>
                <w:szCs w:val="20"/>
                <w:color w:val="auto"/>
              </w:rPr>
            </w:pPr>
            <w:r>
              <w:rPr>
                <w:rFonts w:ascii="Arial" w:cs="Arial" w:eastAsia="Arial" w:hAnsi="Arial"/>
                <w:sz w:val="18"/>
                <w:szCs w:val="18"/>
                <w:color w:val="auto"/>
              </w:rPr>
              <w:t>Inventory fair value adjustment related to Novartis AH (Note 3)</w:t>
            </w:r>
          </w:p>
        </w:tc>
        <w:tc>
          <w:tcPr>
            <w:tcW w:w="320" w:type="dxa"/>
            <w:vAlign w:val="bottom"/>
            <w:shd w:val="clear" w:color="auto" w:fill="D8D8D8"/>
          </w:tcPr>
          <w:p>
            <w:pPr>
              <w:spacing w:after="0"/>
              <w:rPr>
                <w:sz w:val="23"/>
                <w:szCs w:val="23"/>
                <w:color w:val="auto"/>
              </w:rPr>
            </w:pPr>
          </w:p>
        </w:tc>
        <w:tc>
          <w:tcPr>
            <w:tcW w:w="1100" w:type="dxa"/>
            <w:vAlign w:val="bottom"/>
            <w:shd w:val="clear" w:color="auto" w:fill="D8D8D8"/>
          </w:tcPr>
          <w:p>
            <w:pPr>
              <w:jc w:val="right"/>
              <w:ind w:right="11"/>
              <w:spacing w:after="0"/>
              <w:rPr>
                <w:sz w:val="20"/>
                <w:szCs w:val="20"/>
                <w:color w:val="auto"/>
              </w:rPr>
            </w:pPr>
            <w:r>
              <w:rPr>
                <w:rFonts w:ascii="Arial" w:cs="Arial" w:eastAsia="Arial" w:hAnsi="Arial"/>
                <w:sz w:val="18"/>
                <w:szCs w:val="18"/>
                <w:b w:val="1"/>
                <w:bCs w:val="1"/>
                <w:color w:val="auto"/>
              </w:rPr>
              <w:t>(153.0)</w:t>
            </w:r>
          </w:p>
        </w:tc>
        <w:tc>
          <w:tcPr>
            <w:tcW w:w="380" w:type="dxa"/>
            <w:vAlign w:val="bottom"/>
            <w:shd w:val="clear" w:color="auto" w:fill="D8D8D8"/>
          </w:tcPr>
          <w:p>
            <w:pPr>
              <w:spacing w:after="0"/>
              <w:rPr>
                <w:sz w:val="23"/>
                <w:szCs w:val="23"/>
                <w:color w:val="auto"/>
              </w:rPr>
            </w:pPr>
          </w:p>
        </w:tc>
        <w:tc>
          <w:tcPr>
            <w:tcW w:w="1100" w:type="dxa"/>
            <w:vAlign w:val="bottom"/>
            <w:shd w:val="clear" w:color="auto" w:fill="D8D8D8"/>
          </w:tcPr>
          <w:p>
            <w:pPr>
              <w:jc w:val="right"/>
              <w:ind w:right="71"/>
              <w:spacing w:after="0"/>
              <w:rPr>
                <w:sz w:val="20"/>
                <w:szCs w:val="20"/>
                <w:color w:val="auto"/>
              </w:rPr>
            </w:pPr>
            <w:r>
              <w:rPr>
                <w:rFonts w:ascii="Arial" w:cs="Arial" w:eastAsia="Arial" w:hAnsi="Arial"/>
                <w:sz w:val="18"/>
                <w:szCs w:val="18"/>
                <w:color w:val="auto"/>
              </w:rPr>
              <w:t>—</w:t>
            </w:r>
          </w:p>
        </w:tc>
        <w:tc>
          <w:tcPr>
            <w:tcW w:w="400" w:type="dxa"/>
            <w:vAlign w:val="bottom"/>
            <w:shd w:val="clear" w:color="auto" w:fill="D8D8D8"/>
          </w:tcPr>
          <w:p>
            <w:pPr>
              <w:spacing w:after="0"/>
              <w:rPr>
                <w:sz w:val="23"/>
                <w:szCs w:val="23"/>
                <w:color w:val="auto"/>
              </w:rPr>
            </w:pPr>
          </w:p>
        </w:tc>
        <w:tc>
          <w:tcPr>
            <w:tcW w:w="1040" w:type="dxa"/>
            <w:vAlign w:val="bottom"/>
            <w:shd w:val="clear" w:color="auto" w:fill="D8D8D8"/>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9"/>
        </w:trPr>
        <w:tc>
          <w:tcPr>
            <w:tcW w:w="7080" w:type="dxa"/>
            <w:vAlign w:val="bottom"/>
          </w:tcPr>
          <w:p>
            <w:pPr>
              <w:ind w:left="500"/>
              <w:spacing w:after="0"/>
              <w:rPr>
                <w:sz w:val="20"/>
                <w:szCs w:val="20"/>
                <w:color w:val="auto"/>
              </w:rPr>
            </w:pPr>
            <w:r>
              <w:rPr>
                <w:rFonts w:ascii="Arial" w:cs="Arial" w:eastAsia="Arial" w:hAnsi="Arial"/>
                <w:sz w:val="18"/>
                <w:szCs w:val="18"/>
                <w:color w:val="auto"/>
              </w:rPr>
              <w:t>Acquired in-process research and development (Notes 3 and 4)</w:t>
            </w:r>
          </w:p>
        </w:tc>
        <w:tc>
          <w:tcPr>
            <w:tcW w:w="320" w:type="dxa"/>
            <w:vAlign w:val="bottom"/>
          </w:tcPr>
          <w:p>
            <w:pPr>
              <w:spacing w:after="0"/>
              <w:rPr>
                <w:sz w:val="23"/>
                <w:szCs w:val="23"/>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b w:val="1"/>
                <w:bCs w:val="1"/>
                <w:color w:val="auto"/>
              </w:rPr>
              <w:t>(535.0)</w:t>
            </w:r>
          </w:p>
        </w:tc>
        <w:tc>
          <w:tcPr>
            <w:tcW w:w="380" w:type="dxa"/>
            <w:vAlign w:val="bottom"/>
          </w:tcPr>
          <w:p>
            <w:pPr>
              <w:spacing w:after="0"/>
              <w:rPr>
                <w:sz w:val="23"/>
                <w:szCs w:val="23"/>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(200.2)</w:t>
            </w:r>
          </w:p>
        </w:tc>
        <w:tc>
          <w:tcPr>
            <w:tcW w:w="4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(57.1)</w:t>
            </w:r>
          </w:p>
        </w:tc>
        <w:tc>
          <w:tcPr>
            <w:tcW w:w="0" w:type="dxa"/>
            <w:vAlign w:val="bottom"/>
          </w:tcPr>
          <w:p>
            <w:pPr>
              <w:spacing w:after="0"/>
              <w:rPr>
                <w:sz w:val="1"/>
                <w:szCs w:val="1"/>
                <w:color w:val="auto"/>
              </w:rPr>
            </w:pPr>
          </w:p>
        </w:tc>
      </w:tr>
      <w:tr>
        <w:trPr>
          <w:trHeight w:val="271"/>
        </w:trPr>
        <w:tc>
          <w:tcPr>
            <w:tcW w:w="7080" w:type="dxa"/>
            <w:vAlign w:val="bottom"/>
            <w:shd w:val="clear" w:color="auto" w:fill="D8D8D8"/>
          </w:tcPr>
          <w:p>
            <w:pPr>
              <w:ind w:left="500"/>
              <w:spacing w:after="0"/>
              <w:rPr>
                <w:sz w:val="20"/>
                <w:szCs w:val="20"/>
                <w:color w:val="auto"/>
              </w:rPr>
            </w:pPr>
            <w:r>
              <w:rPr>
                <w:rFonts w:ascii="Arial" w:cs="Arial" w:eastAsia="Arial" w:hAnsi="Arial"/>
                <w:sz w:val="18"/>
                <w:szCs w:val="18"/>
                <w:color w:val="auto"/>
              </w:rPr>
              <w:t>Asset impairment, restructuring, and other special charges (Note 5)</w:t>
            </w:r>
          </w:p>
        </w:tc>
        <w:tc>
          <w:tcPr>
            <w:tcW w:w="320" w:type="dxa"/>
            <w:vAlign w:val="bottom"/>
            <w:shd w:val="clear" w:color="auto" w:fill="D8D8D8"/>
          </w:tcPr>
          <w:p>
            <w:pPr>
              <w:spacing w:after="0"/>
              <w:rPr>
                <w:sz w:val="23"/>
                <w:szCs w:val="23"/>
                <w:color w:val="auto"/>
              </w:rPr>
            </w:pPr>
          </w:p>
        </w:tc>
        <w:tc>
          <w:tcPr>
            <w:tcW w:w="1100" w:type="dxa"/>
            <w:vAlign w:val="bottom"/>
            <w:shd w:val="clear" w:color="auto" w:fill="D8D8D8"/>
          </w:tcPr>
          <w:p>
            <w:pPr>
              <w:jc w:val="right"/>
              <w:ind w:right="11"/>
              <w:spacing w:after="0"/>
              <w:rPr>
                <w:sz w:val="20"/>
                <w:szCs w:val="20"/>
                <w:color w:val="auto"/>
              </w:rPr>
            </w:pPr>
            <w:r>
              <w:rPr>
                <w:rFonts w:ascii="Arial" w:cs="Arial" w:eastAsia="Arial" w:hAnsi="Arial"/>
                <w:sz w:val="18"/>
                <w:szCs w:val="18"/>
                <w:b w:val="1"/>
                <w:bCs w:val="1"/>
                <w:color w:val="auto"/>
              </w:rPr>
              <w:t>(367.7)</w:t>
            </w:r>
          </w:p>
        </w:tc>
        <w:tc>
          <w:tcPr>
            <w:tcW w:w="380" w:type="dxa"/>
            <w:vAlign w:val="bottom"/>
            <w:shd w:val="clear" w:color="auto" w:fill="D8D8D8"/>
          </w:tcPr>
          <w:p>
            <w:pPr>
              <w:spacing w:after="0"/>
              <w:rPr>
                <w:sz w:val="23"/>
                <w:szCs w:val="23"/>
                <w:color w:val="auto"/>
              </w:rPr>
            </w:pPr>
          </w:p>
        </w:tc>
        <w:tc>
          <w:tcPr>
            <w:tcW w:w="1100" w:type="dxa"/>
            <w:vAlign w:val="bottom"/>
            <w:shd w:val="clear" w:color="auto" w:fill="D8D8D8"/>
          </w:tcPr>
          <w:p>
            <w:pPr>
              <w:jc w:val="right"/>
              <w:ind w:right="11"/>
              <w:spacing w:after="0"/>
              <w:rPr>
                <w:sz w:val="20"/>
                <w:szCs w:val="20"/>
                <w:color w:val="auto"/>
              </w:rPr>
            </w:pPr>
            <w:r>
              <w:rPr>
                <w:rFonts w:ascii="Arial" w:cs="Arial" w:eastAsia="Arial" w:hAnsi="Arial"/>
                <w:sz w:val="18"/>
                <w:szCs w:val="18"/>
                <w:color w:val="auto"/>
              </w:rPr>
              <w:t>(468.7)</w:t>
            </w:r>
          </w:p>
        </w:tc>
        <w:tc>
          <w:tcPr>
            <w:tcW w:w="400" w:type="dxa"/>
            <w:vAlign w:val="bottom"/>
            <w:shd w:val="clear" w:color="auto" w:fill="D8D8D8"/>
          </w:tcPr>
          <w:p>
            <w:pPr>
              <w:spacing w:after="0"/>
              <w:rPr>
                <w:sz w:val="23"/>
                <w:szCs w:val="23"/>
                <w:color w:val="auto"/>
              </w:rPr>
            </w:pPr>
          </w:p>
        </w:tc>
        <w:tc>
          <w:tcPr>
            <w:tcW w:w="1040" w:type="dxa"/>
            <w:vAlign w:val="bottom"/>
            <w:shd w:val="clear" w:color="auto" w:fill="D8D8D8"/>
          </w:tcPr>
          <w:p>
            <w:pPr>
              <w:jc w:val="right"/>
              <w:spacing w:after="0"/>
              <w:rPr>
                <w:sz w:val="20"/>
                <w:szCs w:val="20"/>
                <w:color w:val="auto"/>
              </w:rPr>
            </w:pPr>
            <w:r>
              <w:rPr>
                <w:rFonts w:ascii="Arial" w:cs="Arial" w:eastAsia="Arial" w:hAnsi="Arial"/>
                <w:sz w:val="18"/>
                <w:szCs w:val="18"/>
                <w:color w:val="auto"/>
              </w:rPr>
              <w:t>(120.6)</w:t>
            </w:r>
          </w:p>
        </w:tc>
        <w:tc>
          <w:tcPr>
            <w:tcW w:w="0" w:type="dxa"/>
            <w:vAlign w:val="bottom"/>
          </w:tcPr>
          <w:p>
            <w:pPr>
              <w:spacing w:after="0"/>
              <w:rPr>
                <w:sz w:val="1"/>
                <w:szCs w:val="1"/>
                <w:color w:val="auto"/>
              </w:rPr>
            </w:pPr>
          </w:p>
        </w:tc>
      </w:tr>
      <w:tr>
        <w:trPr>
          <w:trHeight w:val="270"/>
        </w:trPr>
        <w:tc>
          <w:tcPr>
            <w:tcW w:w="7080" w:type="dxa"/>
            <w:vAlign w:val="bottom"/>
          </w:tcPr>
          <w:p>
            <w:pPr>
              <w:ind w:left="500"/>
              <w:spacing w:after="0"/>
              <w:rPr>
                <w:sz w:val="20"/>
                <w:szCs w:val="20"/>
                <w:color w:val="auto"/>
              </w:rPr>
            </w:pPr>
            <w:r>
              <w:rPr>
                <w:rFonts w:ascii="Arial" w:cs="Arial" w:eastAsia="Arial" w:hAnsi="Arial"/>
                <w:sz w:val="18"/>
                <w:szCs w:val="18"/>
                <w:color w:val="auto"/>
              </w:rPr>
              <w:t>Debt repurchase charges, net</w:t>
            </w:r>
            <w:r>
              <w:rPr>
                <w:rFonts w:ascii="Arial" w:cs="Arial" w:eastAsia="Arial" w:hAnsi="Arial"/>
                <w:sz w:val="21"/>
                <w:szCs w:val="21"/>
                <w:color w:val="auto"/>
                <w:vertAlign w:val="superscript"/>
              </w:rPr>
              <w:t>(1)</w:t>
            </w:r>
            <w:r>
              <w:rPr>
                <w:rFonts w:ascii="Arial" w:cs="Arial" w:eastAsia="Arial" w:hAnsi="Arial"/>
                <w:sz w:val="18"/>
                <w:szCs w:val="18"/>
                <w:color w:val="auto"/>
              </w:rPr>
              <w:t xml:space="preserve"> (Note 10)</w:t>
            </w:r>
          </w:p>
        </w:tc>
        <w:tc>
          <w:tcPr>
            <w:tcW w:w="320" w:type="dxa"/>
            <w:vAlign w:val="bottom"/>
          </w:tcPr>
          <w:p>
            <w:pPr>
              <w:spacing w:after="0"/>
              <w:rPr>
                <w:sz w:val="23"/>
                <w:szCs w:val="23"/>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b w:val="1"/>
                <w:bCs w:val="1"/>
                <w:color w:val="auto"/>
              </w:rPr>
              <w:t>(152.7)</w:t>
            </w:r>
          </w:p>
        </w:tc>
        <w:tc>
          <w:tcPr>
            <w:tcW w:w="380" w:type="dxa"/>
            <w:vAlign w:val="bottom"/>
          </w:tcPr>
          <w:p>
            <w:pPr>
              <w:spacing w:after="0"/>
              <w:rPr>
                <w:sz w:val="23"/>
                <w:szCs w:val="23"/>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7080" w:type="dxa"/>
            <w:vAlign w:val="bottom"/>
            <w:shd w:val="clear" w:color="auto" w:fill="D8D8D8"/>
          </w:tcPr>
          <w:p>
            <w:pPr>
              <w:ind w:left="500"/>
              <w:spacing w:after="0"/>
              <w:rPr>
                <w:sz w:val="20"/>
                <w:szCs w:val="20"/>
                <w:color w:val="auto"/>
              </w:rPr>
            </w:pPr>
            <w:r>
              <w:rPr>
                <w:rFonts w:ascii="Arial" w:cs="Arial" w:eastAsia="Arial" w:hAnsi="Arial"/>
                <w:sz w:val="18"/>
                <w:szCs w:val="18"/>
                <w:color w:val="auto"/>
              </w:rPr>
              <w:t>Amortization of intangible assets</w:t>
            </w:r>
            <w:r>
              <w:rPr>
                <w:rFonts w:ascii="Arial" w:cs="Arial" w:eastAsia="Arial" w:hAnsi="Arial"/>
                <w:sz w:val="21"/>
                <w:szCs w:val="21"/>
                <w:color w:val="auto"/>
                <w:vertAlign w:val="superscript"/>
              </w:rPr>
              <w:t>(2)</w:t>
            </w:r>
            <w:r>
              <w:rPr>
                <w:rFonts w:ascii="Arial" w:cs="Arial" w:eastAsia="Arial" w:hAnsi="Arial"/>
                <w:sz w:val="18"/>
                <w:szCs w:val="18"/>
                <w:color w:val="auto"/>
              </w:rPr>
              <w:t xml:space="preserve"> (Note 8)</w:t>
            </w:r>
          </w:p>
        </w:tc>
        <w:tc>
          <w:tcPr>
            <w:tcW w:w="320" w:type="dxa"/>
            <w:vAlign w:val="bottom"/>
            <w:shd w:val="clear" w:color="auto" w:fill="D8D8D8"/>
          </w:tcPr>
          <w:p>
            <w:pPr>
              <w:spacing w:after="0"/>
              <w:rPr>
                <w:sz w:val="23"/>
                <w:szCs w:val="23"/>
                <w:color w:val="auto"/>
              </w:rPr>
            </w:pPr>
          </w:p>
        </w:tc>
        <w:tc>
          <w:tcPr>
            <w:tcW w:w="1100" w:type="dxa"/>
            <w:vAlign w:val="bottom"/>
            <w:shd w:val="clear" w:color="auto" w:fill="D8D8D8"/>
          </w:tcPr>
          <w:p>
            <w:pPr>
              <w:jc w:val="right"/>
              <w:ind w:right="11"/>
              <w:spacing w:after="0"/>
              <w:rPr>
                <w:sz w:val="20"/>
                <w:szCs w:val="20"/>
                <w:color w:val="auto"/>
              </w:rPr>
            </w:pPr>
            <w:r>
              <w:rPr>
                <w:rFonts w:ascii="Arial" w:cs="Arial" w:eastAsia="Arial" w:hAnsi="Arial"/>
                <w:sz w:val="18"/>
                <w:szCs w:val="18"/>
                <w:b w:val="1"/>
                <w:bCs w:val="1"/>
                <w:color w:val="auto"/>
              </w:rPr>
              <w:t>(626.2)</w:t>
            </w:r>
          </w:p>
        </w:tc>
        <w:tc>
          <w:tcPr>
            <w:tcW w:w="380" w:type="dxa"/>
            <w:vAlign w:val="bottom"/>
            <w:shd w:val="clear" w:color="auto" w:fill="D8D8D8"/>
          </w:tcPr>
          <w:p>
            <w:pPr>
              <w:spacing w:after="0"/>
              <w:rPr>
                <w:sz w:val="23"/>
                <w:szCs w:val="23"/>
                <w:color w:val="auto"/>
              </w:rPr>
            </w:pPr>
          </w:p>
        </w:tc>
        <w:tc>
          <w:tcPr>
            <w:tcW w:w="1100" w:type="dxa"/>
            <w:vAlign w:val="bottom"/>
            <w:shd w:val="clear" w:color="auto" w:fill="D8D8D8"/>
          </w:tcPr>
          <w:p>
            <w:pPr>
              <w:jc w:val="right"/>
              <w:ind w:right="11"/>
              <w:spacing w:after="0"/>
              <w:rPr>
                <w:sz w:val="20"/>
                <w:szCs w:val="20"/>
                <w:color w:val="auto"/>
              </w:rPr>
            </w:pPr>
            <w:r>
              <w:rPr>
                <w:rFonts w:ascii="Arial" w:cs="Arial" w:eastAsia="Arial" w:hAnsi="Arial"/>
                <w:sz w:val="18"/>
                <w:szCs w:val="18"/>
                <w:color w:val="auto"/>
              </w:rPr>
              <w:t>(530.2)</w:t>
            </w:r>
          </w:p>
        </w:tc>
        <w:tc>
          <w:tcPr>
            <w:tcW w:w="400" w:type="dxa"/>
            <w:vAlign w:val="bottom"/>
            <w:shd w:val="clear" w:color="auto" w:fill="D8D8D8"/>
          </w:tcPr>
          <w:p>
            <w:pPr>
              <w:spacing w:after="0"/>
              <w:rPr>
                <w:sz w:val="23"/>
                <w:szCs w:val="23"/>
                <w:color w:val="auto"/>
              </w:rPr>
            </w:pPr>
          </w:p>
        </w:tc>
        <w:tc>
          <w:tcPr>
            <w:tcW w:w="1040" w:type="dxa"/>
            <w:vAlign w:val="bottom"/>
            <w:shd w:val="clear" w:color="auto" w:fill="D8D8D8"/>
          </w:tcPr>
          <w:p>
            <w:pPr>
              <w:jc w:val="right"/>
              <w:spacing w:after="0"/>
              <w:rPr>
                <w:sz w:val="20"/>
                <w:szCs w:val="20"/>
                <w:color w:val="auto"/>
              </w:rPr>
            </w:pPr>
            <w:r>
              <w:rPr>
                <w:rFonts w:ascii="Arial" w:cs="Arial" w:eastAsia="Arial" w:hAnsi="Arial"/>
                <w:sz w:val="18"/>
                <w:szCs w:val="18"/>
                <w:color w:val="auto"/>
              </w:rPr>
              <w:t>(555.0)</w:t>
            </w:r>
          </w:p>
        </w:tc>
        <w:tc>
          <w:tcPr>
            <w:tcW w:w="0" w:type="dxa"/>
            <w:vAlign w:val="bottom"/>
          </w:tcPr>
          <w:p>
            <w:pPr>
              <w:spacing w:after="0"/>
              <w:rPr>
                <w:sz w:val="1"/>
                <w:szCs w:val="1"/>
                <w:color w:val="auto"/>
              </w:rPr>
            </w:pPr>
          </w:p>
        </w:tc>
      </w:tr>
      <w:tr>
        <w:trPr>
          <w:trHeight w:val="207"/>
        </w:trPr>
        <w:tc>
          <w:tcPr>
            <w:tcW w:w="7080" w:type="dxa"/>
            <w:vAlign w:val="bottom"/>
          </w:tcPr>
          <w:p>
            <w:pPr>
              <w:ind w:left="500"/>
              <w:spacing w:after="0"/>
              <w:rPr>
                <w:sz w:val="20"/>
                <w:szCs w:val="20"/>
                <w:color w:val="auto"/>
              </w:rPr>
            </w:pPr>
            <w:r>
              <w:rPr>
                <w:rFonts w:ascii="Arial" w:cs="Arial" w:eastAsia="Arial" w:hAnsi="Arial"/>
                <w:sz w:val="18"/>
                <w:szCs w:val="18"/>
                <w:color w:val="auto"/>
              </w:rPr>
              <w:t>Income related to transfer of linagliptin and empagliflozin rights in certain</w:t>
            </w:r>
          </w:p>
        </w:tc>
        <w:tc>
          <w:tcPr>
            <w:tcW w:w="320" w:type="dxa"/>
            <w:vAlign w:val="bottom"/>
          </w:tcPr>
          <w:p>
            <w:pPr>
              <w:spacing w:after="0"/>
              <w:rPr>
                <w:sz w:val="17"/>
                <w:szCs w:val="17"/>
                <w:color w:val="auto"/>
              </w:rPr>
            </w:pPr>
          </w:p>
        </w:tc>
        <w:tc>
          <w:tcPr>
            <w:tcW w:w="1100" w:type="dxa"/>
            <w:vAlign w:val="bottom"/>
            <w:vMerge w:val="restart"/>
          </w:tcPr>
          <w:p>
            <w:pPr>
              <w:jc w:val="right"/>
              <w:ind w:right="71"/>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7080" w:type="dxa"/>
            <w:vAlign w:val="bottom"/>
          </w:tcPr>
          <w:p>
            <w:pPr>
              <w:ind w:left="500"/>
              <w:spacing w:after="0"/>
              <w:rPr>
                <w:sz w:val="20"/>
                <w:szCs w:val="20"/>
                <w:color w:val="auto"/>
              </w:rPr>
            </w:pPr>
            <w:r>
              <w:rPr>
                <w:rFonts w:ascii="Arial" w:cs="Arial" w:eastAsia="Arial" w:hAnsi="Arial"/>
                <w:sz w:val="18"/>
                <w:szCs w:val="18"/>
                <w:color w:val="auto"/>
              </w:rPr>
              <w:t>countries to Boehringer Ingelheim (Note 4)</w:t>
            </w:r>
          </w:p>
        </w:tc>
        <w:tc>
          <w:tcPr>
            <w:tcW w:w="320" w:type="dxa"/>
            <w:vAlign w:val="bottom"/>
          </w:tcPr>
          <w:p>
            <w:pPr>
              <w:spacing w:after="0"/>
              <w:rPr>
                <w:sz w:val="21"/>
                <w:szCs w:val="21"/>
                <w:color w:val="auto"/>
              </w:rPr>
            </w:pPr>
          </w:p>
        </w:tc>
        <w:tc>
          <w:tcPr>
            <w:tcW w:w="1100" w:type="dxa"/>
            <w:vAlign w:val="bottom"/>
            <w:vMerge w:val="continue"/>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92.0</w:t>
            </w:r>
          </w:p>
        </w:tc>
        <w:tc>
          <w:tcPr>
            <w:tcW w:w="4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1"/>
        </w:trPr>
        <w:tc>
          <w:tcPr>
            <w:tcW w:w="7080" w:type="dxa"/>
            <w:vAlign w:val="bottom"/>
            <w:shd w:val="clear" w:color="auto" w:fill="D8D8D8"/>
          </w:tcPr>
          <w:p>
            <w:pPr>
              <w:ind w:left="500"/>
              <w:spacing w:after="0"/>
              <w:rPr>
                <w:sz w:val="20"/>
                <w:szCs w:val="20"/>
                <w:color w:val="auto"/>
              </w:rPr>
            </w:pPr>
            <w:r>
              <w:rPr>
                <w:rFonts w:ascii="Arial" w:cs="Arial" w:eastAsia="Arial" w:hAnsi="Arial"/>
                <w:sz w:val="18"/>
                <w:szCs w:val="18"/>
                <w:color w:val="auto"/>
              </w:rPr>
              <w:t>U.S. Branded Prescription Drug Fee</w:t>
            </w:r>
          </w:p>
        </w:tc>
        <w:tc>
          <w:tcPr>
            <w:tcW w:w="320" w:type="dxa"/>
            <w:vAlign w:val="bottom"/>
            <w:shd w:val="clear" w:color="auto" w:fill="D8D8D8"/>
          </w:tcPr>
          <w:p>
            <w:pPr>
              <w:spacing w:after="0"/>
              <w:rPr>
                <w:sz w:val="23"/>
                <w:szCs w:val="23"/>
                <w:color w:val="auto"/>
              </w:rPr>
            </w:pPr>
          </w:p>
        </w:tc>
        <w:tc>
          <w:tcPr>
            <w:tcW w:w="1100" w:type="dxa"/>
            <w:vAlign w:val="bottom"/>
            <w:shd w:val="clear" w:color="auto" w:fill="D8D8D8"/>
          </w:tcPr>
          <w:p>
            <w:pPr>
              <w:jc w:val="right"/>
              <w:ind w:right="71"/>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D8D8D8"/>
          </w:tcPr>
          <w:p>
            <w:pPr>
              <w:spacing w:after="0"/>
              <w:rPr>
                <w:sz w:val="23"/>
                <w:szCs w:val="23"/>
                <w:color w:val="auto"/>
              </w:rPr>
            </w:pPr>
          </w:p>
        </w:tc>
        <w:tc>
          <w:tcPr>
            <w:tcW w:w="1100" w:type="dxa"/>
            <w:vAlign w:val="bottom"/>
            <w:shd w:val="clear" w:color="auto" w:fill="D8D8D8"/>
          </w:tcPr>
          <w:p>
            <w:pPr>
              <w:jc w:val="right"/>
              <w:ind w:right="11"/>
              <w:spacing w:after="0"/>
              <w:rPr>
                <w:sz w:val="20"/>
                <w:szCs w:val="20"/>
                <w:color w:val="auto"/>
              </w:rPr>
            </w:pPr>
            <w:r>
              <w:rPr>
                <w:rFonts w:ascii="Arial" w:cs="Arial" w:eastAsia="Arial" w:hAnsi="Arial"/>
                <w:sz w:val="18"/>
                <w:szCs w:val="18"/>
                <w:color w:val="auto"/>
              </w:rPr>
              <w:t>(119.0)</w:t>
            </w:r>
          </w:p>
        </w:tc>
        <w:tc>
          <w:tcPr>
            <w:tcW w:w="400" w:type="dxa"/>
            <w:vAlign w:val="bottom"/>
            <w:shd w:val="clear" w:color="auto" w:fill="D8D8D8"/>
          </w:tcPr>
          <w:p>
            <w:pPr>
              <w:spacing w:after="0"/>
              <w:rPr>
                <w:sz w:val="23"/>
                <w:szCs w:val="23"/>
                <w:color w:val="auto"/>
              </w:rPr>
            </w:pPr>
          </w:p>
        </w:tc>
        <w:tc>
          <w:tcPr>
            <w:tcW w:w="1040" w:type="dxa"/>
            <w:vAlign w:val="bottom"/>
            <w:shd w:val="clear" w:color="auto" w:fill="D8D8D8"/>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7"/>
        </w:trPr>
        <w:tc>
          <w:tcPr>
            <w:tcW w:w="7080" w:type="dxa"/>
            <w:vAlign w:val="bottom"/>
          </w:tcPr>
          <w:p>
            <w:pPr>
              <w:ind w:left="500"/>
              <w:spacing w:after="0"/>
              <w:rPr>
                <w:sz w:val="20"/>
                <w:szCs w:val="20"/>
                <w:color w:val="auto"/>
              </w:rPr>
            </w:pPr>
            <w:r>
              <w:rPr>
                <w:rFonts w:ascii="Arial" w:cs="Arial" w:eastAsia="Arial" w:hAnsi="Arial"/>
                <w:sz w:val="18"/>
                <w:szCs w:val="18"/>
                <w:color w:val="auto"/>
              </w:rPr>
              <w:t>Income related to termination of the exenatide collaboration with Amylin</w:t>
            </w:r>
          </w:p>
        </w:tc>
        <w:tc>
          <w:tcPr>
            <w:tcW w:w="320" w:type="dxa"/>
            <w:vAlign w:val="bottom"/>
          </w:tcPr>
          <w:p>
            <w:pPr>
              <w:spacing w:after="0"/>
              <w:rPr>
                <w:sz w:val="17"/>
                <w:szCs w:val="17"/>
                <w:color w:val="auto"/>
              </w:rPr>
            </w:pPr>
          </w:p>
        </w:tc>
        <w:tc>
          <w:tcPr>
            <w:tcW w:w="1100" w:type="dxa"/>
            <w:vAlign w:val="bottom"/>
            <w:vMerge w:val="restart"/>
          </w:tcPr>
          <w:p>
            <w:pPr>
              <w:jc w:val="right"/>
              <w:ind w:right="71"/>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7080" w:type="dxa"/>
            <w:vAlign w:val="bottom"/>
            <w:tcBorders>
              <w:bottom w:val="single" w:sz="8" w:color="D8D8D8"/>
            </w:tcBorders>
          </w:tcPr>
          <w:p>
            <w:pPr>
              <w:ind w:left="500"/>
              <w:spacing w:after="0"/>
              <w:rPr>
                <w:sz w:val="20"/>
                <w:szCs w:val="20"/>
                <w:color w:val="auto"/>
              </w:rPr>
            </w:pPr>
            <w:r>
              <w:rPr>
                <w:rFonts w:ascii="Arial" w:cs="Arial" w:eastAsia="Arial" w:hAnsi="Arial"/>
                <w:sz w:val="18"/>
                <w:szCs w:val="18"/>
                <w:color w:val="auto"/>
              </w:rPr>
              <w:t>Pharmaceuticals, Inc. (Note 4)</w:t>
            </w: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vMerge w:val="continue"/>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495.4</w:t>
            </w:r>
          </w:p>
        </w:tc>
        <w:tc>
          <w:tcPr>
            <w:tcW w:w="0" w:type="dxa"/>
            <w:vAlign w:val="bottom"/>
          </w:tcPr>
          <w:p>
            <w:pPr>
              <w:spacing w:after="0"/>
              <w:rPr>
                <w:sz w:val="1"/>
                <w:szCs w:val="1"/>
                <w:color w:val="auto"/>
              </w:rPr>
            </w:pPr>
          </w:p>
        </w:tc>
      </w:tr>
      <w:tr>
        <w:trPr>
          <w:trHeight w:val="271"/>
        </w:trPr>
        <w:tc>
          <w:tcPr>
            <w:tcW w:w="7080" w:type="dxa"/>
            <w:vAlign w:val="bottom"/>
            <w:tcBorders>
              <w:bottom w:val="single" w:sz="8" w:color="D8D8D8"/>
            </w:tcBorders>
            <w:shd w:val="clear" w:color="auto" w:fill="D8D8D8"/>
          </w:tcPr>
          <w:p>
            <w:pPr>
              <w:ind w:left="40"/>
              <w:spacing w:after="0"/>
              <w:rPr>
                <w:sz w:val="20"/>
                <w:szCs w:val="20"/>
                <w:color w:val="auto"/>
              </w:rPr>
            </w:pPr>
            <w:r>
              <w:rPr>
                <w:rFonts w:ascii="Arial" w:cs="Arial" w:eastAsia="Arial" w:hAnsi="Arial"/>
                <w:sz w:val="18"/>
                <w:szCs w:val="18"/>
                <w:color w:val="auto"/>
              </w:rPr>
              <w:t>Consolidated income before taxes</w:t>
            </w:r>
          </w:p>
        </w:tc>
        <w:tc>
          <w:tcPr>
            <w:tcW w:w="320" w:type="dxa"/>
            <w:vAlign w:val="bottom"/>
            <w:tcBorders>
              <w:bottom w:val="single" w:sz="8" w:color="auto"/>
            </w:tcBorders>
            <w:shd w:val="clear" w:color="auto" w:fill="D8D8D8"/>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D8D8D8"/>
          </w:tcPr>
          <w:p>
            <w:pPr>
              <w:jc w:val="right"/>
              <w:ind w:right="71"/>
              <w:spacing w:after="0"/>
              <w:rPr>
                <w:sz w:val="20"/>
                <w:szCs w:val="20"/>
                <w:color w:val="auto"/>
              </w:rPr>
            </w:pPr>
            <w:r>
              <w:rPr>
                <w:rFonts w:ascii="Arial" w:cs="Arial" w:eastAsia="Arial" w:hAnsi="Arial"/>
                <w:sz w:val="18"/>
                <w:szCs w:val="18"/>
                <w:b w:val="1"/>
                <w:bCs w:val="1"/>
                <w:color w:val="auto"/>
              </w:rPr>
              <w:t>2,790.0</w:t>
            </w:r>
          </w:p>
        </w:tc>
        <w:tc>
          <w:tcPr>
            <w:tcW w:w="380" w:type="dxa"/>
            <w:vAlign w:val="bottom"/>
            <w:tcBorders>
              <w:bottom w:val="single" w:sz="8" w:color="auto"/>
            </w:tcBorders>
            <w:shd w:val="clear" w:color="auto" w:fill="D8D8D8"/>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D8D8D8"/>
          </w:tcPr>
          <w:p>
            <w:pPr>
              <w:jc w:val="right"/>
              <w:ind w:right="71"/>
              <w:spacing w:after="0"/>
              <w:rPr>
                <w:sz w:val="20"/>
                <w:szCs w:val="20"/>
                <w:color w:val="auto"/>
              </w:rPr>
            </w:pPr>
            <w:r>
              <w:rPr>
                <w:rFonts w:ascii="Arial" w:cs="Arial" w:eastAsia="Arial" w:hAnsi="Arial"/>
                <w:sz w:val="18"/>
                <w:szCs w:val="18"/>
                <w:color w:val="auto"/>
              </w:rPr>
              <w:t>3,000.3</w:t>
            </w:r>
          </w:p>
        </w:tc>
        <w:tc>
          <w:tcPr>
            <w:tcW w:w="400" w:type="dxa"/>
            <w:vAlign w:val="bottom"/>
            <w:tcBorders>
              <w:bottom w:val="single" w:sz="8" w:color="auto"/>
            </w:tcBorders>
            <w:shd w:val="clear" w:color="auto" w:fill="D8D8D8"/>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D8D8D8"/>
          </w:tcPr>
          <w:p>
            <w:pPr>
              <w:jc w:val="right"/>
              <w:ind w:right="11"/>
              <w:spacing w:after="0"/>
              <w:rPr>
                <w:sz w:val="20"/>
                <w:szCs w:val="20"/>
                <w:color w:val="auto"/>
              </w:rPr>
            </w:pPr>
            <w:r>
              <w:rPr>
                <w:rFonts w:ascii="Arial" w:cs="Arial" w:eastAsia="Arial" w:hAnsi="Arial"/>
                <w:sz w:val="18"/>
                <w:szCs w:val="18"/>
                <w:color w:val="auto"/>
              </w:rPr>
              <w:t>5,889.3</w:t>
            </w:r>
          </w:p>
        </w:tc>
        <w:tc>
          <w:tcPr>
            <w:tcW w:w="0" w:type="dxa"/>
            <w:vAlign w:val="bottom"/>
          </w:tcPr>
          <w:p>
            <w:pPr>
              <w:spacing w:after="0"/>
              <w:rPr>
                <w:sz w:val="1"/>
                <w:szCs w:val="1"/>
                <w:color w:val="auto"/>
              </w:rPr>
            </w:pPr>
          </w:p>
        </w:tc>
      </w:tr>
    </w:tbl>
    <w:p>
      <w:pPr>
        <w:spacing w:after="0" w:line="41" w:lineRule="exact"/>
        <w:rPr>
          <w:sz w:val="20"/>
          <w:szCs w:val="20"/>
          <w:color w:val="auto"/>
        </w:rPr>
      </w:pPr>
    </w:p>
    <w:p>
      <w:pPr>
        <w:jc w:val="both"/>
        <w:ind w:left="180" w:right="100" w:hanging="172"/>
        <w:spacing w:after="0"/>
        <w:tabs>
          <w:tab w:leader="none" w:pos="153" w:val="left"/>
        </w:tabs>
        <w:numPr>
          <w:ilvl w:val="0"/>
          <w:numId w:val="64"/>
        </w:numPr>
        <w:rPr>
          <w:rFonts w:ascii="Arial" w:cs="Arial" w:eastAsia="Arial" w:hAnsi="Arial"/>
          <w:sz w:val="17"/>
          <w:szCs w:val="17"/>
          <w:color w:val="auto"/>
          <w:vertAlign w:val="superscript"/>
        </w:rPr>
      </w:pPr>
      <w:r>
        <w:rPr>
          <w:rFonts w:ascii="Arial" w:cs="Arial" w:eastAsia="Arial" w:hAnsi="Arial"/>
          <w:sz w:val="14"/>
          <w:szCs w:val="14"/>
          <w:color w:val="auto"/>
        </w:rPr>
        <w:t>We recognized pretax net charges of $152.7 million for the year ended December 31, 2015, attributable to the debt extinguishment loss of $166.7 million from the purchase and redemption of certain fixed-rate notes, partially offset by net gains from non-hedging interest rate swaps and foreign currency transactions associated with the related issuance of euro-denominated notes.</w:t>
      </w:r>
    </w:p>
    <w:p>
      <w:pPr>
        <w:spacing w:after="0" w:line="76" w:lineRule="exact"/>
        <w:rPr>
          <w:rFonts w:ascii="Arial" w:cs="Arial" w:eastAsia="Arial" w:hAnsi="Arial"/>
          <w:sz w:val="17"/>
          <w:szCs w:val="17"/>
          <w:color w:val="auto"/>
          <w:vertAlign w:val="superscript"/>
        </w:rPr>
      </w:pPr>
    </w:p>
    <w:p>
      <w:pPr>
        <w:ind w:left="180" w:right="240" w:hanging="172"/>
        <w:spacing w:after="0" w:line="232" w:lineRule="auto"/>
        <w:tabs>
          <w:tab w:leader="none" w:pos="167" w:val="left"/>
        </w:tabs>
        <w:numPr>
          <w:ilvl w:val="0"/>
          <w:numId w:val="64"/>
        </w:numPr>
        <w:rPr>
          <w:rFonts w:ascii="Arial" w:cs="Arial" w:eastAsia="Arial" w:hAnsi="Arial"/>
          <w:sz w:val="18"/>
          <w:szCs w:val="18"/>
          <w:color w:val="auto"/>
          <w:vertAlign w:val="superscript"/>
        </w:rPr>
      </w:pPr>
      <w:r>
        <w:rPr>
          <w:rFonts w:ascii="Arial" w:cs="Arial" w:eastAsia="Arial" w:hAnsi="Arial"/>
          <w:sz w:val="14"/>
          <w:szCs w:val="14"/>
          <w:color w:val="auto"/>
        </w:rPr>
        <w:t>In 2015, the measurement of segment profitability was changed to exclude certain amortization of intangible assets. The prior periods have been adjusted to conform with the 2015 presentation.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102</w:t>
      </w:r>
    </w:p>
    <w:p>
      <w:pPr>
        <w:sectPr>
          <w:pgSz w:w="11900" w:h="16838" w:orient="portrait"/>
          <w:cols w:equalWidth="0" w:num="1">
            <w:col w:w="11420"/>
          </w:cols>
          <w:pgMar w:left="240" w:top="908" w:right="23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color w:val="auto"/>
        </w:rPr>
        <w:t>Depreciation and software amortization expense included in our segment profits was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0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2015</w:t>
            </w:r>
          </w:p>
        </w:tc>
        <w:tc>
          <w:tcPr>
            <w:tcW w:w="4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2014</w:t>
            </w:r>
          </w:p>
        </w:tc>
        <w:tc>
          <w:tcPr>
            <w:tcW w:w="4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2013</w:t>
            </w:r>
          </w:p>
        </w:tc>
      </w:tr>
      <w:tr>
        <w:trPr>
          <w:trHeight w:val="265"/>
        </w:trPr>
        <w:tc>
          <w:tcPr>
            <w:tcW w:w="7080" w:type="dxa"/>
            <w:vAlign w:val="bottom"/>
            <w:shd w:val="clear" w:color="auto" w:fill="D8D8D8"/>
          </w:tcPr>
          <w:p>
            <w:pPr>
              <w:ind w:left="40"/>
              <w:spacing w:after="0"/>
              <w:rPr>
                <w:sz w:val="20"/>
                <w:szCs w:val="20"/>
                <w:color w:val="auto"/>
              </w:rPr>
            </w:pPr>
            <w:r>
              <w:rPr>
                <w:rFonts w:ascii="Arial" w:cs="Arial" w:eastAsia="Arial" w:hAnsi="Arial"/>
                <w:sz w:val="18"/>
                <w:szCs w:val="18"/>
                <w:color w:val="auto"/>
              </w:rPr>
              <w:t>Human pharmaceutical products</w:t>
            </w:r>
          </w:p>
        </w:tc>
        <w:tc>
          <w:tcPr>
            <w:tcW w:w="320" w:type="dxa"/>
            <w:vAlign w:val="bottom"/>
            <w:shd w:val="clear" w:color="auto" w:fill="D8D8D8"/>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60" w:type="dxa"/>
            <w:vAlign w:val="bottom"/>
            <w:shd w:val="clear" w:color="auto" w:fill="D8D8D8"/>
          </w:tcPr>
          <w:p>
            <w:pPr>
              <w:jc w:val="right"/>
              <w:ind w:right="34"/>
              <w:spacing w:after="0"/>
              <w:rPr>
                <w:sz w:val="20"/>
                <w:szCs w:val="20"/>
                <w:color w:val="auto"/>
              </w:rPr>
            </w:pPr>
            <w:r>
              <w:rPr>
                <w:rFonts w:ascii="Arial" w:cs="Arial" w:eastAsia="Arial" w:hAnsi="Arial"/>
                <w:sz w:val="18"/>
                <w:szCs w:val="18"/>
                <w:b w:val="1"/>
                <w:bCs w:val="1"/>
                <w:color w:val="auto"/>
              </w:rPr>
              <w:t>720.7</w:t>
            </w:r>
          </w:p>
        </w:tc>
        <w:tc>
          <w:tcPr>
            <w:tcW w:w="420" w:type="dxa"/>
            <w:vAlign w:val="bottom"/>
            <w:shd w:val="clear" w:color="auto" w:fill="D8D8D8"/>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D8D8D8"/>
          </w:tcPr>
          <w:p>
            <w:pPr>
              <w:jc w:val="right"/>
              <w:ind w:right="34"/>
              <w:spacing w:after="0"/>
              <w:rPr>
                <w:sz w:val="20"/>
                <w:szCs w:val="20"/>
                <w:color w:val="auto"/>
              </w:rPr>
            </w:pPr>
            <w:r>
              <w:rPr>
                <w:rFonts w:ascii="Arial" w:cs="Arial" w:eastAsia="Arial" w:hAnsi="Arial"/>
                <w:sz w:val="18"/>
                <w:szCs w:val="18"/>
                <w:color w:val="auto"/>
              </w:rPr>
              <w:t>790.0</w:t>
            </w:r>
          </w:p>
        </w:tc>
        <w:tc>
          <w:tcPr>
            <w:tcW w:w="440" w:type="dxa"/>
            <w:vAlign w:val="bottom"/>
            <w:shd w:val="clear" w:color="auto" w:fill="D8D8D8"/>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D8D8D8"/>
          </w:tcPr>
          <w:p>
            <w:pPr>
              <w:jc w:val="right"/>
              <w:ind w:right="14"/>
              <w:spacing w:after="0"/>
              <w:rPr>
                <w:sz w:val="20"/>
                <w:szCs w:val="20"/>
                <w:color w:val="auto"/>
              </w:rPr>
            </w:pPr>
            <w:r>
              <w:rPr>
                <w:rFonts w:ascii="Arial" w:cs="Arial" w:eastAsia="Arial" w:hAnsi="Arial"/>
                <w:sz w:val="18"/>
                <w:szCs w:val="18"/>
                <w:color w:val="auto"/>
              </w:rPr>
              <w:t>838.8</w:t>
            </w:r>
          </w:p>
        </w:tc>
      </w:tr>
      <w:tr>
        <w:trPr>
          <w:trHeight w:val="269"/>
        </w:trPr>
        <w:tc>
          <w:tcPr>
            <w:tcW w:w="7080" w:type="dxa"/>
            <w:vAlign w:val="bottom"/>
            <w:tcBorders>
              <w:bottom w:val="single" w:sz="8" w:color="D8D8D8"/>
            </w:tcBorders>
          </w:tcPr>
          <w:p>
            <w:pPr>
              <w:ind w:left="40"/>
              <w:spacing w:after="0"/>
              <w:rPr>
                <w:sz w:val="20"/>
                <w:szCs w:val="20"/>
                <w:color w:val="auto"/>
              </w:rPr>
            </w:pPr>
            <w:r>
              <w:rPr>
                <w:rFonts w:ascii="Arial" w:cs="Arial" w:eastAsia="Arial" w:hAnsi="Arial"/>
                <w:sz w:val="18"/>
                <w:szCs w:val="18"/>
                <w:color w:val="auto"/>
              </w:rPr>
              <w:t>Animal health</w:t>
            </w:r>
          </w:p>
        </w:tc>
        <w:tc>
          <w:tcPr>
            <w:tcW w:w="3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80.8</w:t>
            </w:r>
          </w:p>
        </w:tc>
        <w:tc>
          <w:tcPr>
            <w:tcW w:w="4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58.8</w:t>
            </w:r>
          </w:p>
        </w:tc>
        <w:tc>
          <w:tcPr>
            <w:tcW w:w="44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51.8</w:t>
            </w:r>
          </w:p>
        </w:tc>
      </w:tr>
      <w:tr>
        <w:trPr>
          <w:trHeight w:val="258"/>
        </w:trPr>
        <w:tc>
          <w:tcPr>
            <w:tcW w:w="7080" w:type="dxa"/>
            <w:vAlign w:val="bottom"/>
            <w:tcBorders>
              <w:bottom w:val="single" w:sz="8" w:color="D8D8D8"/>
            </w:tcBorders>
            <w:shd w:val="clear" w:color="auto" w:fill="D8D8D8"/>
          </w:tcPr>
          <w:p>
            <w:pPr>
              <w:ind w:left="40"/>
              <w:spacing w:after="0"/>
              <w:rPr>
                <w:sz w:val="20"/>
                <w:szCs w:val="20"/>
                <w:color w:val="auto"/>
              </w:rPr>
            </w:pPr>
            <w:r>
              <w:rPr>
                <w:rFonts w:ascii="Arial" w:cs="Arial" w:eastAsia="Arial" w:hAnsi="Arial"/>
                <w:sz w:val="18"/>
                <w:szCs w:val="18"/>
                <w:color w:val="auto"/>
              </w:rPr>
              <w:t>Total depreciation expense included in segment profits</w:t>
            </w:r>
          </w:p>
        </w:tc>
        <w:tc>
          <w:tcPr>
            <w:tcW w:w="320" w:type="dxa"/>
            <w:vAlign w:val="bottom"/>
            <w:tcBorders>
              <w:bottom w:val="single" w:sz="8" w:color="auto"/>
            </w:tcBorders>
            <w:shd w:val="clear" w:color="auto" w:fill="D8D8D8"/>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shd w:val="clear" w:color="auto" w:fill="D8D8D8"/>
          </w:tcPr>
          <w:p>
            <w:pPr>
              <w:jc w:val="right"/>
              <w:ind w:right="34"/>
              <w:spacing w:after="0"/>
              <w:rPr>
                <w:sz w:val="20"/>
                <w:szCs w:val="20"/>
                <w:color w:val="auto"/>
              </w:rPr>
            </w:pPr>
            <w:r>
              <w:rPr>
                <w:rFonts w:ascii="Arial" w:cs="Arial" w:eastAsia="Arial" w:hAnsi="Arial"/>
                <w:sz w:val="18"/>
                <w:szCs w:val="18"/>
                <w:b w:val="1"/>
                <w:bCs w:val="1"/>
                <w:color w:val="auto"/>
              </w:rPr>
              <w:t>801.5</w:t>
            </w:r>
          </w:p>
        </w:tc>
        <w:tc>
          <w:tcPr>
            <w:tcW w:w="420" w:type="dxa"/>
            <w:vAlign w:val="bottom"/>
            <w:tcBorders>
              <w:bottom w:val="single" w:sz="8" w:color="auto"/>
            </w:tcBorders>
            <w:shd w:val="clear" w:color="auto" w:fill="D8D8D8"/>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D8D8D8"/>
          </w:tcPr>
          <w:p>
            <w:pPr>
              <w:jc w:val="right"/>
              <w:ind w:right="34"/>
              <w:spacing w:after="0"/>
              <w:rPr>
                <w:sz w:val="20"/>
                <w:szCs w:val="20"/>
                <w:color w:val="auto"/>
              </w:rPr>
            </w:pPr>
            <w:r>
              <w:rPr>
                <w:rFonts w:ascii="Arial" w:cs="Arial" w:eastAsia="Arial" w:hAnsi="Arial"/>
                <w:sz w:val="18"/>
                <w:szCs w:val="18"/>
                <w:color w:val="auto"/>
              </w:rPr>
              <w:t>848.8</w:t>
            </w:r>
          </w:p>
        </w:tc>
        <w:tc>
          <w:tcPr>
            <w:tcW w:w="440" w:type="dxa"/>
            <w:vAlign w:val="bottom"/>
            <w:tcBorders>
              <w:bottom w:val="single" w:sz="8" w:color="auto"/>
            </w:tcBorders>
            <w:shd w:val="clear" w:color="auto" w:fill="D8D8D8"/>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D8D8D8"/>
          </w:tcPr>
          <w:p>
            <w:pPr>
              <w:jc w:val="right"/>
              <w:ind w:right="14"/>
              <w:spacing w:after="0"/>
              <w:rPr>
                <w:sz w:val="20"/>
                <w:szCs w:val="20"/>
                <w:color w:val="auto"/>
              </w:rPr>
            </w:pPr>
            <w:r>
              <w:rPr>
                <w:rFonts w:ascii="Arial" w:cs="Arial" w:eastAsia="Arial" w:hAnsi="Arial"/>
                <w:sz w:val="18"/>
                <w:szCs w:val="18"/>
                <w:color w:val="auto"/>
              </w:rPr>
              <w:t>890.6</w:t>
            </w:r>
          </w:p>
        </w:tc>
      </w:tr>
    </w:tbl>
    <w:p>
      <w:pPr>
        <w:spacing w:after="0" w:line="85" w:lineRule="exact"/>
        <w:rPr>
          <w:sz w:val="20"/>
          <w:szCs w:val="20"/>
          <w:color w:val="auto"/>
        </w:rPr>
      </w:pPr>
    </w:p>
    <w:p>
      <w:pPr>
        <w:ind w:right="300"/>
        <w:spacing w:after="0" w:line="271" w:lineRule="auto"/>
        <w:rPr>
          <w:sz w:val="20"/>
          <w:szCs w:val="20"/>
          <w:color w:val="auto"/>
        </w:rPr>
      </w:pPr>
      <w:r>
        <w:rPr>
          <w:rFonts w:ascii="Arial" w:cs="Arial" w:eastAsia="Arial" w:hAnsi="Arial"/>
          <w:sz w:val="18"/>
          <w:szCs w:val="18"/>
          <w:color w:val="auto"/>
        </w:rPr>
        <w:t>For internal management reporting presented to the chief operating decision maker, certain costs are fully allocated to our human pharmaceutical products segment and therefore are not reflected in the animal health segment's profit. Such items include costs associated with treasury-related financing, global administrative services, certain acquisition-related transaction costs, and certain manufacturing costs.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0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2015</w:t>
            </w:r>
          </w:p>
        </w:tc>
        <w:tc>
          <w:tcPr>
            <w:tcW w:w="4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2014</w:t>
            </w:r>
          </w:p>
        </w:tc>
        <w:tc>
          <w:tcPr>
            <w:tcW w:w="4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2013</w:t>
            </w:r>
          </w:p>
        </w:tc>
      </w:tr>
      <w:tr>
        <w:trPr>
          <w:trHeight w:val="265"/>
        </w:trPr>
        <w:tc>
          <w:tcPr>
            <w:tcW w:w="7080" w:type="dxa"/>
            <w:vAlign w:val="bottom"/>
            <w:shd w:val="clear" w:color="auto" w:fill="D8D8D8"/>
          </w:tcPr>
          <w:p>
            <w:pPr>
              <w:ind w:left="40"/>
              <w:spacing w:after="0"/>
              <w:rPr>
                <w:sz w:val="20"/>
                <w:szCs w:val="20"/>
                <w:color w:val="auto"/>
              </w:rPr>
            </w:pPr>
            <w:r>
              <w:rPr>
                <w:rFonts w:ascii="Arial" w:cs="Arial" w:eastAsia="Arial" w:hAnsi="Arial"/>
                <w:sz w:val="18"/>
                <w:szCs w:val="18"/>
                <w:b w:val="1"/>
                <w:bCs w:val="1"/>
                <w:color w:val="auto"/>
              </w:rPr>
              <w:t>Geographic Information</w:t>
            </w:r>
          </w:p>
        </w:tc>
        <w:tc>
          <w:tcPr>
            <w:tcW w:w="320" w:type="dxa"/>
            <w:vAlign w:val="bottom"/>
            <w:shd w:val="clear" w:color="auto" w:fill="D8D8D8"/>
          </w:tcPr>
          <w:p>
            <w:pPr>
              <w:spacing w:after="0"/>
              <w:rPr>
                <w:sz w:val="23"/>
                <w:szCs w:val="23"/>
                <w:color w:val="auto"/>
              </w:rPr>
            </w:pPr>
          </w:p>
        </w:tc>
        <w:tc>
          <w:tcPr>
            <w:tcW w:w="1060" w:type="dxa"/>
            <w:vAlign w:val="bottom"/>
            <w:shd w:val="clear" w:color="auto" w:fill="D8D8D8"/>
          </w:tcPr>
          <w:p>
            <w:pPr>
              <w:spacing w:after="0"/>
              <w:rPr>
                <w:sz w:val="23"/>
                <w:szCs w:val="23"/>
                <w:color w:val="auto"/>
              </w:rPr>
            </w:pPr>
          </w:p>
        </w:tc>
        <w:tc>
          <w:tcPr>
            <w:tcW w:w="420" w:type="dxa"/>
            <w:vAlign w:val="bottom"/>
            <w:shd w:val="clear" w:color="auto" w:fill="D8D8D8"/>
          </w:tcPr>
          <w:p>
            <w:pPr>
              <w:spacing w:after="0"/>
              <w:rPr>
                <w:sz w:val="23"/>
                <w:szCs w:val="23"/>
                <w:color w:val="auto"/>
              </w:rPr>
            </w:pPr>
          </w:p>
        </w:tc>
        <w:tc>
          <w:tcPr>
            <w:tcW w:w="1060" w:type="dxa"/>
            <w:vAlign w:val="bottom"/>
            <w:shd w:val="clear" w:color="auto" w:fill="D8D8D8"/>
          </w:tcPr>
          <w:p>
            <w:pPr>
              <w:spacing w:after="0"/>
              <w:rPr>
                <w:sz w:val="23"/>
                <w:szCs w:val="23"/>
                <w:color w:val="auto"/>
              </w:rPr>
            </w:pPr>
          </w:p>
        </w:tc>
        <w:tc>
          <w:tcPr>
            <w:tcW w:w="440" w:type="dxa"/>
            <w:vAlign w:val="bottom"/>
            <w:shd w:val="clear" w:color="auto" w:fill="D8D8D8"/>
          </w:tcPr>
          <w:p>
            <w:pPr>
              <w:spacing w:after="0"/>
              <w:rPr>
                <w:sz w:val="23"/>
                <w:szCs w:val="23"/>
                <w:color w:val="auto"/>
              </w:rPr>
            </w:pPr>
          </w:p>
        </w:tc>
        <w:tc>
          <w:tcPr>
            <w:tcW w:w="1040" w:type="dxa"/>
            <w:vAlign w:val="bottom"/>
            <w:shd w:val="clear" w:color="auto" w:fill="D8D8D8"/>
          </w:tcPr>
          <w:p>
            <w:pPr>
              <w:spacing w:after="0"/>
              <w:rPr>
                <w:sz w:val="23"/>
                <w:szCs w:val="23"/>
                <w:color w:val="auto"/>
              </w:rPr>
            </w:pPr>
          </w:p>
        </w:tc>
      </w:tr>
      <w:tr>
        <w:trPr>
          <w:trHeight w:val="270"/>
        </w:trPr>
        <w:tc>
          <w:tcPr>
            <w:tcW w:w="7080" w:type="dxa"/>
            <w:vAlign w:val="bottom"/>
          </w:tcPr>
          <w:p>
            <w:pPr>
              <w:ind w:left="40"/>
              <w:spacing w:after="0"/>
              <w:rPr>
                <w:sz w:val="20"/>
                <w:szCs w:val="20"/>
                <w:color w:val="auto"/>
              </w:rPr>
            </w:pPr>
            <w:r>
              <w:rPr>
                <w:rFonts w:ascii="Arial" w:cs="Arial" w:eastAsia="Arial" w:hAnsi="Arial"/>
                <w:sz w:val="18"/>
                <w:szCs w:val="18"/>
                <w:color w:val="auto"/>
              </w:rPr>
              <w:t>Revenue—to unaffiliated customers</w:t>
            </w:r>
            <w:r>
              <w:rPr>
                <w:rFonts w:ascii="Arial" w:cs="Arial" w:eastAsia="Arial" w:hAnsi="Arial"/>
                <w:sz w:val="21"/>
                <w:szCs w:val="21"/>
                <w:color w:val="auto"/>
                <w:vertAlign w:val="superscript"/>
              </w:rPr>
              <w:t>(1)</w:t>
            </w: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70"/>
        </w:trPr>
        <w:tc>
          <w:tcPr>
            <w:tcW w:w="7080" w:type="dxa"/>
            <w:vAlign w:val="bottom"/>
            <w:shd w:val="clear" w:color="auto" w:fill="D8D8D8"/>
          </w:tcPr>
          <w:p>
            <w:pPr>
              <w:ind w:left="180"/>
              <w:spacing w:after="0"/>
              <w:rPr>
                <w:sz w:val="20"/>
                <w:szCs w:val="20"/>
                <w:color w:val="auto"/>
              </w:rPr>
            </w:pPr>
            <w:r>
              <w:rPr>
                <w:rFonts w:ascii="Arial" w:cs="Arial" w:eastAsia="Arial" w:hAnsi="Arial"/>
                <w:sz w:val="18"/>
                <w:szCs w:val="18"/>
                <w:color w:val="auto"/>
              </w:rPr>
              <w:t>United States</w:t>
            </w:r>
          </w:p>
        </w:tc>
        <w:tc>
          <w:tcPr>
            <w:tcW w:w="320" w:type="dxa"/>
            <w:vAlign w:val="bottom"/>
            <w:shd w:val="clear" w:color="auto" w:fill="D8D8D8"/>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60" w:type="dxa"/>
            <w:vAlign w:val="bottom"/>
            <w:shd w:val="clear" w:color="auto" w:fill="D8D8D8"/>
          </w:tcPr>
          <w:p>
            <w:pPr>
              <w:jc w:val="right"/>
              <w:ind w:right="32"/>
              <w:spacing w:after="0"/>
              <w:rPr>
                <w:sz w:val="20"/>
                <w:szCs w:val="20"/>
                <w:color w:val="auto"/>
              </w:rPr>
            </w:pPr>
            <w:r>
              <w:rPr>
                <w:rFonts w:ascii="Arial" w:cs="Arial" w:eastAsia="Arial" w:hAnsi="Arial"/>
                <w:sz w:val="18"/>
                <w:szCs w:val="18"/>
                <w:b w:val="1"/>
                <w:bCs w:val="1"/>
                <w:color w:val="auto"/>
              </w:rPr>
              <w:t>10,097.4</w:t>
            </w:r>
          </w:p>
        </w:tc>
        <w:tc>
          <w:tcPr>
            <w:tcW w:w="420" w:type="dxa"/>
            <w:vAlign w:val="bottom"/>
            <w:shd w:val="clear" w:color="auto" w:fill="D8D8D8"/>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D8D8D8"/>
          </w:tcPr>
          <w:p>
            <w:pPr>
              <w:jc w:val="right"/>
              <w:ind w:right="32"/>
              <w:spacing w:after="0"/>
              <w:rPr>
                <w:sz w:val="20"/>
                <w:szCs w:val="20"/>
                <w:color w:val="auto"/>
              </w:rPr>
            </w:pPr>
            <w:r>
              <w:rPr>
                <w:rFonts w:ascii="Arial" w:cs="Arial" w:eastAsia="Arial" w:hAnsi="Arial"/>
                <w:sz w:val="18"/>
                <w:szCs w:val="18"/>
                <w:color w:val="auto"/>
              </w:rPr>
              <w:t>9,134.1</w:t>
            </w:r>
          </w:p>
        </w:tc>
        <w:tc>
          <w:tcPr>
            <w:tcW w:w="440" w:type="dxa"/>
            <w:vAlign w:val="bottom"/>
            <w:shd w:val="clear" w:color="auto" w:fill="D8D8D8"/>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D8D8D8"/>
          </w:tcPr>
          <w:p>
            <w:pPr>
              <w:jc w:val="right"/>
              <w:ind w:right="12"/>
              <w:spacing w:after="0"/>
              <w:rPr>
                <w:sz w:val="20"/>
                <w:szCs w:val="20"/>
                <w:color w:val="auto"/>
              </w:rPr>
            </w:pPr>
            <w:r>
              <w:rPr>
                <w:rFonts w:ascii="Arial" w:cs="Arial" w:eastAsia="Arial" w:hAnsi="Arial"/>
                <w:sz w:val="18"/>
                <w:szCs w:val="18"/>
                <w:color w:val="auto"/>
              </w:rPr>
              <w:t>12,889.7</w:t>
            </w:r>
          </w:p>
        </w:tc>
      </w:tr>
      <w:tr>
        <w:trPr>
          <w:trHeight w:val="269"/>
        </w:trPr>
        <w:tc>
          <w:tcPr>
            <w:tcW w:w="7080" w:type="dxa"/>
            <w:vAlign w:val="bottom"/>
          </w:tcPr>
          <w:p>
            <w:pPr>
              <w:ind w:left="180"/>
              <w:spacing w:after="0"/>
              <w:rPr>
                <w:sz w:val="20"/>
                <w:szCs w:val="20"/>
                <w:color w:val="auto"/>
              </w:rPr>
            </w:pPr>
            <w:r>
              <w:rPr>
                <w:rFonts w:ascii="Arial" w:cs="Arial" w:eastAsia="Arial" w:hAnsi="Arial"/>
                <w:sz w:val="18"/>
                <w:szCs w:val="18"/>
                <w:color w:val="auto"/>
              </w:rPr>
              <w:t>Europe</w:t>
            </w:r>
          </w:p>
        </w:tc>
        <w:tc>
          <w:tcPr>
            <w:tcW w:w="320" w:type="dxa"/>
            <w:vAlign w:val="bottom"/>
          </w:tcPr>
          <w:p>
            <w:pPr>
              <w:spacing w:after="0"/>
              <w:rPr>
                <w:sz w:val="23"/>
                <w:szCs w:val="23"/>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b w:val="1"/>
                <w:bCs w:val="1"/>
                <w:color w:val="auto"/>
              </w:rPr>
              <w:t>3,943.6</w:t>
            </w:r>
          </w:p>
        </w:tc>
        <w:tc>
          <w:tcPr>
            <w:tcW w:w="420" w:type="dxa"/>
            <w:vAlign w:val="bottom"/>
          </w:tcPr>
          <w:p>
            <w:pPr>
              <w:spacing w:after="0"/>
              <w:rPr>
                <w:sz w:val="23"/>
                <w:szCs w:val="23"/>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4,506.7</w:t>
            </w:r>
          </w:p>
        </w:tc>
        <w:tc>
          <w:tcPr>
            <w:tcW w:w="44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4,338.4</w:t>
            </w:r>
          </w:p>
        </w:tc>
      </w:tr>
      <w:tr>
        <w:trPr>
          <w:trHeight w:val="271"/>
        </w:trPr>
        <w:tc>
          <w:tcPr>
            <w:tcW w:w="7080" w:type="dxa"/>
            <w:vAlign w:val="bottom"/>
            <w:shd w:val="clear" w:color="auto" w:fill="D8D8D8"/>
          </w:tcPr>
          <w:p>
            <w:pPr>
              <w:ind w:left="180"/>
              <w:spacing w:after="0"/>
              <w:rPr>
                <w:sz w:val="20"/>
                <w:szCs w:val="20"/>
                <w:color w:val="auto"/>
              </w:rPr>
            </w:pPr>
            <w:r>
              <w:rPr>
                <w:rFonts w:ascii="Arial" w:cs="Arial" w:eastAsia="Arial" w:hAnsi="Arial"/>
                <w:sz w:val="18"/>
                <w:szCs w:val="18"/>
                <w:color w:val="auto"/>
              </w:rPr>
              <w:t>Japan</w:t>
            </w:r>
          </w:p>
        </w:tc>
        <w:tc>
          <w:tcPr>
            <w:tcW w:w="320" w:type="dxa"/>
            <w:vAlign w:val="bottom"/>
            <w:shd w:val="clear" w:color="auto" w:fill="D8D8D8"/>
          </w:tcPr>
          <w:p>
            <w:pPr>
              <w:spacing w:after="0"/>
              <w:rPr>
                <w:sz w:val="23"/>
                <w:szCs w:val="23"/>
                <w:color w:val="auto"/>
              </w:rPr>
            </w:pPr>
          </w:p>
        </w:tc>
        <w:tc>
          <w:tcPr>
            <w:tcW w:w="1060" w:type="dxa"/>
            <w:vAlign w:val="bottom"/>
            <w:shd w:val="clear" w:color="auto" w:fill="D8D8D8"/>
          </w:tcPr>
          <w:p>
            <w:pPr>
              <w:jc w:val="right"/>
              <w:ind w:right="32"/>
              <w:spacing w:after="0"/>
              <w:rPr>
                <w:sz w:val="20"/>
                <w:szCs w:val="20"/>
                <w:color w:val="auto"/>
              </w:rPr>
            </w:pPr>
            <w:r>
              <w:rPr>
                <w:rFonts w:ascii="Arial" w:cs="Arial" w:eastAsia="Arial" w:hAnsi="Arial"/>
                <w:sz w:val="18"/>
                <w:szCs w:val="18"/>
                <w:b w:val="1"/>
                <w:bCs w:val="1"/>
                <w:color w:val="auto"/>
              </w:rPr>
              <w:t>2,033.1</w:t>
            </w:r>
          </w:p>
        </w:tc>
        <w:tc>
          <w:tcPr>
            <w:tcW w:w="420" w:type="dxa"/>
            <w:vAlign w:val="bottom"/>
            <w:shd w:val="clear" w:color="auto" w:fill="D8D8D8"/>
          </w:tcPr>
          <w:p>
            <w:pPr>
              <w:spacing w:after="0"/>
              <w:rPr>
                <w:sz w:val="23"/>
                <w:szCs w:val="23"/>
                <w:color w:val="auto"/>
              </w:rPr>
            </w:pPr>
          </w:p>
        </w:tc>
        <w:tc>
          <w:tcPr>
            <w:tcW w:w="1060" w:type="dxa"/>
            <w:vAlign w:val="bottom"/>
            <w:shd w:val="clear" w:color="auto" w:fill="D8D8D8"/>
          </w:tcPr>
          <w:p>
            <w:pPr>
              <w:jc w:val="right"/>
              <w:ind w:right="32"/>
              <w:spacing w:after="0"/>
              <w:rPr>
                <w:sz w:val="20"/>
                <w:szCs w:val="20"/>
                <w:color w:val="auto"/>
              </w:rPr>
            </w:pPr>
            <w:r>
              <w:rPr>
                <w:rFonts w:ascii="Arial" w:cs="Arial" w:eastAsia="Arial" w:hAnsi="Arial"/>
                <w:sz w:val="18"/>
                <w:szCs w:val="18"/>
                <w:color w:val="auto"/>
              </w:rPr>
              <w:t>2,027.1</w:t>
            </w:r>
          </w:p>
        </w:tc>
        <w:tc>
          <w:tcPr>
            <w:tcW w:w="440" w:type="dxa"/>
            <w:vAlign w:val="bottom"/>
            <w:shd w:val="clear" w:color="auto" w:fill="D8D8D8"/>
          </w:tcPr>
          <w:p>
            <w:pPr>
              <w:spacing w:after="0"/>
              <w:rPr>
                <w:sz w:val="23"/>
                <w:szCs w:val="23"/>
                <w:color w:val="auto"/>
              </w:rPr>
            </w:pPr>
          </w:p>
        </w:tc>
        <w:tc>
          <w:tcPr>
            <w:tcW w:w="1040" w:type="dxa"/>
            <w:vAlign w:val="bottom"/>
            <w:shd w:val="clear" w:color="auto" w:fill="D8D8D8"/>
          </w:tcPr>
          <w:p>
            <w:pPr>
              <w:jc w:val="right"/>
              <w:ind w:right="12"/>
              <w:spacing w:after="0"/>
              <w:rPr>
                <w:sz w:val="20"/>
                <w:szCs w:val="20"/>
                <w:color w:val="auto"/>
              </w:rPr>
            </w:pPr>
            <w:r>
              <w:rPr>
                <w:rFonts w:ascii="Arial" w:cs="Arial" w:eastAsia="Arial" w:hAnsi="Arial"/>
                <w:sz w:val="18"/>
                <w:szCs w:val="18"/>
                <w:color w:val="auto"/>
              </w:rPr>
              <w:t>2,063.8</w:t>
            </w:r>
          </w:p>
        </w:tc>
      </w:tr>
      <w:tr>
        <w:trPr>
          <w:trHeight w:val="269"/>
        </w:trPr>
        <w:tc>
          <w:tcPr>
            <w:tcW w:w="7080" w:type="dxa"/>
            <w:vAlign w:val="bottom"/>
            <w:tcBorders>
              <w:bottom w:val="single" w:sz="8" w:color="D8D8D8"/>
            </w:tcBorders>
          </w:tcPr>
          <w:p>
            <w:pPr>
              <w:ind w:left="180"/>
              <w:spacing w:after="0"/>
              <w:rPr>
                <w:sz w:val="20"/>
                <w:szCs w:val="20"/>
                <w:color w:val="auto"/>
              </w:rPr>
            </w:pPr>
            <w:r>
              <w:rPr>
                <w:rFonts w:ascii="Arial" w:cs="Arial" w:eastAsia="Arial" w:hAnsi="Arial"/>
                <w:sz w:val="18"/>
                <w:szCs w:val="18"/>
                <w:color w:val="auto"/>
              </w:rPr>
              <w:t>Other foreign countries</w:t>
            </w:r>
          </w:p>
        </w:tc>
        <w:tc>
          <w:tcPr>
            <w:tcW w:w="3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3,884.6</w:t>
            </w:r>
          </w:p>
        </w:tc>
        <w:tc>
          <w:tcPr>
            <w:tcW w:w="4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3,947.7</w:t>
            </w:r>
          </w:p>
        </w:tc>
        <w:tc>
          <w:tcPr>
            <w:tcW w:w="44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3,821.2</w:t>
            </w:r>
          </w:p>
        </w:tc>
      </w:tr>
      <w:tr>
        <w:trPr>
          <w:trHeight w:val="271"/>
        </w:trPr>
        <w:tc>
          <w:tcPr>
            <w:tcW w:w="7080" w:type="dxa"/>
            <w:vAlign w:val="bottom"/>
            <w:tcBorders>
              <w:bottom w:val="single" w:sz="8" w:color="D8D8D8"/>
            </w:tcBorders>
            <w:shd w:val="clear" w:color="auto" w:fill="D8D8D8"/>
          </w:tcPr>
          <w:p>
            <w:pPr>
              <w:ind w:left="40"/>
              <w:spacing w:after="0"/>
              <w:rPr>
                <w:sz w:val="20"/>
                <w:szCs w:val="20"/>
                <w:color w:val="auto"/>
              </w:rPr>
            </w:pPr>
            <w:r>
              <w:rPr>
                <w:rFonts w:ascii="Arial" w:cs="Arial" w:eastAsia="Arial" w:hAnsi="Arial"/>
                <w:sz w:val="18"/>
                <w:szCs w:val="18"/>
                <w:color w:val="auto"/>
              </w:rPr>
              <w:t>Revenue</w:t>
            </w:r>
          </w:p>
        </w:tc>
        <w:tc>
          <w:tcPr>
            <w:tcW w:w="320" w:type="dxa"/>
            <w:vAlign w:val="bottom"/>
            <w:tcBorders>
              <w:bottom w:val="single" w:sz="8" w:color="auto"/>
            </w:tcBorders>
            <w:shd w:val="clear" w:color="auto" w:fill="D8D8D8"/>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shd w:val="clear" w:color="auto" w:fill="D8D8D8"/>
          </w:tcPr>
          <w:p>
            <w:pPr>
              <w:jc w:val="right"/>
              <w:ind w:right="32"/>
              <w:spacing w:after="0"/>
              <w:rPr>
                <w:sz w:val="20"/>
                <w:szCs w:val="20"/>
                <w:color w:val="auto"/>
              </w:rPr>
            </w:pPr>
            <w:r>
              <w:rPr>
                <w:rFonts w:ascii="Arial" w:cs="Arial" w:eastAsia="Arial" w:hAnsi="Arial"/>
                <w:sz w:val="18"/>
                <w:szCs w:val="18"/>
                <w:b w:val="1"/>
                <w:bCs w:val="1"/>
                <w:color w:val="auto"/>
              </w:rPr>
              <w:t>19,958.7</w:t>
            </w:r>
          </w:p>
        </w:tc>
        <w:tc>
          <w:tcPr>
            <w:tcW w:w="420" w:type="dxa"/>
            <w:vAlign w:val="bottom"/>
            <w:tcBorders>
              <w:bottom w:val="single" w:sz="8" w:color="auto"/>
            </w:tcBorders>
            <w:shd w:val="clear" w:color="auto" w:fill="D8D8D8"/>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D8D8D8"/>
          </w:tcPr>
          <w:p>
            <w:pPr>
              <w:jc w:val="right"/>
              <w:ind w:right="32"/>
              <w:spacing w:after="0"/>
              <w:rPr>
                <w:sz w:val="20"/>
                <w:szCs w:val="20"/>
                <w:color w:val="auto"/>
              </w:rPr>
            </w:pPr>
            <w:r>
              <w:rPr>
                <w:rFonts w:ascii="Arial" w:cs="Arial" w:eastAsia="Arial" w:hAnsi="Arial"/>
                <w:sz w:val="18"/>
                <w:szCs w:val="18"/>
                <w:color w:val="auto"/>
              </w:rPr>
              <w:t>19,615.6</w:t>
            </w:r>
          </w:p>
        </w:tc>
        <w:tc>
          <w:tcPr>
            <w:tcW w:w="440" w:type="dxa"/>
            <w:vAlign w:val="bottom"/>
            <w:tcBorders>
              <w:bottom w:val="single" w:sz="8" w:color="auto"/>
            </w:tcBorders>
            <w:shd w:val="clear" w:color="auto" w:fill="D8D8D8"/>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D8D8D8"/>
          </w:tcPr>
          <w:p>
            <w:pPr>
              <w:jc w:val="right"/>
              <w:ind w:right="12"/>
              <w:spacing w:after="0"/>
              <w:rPr>
                <w:sz w:val="20"/>
                <w:szCs w:val="20"/>
                <w:color w:val="auto"/>
              </w:rPr>
            </w:pPr>
            <w:r>
              <w:rPr>
                <w:rFonts w:ascii="Arial" w:cs="Arial" w:eastAsia="Arial" w:hAnsi="Arial"/>
                <w:sz w:val="18"/>
                <w:szCs w:val="18"/>
                <w:color w:val="auto"/>
              </w:rPr>
              <w:t>23,113.1</w:t>
            </w:r>
          </w:p>
        </w:tc>
      </w:tr>
      <w:tr>
        <w:trPr>
          <w:trHeight w:val="270"/>
        </w:trPr>
        <w:tc>
          <w:tcPr>
            <w:tcW w:w="70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70"/>
        </w:trPr>
        <w:tc>
          <w:tcPr>
            <w:tcW w:w="7080" w:type="dxa"/>
            <w:vAlign w:val="bottom"/>
            <w:shd w:val="clear" w:color="auto" w:fill="D8D8D8"/>
          </w:tcPr>
          <w:p>
            <w:pPr>
              <w:ind w:left="40"/>
              <w:spacing w:after="0"/>
              <w:rPr>
                <w:sz w:val="20"/>
                <w:szCs w:val="20"/>
                <w:color w:val="auto"/>
              </w:rPr>
            </w:pPr>
            <w:r>
              <w:rPr>
                <w:rFonts w:ascii="Arial" w:cs="Arial" w:eastAsia="Arial" w:hAnsi="Arial"/>
                <w:sz w:val="18"/>
                <w:szCs w:val="18"/>
                <w:color w:val="auto"/>
              </w:rPr>
              <w:t>Long-lived assets</w:t>
            </w:r>
            <w:r>
              <w:rPr>
                <w:rFonts w:ascii="Arial" w:cs="Arial" w:eastAsia="Arial" w:hAnsi="Arial"/>
                <w:sz w:val="21"/>
                <w:szCs w:val="21"/>
                <w:color w:val="auto"/>
                <w:vertAlign w:val="superscript"/>
              </w:rPr>
              <w:t>(2)</w:t>
            </w:r>
            <w:r>
              <w:rPr>
                <w:rFonts w:ascii="Arial" w:cs="Arial" w:eastAsia="Arial" w:hAnsi="Arial"/>
                <w:sz w:val="18"/>
                <w:szCs w:val="18"/>
                <w:color w:val="auto"/>
              </w:rPr>
              <w:t>:</w:t>
            </w:r>
          </w:p>
        </w:tc>
        <w:tc>
          <w:tcPr>
            <w:tcW w:w="320" w:type="dxa"/>
            <w:vAlign w:val="bottom"/>
            <w:shd w:val="clear" w:color="auto" w:fill="D8D8D8"/>
          </w:tcPr>
          <w:p>
            <w:pPr>
              <w:spacing w:after="0"/>
              <w:rPr>
                <w:sz w:val="23"/>
                <w:szCs w:val="23"/>
                <w:color w:val="auto"/>
              </w:rPr>
            </w:pPr>
          </w:p>
        </w:tc>
        <w:tc>
          <w:tcPr>
            <w:tcW w:w="1060" w:type="dxa"/>
            <w:vAlign w:val="bottom"/>
            <w:shd w:val="clear" w:color="auto" w:fill="D8D8D8"/>
          </w:tcPr>
          <w:p>
            <w:pPr>
              <w:spacing w:after="0"/>
              <w:rPr>
                <w:sz w:val="23"/>
                <w:szCs w:val="23"/>
                <w:color w:val="auto"/>
              </w:rPr>
            </w:pPr>
          </w:p>
        </w:tc>
        <w:tc>
          <w:tcPr>
            <w:tcW w:w="420" w:type="dxa"/>
            <w:vAlign w:val="bottom"/>
            <w:shd w:val="clear" w:color="auto" w:fill="D8D8D8"/>
          </w:tcPr>
          <w:p>
            <w:pPr>
              <w:spacing w:after="0"/>
              <w:rPr>
                <w:sz w:val="23"/>
                <w:szCs w:val="23"/>
                <w:color w:val="auto"/>
              </w:rPr>
            </w:pPr>
          </w:p>
        </w:tc>
        <w:tc>
          <w:tcPr>
            <w:tcW w:w="1060" w:type="dxa"/>
            <w:vAlign w:val="bottom"/>
            <w:shd w:val="clear" w:color="auto" w:fill="D8D8D8"/>
          </w:tcPr>
          <w:p>
            <w:pPr>
              <w:spacing w:after="0"/>
              <w:rPr>
                <w:sz w:val="23"/>
                <w:szCs w:val="23"/>
                <w:color w:val="auto"/>
              </w:rPr>
            </w:pPr>
          </w:p>
        </w:tc>
        <w:tc>
          <w:tcPr>
            <w:tcW w:w="440" w:type="dxa"/>
            <w:vAlign w:val="bottom"/>
            <w:shd w:val="clear" w:color="auto" w:fill="D8D8D8"/>
          </w:tcPr>
          <w:p>
            <w:pPr>
              <w:spacing w:after="0"/>
              <w:rPr>
                <w:sz w:val="23"/>
                <w:szCs w:val="23"/>
                <w:color w:val="auto"/>
              </w:rPr>
            </w:pPr>
          </w:p>
        </w:tc>
        <w:tc>
          <w:tcPr>
            <w:tcW w:w="1040" w:type="dxa"/>
            <w:vAlign w:val="bottom"/>
            <w:shd w:val="clear" w:color="auto" w:fill="D8D8D8"/>
          </w:tcPr>
          <w:p>
            <w:pPr>
              <w:spacing w:after="0"/>
              <w:rPr>
                <w:sz w:val="23"/>
                <w:szCs w:val="23"/>
                <w:color w:val="auto"/>
              </w:rPr>
            </w:pPr>
          </w:p>
        </w:tc>
      </w:tr>
      <w:tr>
        <w:trPr>
          <w:trHeight w:val="269"/>
        </w:trPr>
        <w:tc>
          <w:tcPr>
            <w:tcW w:w="7080" w:type="dxa"/>
            <w:vAlign w:val="bottom"/>
          </w:tcPr>
          <w:p>
            <w:pPr>
              <w:ind w:left="180"/>
              <w:spacing w:after="0"/>
              <w:rPr>
                <w:sz w:val="20"/>
                <w:szCs w:val="20"/>
                <w:color w:val="auto"/>
              </w:rPr>
            </w:pPr>
            <w:r>
              <w:rPr>
                <w:rFonts w:ascii="Arial" w:cs="Arial" w:eastAsia="Arial" w:hAnsi="Arial"/>
                <w:sz w:val="18"/>
                <w:szCs w:val="18"/>
                <w:color w:val="auto"/>
              </w:rPr>
              <w:t>United States</w:t>
            </w: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Pr>
          <w:p>
            <w:pPr>
              <w:jc w:val="right"/>
              <w:ind w:right="32"/>
              <w:spacing w:after="0"/>
              <w:rPr>
                <w:sz w:val="20"/>
                <w:szCs w:val="20"/>
                <w:color w:val="auto"/>
              </w:rPr>
            </w:pPr>
            <w:r>
              <w:rPr>
                <w:rFonts w:ascii="Arial" w:cs="Arial" w:eastAsia="Arial" w:hAnsi="Arial"/>
                <w:sz w:val="18"/>
                <w:szCs w:val="18"/>
                <w:b w:val="1"/>
                <w:bCs w:val="1"/>
                <w:color w:val="auto"/>
              </w:rPr>
              <w:t>4,576.8</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4,566.2</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4,649.6</w:t>
            </w:r>
          </w:p>
        </w:tc>
      </w:tr>
      <w:tr>
        <w:trPr>
          <w:trHeight w:val="271"/>
        </w:trPr>
        <w:tc>
          <w:tcPr>
            <w:tcW w:w="7080" w:type="dxa"/>
            <w:vAlign w:val="bottom"/>
            <w:shd w:val="clear" w:color="auto" w:fill="D8D8D8"/>
          </w:tcPr>
          <w:p>
            <w:pPr>
              <w:ind w:left="180"/>
              <w:spacing w:after="0"/>
              <w:rPr>
                <w:sz w:val="20"/>
                <w:szCs w:val="20"/>
                <w:color w:val="auto"/>
              </w:rPr>
            </w:pPr>
            <w:r>
              <w:rPr>
                <w:rFonts w:ascii="Arial" w:cs="Arial" w:eastAsia="Arial" w:hAnsi="Arial"/>
                <w:sz w:val="18"/>
                <w:szCs w:val="18"/>
                <w:color w:val="auto"/>
              </w:rPr>
              <w:t>Europe</w:t>
            </w:r>
          </w:p>
        </w:tc>
        <w:tc>
          <w:tcPr>
            <w:tcW w:w="320" w:type="dxa"/>
            <w:vAlign w:val="bottom"/>
            <w:shd w:val="clear" w:color="auto" w:fill="D8D8D8"/>
          </w:tcPr>
          <w:p>
            <w:pPr>
              <w:spacing w:after="0"/>
              <w:rPr>
                <w:sz w:val="23"/>
                <w:szCs w:val="23"/>
                <w:color w:val="auto"/>
              </w:rPr>
            </w:pPr>
          </w:p>
        </w:tc>
        <w:tc>
          <w:tcPr>
            <w:tcW w:w="1060" w:type="dxa"/>
            <w:vAlign w:val="bottom"/>
            <w:shd w:val="clear" w:color="auto" w:fill="D8D8D8"/>
          </w:tcPr>
          <w:p>
            <w:pPr>
              <w:jc w:val="right"/>
              <w:ind w:right="32"/>
              <w:spacing w:after="0"/>
              <w:rPr>
                <w:sz w:val="20"/>
                <w:szCs w:val="20"/>
                <w:color w:val="auto"/>
              </w:rPr>
            </w:pPr>
            <w:r>
              <w:rPr>
                <w:rFonts w:ascii="Arial" w:cs="Arial" w:eastAsia="Arial" w:hAnsi="Arial"/>
                <w:sz w:val="18"/>
                <w:szCs w:val="18"/>
                <w:b w:val="1"/>
                <w:bCs w:val="1"/>
                <w:color w:val="auto"/>
              </w:rPr>
              <w:t>2,306.4</w:t>
            </w:r>
          </w:p>
        </w:tc>
        <w:tc>
          <w:tcPr>
            <w:tcW w:w="420" w:type="dxa"/>
            <w:vAlign w:val="bottom"/>
            <w:shd w:val="clear" w:color="auto" w:fill="D8D8D8"/>
          </w:tcPr>
          <w:p>
            <w:pPr>
              <w:spacing w:after="0"/>
              <w:rPr>
                <w:sz w:val="23"/>
                <w:szCs w:val="23"/>
                <w:color w:val="auto"/>
              </w:rPr>
            </w:pPr>
          </w:p>
        </w:tc>
        <w:tc>
          <w:tcPr>
            <w:tcW w:w="1060" w:type="dxa"/>
            <w:vAlign w:val="bottom"/>
            <w:shd w:val="clear" w:color="auto" w:fill="D8D8D8"/>
          </w:tcPr>
          <w:p>
            <w:pPr>
              <w:jc w:val="right"/>
              <w:ind w:right="32"/>
              <w:spacing w:after="0"/>
              <w:rPr>
                <w:sz w:val="20"/>
                <w:szCs w:val="20"/>
                <w:color w:val="auto"/>
              </w:rPr>
            </w:pPr>
            <w:r>
              <w:rPr>
                <w:rFonts w:ascii="Arial" w:cs="Arial" w:eastAsia="Arial" w:hAnsi="Arial"/>
                <w:sz w:val="18"/>
                <w:szCs w:val="18"/>
                <w:color w:val="auto"/>
              </w:rPr>
              <w:t>2,401.5</w:t>
            </w:r>
          </w:p>
        </w:tc>
        <w:tc>
          <w:tcPr>
            <w:tcW w:w="440" w:type="dxa"/>
            <w:vAlign w:val="bottom"/>
            <w:shd w:val="clear" w:color="auto" w:fill="D8D8D8"/>
          </w:tcPr>
          <w:p>
            <w:pPr>
              <w:spacing w:after="0"/>
              <w:rPr>
                <w:sz w:val="23"/>
                <w:szCs w:val="23"/>
                <w:color w:val="auto"/>
              </w:rPr>
            </w:pPr>
          </w:p>
        </w:tc>
        <w:tc>
          <w:tcPr>
            <w:tcW w:w="1040" w:type="dxa"/>
            <w:vAlign w:val="bottom"/>
            <w:shd w:val="clear" w:color="auto" w:fill="D8D8D8"/>
          </w:tcPr>
          <w:p>
            <w:pPr>
              <w:jc w:val="right"/>
              <w:ind w:right="12"/>
              <w:spacing w:after="0"/>
              <w:rPr>
                <w:sz w:val="20"/>
                <w:szCs w:val="20"/>
                <w:color w:val="auto"/>
              </w:rPr>
            </w:pPr>
            <w:r>
              <w:rPr>
                <w:rFonts w:ascii="Arial" w:cs="Arial" w:eastAsia="Arial" w:hAnsi="Arial"/>
                <w:sz w:val="18"/>
                <w:szCs w:val="18"/>
                <w:color w:val="auto"/>
              </w:rPr>
              <w:t>2,469.7</w:t>
            </w:r>
          </w:p>
        </w:tc>
      </w:tr>
      <w:tr>
        <w:trPr>
          <w:trHeight w:val="269"/>
        </w:trPr>
        <w:tc>
          <w:tcPr>
            <w:tcW w:w="7080" w:type="dxa"/>
            <w:vAlign w:val="bottom"/>
          </w:tcPr>
          <w:p>
            <w:pPr>
              <w:ind w:left="180"/>
              <w:spacing w:after="0"/>
              <w:rPr>
                <w:sz w:val="20"/>
                <w:szCs w:val="20"/>
                <w:color w:val="auto"/>
              </w:rPr>
            </w:pPr>
            <w:r>
              <w:rPr>
                <w:rFonts w:ascii="Arial" w:cs="Arial" w:eastAsia="Arial" w:hAnsi="Arial"/>
                <w:sz w:val="18"/>
                <w:szCs w:val="18"/>
                <w:color w:val="auto"/>
              </w:rPr>
              <w:t>Japan</w:t>
            </w:r>
          </w:p>
        </w:tc>
        <w:tc>
          <w:tcPr>
            <w:tcW w:w="320" w:type="dxa"/>
            <w:vAlign w:val="bottom"/>
          </w:tcPr>
          <w:p>
            <w:pPr>
              <w:spacing w:after="0"/>
              <w:rPr>
                <w:sz w:val="23"/>
                <w:szCs w:val="23"/>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b w:val="1"/>
                <w:bCs w:val="1"/>
                <w:color w:val="auto"/>
              </w:rPr>
              <w:t>89.2</w:t>
            </w:r>
          </w:p>
        </w:tc>
        <w:tc>
          <w:tcPr>
            <w:tcW w:w="420" w:type="dxa"/>
            <w:vAlign w:val="bottom"/>
          </w:tcPr>
          <w:p>
            <w:pPr>
              <w:spacing w:after="0"/>
              <w:rPr>
                <w:sz w:val="23"/>
                <w:szCs w:val="23"/>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80.4</w:t>
            </w:r>
          </w:p>
        </w:tc>
        <w:tc>
          <w:tcPr>
            <w:tcW w:w="44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81.1</w:t>
            </w:r>
          </w:p>
        </w:tc>
      </w:tr>
      <w:tr>
        <w:trPr>
          <w:trHeight w:val="271"/>
        </w:trPr>
        <w:tc>
          <w:tcPr>
            <w:tcW w:w="7080" w:type="dxa"/>
            <w:vAlign w:val="bottom"/>
            <w:shd w:val="clear" w:color="auto" w:fill="D8D8D8"/>
          </w:tcPr>
          <w:p>
            <w:pPr>
              <w:ind w:left="180"/>
              <w:spacing w:after="0"/>
              <w:rPr>
                <w:sz w:val="20"/>
                <w:szCs w:val="20"/>
                <w:color w:val="auto"/>
              </w:rPr>
            </w:pPr>
            <w:r>
              <w:rPr>
                <w:rFonts w:ascii="Arial" w:cs="Arial" w:eastAsia="Arial" w:hAnsi="Arial"/>
                <w:sz w:val="18"/>
                <w:szCs w:val="18"/>
                <w:color w:val="auto"/>
              </w:rPr>
              <w:t>Other foreign countries</w:t>
            </w:r>
          </w:p>
        </w:tc>
        <w:tc>
          <w:tcPr>
            <w:tcW w:w="320" w:type="dxa"/>
            <w:vAlign w:val="bottom"/>
            <w:tcBorders>
              <w:bottom w:val="single" w:sz="8" w:color="auto"/>
            </w:tcBorders>
            <w:shd w:val="clear" w:color="auto" w:fill="D8D8D8"/>
          </w:tcPr>
          <w:p>
            <w:pPr>
              <w:spacing w:after="0"/>
              <w:rPr>
                <w:sz w:val="23"/>
                <w:szCs w:val="23"/>
                <w:color w:val="auto"/>
              </w:rPr>
            </w:pPr>
          </w:p>
        </w:tc>
        <w:tc>
          <w:tcPr>
            <w:tcW w:w="1060" w:type="dxa"/>
            <w:vAlign w:val="bottom"/>
            <w:tcBorders>
              <w:bottom w:val="single" w:sz="8" w:color="auto"/>
            </w:tcBorders>
            <w:shd w:val="clear" w:color="auto" w:fill="D8D8D8"/>
          </w:tcPr>
          <w:p>
            <w:pPr>
              <w:jc w:val="right"/>
              <w:ind w:right="32"/>
              <w:spacing w:after="0"/>
              <w:rPr>
                <w:sz w:val="20"/>
                <w:szCs w:val="20"/>
                <w:color w:val="auto"/>
              </w:rPr>
            </w:pPr>
            <w:r>
              <w:rPr>
                <w:rFonts w:ascii="Arial" w:cs="Arial" w:eastAsia="Arial" w:hAnsi="Arial"/>
                <w:sz w:val="18"/>
                <w:szCs w:val="18"/>
                <w:b w:val="1"/>
                <w:bCs w:val="1"/>
                <w:color w:val="auto"/>
              </w:rPr>
              <w:t>1,724.2</w:t>
            </w:r>
          </w:p>
        </w:tc>
        <w:tc>
          <w:tcPr>
            <w:tcW w:w="420" w:type="dxa"/>
            <w:vAlign w:val="bottom"/>
            <w:tcBorders>
              <w:bottom w:val="single" w:sz="8" w:color="auto"/>
            </w:tcBorders>
            <w:shd w:val="clear" w:color="auto" w:fill="D8D8D8"/>
          </w:tcPr>
          <w:p>
            <w:pPr>
              <w:spacing w:after="0"/>
              <w:rPr>
                <w:sz w:val="23"/>
                <w:szCs w:val="23"/>
                <w:color w:val="auto"/>
              </w:rPr>
            </w:pPr>
          </w:p>
        </w:tc>
        <w:tc>
          <w:tcPr>
            <w:tcW w:w="1060" w:type="dxa"/>
            <w:vAlign w:val="bottom"/>
            <w:tcBorders>
              <w:bottom w:val="single" w:sz="8" w:color="auto"/>
            </w:tcBorders>
            <w:shd w:val="clear" w:color="auto" w:fill="D8D8D8"/>
          </w:tcPr>
          <w:p>
            <w:pPr>
              <w:jc w:val="right"/>
              <w:ind w:right="32"/>
              <w:spacing w:after="0"/>
              <w:rPr>
                <w:sz w:val="20"/>
                <w:szCs w:val="20"/>
                <w:color w:val="auto"/>
              </w:rPr>
            </w:pPr>
            <w:r>
              <w:rPr>
                <w:rFonts w:ascii="Arial" w:cs="Arial" w:eastAsia="Arial" w:hAnsi="Arial"/>
                <w:sz w:val="18"/>
                <w:szCs w:val="18"/>
                <w:color w:val="auto"/>
              </w:rPr>
              <w:t>1,499.1</w:t>
            </w:r>
          </w:p>
        </w:tc>
        <w:tc>
          <w:tcPr>
            <w:tcW w:w="440" w:type="dxa"/>
            <w:vAlign w:val="bottom"/>
            <w:tcBorders>
              <w:bottom w:val="single" w:sz="8" w:color="auto"/>
            </w:tcBorders>
            <w:shd w:val="clear" w:color="auto" w:fill="D8D8D8"/>
          </w:tcPr>
          <w:p>
            <w:pPr>
              <w:spacing w:after="0"/>
              <w:rPr>
                <w:sz w:val="23"/>
                <w:szCs w:val="23"/>
                <w:color w:val="auto"/>
              </w:rPr>
            </w:pPr>
          </w:p>
        </w:tc>
        <w:tc>
          <w:tcPr>
            <w:tcW w:w="1040" w:type="dxa"/>
            <w:vAlign w:val="bottom"/>
            <w:tcBorders>
              <w:bottom w:val="single" w:sz="8" w:color="auto"/>
            </w:tcBorders>
            <w:shd w:val="clear" w:color="auto" w:fill="D8D8D8"/>
          </w:tcPr>
          <w:p>
            <w:pPr>
              <w:jc w:val="right"/>
              <w:ind w:right="12"/>
              <w:spacing w:after="0"/>
              <w:rPr>
                <w:sz w:val="20"/>
                <w:szCs w:val="20"/>
                <w:color w:val="auto"/>
              </w:rPr>
            </w:pPr>
            <w:r>
              <w:rPr>
                <w:rFonts w:ascii="Arial" w:cs="Arial" w:eastAsia="Arial" w:hAnsi="Arial"/>
                <w:sz w:val="18"/>
                <w:szCs w:val="18"/>
                <w:color w:val="auto"/>
              </w:rPr>
              <w:t>1,540.9</w:t>
            </w:r>
          </w:p>
        </w:tc>
      </w:tr>
      <w:tr>
        <w:trPr>
          <w:trHeight w:val="271"/>
        </w:trPr>
        <w:tc>
          <w:tcPr>
            <w:tcW w:w="7080" w:type="dxa"/>
            <w:vAlign w:val="bottom"/>
          </w:tcPr>
          <w:p>
            <w:pPr>
              <w:ind w:left="40"/>
              <w:spacing w:after="0"/>
              <w:rPr>
                <w:sz w:val="20"/>
                <w:szCs w:val="20"/>
                <w:color w:val="auto"/>
              </w:rPr>
            </w:pPr>
            <w:r>
              <w:rPr>
                <w:rFonts w:ascii="Arial" w:cs="Arial" w:eastAsia="Arial" w:hAnsi="Arial"/>
                <w:sz w:val="18"/>
                <w:szCs w:val="18"/>
                <w:color w:val="auto"/>
              </w:rPr>
              <w:t>Long-lived assets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8,696.6</w:t>
            </w:r>
          </w:p>
        </w:tc>
        <w:tc>
          <w:tcPr>
            <w:tcW w:w="4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8,547.2</w:t>
            </w:r>
          </w:p>
        </w:tc>
        <w:tc>
          <w:tcPr>
            <w:tcW w:w="4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8,741.3</w:t>
            </w:r>
          </w:p>
        </w:tc>
      </w:tr>
    </w:tbl>
    <w:p>
      <w:pPr>
        <w:spacing w:after="0" w:line="82" w:lineRule="exact"/>
        <w:rPr>
          <w:sz w:val="20"/>
          <w:szCs w:val="20"/>
          <w:color w:val="auto"/>
        </w:rPr>
      </w:pPr>
    </w:p>
    <w:p>
      <w:pPr>
        <w:ind w:left="320" w:hanging="150"/>
        <w:spacing w:after="0"/>
        <w:tabs>
          <w:tab w:leader="none" w:pos="320" w:val="left"/>
        </w:tabs>
        <w:numPr>
          <w:ilvl w:val="0"/>
          <w:numId w:val="65"/>
        </w:numPr>
        <w:rPr>
          <w:rFonts w:ascii="Arial" w:cs="Arial" w:eastAsia="Arial" w:hAnsi="Arial"/>
          <w:sz w:val="18"/>
          <w:szCs w:val="18"/>
          <w:color w:val="auto"/>
          <w:vertAlign w:val="superscript"/>
        </w:rPr>
      </w:pPr>
      <w:r>
        <w:rPr>
          <w:rFonts w:ascii="Arial" w:cs="Arial" w:eastAsia="Arial" w:hAnsi="Arial"/>
          <w:sz w:val="14"/>
          <w:szCs w:val="14"/>
          <w:color w:val="auto"/>
        </w:rPr>
        <w:t>Revenue is attributed to the countries based on the location of the customer.</w:t>
      </w:r>
    </w:p>
    <w:p>
      <w:pPr>
        <w:spacing w:after="0" w:line="63" w:lineRule="exact"/>
        <w:rPr>
          <w:rFonts w:ascii="Arial" w:cs="Arial" w:eastAsia="Arial" w:hAnsi="Arial"/>
          <w:sz w:val="18"/>
          <w:szCs w:val="18"/>
          <w:color w:val="auto"/>
          <w:vertAlign w:val="superscript"/>
        </w:rPr>
      </w:pPr>
    </w:p>
    <w:p>
      <w:pPr>
        <w:ind w:left="320" w:hanging="150"/>
        <w:spacing w:after="0"/>
        <w:tabs>
          <w:tab w:leader="none" w:pos="320" w:val="left"/>
        </w:tabs>
        <w:numPr>
          <w:ilvl w:val="0"/>
          <w:numId w:val="65"/>
        </w:numPr>
        <w:rPr>
          <w:rFonts w:ascii="Arial" w:cs="Arial" w:eastAsia="Arial" w:hAnsi="Arial"/>
          <w:sz w:val="18"/>
          <w:szCs w:val="18"/>
          <w:color w:val="auto"/>
          <w:vertAlign w:val="superscript"/>
        </w:rPr>
      </w:pPr>
      <w:r>
        <w:rPr>
          <w:rFonts w:ascii="Arial" w:cs="Arial" w:eastAsia="Arial" w:hAnsi="Arial"/>
          <w:sz w:val="14"/>
          <w:szCs w:val="14"/>
          <w:color w:val="auto"/>
        </w:rPr>
        <w:t>Long-lived assets consist of property and equipment, net, and certain sundry assets.</w:t>
      </w:r>
    </w:p>
    <w:p>
      <w:pPr>
        <w:spacing w:after="0" w:line="20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103</w:t>
      </w:r>
    </w:p>
    <w:p>
      <w:pPr>
        <w:sectPr>
          <w:pgSz w:w="11900" w:h="16838" w:orient="portrait"/>
          <w:cols w:equalWidth="0" w:num="1">
            <w:col w:w="11420"/>
          </w:cols>
          <w:pgMar w:left="240" w:top="684" w:right="23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b w:val="1"/>
          <w:bCs w:val="1"/>
          <w:color w:val="CC0000"/>
        </w:rPr>
        <w:t>Note 19: Selected Quarterly Data (unaudited)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2015</w:t>
            </w:r>
          </w:p>
        </w:tc>
        <w:tc>
          <w:tcPr>
            <w:tcW w:w="1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Fourth</w:t>
            </w:r>
          </w:p>
        </w:tc>
        <w:tc>
          <w:tcPr>
            <w:tcW w:w="3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Third</w:t>
            </w: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Second</w:t>
            </w:r>
          </w:p>
        </w:tc>
        <w:tc>
          <w:tcPr>
            <w:tcW w:w="3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First</w:t>
            </w:r>
          </w:p>
        </w:tc>
      </w:tr>
      <w:tr>
        <w:trPr>
          <w:trHeight w:val="265"/>
        </w:trPr>
        <w:tc>
          <w:tcPr>
            <w:tcW w:w="5600" w:type="dxa"/>
            <w:vAlign w:val="bottom"/>
            <w:shd w:val="clear" w:color="auto" w:fill="D8D8D8"/>
          </w:tcPr>
          <w:p>
            <w:pPr>
              <w:ind w:left="40"/>
              <w:spacing w:after="0"/>
              <w:rPr>
                <w:sz w:val="20"/>
                <w:szCs w:val="20"/>
                <w:color w:val="auto"/>
              </w:rPr>
            </w:pPr>
            <w:r>
              <w:rPr>
                <w:rFonts w:ascii="Arial" w:cs="Arial" w:eastAsia="Arial" w:hAnsi="Arial"/>
                <w:sz w:val="18"/>
                <w:szCs w:val="18"/>
                <w:color w:val="auto"/>
              </w:rPr>
              <w:t>Revenue</w:t>
            </w:r>
          </w:p>
        </w:tc>
        <w:tc>
          <w:tcPr>
            <w:tcW w:w="1140" w:type="dxa"/>
            <w:vAlign w:val="bottom"/>
            <w:shd w:val="clear" w:color="auto" w:fill="D8D8D8"/>
          </w:tcPr>
          <w:p>
            <w:pPr>
              <w:jc w:val="right"/>
              <w:ind w:right="10"/>
              <w:spacing w:after="0"/>
              <w:rPr>
                <w:sz w:val="20"/>
                <w:szCs w:val="20"/>
                <w:color w:val="auto"/>
              </w:rPr>
            </w:pPr>
            <w:r>
              <w:rPr>
                <w:rFonts w:ascii="Arial" w:cs="Arial" w:eastAsia="Arial" w:hAnsi="Arial"/>
                <w:sz w:val="18"/>
                <w:szCs w:val="18"/>
                <w:b w:val="1"/>
                <w:bCs w:val="1"/>
                <w:color w:val="auto"/>
              </w:rPr>
              <w:t>$</w:t>
            </w:r>
          </w:p>
        </w:tc>
        <w:tc>
          <w:tcPr>
            <w:tcW w:w="960" w:type="dxa"/>
            <w:vAlign w:val="bottom"/>
            <w:shd w:val="clear" w:color="auto" w:fill="D8D8D8"/>
          </w:tcPr>
          <w:p>
            <w:pPr>
              <w:jc w:val="right"/>
              <w:ind w:right="72"/>
              <w:spacing w:after="0"/>
              <w:rPr>
                <w:sz w:val="20"/>
                <w:szCs w:val="20"/>
                <w:color w:val="auto"/>
              </w:rPr>
            </w:pPr>
            <w:r>
              <w:rPr>
                <w:rFonts w:ascii="Arial" w:cs="Arial" w:eastAsia="Arial" w:hAnsi="Arial"/>
                <w:sz w:val="18"/>
                <w:szCs w:val="18"/>
                <w:b w:val="1"/>
                <w:bCs w:val="1"/>
                <w:color w:val="auto"/>
              </w:rPr>
              <w:t>5,375.6</w:t>
            </w:r>
          </w:p>
        </w:tc>
        <w:tc>
          <w:tcPr>
            <w:tcW w:w="320" w:type="dxa"/>
            <w:vAlign w:val="bottom"/>
            <w:shd w:val="clear" w:color="auto" w:fill="D8D8D8"/>
          </w:tcPr>
          <w:p>
            <w:pPr>
              <w:jc w:val="right"/>
              <w:ind w:right="50"/>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D8D8D8"/>
          </w:tcPr>
          <w:p>
            <w:pPr>
              <w:jc w:val="right"/>
              <w:ind w:right="72"/>
              <w:spacing w:after="0"/>
              <w:rPr>
                <w:sz w:val="20"/>
                <w:szCs w:val="20"/>
                <w:color w:val="auto"/>
              </w:rPr>
            </w:pPr>
            <w:r>
              <w:rPr>
                <w:rFonts w:ascii="Arial" w:cs="Arial" w:eastAsia="Arial" w:hAnsi="Arial"/>
                <w:sz w:val="18"/>
                <w:szCs w:val="18"/>
                <w:b w:val="1"/>
                <w:bCs w:val="1"/>
                <w:color w:val="auto"/>
              </w:rPr>
              <w:t>4,959.7</w:t>
            </w:r>
          </w:p>
        </w:tc>
        <w:tc>
          <w:tcPr>
            <w:tcW w:w="280" w:type="dxa"/>
            <w:vAlign w:val="bottom"/>
            <w:shd w:val="clear" w:color="auto" w:fill="D8D8D8"/>
          </w:tcPr>
          <w:p>
            <w:pPr>
              <w:jc w:val="right"/>
              <w:ind w:right="10"/>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D8D8D8"/>
          </w:tcPr>
          <w:p>
            <w:pPr>
              <w:jc w:val="right"/>
              <w:ind w:right="32"/>
              <w:spacing w:after="0"/>
              <w:rPr>
                <w:sz w:val="20"/>
                <w:szCs w:val="20"/>
                <w:color w:val="auto"/>
              </w:rPr>
            </w:pPr>
            <w:r>
              <w:rPr>
                <w:rFonts w:ascii="Arial" w:cs="Arial" w:eastAsia="Arial" w:hAnsi="Arial"/>
                <w:sz w:val="18"/>
                <w:szCs w:val="18"/>
                <w:b w:val="1"/>
                <w:bCs w:val="1"/>
                <w:color w:val="auto"/>
              </w:rPr>
              <w:t>4,978.7</w:t>
            </w:r>
          </w:p>
        </w:tc>
        <w:tc>
          <w:tcPr>
            <w:tcW w:w="360" w:type="dxa"/>
            <w:vAlign w:val="bottom"/>
            <w:shd w:val="clear" w:color="auto" w:fill="D8D8D8"/>
          </w:tcPr>
          <w:p>
            <w:pPr>
              <w:jc w:val="right"/>
              <w:ind w:right="50"/>
              <w:spacing w:after="0"/>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D8D8D8"/>
          </w:tcPr>
          <w:p>
            <w:pPr>
              <w:jc w:val="right"/>
              <w:ind w:right="12"/>
              <w:spacing w:after="0"/>
              <w:rPr>
                <w:sz w:val="20"/>
                <w:szCs w:val="20"/>
                <w:color w:val="auto"/>
              </w:rPr>
            </w:pPr>
            <w:r>
              <w:rPr>
                <w:rFonts w:ascii="Arial" w:cs="Arial" w:eastAsia="Arial" w:hAnsi="Arial"/>
                <w:sz w:val="18"/>
                <w:szCs w:val="18"/>
                <w:b w:val="1"/>
                <w:bCs w:val="1"/>
                <w:color w:val="auto"/>
              </w:rPr>
              <w:t>4,644.7</w:t>
            </w:r>
          </w:p>
        </w:tc>
      </w:tr>
      <w:tr>
        <w:trPr>
          <w:trHeight w:val="269"/>
        </w:trPr>
        <w:tc>
          <w:tcPr>
            <w:tcW w:w="560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1140" w:type="dxa"/>
            <w:vAlign w:val="bottom"/>
          </w:tcPr>
          <w:p>
            <w:pPr>
              <w:spacing w:after="0"/>
              <w:rPr>
                <w:sz w:val="23"/>
                <w:szCs w:val="23"/>
                <w:color w:val="auto"/>
              </w:rPr>
            </w:pPr>
          </w:p>
        </w:tc>
        <w:tc>
          <w:tcPr>
            <w:tcW w:w="960" w:type="dxa"/>
            <w:vAlign w:val="bottom"/>
          </w:tcPr>
          <w:p>
            <w:pPr>
              <w:jc w:val="right"/>
              <w:ind w:right="72"/>
              <w:spacing w:after="0"/>
              <w:rPr>
                <w:sz w:val="20"/>
                <w:szCs w:val="20"/>
                <w:color w:val="auto"/>
              </w:rPr>
            </w:pPr>
            <w:r>
              <w:rPr>
                <w:rFonts w:ascii="Arial" w:cs="Arial" w:eastAsia="Arial" w:hAnsi="Arial"/>
                <w:sz w:val="18"/>
                <w:szCs w:val="18"/>
                <w:b w:val="1"/>
                <w:bCs w:val="1"/>
                <w:color w:val="auto"/>
              </w:rPr>
              <w:t>1,389.2</w:t>
            </w:r>
          </w:p>
        </w:tc>
        <w:tc>
          <w:tcPr>
            <w:tcW w:w="320" w:type="dxa"/>
            <w:vAlign w:val="bottom"/>
          </w:tcPr>
          <w:p>
            <w:pPr>
              <w:spacing w:after="0"/>
              <w:rPr>
                <w:sz w:val="23"/>
                <w:szCs w:val="23"/>
                <w:color w:val="auto"/>
              </w:rPr>
            </w:pPr>
          </w:p>
        </w:tc>
        <w:tc>
          <w:tcPr>
            <w:tcW w:w="940" w:type="dxa"/>
            <w:vAlign w:val="bottom"/>
          </w:tcPr>
          <w:p>
            <w:pPr>
              <w:jc w:val="right"/>
              <w:ind w:right="72"/>
              <w:spacing w:after="0"/>
              <w:rPr>
                <w:sz w:val="20"/>
                <w:szCs w:val="20"/>
                <w:color w:val="auto"/>
              </w:rPr>
            </w:pPr>
            <w:r>
              <w:rPr>
                <w:rFonts w:ascii="Arial" w:cs="Arial" w:eastAsia="Arial" w:hAnsi="Arial"/>
                <w:sz w:val="18"/>
                <w:szCs w:val="18"/>
                <w:b w:val="1"/>
                <w:bCs w:val="1"/>
                <w:color w:val="auto"/>
              </w:rPr>
              <w:t>1,236.9</w:t>
            </w:r>
          </w:p>
        </w:tc>
        <w:tc>
          <w:tcPr>
            <w:tcW w:w="280" w:type="dxa"/>
            <w:vAlign w:val="bottom"/>
          </w:tcPr>
          <w:p>
            <w:pPr>
              <w:spacing w:after="0"/>
              <w:rPr>
                <w:sz w:val="23"/>
                <w:szCs w:val="23"/>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b w:val="1"/>
                <w:bCs w:val="1"/>
                <w:color w:val="auto"/>
              </w:rPr>
              <w:t>1,218.4</w:t>
            </w:r>
          </w:p>
        </w:tc>
        <w:tc>
          <w:tcPr>
            <w:tcW w:w="360" w:type="dxa"/>
            <w:vAlign w:val="bottom"/>
          </w:tcPr>
          <w:p>
            <w:pPr>
              <w:spacing w:after="0"/>
              <w:rPr>
                <w:sz w:val="23"/>
                <w:szCs w:val="23"/>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b w:val="1"/>
                <w:bCs w:val="1"/>
                <w:color w:val="auto"/>
              </w:rPr>
              <w:t>1,192.7</w:t>
            </w:r>
          </w:p>
        </w:tc>
      </w:tr>
      <w:tr>
        <w:trPr>
          <w:trHeight w:val="271"/>
        </w:trPr>
        <w:tc>
          <w:tcPr>
            <w:tcW w:w="5600" w:type="dxa"/>
            <w:vAlign w:val="bottom"/>
            <w:shd w:val="clear" w:color="auto" w:fill="D8D8D8"/>
          </w:tcPr>
          <w:p>
            <w:pPr>
              <w:ind w:left="40"/>
              <w:spacing w:after="0"/>
              <w:rPr>
                <w:sz w:val="20"/>
                <w:szCs w:val="20"/>
                <w:color w:val="auto"/>
              </w:rPr>
            </w:pPr>
            <w:r>
              <w:rPr>
                <w:rFonts w:ascii="Arial" w:cs="Arial" w:eastAsia="Arial" w:hAnsi="Arial"/>
                <w:sz w:val="18"/>
                <w:szCs w:val="18"/>
                <w:color w:val="auto"/>
              </w:rPr>
              <w:t>Operating expenses</w:t>
            </w:r>
            <w:r>
              <w:rPr>
                <w:rFonts w:ascii="Arial" w:cs="Arial" w:eastAsia="Arial" w:hAnsi="Arial"/>
                <w:sz w:val="21"/>
                <w:szCs w:val="21"/>
                <w:color w:val="auto"/>
                <w:vertAlign w:val="superscript"/>
              </w:rPr>
              <w:t>(1)</w:t>
            </w:r>
          </w:p>
        </w:tc>
        <w:tc>
          <w:tcPr>
            <w:tcW w:w="1140" w:type="dxa"/>
            <w:vAlign w:val="bottom"/>
            <w:shd w:val="clear" w:color="auto" w:fill="D8D8D8"/>
          </w:tcPr>
          <w:p>
            <w:pPr>
              <w:spacing w:after="0"/>
              <w:rPr>
                <w:sz w:val="23"/>
                <w:szCs w:val="23"/>
                <w:color w:val="auto"/>
              </w:rPr>
            </w:pPr>
          </w:p>
        </w:tc>
        <w:tc>
          <w:tcPr>
            <w:tcW w:w="960" w:type="dxa"/>
            <w:vAlign w:val="bottom"/>
            <w:shd w:val="clear" w:color="auto" w:fill="D8D8D8"/>
          </w:tcPr>
          <w:p>
            <w:pPr>
              <w:jc w:val="right"/>
              <w:ind w:right="72"/>
              <w:spacing w:after="0"/>
              <w:rPr>
                <w:sz w:val="20"/>
                <w:szCs w:val="20"/>
                <w:color w:val="auto"/>
              </w:rPr>
            </w:pPr>
            <w:r>
              <w:rPr>
                <w:rFonts w:ascii="Arial" w:cs="Arial" w:eastAsia="Arial" w:hAnsi="Arial"/>
                <w:sz w:val="18"/>
                <w:szCs w:val="18"/>
                <w:b w:val="1"/>
                <w:bCs w:val="1"/>
                <w:color w:val="auto"/>
              </w:rPr>
              <w:t>3,242.6</w:t>
            </w:r>
          </w:p>
        </w:tc>
        <w:tc>
          <w:tcPr>
            <w:tcW w:w="320" w:type="dxa"/>
            <w:vAlign w:val="bottom"/>
            <w:shd w:val="clear" w:color="auto" w:fill="D8D8D8"/>
          </w:tcPr>
          <w:p>
            <w:pPr>
              <w:spacing w:after="0"/>
              <w:rPr>
                <w:sz w:val="23"/>
                <w:szCs w:val="23"/>
                <w:color w:val="auto"/>
              </w:rPr>
            </w:pPr>
          </w:p>
        </w:tc>
        <w:tc>
          <w:tcPr>
            <w:tcW w:w="940" w:type="dxa"/>
            <w:vAlign w:val="bottom"/>
            <w:shd w:val="clear" w:color="auto" w:fill="D8D8D8"/>
          </w:tcPr>
          <w:p>
            <w:pPr>
              <w:jc w:val="right"/>
              <w:ind w:right="72"/>
              <w:spacing w:after="0"/>
              <w:rPr>
                <w:sz w:val="20"/>
                <w:szCs w:val="20"/>
                <w:color w:val="auto"/>
              </w:rPr>
            </w:pPr>
            <w:r>
              <w:rPr>
                <w:rFonts w:ascii="Arial" w:cs="Arial" w:eastAsia="Arial" w:hAnsi="Arial"/>
                <w:sz w:val="18"/>
                <w:szCs w:val="18"/>
                <w:b w:val="1"/>
                <w:bCs w:val="1"/>
                <w:color w:val="auto"/>
              </w:rPr>
              <w:t>2,719.1</w:t>
            </w:r>
          </w:p>
        </w:tc>
        <w:tc>
          <w:tcPr>
            <w:tcW w:w="280" w:type="dxa"/>
            <w:vAlign w:val="bottom"/>
            <w:shd w:val="clear" w:color="auto" w:fill="D8D8D8"/>
          </w:tcPr>
          <w:p>
            <w:pPr>
              <w:spacing w:after="0"/>
              <w:rPr>
                <w:sz w:val="23"/>
                <w:szCs w:val="23"/>
                <w:color w:val="auto"/>
              </w:rPr>
            </w:pPr>
          </w:p>
        </w:tc>
        <w:tc>
          <w:tcPr>
            <w:tcW w:w="940" w:type="dxa"/>
            <w:vAlign w:val="bottom"/>
            <w:shd w:val="clear" w:color="auto" w:fill="D8D8D8"/>
          </w:tcPr>
          <w:p>
            <w:pPr>
              <w:jc w:val="right"/>
              <w:ind w:right="32"/>
              <w:spacing w:after="0"/>
              <w:rPr>
                <w:sz w:val="20"/>
                <w:szCs w:val="20"/>
                <w:color w:val="auto"/>
              </w:rPr>
            </w:pPr>
            <w:r>
              <w:rPr>
                <w:rFonts w:ascii="Arial" w:cs="Arial" w:eastAsia="Arial" w:hAnsi="Arial"/>
                <w:sz w:val="18"/>
                <w:szCs w:val="18"/>
                <w:b w:val="1"/>
                <w:bCs w:val="1"/>
                <w:color w:val="auto"/>
              </w:rPr>
              <w:t>2,804.9</w:t>
            </w:r>
          </w:p>
        </w:tc>
        <w:tc>
          <w:tcPr>
            <w:tcW w:w="360" w:type="dxa"/>
            <w:vAlign w:val="bottom"/>
            <w:shd w:val="clear" w:color="auto" w:fill="D8D8D8"/>
          </w:tcPr>
          <w:p>
            <w:pPr>
              <w:spacing w:after="0"/>
              <w:rPr>
                <w:sz w:val="23"/>
                <w:szCs w:val="23"/>
                <w:color w:val="auto"/>
              </w:rPr>
            </w:pPr>
          </w:p>
        </w:tc>
        <w:tc>
          <w:tcPr>
            <w:tcW w:w="880" w:type="dxa"/>
            <w:vAlign w:val="bottom"/>
            <w:shd w:val="clear" w:color="auto" w:fill="D8D8D8"/>
          </w:tcPr>
          <w:p>
            <w:pPr>
              <w:jc w:val="right"/>
              <w:ind w:right="12"/>
              <w:spacing w:after="0"/>
              <w:rPr>
                <w:sz w:val="20"/>
                <w:szCs w:val="20"/>
                <w:color w:val="auto"/>
              </w:rPr>
            </w:pPr>
            <w:r>
              <w:rPr>
                <w:rFonts w:ascii="Arial" w:cs="Arial" w:eastAsia="Arial" w:hAnsi="Arial"/>
                <w:sz w:val="18"/>
                <w:szCs w:val="18"/>
                <w:b w:val="1"/>
                <w:bCs w:val="1"/>
                <w:color w:val="auto"/>
              </w:rPr>
              <w:t>2,562.8</w:t>
            </w:r>
          </w:p>
        </w:tc>
      </w:tr>
      <w:tr>
        <w:trPr>
          <w:trHeight w:val="269"/>
        </w:trPr>
        <w:tc>
          <w:tcPr>
            <w:tcW w:w="5600" w:type="dxa"/>
            <w:vAlign w:val="bottom"/>
          </w:tcPr>
          <w:p>
            <w:pPr>
              <w:ind w:left="40"/>
              <w:spacing w:after="0"/>
              <w:rPr>
                <w:sz w:val="20"/>
                <w:szCs w:val="20"/>
                <w:color w:val="auto"/>
              </w:rPr>
            </w:pPr>
            <w:r>
              <w:rPr>
                <w:rFonts w:ascii="Arial" w:cs="Arial" w:eastAsia="Arial" w:hAnsi="Arial"/>
                <w:sz w:val="18"/>
                <w:szCs w:val="18"/>
                <w:color w:val="auto"/>
              </w:rPr>
              <w:t>Acquired in-process research and development</w:t>
            </w:r>
          </w:p>
        </w:tc>
        <w:tc>
          <w:tcPr>
            <w:tcW w:w="1140" w:type="dxa"/>
            <w:vAlign w:val="bottom"/>
          </w:tcPr>
          <w:p>
            <w:pPr>
              <w:spacing w:after="0"/>
              <w:rPr>
                <w:sz w:val="23"/>
                <w:szCs w:val="23"/>
                <w:color w:val="auto"/>
              </w:rPr>
            </w:pPr>
          </w:p>
        </w:tc>
        <w:tc>
          <w:tcPr>
            <w:tcW w:w="960" w:type="dxa"/>
            <w:vAlign w:val="bottom"/>
          </w:tcPr>
          <w:p>
            <w:pPr>
              <w:jc w:val="right"/>
              <w:ind w:right="72"/>
              <w:spacing w:after="0"/>
              <w:rPr>
                <w:sz w:val="20"/>
                <w:szCs w:val="20"/>
                <w:color w:val="auto"/>
              </w:rPr>
            </w:pPr>
            <w:r>
              <w:rPr>
                <w:rFonts w:ascii="Arial" w:cs="Arial" w:eastAsia="Arial" w:hAnsi="Arial"/>
                <w:sz w:val="18"/>
                <w:szCs w:val="18"/>
                <w:b w:val="1"/>
                <w:bCs w:val="1"/>
                <w:color w:val="auto"/>
              </w:rPr>
              <w:t>199.0</w:t>
            </w:r>
          </w:p>
        </w:tc>
        <w:tc>
          <w:tcPr>
            <w:tcW w:w="320" w:type="dxa"/>
            <w:vAlign w:val="bottom"/>
          </w:tcPr>
          <w:p>
            <w:pPr>
              <w:spacing w:after="0"/>
              <w:rPr>
                <w:sz w:val="23"/>
                <w:szCs w:val="23"/>
                <w:color w:val="auto"/>
              </w:rPr>
            </w:pPr>
          </w:p>
        </w:tc>
        <w:tc>
          <w:tcPr>
            <w:tcW w:w="940" w:type="dxa"/>
            <w:vAlign w:val="bottom"/>
          </w:tcPr>
          <w:p>
            <w:pPr>
              <w:jc w:val="right"/>
              <w:ind w:right="72"/>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23"/>
                <w:szCs w:val="23"/>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b w:val="1"/>
                <w:bCs w:val="1"/>
                <w:color w:val="auto"/>
              </w:rPr>
              <w:t>80.0</w:t>
            </w:r>
          </w:p>
        </w:tc>
        <w:tc>
          <w:tcPr>
            <w:tcW w:w="360" w:type="dxa"/>
            <w:vAlign w:val="bottom"/>
          </w:tcPr>
          <w:p>
            <w:pPr>
              <w:spacing w:after="0"/>
              <w:rPr>
                <w:sz w:val="23"/>
                <w:szCs w:val="23"/>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b w:val="1"/>
                <w:bCs w:val="1"/>
                <w:color w:val="auto"/>
              </w:rPr>
              <w:t>256.0</w:t>
            </w:r>
          </w:p>
        </w:tc>
      </w:tr>
      <w:tr>
        <w:trPr>
          <w:trHeight w:val="271"/>
        </w:trPr>
        <w:tc>
          <w:tcPr>
            <w:tcW w:w="5600" w:type="dxa"/>
            <w:vAlign w:val="bottom"/>
            <w:shd w:val="clear" w:color="auto" w:fill="D8D8D8"/>
          </w:tcPr>
          <w:p>
            <w:pPr>
              <w:ind w:left="40"/>
              <w:spacing w:after="0"/>
              <w:rPr>
                <w:sz w:val="20"/>
                <w:szCs w:val="20"/>
                <w:color w:val="auto"/>
              </w:rPr>
            </w:pPr>
            <w:r>
              <w:rPr>
                <w:rFonts w:ascii="Arial" w:cs="Arial" w:eastAsia="Arial" w:hAnsi="Arial"/>
                <w:sz w:val="18"/>
                <w:szCs w:val="18"/>
                <w:color w:val="auto"/>
              </w:rPr>
              <w:t>Asset impairment, restructuring, and other special charges</w:t>
            </w:r>
          </w:p>
        </w:tc>
        <w:tc>
          <w:tcPr>
            <w:tcW w:w="1140" w:type="dxa"/>
            <w:vAlign w:val="bottom"/>
            <w:shd w:val="clear" w:color="auto" w:fill="D8D8D8"/>
          </w:tcPr>
          <w:p>
            <w:pPr>
              <w:spacing w:after="0"/>
              <w:rPr>
                <w:sz w:val="23"/>
                <w:szCs w:val="23"/>
                <w:color w:val="auto"/>
              </w:rPr>
            </w:pPr>
          </w:p>
        </w:tc>
        <w:tc>
          <w:tcPr>
            <w:tcW w:w="960" w:type="dxa"/>
            <w:vAlign w:val="bottom"/>
            <w:shd w:val="clear" w:color="auto" w:fill="D8D8D8"/>
          </w:tcPr>
          <w:p>
            <w:pPr>
              <w:jc w:val="right"/>
              <w:ind w:right="72"/>
              <w:spacing w:after="0"/>
              <w:rPr>
                <w:sz w:val="20"/>
                <w:szCs w:val="20"/>
                <w:color w:val="auto"/>
              </w:rPr>
            </w:pPr>
            <w:r>
              <w:rPr>
                <w:rFonts w:ascii="Arial" w:cs="Arial" w:eastAsia="Arial" w:hAnsi="Arial"/>
                <w:sz w:val="18"/>
                <w:szCs w:val="18"/>
                <w:b w:val="1"/>
                <w:bCs w:val="1"/>
                <w:color w:val="auto"/>
              </w:rPr>
              <w:t>144.9</w:t>
            </w:r>
          </w:p>
        </w:tc>
        <w:tc>
          <w:tcPr>
            <w:tcW w:w="320" w:type="dxa"/>
            <w:vAlign w:val="bottom"/>
            <w:shd w:val="clear" w:color="auto" w:fill="D8D8D8"/>
          </w:tcPr>
          <w:p>
            <w:pPr>
              <w:spacing w:after="0"/>
              <w:rPr>
                <w:sz w:val="23"/>
                <w:szCs w:val="23"/>
                <w:color w:val="auto"/>
              </w:rPr>
            </w:pPr>
          </w:p>
        </w:tc>
        <w:tc>
          <w:tcPr>
            <w:tcW w:w="940" w:type="dxa"/>
            <w:vAlign w:val="bottom"/>
            <w:shd w:val="clear" w:color="auto" w:fill="D8D8D8"/>
          </w:tcPr>
          <w:p>
            <w:pPr>
              <w:jc w:val="right"/>
              <w:ind w:right="72"/>
              <w:spacing w:after="0"/>
              <w:rPr>
                <w:sz w:val="20"/>
                <w:szCs w:val="20"/>
                <w:color w:val="auto"/>
              </w:rPr>
            </w:pPr>
            <w:r>
              <w:rPr>
                <w:rFonts w:ascii="Arial" w:cs="Arial" w:eastAsia="Arial" w:hAnsi="Arial"/>
                <w:sz w:val="18"/>
                <w:szCs w:val="18"/>
                <w:b w:val="1"/>
                <w:bCs w:val="1"/>
                <w:color w:val="auto"/>
              </w:rPr>
              <w:t>42.4</w:t>
            </w:r>
          </w:p>
        </w:tc>
        <w:tc>
          <w:tcPr>
            <w:tcW w:w="280" w:type="dxa"/>
            <w:vAlign w:val="bottom"/>
            <w:shd w:val="clear" w:color="auto" w:fill="D8D8D8"/>
          </w:tcPr>
          <w:p>
            <w:pPr>
              <w:spacing w:after="0"/>
              <w:rPr>
                <w:sz w:val="23"/>
                <w:szCs w:val="23"/>
                <w:color w:val="auto"/>
              </w:rPr>
            </w:pPr>
          </w:p>
        </w:tc>
        <w:tc>
          <w:tcPr>
            <w:tcW w:w="940" w:type="dxa"/>
            <w:vAlign w:val="bottom"/>
            <w:shd w:val="clear" w:color="auto" w:fill="D8D8D8"/>
          </w:tcPr>
          <w:p>
            <w:pPr>
              <w:jc w:val="right"/>
              <w:ind w:right="32"/>
              <w:spacing w:after="0"/>
              <w:rPr>
                <w:sz w:val="20"/>
                <w:szCs w:val="20"/>
                <w:color w:val="auto"/>
              </w:rPr>
            </w:pPr>
            <w:r>
              <w:rPr>
                <w:rFonts w:ascii="Arial" w:cs="Arial" w:eastAsia="Arial" w:hAnsi="Arial"/>
                <w:sz w:val="18"/>
                <w:szCs w:val="18"/>
                <w:b w:val="1"/>
                <w:bCs w:val="1"/>
                <w:color w:val="auto"/>
              </w:rPr>
              <w:t>72.4</w:t>
            </w:r>
          </w:p>
        </w:tc>
        <w:tc>
          <w:tcPr>
            <w:tcW w:w="360" w:type="dxa"/>
            <w:vAlign w:val="bottom"/>
            <w:shd w:val="clear" w:color="auto" w:fill="D8D8D8"/>
          </w:tcPr>
          <w:p>
            <w:pPr>
              <w:spacing w:after="0"/>
              <w:rPr>
                <w:sz w:val="23"/>
                <w:szCs w:val="23"/>
                <w:color w:val="auto"/>
              </w:rPr>
            </w:pPr>
          </w:p>
        </w:tc>
        <w:tc>
          <w:tcPr>
            <w:tcW w:w="880" w:type="dxa"/>
            <w:vAlign w:val="bottom"/>
            <w:shd w:val="clear" w:color="auto" w:fill="D8D8D8"/>
          </w:tcPr>
          <w:p>
            <w:pPr>
              <w:jc w:val="right"/>
              <w:ind w:right="12"/>
              <w:spacing w:after="0"/>
              <w:rPr>
                <w:sz w:val="20"/>
                <w:szCs w:val="20"/>
                <w:color w:val="auto"/>
              </w:rPr>
            </w:pPr>
            <w:r>
              <w:rPr>
                <w:rFonts w:ascii="Arial" w:cs="Arial" w:eastAsia="Arial" w:hAnsi="Arial"/>
                <w:sz w:val="18"/>
                <w:szCs w:val="18"/>
                <w:b w:val="1"/>
                <w:bCs w:val="1"/>
                <w:color w:val="auto"/>
              </w:rPr>
              <w:t>108.0</w:t>
            </w:r>
          </w:p>
        </w:tc>
      </w:tr>
      <w:tr>
        <w:trPr>
          <w:trHeight w:val="269"/>
        </w:trPr>
        <w:tc>
          <w:tcPr>
            <w:tcW w:w="5600" w:type="dxa"/>
            <w:vAlign w:val="bottom"/>
          </w:tcPr>
          <w:p>
            <w:pPr>
              <w:ind w:left="40"/>
              <w:spacing w:after="0"/>
              <w:rPr>
                <w:sz w:val="20"/>
                <w:szCs w:val="20"/>
                <w:color w:val="auto"/>
              </w:rPr>
            </w:pPr>
            <w:r>
              <w:rPr>
                <w:rFonts w:ascii="Arial" w:cs="Arial" w:eastAsia="Arial" w:hAnsi="Arial"/>
                <w:sz w:val="18"/>
                <w:szCs w:val="18"/>
                <w:color w:val="auto"/>
              </w:rPr>
              <w:t>Other—net, (income) expense</w:t>
            </w:r>
          </w:p>
        </w:tc>
        <w:tc>
          <w:tcPr>
            <w:tcW w:w="114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b w:val="1"/>
                <w:bCs w:val="1"/>
                <w:color w:val="auto"/>
              </w:rPr>
              <w:t>(44.7)</w:t>
            </w:r>
          </w:p>
        </w:tc>
        <w:tc>
          <w:tcPr>
            <w:tcW w:w="32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b w:val="1"/>
                <w:bCs w:val="1"/>
                <w:color w:val="auto"/>
              </w:rPr>
              <w:t>(86.5)</w:t>
            </w:r>
          </w:p>
        </w:tc>
        <w:tc>
          <w:tcPr>
            <w:tcW w:w="280" w:type="dxa"/>
            <w:vAlign w:val="bottom"/>
          </w:tcPr>
          <w:p>
            <w:pPr>
              <w:spacing w:after="0"/>
              <w:rPr>
                <w:sz w:val="23"/>
                <w:szCs w:val="23"/>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b w:val="1"/>
                <w:bCs w:val="1"/>
                <w:color w:val="auto"/>
              </w:rPr>
              <w:t>123.3</w:t>
            </w:r>
          </w:p>
        </w:tc>
        <w:tc>
          <w:tcPr>
            <w:tcW w:w="3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(92.7)</w:t>
            </w:r>
          </w:p>
        </w:tc>
      </w:tr>
      <w:tr>
        <w:trPr>
          <w:trHeight w:val="271"/>
        </w:trPr>
        <w:tc>
          <w:tcPr>
            <w:tcW w:w="5600" w:type="dxa"/>
            <w:vAlign w:val="bottom"/>
            <w:shd w:val="clear" w:color="auto" w:fill="D8D8D8"/>
          </w:tcPr>
          <w:p>
            <w:pPr>
              <w:ind w:left="40"/>
              <w:spacing w:after="0"/>
              <w:rPr>
                <w:sz w:val="20"/>
                <w:szCs w:val="20"/>
                <w:color w:val="auto"/>
              </w:rPr>
            </w:pPr>
            <w:r>
              <w:rPr>
                <w:rFonts w:ascii="Arial" w:cs="Arial" w:eastAsia="Arial" w:hAnsi="Arial"/>
                <w:sz w:val="18"/>
                <w:szCs w:val="18"/>
                <w:color w:val="auto"/>
              </w:rPr>
              <w:t>Income before income taxes</w:t>
            </w:r>
          </w:p>
        </w:tc>
        <w:tc>
          <w:tcPr>
            <w:tcW w:w="1140" w:type="dxa"/>
            <w:vAlign w:val="bottom"/>
            <w:shd w:val="clear" w:color="auto" w:fill="D8D8D8"/>
          </w:tcPr>
          <w:p>
            <w:pPr>
              <w:spacing w:after="0"/>
              <w:rPr>
                <w:sz w:val="23"/>
                <w:szCs w:val="23"/>
                <w:color w:val="auto"/>
              </w:rPr>
            </w:pPr>
          </w:p>
        </w:tc>
        <w:tc>
          <w:tcPr>
            <w:tcW w:w="960" w:type="dxa"/>
            <w:vAlign w:val="bottom"/>
            <w:shd w:val="clear" w:color="auto" w:fill="D8D8D8"/>
          </w:tcPr>
          <w:p>
            <w:pPr>
              <w:jc w:val="right"/>
              <w:ind w:right="72"/>
              <w:spacing w:after="0"/>
              <w:rPr>
                <w:sz w:val="20"/>
                <w:szCs w:val="20"/>
                <w:color w:val="auto"/>
              </w:rPr>
            </w:pPr>
            <w:r>
              <w:rPr>
                <w:rFonts w:ascii="Arial" w:cs="Arial" w:eastAsia="Arial" w:hAnsi="Arial"/>
                <w:sz w:val="18"/>
                <w:szCs w:val="18"/>
                <w:b w:val="1"/>
                <w:bCs w:val="1"/>
                <w:color w:val="auto"/>
              </w:rPr>
              <w:t>444.6</w:t>
            </w:r>
          </w:p>
        </w:tc>
        <w:tc>
          <w:tcPr>
            <w:tcW w:w="320" w:type="dxa"/>
            <w:vAlign w:val="bottom"/>
            <w:shd w:val="clear" w:color="auto" w:fill="D8D8D8"/>
          </w:tcPr>
          <w:p>
            <w:pPr>
              <w:spacing w:after="0"/>
              <w:rPr>
                <w:sz w:val="23"/>
                <w:szCs w:val="23"/>
                <w:color w:val="auto"/>
              </w:rPr>
            </w:pPr>
          </w:p>
        </w:tc>
        <w:tc>
          <w:tcPr>
            <w:tcW w:w="940" w:type="dxa"/>
            <w:vAlign w:val="bottom"/>
            <w:shd w:val="clear" w:color="auto" w:fill="D8D8D8"/>
          </w:tcPr>
          <w:p>
            <w:pPr>
              <w:jc w:val="right"/>
              <w:ind w:right="72"/>
              <w:spacing w:after="0"/>
              <w:rPr>
                <w:sz w:val="20"/>
                <w:szCs w:val="20"/>
                <w:color w:val="auto"/>
              </w:rPr>
            </w:pPr>
            <w:r>
              <w:rPr>
                <w:rFonts w:ascii="Arial" w:cs="Arial" w:eastAsia="Arial" w:hAnsi="Arial"/>
                <w:sz w:val="18"/>
                <w:szCs w:val="18"/>
                <w:b w:val="1"/>
                <w:bCs w:val="1"/>
                <w:color w:val="auto"/>
              </w:rPr>
              <w:t>1,047.8</w:t>
            </w:r>
          </w:p>
        </w:tc>
        <w:tc>
          <w:tcPr>
            <w:tcW w:w="280" w:type="dxa"/>
            <w:vAlign w:val="bottom"/>
            <w:shd w:val="clear" w:color="auto" w:fill="D8D8D8"/>
          </w:tcPr>
          <w:p>
            <w:pPr>
              <w:spacing w:after="0"/>
              <w:rPr>
                <w:sz w:val="23"/>
                <w:szCs w:val="23"/>
                <w:color w:val="auto"/>
              </w:rPr>
            </w:pPr>
          </w:p>
        </w:tc>
        <w:tc>
          <w:tcPr>
            <w:tcW w:w="940" w:type="dxa"/>
            <w:vAlign w:val="bottom"/>
            <w:shd w:val="clear" w:color="auto" w:fill="D8D8D8"/>
          </w:tcPr>
          <w:p>
            <w:pPr>
              <w:jc w:val="right"/>
              <w:ind w:right="32"/>
              <w:spacing w:after="0"/>
              <w:rPr>
                <w:sz w:val="20"/>
                <w:szCs w:val="20"/>
                <w:color w:val="auto"/>
              </w:rPr>
            </w:pPr>
            <w:r>
              <w:rPr>
                <w:rFonts w:ascii="Arial" w:cs="Arial" w:eastAsia="Arial" w:hAnsi="Arial"/>
                <w:sz w:val="18"/>
                <w:szCs w:val="18"/>
                <w:b w:val="1"/>
                <w:bCs w:val="1"/>
                <w:color w:val="auto"/>
              </w:rPr>
              <w:t>679.7</w:t>
            </w:r>
          </w:p>
        </w:tc>
        <w:tc>
          <w:tcPr>
            <w:tcW w:w="360" w:type="dxa"/>
            <w:vAlign w:val="bottom"/>
            <w:shd w:val="clear" w:color="auto" w:fill="D8D8D8"/>
          </w:tcPr>
          <w:p>
            <w:pPr>
              <w:spacing w:after="0"/>
              <w:rPr>
                <w:sz w:val="23"/>
                <w:szCs w:val="23"/>
                <w:color w:val="auto"/>
              </w:rPr>
            </w:pPr>
          </w:p>
        </w:tc>
        <w:tc>
          <w:tcPr>
            <w:tcW w:w="880" w:type="dxa"/>
            <w:vAlign w:val="bottom"/>
            <w:shd w:val="clear" w:color="auto" w:fill="D8D8D8"/>
          </w:tcPr>
          <w:p>
            <w:pPr>
              <w:jc w:val="right"/>
              <w:ind w:right="12"/>
              <w:spacing w:after="0"/>
              <w:rPr>
                <w:sz w:val="20"/>
                <w:szCs w:val="20"/>
                <w:color w:val="auto"/>
              </w:rPr>
            </w:pPr>
            <w:r>
              <w:rPr>
                <w:rFonts w:ascii="Arial" w:cs="Arial" w:eastAsia="Arial" w:hAnsi="Arial"/>
                <w:sz w:val="18"/>
                <w:szCs w:val="18"/>
                <w:b w:val="1"/>
                <w:bCs w:val="1"/>
                <w:color w:val="auto"/>
              </w:rPr>
              <w:t>617.9</w:t>
            </w:r>
          </w:p>
        </w:tc>
      </w:tr>
      <w:tr>
        <w:trPr>
          <w:trHeight w:val="269"/>
        </w:trPr>
        <w:tc>
          <w:tcPr>
            <w:tcW w:w="560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140" w:type="dxa"/>
            <w:vAlign w:val="bottom"/>
          </w:tcPr>
          <w:p>
            <w:pPr>
              <w:spacing w:after="0"/>
              <w:rPr>
                <w:sz w:val="23"/>
                <w:szCs w:val="23"/>
                <w:color w:val="auto"/>
              </w:rPr>
            </w:pPr>
          </w:p>
        </w:tc>
        <w:tc>
          <w:tcPr>
            <w:tcW w:w="960" w:type="dxa"/>
            <w:vAlign w:val="bottom"/>
          </w:tcPr>
          <w:p>
            <w:pPr>
              <w:jc w:val="right"/>
              <w:ind w:right="72"/>
              <w:spacing w:after="0"/>
              <w:rPr>
                <w:sz w:val="20"/>
                <w:szCs w:val="20"/>
                <w:color w:val="auto"/>
              </w:rPr>
            </w:pPr>
            <w:r>
              <w:rPr>
                <w:rFonts w:ascii="Arial" w:cs="Arial" w:eastAsia="Arial" w:hAnsi="Arial"/>
                <w:sz w:val="18"/>
                <w:szCs w:val="18"/>
                <w:b w:val="1"/>
                <w:bCs w:val="1"/>
                <w:color w:val="auto"/>
              </w:rPr>
              <w:t>478.4</w:t>
            </w:r>
          </w:p>
        </w:tc>
        <w:tc>
          <w:tcPr>
            <w:tcW w:w="320" w:type="dxa"/>
            <w:vAlign w:val="bottom"/>
          </w:tcPr>
          <w:p>
            <w:pPr>
              <w:spacing w:after="0"/>
              <w:rPr>
                <w:sz w:val="23"/>
                <w:szCs w:val="23"/>
                <w:color w:val="auto"/>
              </w:rPr>
            </w:pPr>
          </w:p>
        </w:tc>
        <w:tc>
          <w:tcPr>
            <w:tcW w:w="940" w:type="dxa"/>
            <w:vAlign w:val="bottom"/>
          </w:tcPr>
          <w:p>
            <w:pPr>
              <w:jc w:val="right"/>
              <w:ind w:right="72"/>
              <w:spacing w:after="0"/>
              <w:rPr>
                <w:sz w:val="20"/>
                <w:szCs w:val="20"/>
                <w:color w:val="auto"/>
              </w:rPr>
            </w:pPr>
            <w:r>
              <w:rPr>
                <w:rFonts w:ascii="Arial" w:cs="Arial" w:eastAsia="Arial" w:hAnsi="Arial"/>
                <w:sz w:val="18"/>
                <w:szCs w:val="18"/>
                <w:b w:val="1"/>
                <w:bCs w:val="1"/>
                <w:color w:val="auto"/>
              </w:rPr>
              <w:t>799.7</w:t>
            </w:r>
          </w:p>
        </w:tc>
        <w:tc>
          <w:tcPr>
            <w:tcW w:w="280" w:type="dxa"/>
            <w:vAlign w:val="bottom"/>
          </w:tcPr>
          <w:p>
            <w:pPr>
              <w:spacing w:after="0"/>
              <w:rPr>
                <w:sz w:val="23"/>
                <w:szCs w:val="23"/>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b w:val="1"/>
                <w:bCs w:val="1"/>
                <w:color w:val="auto"/>
              </w:rPr>
              <w:t>600.8</w:t>
            </w:r>
          </w:p>
        </w:tc>
        <w:tc>
          <w:tcPr>
            <w:tcW w:w="360" w:type="dxa"/>
            <w:vAlign w:val="bottom"/>
          </w:tcPr>
          <w:p>
            <w:pPr>
              <w:spacing w:after="0"/>
              <w:rPr>
                <w:sz w:val="23"/>
                <w:szCs w:val="23"/>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b w:val="1"/>
                <w:bCs w:val="1"/>
                <w:color w:val="auto"/>
              </w:rPr>
              <w:t>529.5</w:t>
            </w:r>
          </w:p>
        </w:tc>
      </w:tr>
      <w:tr>
        <w:trPr>
          <w:trHeight w:val="271"/>
        </w:trPr>
        <w:tc>
          <w:tcPr>
            <w:tcW w:w="5600" w:type="dxa"/>
            <w:vAlign w:val="bottom"/>
            <w:shd w:val="clear" w:color="auto" w:fill="D8D8D8"/>
          </w:tcPr>
          <w:p>
            <w:pPr>
              <w:ind w:left="40"/>
              <w:spacing w:after="0"/>
              <w:rPr>
                <w:sz w:val="20"/>
                <w:szCs w:val="20"/>
                <w:color w:val="auto"/>
              </w:rPr>
            </w:pPr>
            <w:r>
              <w:rPr>
                <w:rFonts w:ascii="Arial" w:cs="Arial" w:eastAsia="Arial" w:hAnsi="Arial"/>
                <w:sz w:val="18"/>
                <w:szCs w:val="18"/>
                <w:color w:val="auto"/>
              </w:rPr>
              <w:t>Earnings per share—basic</w:t>
            </w:r>
          </w:p>
        </w:tc>
        <w:tc>
          <w:tcPr>
            <w:tcW w:w="1140" w:type="dxa"/>
            <w:vAlign w:val="bottom"/>
            <w:shd w:val="clear" w:color="auto" w:fill="D8D8D8"/>
          </w:tcPr>
          <w:p>
            <w:pPr>
              <w:spacing w:after="0"/>
              <w:rPr>
                <w:sz w:val="23"/>
                <w:szCs w:val="23"/>
                <w:color w:val="auto"/>
              </w:rPr>
            </w:pPr>
          </w:p>
        </w:tc>
        <w:tc>
          <w:tcPr>
            <w:tcW w:w="960" w:type="dxa"/>
            <w:vAlign w:val="bottom"/>
            <w:shd w:val="clear" w:color="auto" w:fill="D8D8D8"/>
          </w:tcPr>
          <w:p>
            <w:pPr>
              <w:jc w:val="right"/>
              <w:ind w:right="72"/>
              <w:spacing w:after="0"/>
              <w:rPr>
                <w:sz w:val="20"/>
                <w:szCs w:val="20"/>
                <w:color w:val="auto"/>
              </w:rPr>
            </w:pPr>
            <w:r>
              <w:rPr>
                <w:rFonts w:ascii="Arial" w:cs="Arial" w:eastAsia="Arial" w:hAnsi="Arial"/>
                <w:sz w:val="18"/>
                <w:szCs w:val="18"/>
                <w:b w:val="1"/>
                <w:bCs w:val="1"/>
                <w:color w:val="auto"/>
              </w:rPr>
              <w:t>0.45</w:t>
            </w:r>
          </w:p>
        </w:tc>
        <w:tc>
          <w:tcPr>
            <w:tcW w:w="320" w:type="dxa"/>
            <w:vAlign w:val="bottom"/>
            <w:shd w:val="clear" w:color="auto" w:fill="D8D8D8"/>
          </w:tcPr>
          <w:p>
            <w:pPr>
              <w:spacing w:after="0"/>
              <w:rPr>
                <w:sz w:val="23"/>
                <w:szCs w:val="23"/>
                <w:color w:val="auto"/>
              </w:rPr>
            </w:pPr>
          </w:p>
        </w:tc>
        <w:tc>
          <w:tcPr>
            <w:tcW w:w="940" w:type="dxa"/>
            <w:vAlign w:val="bottom"/>
            <w:shd w:val="clear" w:color="auto" w:fill="D8D8D8"/>
          </w:tcPr>
          <w:p>
            <w:pPr>
              <w:jc w:val="right"/>
              <w:ind w:right="72"/>
              <w:spacing w:after="0"/>
              <w:rPr>
                <w:sz w:val="20"/>
                <w:szCs w:val="20"/>
                <w:color w:val="auto"/>
              </w:rPr>
            </w:pPr>
            <w:r>
              <w:rPr>
                <w:rFonts w:ascii="Arial" w:cs="Arial" w:eastAsia="Arial" w:hAnsi="Arial"/>
                <w:sz w:val="18"/>
                <w:szCs w:val="18"/>
                <w:b w:val="1"/>
                <w:bCs w:val="1"/>
                <w:color w:val="auto"/>
              </w:rPr>
              <w:t>0.75</w:t>
            </w:r>
          </w:p>
        </w:tc>
        <w:tc>
          <w:tcPr>
            <w:tcW w:w="280" w:type="dxa"/>
            <w:vAlign w:val="bottom"/>
            <w:shd w:val="clear" w:color="auto" w:fill="D8D8D8"/>
          </w:tcPr>
          <w:p>
            <w:pPr>
              <w:spacing w:after="0"/>
              <w:rPr>
                <w:sz w:val="23"/>
                <w:szCs w:val="23"/>
                <w:color w:val="auto"/>
              </w:rPr>
            </w:pPr>
          </w:p>
        </w:tc>
        <w:tc>
          <w:tcPr>
            <w:tcW w:w="940" w:type="dxa"/>
            <w:vAlign w:val="bottom"/>
            <w:shd w:val="clear" w:color="auto" w:fill="D8D8D8"/>
          </w:tcPr>
          <w:p>
            <w:pPr>
              <w:jc w:val="right"/>
              <w:ind w:right="32"/>
              <w:spacing w:after="0"/>
              <w:rPr>
                <w:sz w:val="20"/>
                <w:szCs w:val="20"/>
                <w:color w:val="auto"/>
              </w:rPr>
            </w:pPr>
            <w:r>
              <w:rPr>
                <w:rFonts w:ascii="Arial" w:cs="Arial" w:eastAsia="Arial" w:hAnsi="Arial"/>
                <w:sz w:val="18"/>
                <w:szCs w:val="18"/>
                <w:b w:val="1"/>
                <w:bCs w:val="1"/>
                <w:color w:val="auto"/>
              </w:rPr>
              <w:t>0.57</w:t>
            </w:r>
          </w:p>
        </w:tc>
        <w:tc>
          <w:tcPr>
            <w:tcW w:w="360" w:type="dxa"/>
            <w:vAlign w:val="bottom"/>
            <w:shd w:val="clear" w:color="auto" w:fill="D8D8D8"/>
          </w:tcPr>
          <w:p>
            <w:pPr>
              <w:spacing w:after="0"/>
              <w:rPr>
                <w:sz w:val="23"/>
                <w:szCs w:val="23"/>
                <w:color w:val="auto"/>
              </w:rPr>
            </w:pPr>
          </w:p>
        </w:tc>
        <w:tc>
          <w:tcPr>
            <w:tcW w:w="880" w:type="dxa"/>
            <w:vAlign w:val="bottom"/>
            <w:shd w:val="clear" w:color="auto" w:fill="D8D8D8"/>
          </w:tcPr>
          <w:p>
            <w:pPr>
              <w:jc w:val="right"/>
              <w:ind w:right="12"/>
              <w:spacing w:after="0"/>
              <w:rPr>
                <w:sz w:val="20"/>
                <w:szCs w:val="20"/>
                <w:color w:val="auto"/>
              </w:rPr>
            </w:pPr>
            <w:r>
              <w:rPr>
                <w:rFonts w:ascii="Arial" w:cs="Arial" w:eastAsia="Arial" w:hAnsi="Arial"/>
                <w:sz w:val="18"/>
                <w:szCs w:val="18"/>
                <w:b w:val="1"/>
                <w:bCs w:val="1"/>
                <w:color w:val="auto"/>
              </w:rPr>
              <w:t>0.50</w:t>
            </w:r>
          </w:p>
        </w:tc>
      </w:tr>
      <w:tr>
        <w:trPr>
          <w:trHeight w:val="269"/>
        </w:trPr>
        <w:tc>
          <w:tcPr>
            <w:tcW w:w="5600" w:type="dxa"/>
            <w:vAlign w:val="bottom"/>
          </w:tcPr>
          <w:p>
            <w:pPr>
              <w:ind w:left="40"/>
              <w:spacing w:after="0"/>
              <w:rPr>
                <w:sz w:val="20"/>
                <w:szCs w:val="20"/>
                <w:color w:val="auto"/>
              </w:rPr>
            </w:pPr>
            <w:r>
              <w:rPr>
                <w:rFonts w:ascii="Arial" w:cs="Arial" w:eastAsia="Arial" w:hAnsi="Arial"/>
                <w:sz w:val="18"/>
                <w:szCs w:val="18"/>
                <w:color w:val="auto"/>
              </w:rPr>
              <w:t>Earnings per share—diluted</w:t>
            </w:r>
          </w:p>
        </w:tc>
        <w:tc>
          <w:tcPr>
            <w:tcW w:w="1140" w:type="dxa"/>
            <w:vAlign w:val="bottom"/>
          </w:tcPr>
          <w:p>
            <w:pPr>
              <w:spacing w:after="0"/>
              <w:rPr>
                <w:sz w:val="23"/>
                <w:szCs w:val="23"/>
                <w:color w:val="auto"/>
              </w:rPr>
            </w:pPr>
          </w:p>
        </w:tc>
        <w:tc>
          <w:tcPr>
            <w:tcW w:w="960" w:type="dxa"/>
            <w:vAlign w:val="bottom"/>
          </w:tcPr>
          <w:p>
            <w:pPr>
              <w:jc w:val="right"/>
              <w:ind w:right="72"/>
              <w:spacing w:after="0"/>
              <w:rPr>
                <w:sz w:val="20"/>
                <w:szCs w:val="20"/>
                <w:color w:val="auto"/>
              </w:rPr>
            </w:pPr>
            <w:r>
              <w:rPr>
                <w:rFonts w:ascii="Arial" w:cs="Arial" w:eastAsia="Arial" w:hAnsi="Arial"/>
                <w:sz w:val="18"/>
                <w:szCs w:val="18"/>
                <w:b w:val="1"/>
                <w:bCs w:val="1"/>
                <w:color w:val="auto"/>
              </w:rPr>
              <w:t>0.45</w:t>
            </w:r>
          </w:p>
        </w:tc>
        <w:tc>
          <w:tcPr>
            <w:tcW w:w="320" w:type="dxa"/>
            <w:vAlign w:val="bottom"/>
          </w:tcPr>
          <w:p>
            <w:pPr>
              <w:spacing w:after="0"/>
              <w:rPr>
                <w:sz w:val="23"/>
                <w:szCs w:val="23"/>
                <w:color w:val="auto"/>
              </w:rPr>
            </w:pPr>
          </w:p>
        </w:tc>
        <w:tc>
          <w:tcPr>
            <w:tcW w:w="940" w:type="dxa"/>
            <w:vAlign w:val="bottom"/>
          </w:tcPr>
          <w:p>
            <w:pPr>
              <w:jc w:val="right"/>
              <w:ind w:right="72"/>
              <w:spacing w:after="0"/>
              <w:rPr>
                <w:sz w:val="20"/>
                <w:szCs w:val="20"/>
                <w:color w:val="auto"/>
              </w:rPr>
            </w:pPr>
            <w:r>
              <w:rPr>
                <w:rFonts w:ascii="Arial" w:cs="Arial" w:eastAsia="Arial" w:hAnsi="Arial"/>
                <w:sz w:val="18"/>
                <w:szCs w:val="18"/>
                <w:b w:val="1"/>
                <w:bCs w:val="1"/>
                <w:color w:val="auto"/>
              </w:rPr>
              <w:t>0.75</w:t>
            </w:r>
          </w:p>
        </w:tc>
        <w:tc>
          <w:tcPr>
            <w:tcW w:w="280" w:type="dxa"/>
            <w:vAlign w:val="bottom"/>
          </w:tcPr>
          <w:p>
            <w:pPr>
              <w:spacing w:after="0"/>
              <w:rPr>
                <w:sz w:val="23"/>
                <w:szCs w:val="23"/>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b w:val="1"/>
                <w:bCs w:val="1"/>
                <w:color w:val="auto"/>
              </w:rPr>
              <w:t>0.56</w:t>
            </w:r>
          </w:p>
        </w:tc>
        <w:tc>
          <w:tcPr>
            <w:tcW w:w="360" w:type="dxa"/>
            <w:vAlign w:val="bottom"/>
          </w:tcPr>
          <w:p>
            <w:pPr>
              <w:spacing w:after="0"/>
              <w:rPr>
                <w:sz w:val="23"/>
                <w:szCs w:val="23"/>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b w:val="1"/>
                <w:bCs w:val="1"/>
                <w:color w:val="auto"/>
              </w:rPr>
              <w:t>0.50</w:t>
            </w:r>
          </w:p>
        </w:tc>
      </w:tr>
      <w:tr>
        <w:trPr>
          <w:trHeight w:val="271"/>
        </w:trPr>
        <w:tc>
          <w:tcPr>
            <w:tcW w:w="5600" w:type="dxa"/>
            <w:vAlign w:val="bottom"/>
            <w:shd w:val="clear" w:color="auto" w:fill="D8D8D8"/>
          </w:tcPr>
          <w:p>
            <w:pPr>
              <w:ind w:left="40"/>
              <w:spacing w:after="0"/>
              <w:rPr>
                <w:sz w:val="20"/>
                <w:szCs w:val="20"/>
                <w:color w:val="auto"/>
              </w:rPr>
            </w:pPr>
            <w:r>
              <w:rPr>
                <w:rFonts w:ascii="Arial" w:cs="Arial" w:eastAsia="Arial" w:hAnsi="Arial"/>
                <w:sz w:val="18"/>
                <w:szCs w:val="18"/>
                <w:color w:val="auto"/>
              </w:rPr>
              <w:t>Dividends paid per share</w:t>
            </w:r>
          </w:p>
        </w:tc>
        <w:tc>
          <w:tcPr>
            <w:tcW w:w="1140" w:type="dxa"/>
            <w:vAlign w:val="bottom"/>
            <w:shd w:val="clear" w:color="auto" w:fill="D8D8D8"/>
          </w:tcPr>
          <w:p>
            <w:pPr>
              <w:spacing w:after="0"/>
              <w:rPr>
                <w:sz w:val="23"/>
                <w:szCs w:val="23"/>
                <w:color w:val="auto"/>
              </w:rPr>
            </w:pPr>
          </w:p>
        </w:tc>
        <w:tc>
          <w:tcPr>
            <w:tcW w:w="960" w:type="dxa"/>
            <w:vAlign w:val="bottom"/>
            <w:shd w:val="clear" w:color="auto" w:fill="D8D8D8"/>
          </w:tcPr>
          <w:p>
            <w:pPr>
              <w:jc w:val="right"/>
              <w:ind w:right="72"/>
              <w:spacing w:after="0"/>
              <w:rPr>
                <w:sz w:val="20"/>
                <w:szCs w:val="20"/>
                <w:color w:val="auto"/>
              </w:rPr>
            </w:pPr>
            <w:r>
              <w:rPr>
                <w:rFonts w:ascii="Arial" w:cs="Arial" w:eastAsia="Arial" w:hAnsi="Arial"/>
                <w:sz w:val="18"/>
                <w:szCs w:val="18"/>
                <w:b w:val="1"/>
                <w:bCs w:val="1"/>
                <w:color w:val="auto"/>
              </w:rPr>
              <w:t>0.50</w:t>
            </w:r>
          </w:p>
        </w:tc>
        <w:tc>
          <w:tcPr>
            <w:tcW w:w="320" w:type="dxa"/>
            <w:vAlign w:val="bottom"/>
            <w:shd w:val="clear" w:color="auto" w:fill="D8D8D8"/>
          </w:tcPr>
          <w:p>
            <w:pPr>
              <w:spacing w:after="0"/>
              <w:rPr>
                <w:sz w:val="23"/>
                <w:szCs w:val="23"/>
                <w:color w:val="auto"/>
              </w:rPr>
            </w:pPr>
          </w:p>
        </w:tc>
        <w:tc>
          <w:tcPr>
            <w:tcW w:w="940" w:type="dxa"/>
            <w:vAlign w:val="bottom"/>
            <w:shd w:val="clear" w:color="auto" w:fill="D8D8D8"/>
          </w:tcPr>
          <w:p>
            <w:pPr>
              <w:jc w:val="right"/>
              <w:ind w:right="72"/>
              <w:spacing w:after="0"/>
              <w:rPr>
                <w:sz w:val="20"/>
                <w:szCs w:val="20"/>
                <w:color w:val="auto"/>
              </w:rPr>
            </w:pPr>
            <w:r>
              <w:rPr>
                <w:rFonts w:ascii="Arial" w:cs="Arial" w:eastAsia="Arial" w:hAnsi="Arial"/>
                <w:sz w:val="18"/>
                <w:szCs w:val="18"/>
                <w:b w:val="1"/>
                <w:bCs w:val="1"/>
                <w:color w:val="auto"/>
              </w:rPr>
              <w:t>0.50</w:t>
            </w:r>
          </w:p>
        </w:tc>
        <w:tc>
          <w:tcPr>
            <w:tcW w:w="280" w:type="dxa"/>
            <w:vAlign w:val="bottom"/>
            <w:shd w:val="clear" w:color="auto" w:fill="D8D8D8"/>
          </w:tcPr>
          <w:p>
            <w:pPr>
              <w:spacing w:after="0"/>
              <w:rPr>
                <w:sz w:val="23"/>
                <w:szCs w:val="23"/>
                <w:color w:val="auto"/>
              </w:rPr>
            </w:pPr>
          </w:p>
        </w:tc>
        <w:tc>
          <w:tcPr>
            <w:tcW w:w="940" w:type="dxa"/>
            <w:vAlign w:val="bottom"/>
            <w:shd w:val="clear" w:color="auto" w:fill="D8D8D8"/>
          </w:tcPr>
          <w:p>
            <w:pPr>
              <w:jc w:val="right"/>
              <w:ind w:right="32"/>
              <w:spacing w:after="0"/>
              <w:rPr>
                <w:sz w:val="20"/>
                <w:szCs w:val="20"/>
                <w:color w:val="auto"/>
              </w:rPr>
            </w:pPr>
            <w:r>
              <w:rPr>
                <w:rFonts w:ascii="Arial" w:cs="Arial" w:eastAsia="Arial" w:hAnsi="Arial"/>
                <w:sz w:val="18"/>
                <w:szCs w:val="18"/>
                <w:b w:val="1"/>
                <w:bCs w:val="1"/>
                <w:color w:val="auto"/>
              </w:rPr>
              <w:t>0.50</w:t>
            </w:r>
          </w:p>
        </w:tc>
        <w:tc>
          <w:tcPr>
            <w:tcW w:w="360" w:type="dxa"/>
            <w:vAlign w:val="bottom"/>
            <w:shd w:val="clear" w:color="auto" w:fill="D8D8D8"/>
          </w:tcPr>
          <w:p>
            <w:pPr>
              <w:spacing w:after="0"/>
              <w:rPr>
                <w:sz w:val="23"/>
                <w:szCs w:val="23"/>
                <w:color w:val="auto"/>
              </w:rPr>
            </w:pPr>
          </w:p>
        </w:tc>
        <w:tc>
          <w:tcPr>
            <w:tcW w:w="880" w:type="dxa"/>
            <w:vAlign w:val="bottom"/>
            <w:shd w:val="clear" w:color="auto" w:fill="D8D8D8"/>
          </w:tcPr>
          <w:p>
            <w:pPr>
              <w:jc w:val="right"/>
              <w:ind w:right="12"/>
              <w:spacing w:after="0"/>
              <w:rPr>
                <w:sz w:val="20"/>
                <w:szCs w:val="20"/>
                <w:color w:val="auto"/>
              </w:rPr>
            </w:pPr>
            <w:r>
              <w:rPr>
                <w:rFonts w:ascii="Arial" w:cs="Arial" w:eastAsia="Arial" w:hAnsi="Arial"/>
                <w:sz w:val="18"/>
                <w:szCs w:val="18"/>
                <w:b w:val="1"/>
                <w:bCs w:val="1"/>
                <w:color w:val="auto"/>
              </w:rPr>
              <w:t>0.50</w:t>
            </w:r>
          </w:p>
        </w:tc>
      </w:tr>
      <w:tr>
        <w:trPr>
          <w:trHeight w:val="247"/>
        </w:trPr>
        <w:tc>
          <w:tcPr>
            <w:tcW w:w="5600" w:type="dxa"/>
            <w:vAlign w:val="bottom"/>
          </w:tcPr>
          <w:p>
            <w:pPr>
              <w:ind w:left="40"/>
              <w:spacing w:after="0"/>
              <w:rPr>
                <w:sz w:val="20"/>
                <w:szCs w:val="20"/>
                <w:color w:val="auto"/>
              </w:rPr>
            </w:pPr>
            <w:r>
              <w:rPr>
                <w:rFonts w:ascii="Arial" w:cs="Arial" w:eastAsia="Arial" w:hAnsi="Arial"/>
                <w:sz w:val="18"/>
                <w:szCs w:val="18"/>
                <w:color w:val="auto"/>
              </w:rPr>
              <w:t>Common stock closing prices:</w:t>
            </w:r>
          </w:p>
        </w:tc>
        <w:tc>
          <w:tcPr>
            <w:tcW w:w="1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3"/>
        </w:trPr>
        <w:tc>
          <w:tcPr>
            <w:tcW w:w="56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600" w:type="dxa"/>
            <w:vAlign w:val="bottom"/>
            <w:shd w:val="clear" w:color="auto" w:fill="D8D8D8"/>
          </w:tcPr>
          <w:p>
            <w:pPr>
              <w:ind w:left="180"/>
              <w:spacing w:after="0"/>
              <w:rPr>
                <w:sz w:val="20"/>
                <w:szCs w:val="20"/>
                <w:color w:val="auto"/>
              </w:rPr>
            </w:pPr>
            <w:r>
              <w:rPr>
                <w:rFonts w:ascii="Arial" w:cs="Arial" w:eastAsia="Arial" w:hAnsi="Arial"/>
                <w:sz w:val="18"/>
                <w:szCs w:val="18"/>
                <w:color w:val="auto"/>
              </w:rPr>
              <w:t>High</w:t>
            </w:r>
          </w:p>
        </w:tc>
        <w:tc>
          <w:tcPr>
            <w:tcW w:w="1140" w:type="dxa"/>
            <w:vAlign w:val="bottom"/>
            <w:shd w:val="clear" w:color="auto" w:fill="D8D8D8"/>
          </w:tcPr>
          <w:p>
            <w:pPr>
              <w:spacing w:after="0"/>
              <w:rPr>
                <w:sz w:val="23"/>
                <w:szCs w:val="23"/>
                <w:color w:val="auto"/>
              </w:rPr>
            </w:pPr>
          </w:p>
        </w:tc>
        <w:tc>
          <w:tcPr>
            <w:tcW w:w="960" w:type="dxa"/>
            <w:vAlign w:val="bottom"/>
            <w:shd w:val="clear" w:color="auto" w:fill="D8D8D8"/>
          </w:tcPr>
          <w:p>
            <w:pPr>
              <w:jc w:val="right"/>
              <w:ind w:right="72"/>
              <w:spacing w:after="0"/>
              <w:rPr>
                <w:sz w:val="20"/>
                <w:szCs w:val="20"/>
                <w:color w:val="auto"/>
              </w:rPr>
            </w:pPr>
            <w:r>
              <w:rPr>
                <w:rFonts w:ascii="Arial" w:cs="Arial" w:eastAsia="Arial" w:hAnsi="Arial"/>
                <w:sz w:val="18"/>
                <w:szCs w:val="18"/>
                <w:b w:val="1"/>
                <w:bCs w:val="1"/>
                <w:color w:val="auto"/>
              </w:rPr>
              <w:t>87.52</w:t>
            </w:r>
          </w:p>
        </w:tc>
        <w:tc>
          <w:tcPr>
            <w:tcW w:w="320" w:type="dxa"/>
            <w:vAlign w:val="bottom"/>
            <w:shd w:val="clear" w:color="auto" w:fill="D8D8D8"/>
          </w:tcPr>
          <w:p>
            <w:pPr>
              <w:spacing w:after="0"/>
              <w:rPr>
                <w:sz w:val="23"/>
                <w:szCs w:val="23"/>
                <w:color w:val="auto"/>
              </w:rPr>
            </w:pPr>
          </w:p>
        </w:tc>
        <w:tc>
          <w:tcPr>
            <w:tcW w:w="940" w:type="dxa"/>
            <w:vAlign w:val="bottom"/>
            <w:shd w:val="clear" w:color="auto" w:fill="D8D8D8"/>
          </w:tcPr>
          <w:p>
            <w:pPr>
              <w:jc w:val="right"/>
              <w:ind w:right="72"/>
              <w:spacing w:after="0"/>
              <w:rPr>
                <w:sz w:val="20"/>
                <w:szCs w:val="20"/>
                <w:color w:val="auto"/>
              </w:rPr>
            </w:pPr>
            <w:r>
              <w:rPr>
                <w:rFonts w:ascii="Arial" w:cs="Arial" w:eastAsia="Arial" w:hAnsi="Arial"/>
                <w:sz w:val="18"/>
                <w:szCs w:val="18"/>
                <w:b w:val="1"/>
                <w:bCs w:val="1"/>
                <w:color w:val="auto"/>
              </w:rPr>
              <w:t>89.98</w:t>
            </w:r>
          </w:p>
        </w:tc>
        <w:tc>
          <w:tcPr>
            <w:tcW w:w="280" w:type="dxa"/>
            <w:vAlign w:val="bottom"/>
            <w:shd w:val="clear" w:color="auto" w:fill="D8D8D8"/>
          </w:tcPr>
          <w:p>
            <w:pPr>
              <w:spacing w:after="0"/>
              <w:rPr>
                <w:sz w:val="23"/>
                <w:szCs w:val="23"/>
                <w:color w:val="auto"/>
              </w:rPr>
            </w:pPr>
          </w:p>
        </w:tc>
        <w:tc>
          <w:tcPr>
            <w:tcW w:w="940" w:type="dxa"/>
            <w:vAlign w:val="bottom"/>
            <w:shd w:val="clear" w:color="auto" w:fill="D8D8D8"/>
          </w:tcPr>
          <w:p>
            <w:pPr>
              <w:jc w:val="right"/>
              <w:ind w:right="32"/>
              <w:spacing w:after="0"/>
              <w:rPr>
                <w:sz w:val="20"/>
                <w:szCs w:val="20"/>
                <w:color w:val="auto"/>
              </w:rPr>
            </w:pPr>
            <w:r>
              <w:rPr>
                <w:rFonts w:ascii="Arial" w:cs="Arial" w:eastAsia="Arial" w:hAnsi="Arial"/>
                <w:sz w:val="18"/>
                <w:szCs w:val="18"/>
                <w:b w:val="1"/>
                <w:bCs w:val="1"/>
                <w:color w:val="auto"/>
              </w:rPr>
              <w:t>86.59</w:t>
            </w:r>
          </w:p>
        </w:tc>
        <w:tc>
          <w:tcPr>
            <w:tcW w:w="360" w:type="dxa"/>
            <w:vAlign w:val="bottom"/>
            <w:shd w:val="clear" w:color="auto" w:fill="D8D8D8"/>
          </w:tcPr>
          <w:p>
            <w:pPr>
              <w:spacing w:after="0"/>
              <w:rPr>
                <w:sz w:val="23"/>
                <w:szCs w:val="23"/>
                <w:color w:val="auto"/>
              </w:rPr>
            </w:pPr>
          </w:p>
        </w:tc>
        <w:tc>
          <w:tcPr>
            <w:tcW w:w="880" w:type="dxa"/>
            <w:vAlign w:val="bottom"/>
            <w:shd w:val="clear" w:color="auto" w:fill="D8D8D8"/>
          </w:tcPr>
          <w:p>
            <w:pPr>
              <w:jc w:val="right"/>
              <w:ind w:right="12"/>
              <w:spacing w:after="0"/>
              <w:rPr>
                <w:sz w:val="20"/>
                <w:szCs w:val="20"/>
                <w:color w:val="auto"/>
              </w:rPr>
            </w:pPr>
            <w:r>
              <w:rPr>
                <w:rFonts w:ascii="Arial" w:cs="Arial" w:eastAsia="Arial" w:hAnsi="Arial"/>
                <w:sz w:val="18"/>
                <w:szCs w:val="18"/>
                <w:b w:val="1"/>
                <w:bCs w:val="1"/>
                <w:color w:val="auto"/>
              </w:rPr>
              <w:t>76.36</w:t>
            </w:r>
          </w:p>
        </w:tc>
      </w:tr>
      <w:tr>
        <w:trPr>
          <w:trHeight w:val="269"/>
        </w:trPr>
        <w:tc>
          <w:tcPr>
            <w:tcW w:w="5600" w:type="dxa"/>
            <w:vAlign w:val="bottom"/>
          </w:tcPr>
          <w:p>
            <w:pPr>
              <w:ind w:left="180"/>
              <w:spacing w:after="0"/>
              <w:rPr>
                <w:sz w:val="20"/>
                <w:szCs w:val="20"/>
                <w:color w:val="auto"/>
              </w:rPr>
            </w:pPr>
            <w:r>
              <w:rPr>
                <w:rFonts w:ascii="Arial" w:cs="Arial" w:eastAsia="Arial" w:hAnsi="Arial"/>
                <w:sz w:val="18"/>
                <w:szCs w:val="18"/>
                <w:color w:val="auto"/>
              </w:rPr>
              <w:t>Low</w:t>
            </w:r>
          </w:p>
        </w:tc>
        <w:tc>
          <w:tcPr>
            <w:tcW w:w="1140" w:type="dxa"/>
            <w:vAlign w:val="bottom"/>
          </w:tcPr>
          <w:p>
            <w:pPr>
              <w:spacing w:after="0"/>
              <w:rPr>
                <w:sz w:val="23"/>
                <w:szCs w:val="23"/>
                <w:color w:val="auto"/>
              </w:rPr>
            </w:pPr>
          </w:p>
        </w:tc>
        <w:tc>
          <w:tcPr>
            <w:tcW w:w="960" w:type="dxa"/>
            <w:vAlign w:val="bottom"/>
          </w:tcPr>
          <w:p>
            <w:pPr>
              <w:jc w:val="right"/>
              <w:ind w:right="72"/>
              <w:spacing w:after="0"/>
              <w:rPr>
                <w:sz w:val="20"/>
                <w:szCs w:val="20"/>
                <w:color w:val="auto"/>
              </w:rPr>
            </w:pPr>
            <w:r>
              <w:rPr>
                <w:rFonts w:ascii="Arial" w:cs="Arial" w:eastAsia="Arial" w:hAnsi="Arial"/>
                <w:sz w:val="18"/>
                <w:szCs w:val="18"/>
                <w:b w:val="1"/>
                <w:bCs w:val="1"/>
                <w:color w:val="auto"/>
              </w:rPr>
              <w:t>76.98</w:t>
            </w:r>
          </w:p>
        </w:tc>
        <w:tc>
          <w:tcPr>
            <w:tcW w:w="320" w:type="dxa"/>
            <w:vAlign w:val="bottom"/>
          </w:tcPr>
          <w:p>
            <w:pPr>
              <w:spacing w:after="0"/>
              <w:rPr>
                <w:sz w:val="23"/>
                <w:szCs w:val="23"/>
                <w:color w:val="auto"/>
              </w:rPr>
            </w:pPr>
          </w:p>
        </w:tc>
        <w:tc>
          <w:tcPr>
            <w:tcW w:w="940" w:type="dxa"/>
            <w:vAlign w:val="bottom"/>
          </w:tcPr>
          <w:p>
            <w:pPr>
              <w:jc w:val="right"/>
              <w:ind w:right="72"/>
              <w:spacing w:after="0"/>
              <w:rPr>
                <w:sz w:val="20"/>
                <w:szCs w:val="20"/>
                <w:color w:val="auto"/>
              </w:rPr>
            </w:pPr>
            <w:r>
              <w:rPr>
                <w:rFonts w:ascii="Arial" w:cs="Arial" w:eastAsia="Arial" w:hAnsi="Arial"/>
                <w:sz w:val="18"/>
                <w:szCs w:val="18"/>
                <w:b w:val="1"/>
                <w:bCs w:val="1"/>
                <w:color w:val="auto"/>
              </w:rPr>
              <w:t>78.26</w:t>
            </w:r>
          </w:p>
        </w:tc>
        <w:tc>
          <w:tcPr>
            <w:tcW w:w="280" w:type="dxa"/>
            <w:vAlign w:val="bottom"/>
          </w:tcPr>
          <w:p>
            <w:pPr>
              <w:spacing w:after="0"/>
              <w:rPr>
                <w:sz w:val="23"/>
                <w:szCs w:val="23"/>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b w:val="1"/>
                <w:bCs w:val="1"/>
                <w:color w:val="auto"/>
              </w:rPr>
              <w:t>70.89</w:t>
            </w:r>
          </w:p>
        </w:tc>
        <w:tc>
          <w:tcPr>
            <w:tcW w:w="360" w:type="dxa"/>
            <w:vAlign w:val="bottom"/>
          </w:tcPr>
          <w:p>
            <w:pPr>
              <w:spacing w:after="0"/>
              <w:rPr>
                <w:sz w:val="23"/>
                <w:szCs w:val="23"/>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b w:val="1"/>
                <w:bCs w:val="1"/>
                <w:color w:val="auto"/>
              </w:rPr>
              <w:t>68.41</w:t>
            </w:r>
          </w:p>
        </w:tc>
      </w:tr>
      <w:tr>
        <w:trPr>
          <w:trHeight w:val="271"/>
        </w:trPr>
        <w:tc>
          <w:tcPr>
            <w:tcW w:w="5600" w:type="dxa"/>
            <w:vAlign w:val="bottom"/>
            <w:tcBorders>
              <w:bottom w:val="single" w:sz="8" w:color="auto"/>
            </w:tcBorders>
            <w:shd w:val="clear" w:color="auto" w:fill="D8D8D8"/>
          </w:tcPr>
          <w:p>
            <w:pPr>
              <w:spacing w:after="0"/>
              <w:rPr>
                <w:sz w:val="23"/>
                <w:szCs w:val="23"/>
                <w:color w:val="auto"/>
              </w:rPr>
            </w:pPr>
          </w:p>
        </w:tc>
        <w:tc>
          <w:tcPr>
            <w:tcW w:w="1140" w:type="dxa"/>
            <w:vAlign w:val="bottom"/>
            <w:tcBorders>
              <w:bottom w:val="single" w:sz="8" w:color="auto"/>
            </w:tcBorders>
            <w:shd w:val="clear" w:color="auto" w:fill="D8D8D8"/>
          </w:tcPr>
          <w:p>
            <w:pPr>
              <w:spacing w:after="0"/>
              <w:rPr>
                <w:sz w:val="23"/>
                <w:szCs w:val="23"/>
                <w:color w:val="auto"/>
              </w:rPr>
            </w:pPr>
          </w:p>
        </w:tc>
        <w:tc>
          <w:tcPr>
            <w:tcW w:w="960" w:type="dxa"/>
            <w:vAlign w:val="bottom"/>
            <w:tcBorders>
              <w:bottom w:val="single" w:sz="8" w:color="auto"/>
            </w:tcBorders>
            <w:shd w:val="clear" w:color="auto" w:fill="D8D8D8"/>
          </w:tcPr>
          <w:p>
            <w:pPr>
              <w:spacing w:after="0"/>
              <w:rPr>
                <w:sz w:val="23"/>
                <w:szCs w:val="23"/>
                <w:color w:val="auto"/>
              </w:rPr>
            </w:pPr>
          </w:p>
        </w:tc>
        <w:tc>
          <w:tcPr>
            <w:tcW w:w="320" w:type="dxa"/>
            <w:vAlign w:val="bottom"/>
            <w:tcBorders>
              <w:bottom w:val="single" w:sz="8" w:color="auto"/>
            </w:tcBorders>
            <w:shd w:val="clear" w:color="auto" w:fill="D8D8D8"/>
          </w:tcPr>
          <w:p>
            <w:pPr>
              <w:spacing w:after="0"/>
              <w:rPr>
                <w:sz w:val="23"/>
                <w:szCs w:val="23"/>
                <w:color w:val="auto"/>
              </w:rPr>
            </w:pPr>
          </w:p>
        </w:tc>
        <w:tc>
          <w:tcPr>
            <w:tcW w:w="940" w:type="dxa"/>
            <w:vAlign w:val="bottom"/>
            <w:tcBorders>
              <w:bottom w:val="single" w:sz="8" w:color="auto"/>
            </w:tcBorders>
            <w:shd w:val="clear" w:color="auto" w:fill="D8D8D8"/>
          </w:tcPr>
          <w:p>
            <w:pPr>
              <w:spacing w:after="0"/>
              <w:rPr>
                <w:sz w:val="23"/>
                <w:szCs w:val="23"/>
                <w:color w:val="auto"/>
              </w:rPr>
            </w:pPr>
          </w:p>
        </w:tc>
        <w:tc>
          <w:tcPr>
            <w:tcW w:w="280" w:type="dxa"/>
            <w:vAlign w:val="bottom"/>
            <w:tcBorders>
              <w:bottom w:val="single" w:sz="8" w:color="auto"/>
            </w:tcBorders>
            <w:shd w:val="clear" w:color="auto" w:fill="D8D8D8"/>
          </w:tcPr>
          <w:p>
            <w:pPr>
              <w:spacing w:after="0"/>
              <w:rPr>
                <w:sz w:val="23"/>
                <w:szCs w:val="23"/>
                <w:color w:val="auto"/>
              </w:rPr>
            </w:pPr>
          </w:p>
        </w:tc>
        <w:tc>
          <w:tcPr>
            <w:tcW w:w="940" w:type="dxa"/>
            <w:vAlign w:val="bottom"/>
            <w:tcBorders>
              <w:bottom w:val="single" w:sz="8" w:color="auto"/>
            </w:tcBorders>
            <w:shd w:val="clear" w:color="auto" w:fill="D8D8D8"/>
          </w:tcPr>
          <w:p>
            <w:pPr>
              <w:spacing w:after="0"/>
              <w:rPr>
                <w:sz w:val="23"/>
                <w:szCs w:val="23"/>
                <w:color w:val="auto"/>
              </w:rPr>
            </w:pPr>
          </w:p>
        </w:tc>
        <w:tc>
          <w:tcPr>
            <w:tcW w:w="360" w:type="dxa"/>
            <w:vAlign w:val="bottom"/>
            <w:tcBorders>
              <w:bottom w:val="single" w:sz="8" w:color="auto"/>
            </w:tcBorders>
            <w:shd w:val="clear" w:color="auto" w:fill="D8D8D8"/>
          </w:tcPr>
          <w:p>
            <w:pPr>
              <w:spacing w:after="0"/>
              <w:rPr>
                <w:sz w:val="23"/>
                <w:szCs w:val="23"/>
                <w:color w:val="auto"/>
              </w:rPr>
            </w:pPr>
          </w:p>
        </w:tc>
        <w:tc>
          <w:tcPr>
            <w:tcW w:w="880" w:type="dxa"/>
            <w:vAlign w:val="bottom"/>
            <w:tcBorders>
              <w:bottom w:val="single" w:sz="8" w:color="auto"/>
            </w:tcBorders>
            <w:shd w:val="clear" w:color="auto" w:fill="D8D8D8"/>
          </w:tcPr>
          <w:p>
            <w:pPr>
              <w:spacing w:after="0"/>
              <w:rPr>
                <w:sz w:val="23"/>
                <w:szCs w:val="23"/>
                <w:color w:val="auto"/>
              </w:rPr>
            </w:pPr>
          </w:p>
        </w:tc>
      </w:tr>
      <w:tr>
        <w:trPr>
          <w:trHeight w:val="263"/>
        </w:trPr>
        <w:tc>
          <w:tcPr>
            <w:tcW w:w="56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2014</w:t>
            </w:r>
          </w:p>
        </w:tc>
        <w:tc>
          <w:tcPr>
            <w:tcW w:w="11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Fourth</w:t>
            </w: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Third</w:t>
            </w: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Second</w:t>
            </w:r>
          </w:p>
        </w:tc>
        <w:tc>
          <w:tcPr>
            <w:tcW w:w="3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First</w:t>
            </w:r>
          </w:p>
        </w:tc>
      </w:tr>
      <w:tr>
        <w:trPr>
          <w:trHeight w:val="265"/>
        </w:trPr>
        <w:tc>
          <w:tcPr>
            <w:tcW w:w="5600" w:type="dxa"/>
            <w:vAlign w:val="bottom"/>
            <w:shd w:val="clear" w:color="auto" w:fill="D8D8D8"/>
          </w:tcPr>
          <w:p>
            <w:pPr>
              <w:ind w:left="40"/>
              <w:spacing w:after="0"/>
              <w:rPr>
                <w:sz w:val="20"/>
                <w:szCs w:val="20"/>
                <w:color w:val="auto"/>
              </w:rPr>
            </w:pPr>
            <w:r>
              <w:rPr>
                <w:rFonts w:ascii="Arial" w:cs="Arial" w:eastAsia="Arial" w:hAnsi="Arial"/>
                <w:sz w:val="18"/>
                <w:szCs w:val="18"/>
                <w:color w:val="auto"/>
              </w:rPr>
              <w:t>Revenue</w:t>
            </w:r>
          </w:p>
        </w:tc>
        <w:tc>
          <w:tcPr>
            <w:tcW w:w="1140" w:type="dxa"/>
            <w:vAlign w:val="bottom"/>
            <w:shd w:val="clear" w:color="auto" w:fill="D8D8D8"/>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shd w:val="clear" w:color="auto" w:fill="D8D8D8"/>
          </w:tcPr>
          <w:p>
            <w:pPr>
              <w:jc w:val="right"/>
              <w:ind w:right="72"/>
              <w:spacing w:after="0"/>
              <w:rPr>
                <w:sz w:val="20"/>
                <w:szCs w:val="20"/>
                <w:color w:val="auto"/>
              </w:rPr>
            </w:pPr>
            <w:r>
              <w:rPr>
                <w:rFonts w:ascii="Arial" w:cs="Arial" w:eastAsia="Arial" w:hAnsi="Arial"/>
                <w:sz w:val="18"/>
                <w:szCs w:val="18"/>
                <w:color w:val="auto"/>
              </w:rPr>
              <w:t>5,121.3</w:t>
            </w:r>
          </w:p>
        </w:tc>
        <w:tc>
          <w:tcPr>
            <w:tcW w:w="320" w:type="dxa"/>
            <w:vAlign w:val="bottom"/>
            <w:shd w:val="clear" w:color="auto" w:fill="D8D8D8"/>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shd w:val="clear" w:color="auto" w:fill="D8D8D8"/>
          </w:tcPr>
          <w:p>
            <w:pPr>
              <w:jc w:val="right"/>
              <w:ind w:right="72"/>
              <w:spacing w:after="0"/>
              <w:rPr>
                <w:sz w:val="20"/>
                <w:szCs w:val="20"/>
                <w:color w:val="auto"/>
              </w:rPr>
            </w:pPr>
            <w:r>
              <w:rPr>
                <w:rFonts w:ascii="Arial" w:cs="Arial" w:eastAsia="Arial" w:hAnsi="Arial"/>
                <w:sz w:val="18"/>
                <w:szCs w:val="18"/>
                <w:color w:val="auto"/>
              </w:rPr>
              <w:t>4,875.6</w:t>
            </w:r>
          </w:p>
        </w:tc>
        <w:tc>
          <w:tcPr>
            <w:tcW w:w="280" w:type="dxa"/>
            <w:vAlign w:val="bottom"/>
            <w:shd w:val="clear" w:color="auto" w:fill="D8D8D8"/>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shd w:val="clear" w:color="auto" w:fill="D8D8D8"/>
          </w:tcPr>
          <w:p>
            <w:pPr>
              <w:jc w:val="right"/>
              <w:ind w:right="32"/>
              <w:spacing w:after="0"/>
              <w:rPr>
                <w:sz w:val="20"/>
                <w:szCs w:val="20"/>
                <w:color w:val="auto"/>
              </w:rPr>
            </w:pPr>
            <w:r>
              <w:rPr>
                <w:rFonts w:ascii="Arial" w:cs="Arial" w:eastAsia="Arial" w:hAnsi="Arial"/>
                <w:sz w:val="18"/>
                <w:szCs w:val="18"/>
                <w:color w:val="auto"/>
              </w:rPr>
              <w:t>4,935.6</w:t>
            </w:r>
          </w:p>
        </w:tc>
        <w:tc>
          <w:tcPr>
            <w:tcW w:w="360" w:type="dxa"/>
            <w:vAlign w:val="bottom"/>
            <w:shd w:val="clear" w:color="auto" w:fill="D8D8D8"/>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shd w:val="clear" w:color="auto" w:fill="D8D8D8"/>
          </w:tcPr>
          <w:p>
            <w:pPr>
              <w:jc w:val="right"/>
              <w:ind w:right="12"/>
              <w:spacing w:after="0"/>
              <w:rPr>
                <w:sz w:val="20"/>
                <w:szCs w:val="20"/>
                <w:color w:val="auto"/>
              </w:rPr>
            </w:pPr>
            <w:r>
              <w:rPr>
                <w:rFonts w:ascii="Arial" w:cs="Arial" w:eastAsia="Arial" w:hAnsi="Arial"/>
                <w:sz w:val="18"/>
                <w:szCs w:val="18"/>
                <w:color w:val="auto"/>
              </w:rPr>
              <w:t>4,683.1</w:t>
            </w:r>
          </w:p>
        </w:tc>
      </w:tr>
    </w:tbl>
    <w:p>
      <w:pPr>
        <w:spacing w:after="0" w:line="4" w:lineRule="exact"/>
        <w:rPr>
          <w:sz w:val="20"/>
          <w:szCs w:val="20"/>
          <w:color w:val="auto"/>
        </w:rPr>
      </w:pPr>
    </w:p>
    <w:p>
      <w:pPr>
        <w:sectPr>
          <w:pgSz w:w="11900" w:h="16838" w:orient="portrait"/>
          <w:cols w:equalWidth="0" w:num="1">
            <w:col w:w="11420"/>
          </w:cols>
          <w:pgMar w:left="240" w:top="736" w:right="239" w:bottom="1440" w:gutter="0" w:footer="0" w:header="0"/>
        </w:sectPr>
      </w:pPr>
    </w:p>
    <w:p>
      <w:pPr>
        <w:ind w:left="40"/>
        <w:spacing w:after="0"/>
        <w:rPr>
          <w:sz w:val="20"/>
          <w:szCs w:val="20"/>
          <w:color w:val="auto"/>
        </w:rPr>
      </w:pPr>
      <w:r>
        <w:rPr>
          <w:rFonts w:ascii="Arial" w:cs="Arial" w:eastAsia="Arial" w:hAnsi="Arial"/>
          <w:sz w:val="18"/>
          <w:szCs w:val="18"/>
          <w:color w:val="auto"/>
        </w:rPr>
        <w:t>Cost of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1714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Operating expenses</w:t>
      </w:r>
      <w:r>
        <w:rPr>
          <w:rFonts w:ascii="Arial" w:cs="Arial" w:eastAsia="Arial" w:hAnsi="Arial"/>
          <w:sz w:val="21"/>
          <w:szCs w:val="21"/>
          <w:color w:val="auto"/>
          <w:vertAlign w:val="superscript"/>
        </w:rPr>
        <w:t>(1)</w:t>
      </w:r>
    </w:p>
    <w:p>
      <w:pPr>
        <w:spacing w:after="0" w:line="51" w:lineRule="exact"/>
        <w:rPr>
          <w:sz w:val="20"/>
          <w:szCs w:val="20"/>
          <w:color w:val="auto"/>
        </w:rPr>
      </w:pPr>
    </w:p>
    <w:p>
      <w:pPr>
        <w:ind w:left="40"/>
        <w:spacing w:after="0"/>
        <w:rPr>
          <w:sz w:val="20"/>
          <w:szCs w:val="20"/>
          <w:color w:val="auto"/>
        </w:rPr>
      </w:pPr>
      <w:r>
        <w:rPr>
          <w:rFonts w:ascii="Arial" w:cs="Arial" w:eastAsia="Arial" w:hAnsi="Arial"/>
          <w:sz w:val="18"/>
          <w:szCs w:val="18"/>
          <w:color w:val="auto"/>
        </w:rPr>
        <w:t>Acquired in-process research and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1" w:lineRule="exact"/>
        <w:rPr>
          <w:sz w:val="20"/>
          <w:szCs w:val="20"/>
          <w:color w:val="auto"/>
        </w:rPr>
      </w:pPr>
    </w:p>
    <w:p>
      <w:pPr>
        <w:ind w:left="40"/>
        <w:spacing w:after="0"/>
        <w:rPr>
          <w:sz w:val="20"/>
          <w:szCs w:val="20"/>
          <w:color w:val="auto"/>
        </w:rPr>
      </w:pPr>
      <w:r>
        <w:rPr>
          <w:rFonts w:ascii="Arial" w:cs="Arial" w:eastAsia="Arial" w:hAnsi="Arial"/>
          <w:sz w:val="18"/>
          <w:szCs w:val="18"/>
          <w:color w:val="auto"/>
        </w:rPr>
        <w:t>Asset impairment, restructuring, and other special charges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Other—net, (income)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1714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Income before income taxes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1714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Earnings per share—basic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Earnings per share—diluted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1714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Dividends paid per share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Common stock closing prices: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1714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High</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Low</w:t>
      </w:r>
    </w:p>
    <w:p>
      <w:pPr>
        <w:spacing w:after="0" w:line="168" w:lineRule="exact"/>
        <w:rPr>
          <w:sz w:val="20"/>
          <w:szCs w:val="20"/>
          <w:color w:val="auto"/>
        </w:rPr>
      </w:pPr>
    </w:p>
    <w:p>
      <w:pPr>
        <w:ind w:left="160" w:hanging="152"/>
        <w:spacing w:after="0"/>
        <w:tabs>
          <w:tab w:leader="none" w:pos="160" w:val="left"/>
        </w:tabs>
        <w:numPr>
          <w:ilvl w:val="0"/>
          <w:numId w:val="66"/>
        </w:numPr>
        <w:rPr>
          <w:rFonts w:ascii="Arial" w:cs="Arial" w:eastAsia="Arial" w:hAnsi="Arial"/>
          <w:sz w:val="18"/>
          <w:szCs w:val="18"/>
          <w:color w:val="auto"/>
          <w:vertAlign w:val="superscript"/>
        </w:rPr>
      </w:pPr>
      <w:r>
        <w:rPr>
          <w:rFonts w:ascii="Arial" w:cs="Arial" w:eastAsia="Arial" w:hAnsi="Arial"/>
          <w:sz w:val="14"/>
          <w:szCs w:val="14"/>
          <w:color w:val="auto"/>
        </w:rPr>
        <w:t>Includes research and development and marketing, selling, and administrative expenses.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3"/>
        </w:trPr>
        <w:tc>
          <w:tcPr>
            <w:tcW w:w="960" w:type="dxa"/>
            <w:vAlign w:val="bottom"/>
          </w:tcPr>
          <w:p>
            <w:pPr>
              <w:jc w:val="right"/>
              <w:ind w:right="270"/>
              <w:spacing w:after="0"/>
              <w:rPr>
                <w:sz w:val="20"/>
                <w:szCs w:val="20"/>
                <w:color w:val="auto"/>
              </w:rPr>
            </w:pPr>
            <w:r>
              <w:rPr>
                <w:rFonts w:ascii="Arial" w:cs="Arial" w:eastAsia="Arial" w:hAnsi="Arial"/>
                <w:sz w:val="18"/>
                <w:szCs w:val="18"/>
                <w:color w:val="auto"/>
                <w:w w:val="96"/>
              </w:rPr>
              <w:t>1,253.1</w:t>
            </w:r>
          </w:p>
        </w:tc>
        <w:tc>
          <w:tcPr>
            <w:tcW w:w="1260" w:type="dxa"/>
            <w:vAlign w:val="bottom"/>
          </w:tcPr>
          <w:p>
            <w:pPr>
              <w:jc w:val="right"/>
              <w:ind w:right="270"/>
              <w:spacing w:after="0"/>
              <w:rPr>
                <w:sz w:val="20"/>
                <w:szCs w:val="20"/>
                <w:color w:val="auto"/>
              </w:rPr>
            </w:pPr>
            <w:r>
              <w:rPr>
                <w:rFonts w:ascii="Arial" w:cs="Arial" w:eastAsia="Arial" w:hAnsi="Arial"/>
                <w:sz w:val="18"/>
                <w:szCs w:val="18"/>
                <w:color w:val="auto"/>
              </w:rPr>
              <w:t>1,267.0</w:t>
            </w:r>
          </w:p>
        </w:tc>
        <w:tc>
          <w:tcPr>
            <w:tcW w:w="1260" w:type="dxa"/>
            <w:vAlign w:val="bottom"/>
          </w:tcPr>
          <w:p>
            <w:pPr>
              <w:jc w:val="right"/>
              <w:ind w:right="270"/>
              <w:spacing w:after="0"/>
              <w:rPr>
                <w:sz w:val="20"/>
                <w:szCs w:val="20"/>
                <w:color w:val="auto"/>
              </w:rPr>
            </w:pPr>
            <w:r>
              <w:rPr>
                <w:rFonts w:ascii="Arial" w:cs="Arial" w:eastAsia="Arial" w:hAnsi="Arial"/>
                <w:sz w:val="18"/>
                <w:szCs w:val="18"/>
                <w:color w:val="auto"/>
              </w:rPr>
              <w:t>1,189.7</w:t>
            </w:r>
          </w:p>
        </w:tc>
        <w:tc>
          <w:tcPr>
            <w:tcW w:w="960" w:type="dxa"/>
            <w:vAlign w:val="bottom"/>
          </w:tcPr>
          <w:p>
            <w:pPr>
              <w:jc w:val="right"/>
              <w:spacing w:after="0"/>
              <w:rPr>
                <w:sz w:val="20"/>
                <w:szCs w:val="20"/>
                <w:color w:val="auto"/>
              </w:rPr>
            </w:pPr>
            <w:r>
              <w:rPr>
                <w:rFonts w:ascii="Arial" w:cs="Arial" w:eastAsia="Arial" w:hAnsi="Arial"/>
                <w:sz w:val="18"/>
                <w:szCs w:val="18"/>
                <w:color w:val="auto"/>
              </w:rPr>
              <w:t>1,222.7</w:t>
            </w:r>
          </w:p>
        </w:tc>
      </w:tr>
      <w:tr>
        <w:trPr>
          <w:trHeight w:val="270"/>
        </w:trPr>
        <w:tc>
          <w:tcPr>
            <w:tcW w:w="960" w:type="dxa"/>
            <w:vAlign w:val="bottom"/>
          </w:tcPr>
          <w:p>
            <w:pPr>
              <w:jc w:val="right"/>
              <w:ind w:right="270"/>
              <w:spacing w:after="0"/>
              <w:rPr>
                <w:sz w:val="20"/>
                <w:szCs w:val="20"/>
                <w:color w:val="auto"/>
              </w:rPr>
            </w:pPr>
            <w:r>
              <w:rPr>
                <w:rFonts w:ascii="Arial" w:cs="Arial" w:eastAsia="Arial" w:hAnsi="Arial"/>
                <w:sz w:val="18"/>
                <w:szCs w:val="18"/>
                <w:color w:val="auto"/>
                <w:w w:val="96"/>
              </w:rPr>
              <w:t>2,985.6</w:t>
            </w:r>
          </w:p>
        </w:tc>
        <w:tc>
          <w:tcPr>
            <w:tcW w:w="1260" w:type="dxa"/>
            <w:vAlign w:val="bottom"/>
          </w:tcPr>
          <w:p>
            <w:pPr>
              <w:jc w:val="right"/>
              <w:ind w:right="270"/>
              <w:spacing w:after="0"/>
              <w:rPr>
                <w:sz w:val="20"/>
                <w:szCs w:val="20"/>
                <w:color w:val="auto"/>
              </w:rPr>
            </w:pPr>
            <w:r>
              <w:rPr>
                <w:rFonts w:ascii="Arial" w:cs="Arial" w:eastAsia="Arial" w:hAnsi="Arial"/>
                <w:sz w:val="18"/>
                <w:szCs w:val="18"/>
                <w:color w:val="auto"/>
              </w:rPr>
              <w:t>2,915.3</w:t>
            </w:r>
          </w:p>
        </w:tc>
        <w:tc>
          <w:tcPr>
            <w:tcW w:w="1260" w:type="dxa"/>
            <w:vAlign w:val="bottom"/>
          </w:tcPr>
          <w:p>
            <w:pPr>
              <w:jc w:val="right"/>
              <w:ind w:right="270"/>
              <w:spacing w:after="0"/>
              <w:rPr>
                <w:sz w:val="20"/>
                <w:szCs w:val="20"/>
                <w:color w:val="auto"/>
              </w:rPr>
            </w:pPr>
            <w:r>
              <w:rPr>
                <w:rFonts w:ascii="Arial" w:cs="Arial" w:eastAsia="Arial" w:hAnsi="Arial"/>
                <w:sz w:val="18"/>
                <w:szCs w:val="18"/>
                <w:color w:val="auto"/>
              </w:rPr>
              <w:t>2,859.3</w:t>
            </w:r>
          </w:p>
        </w:tc>
        <w:tc>
          <w:tcPr>
            <w:tcW w:w="960" w:type="dxa"/>
            <w:vAlign w:val="bottom"/>
          </w:tcPr>
          <w:p>
            <w:pPr>
              <w:jc w:val="right"/>
              <w:spacing w:after="0"/>
              <w:rPr>
                <w:sz w:val="20"/>
                <w:szCs w:val="20"/>
                <w:color w:val="auto"/>
              </w:rPr>
            </w:pPr>
            <w:r>
              <w:rPr>
                <w:rFonts w:ascii="Arial" w:cs="Arial" w:eastAsia="Arial" w:hAnsi="Arial"/>
                <w:sz w:val="18"/>
                <w:szCs w:val="18"/>
                <w:color w:val="auto"/>
              </w:rPr>
              <w:t>2,594.2</w:t>
            </w:r>
          </w:p>
        </w:tc>
      </w:tr>
      <w:tr>
        <w:trPr>
          <w:trHeight w:val="270"/>
        </w:trPr>
        <w:tc>
          <w:tcPr>
            <w:tcW w:w="960" w:type="dxa"/>
            <w:vAlign w:val="bottom"/>
          </w:tcPr>
          <w:p>
            <w:pPr>
              <w:jc w:val="right"/>
              <w:ind w:right="270"/>
              <w:spacing w:after="0"/>
              <w:rPr>
                <w:sz w:val="20"/>
                <w:szCs w:val="20"/>
                <w:color w:val="auto"/>
              </w:rPr>
            </w:pPr>
            <w:r>
              <w:rPr>
                <w:rFonts w:ascii="Arial" w:cs="Arial" w:eastAsia="Arial" w:hAnsi="Arial"/>
                <w:sz w:val="18"/>
                <w:szCs w:val="18"/>
                <w:color w:val="auto"/>
              </w:rPr>
              <w:t>105.2</w:t>
            </w:r>
          </w:p>
        </w:tc>
        <w:tc>
          <w:tcPr>
            <w:tcW w:w="1260" w:type="dxa"/>
            <w:vAlign w:val="bottom"/>
          </w:tcPr>
          <w:p>
            <w:pPr>
              <w:jc w:val="right"/>
              <w:ind w:right="270"/>
              <w:spacing w:after="0"/>
              <w:rPr>
                <w:sz w:val="20"/>
                <w:szCs w:val="20"/>
                <w:color w:val="auto"/>
              </w:rPr>
            </w:pPr>
            <w:r>
              <w:rPr>
                <w:rFonts w:ascii="Arial" w:cs="Arial" w:eastAsia="Arial" w:hAnsi="Arial"/>
                <w:sz w:val="18"/>
                <w:szCs w:val="18"/>
                <w:color w:val="auto"/>
              </w:rPr>
              <w:t>95.0</w:t>
            </w:r>
          </w:p>
        </w:tc>
        <w:tc>
          <w:tcPr>
            <w:tcW w:w="126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960" w:type="dxa"/>
            <w:vAlign w:val="bottom"/>
          </w:tcPr>
          <w:p>
            <w:pPr>
              <w:jc w:val="right"/>
              <w:ind w:right="270"/>
              <w:spacing w:after="0"/>
              <w:rPr>
                <w:sz w:val="20"/>
                <w:szCs w:val="20"/>
                <w:color w:val="auto"/>
              </w:rPr>
            </w:pPr>
            <w:r>
              <w:rPr>
                <w:rFonts w:ascii="Arial" w:cs="Arial" w:eastAsia="Arial" w:hAnsi="Arial"/>
                <w:sz w:val="18"/>
                <w:szCs w:val="18"/>
                <w:color w:val="auto"/>
              </w:rPr>
              <w:t>401.0</w:t>
            </w:r>
          </w:p>
        </w:tc>
        <w:tc>
          <w:tcPr>
            <w:tcW w:w="1260" w:type="dxa"/>
            <w:vAlign w:val="bottom"/>
          </w:tcPr>
          <w:p>
            <w:pPr>
              <w:jc w:val="right"/>
              <w:ind w:right="270"/>
              <w:spacing w:after="0"/>
              <w:rPr>
                <w:sz w:val="20"/>
                <w:szCs w:val="20"/>
                <w:color w:val="auto"/>
              </w:rPr>
            </w:pPr>
            <w:r>
              <w:rPr>
                <w:rFonts w:ascii="Arial" w:cs="Arial" w:eastAsia="Arial" w:hAnsi="Arial"/>
                <w:sz w:val="18"/>
                <w:szCs w:val="18"/>
                <w:color w:val="auto"/>
              </w:rPr>
              <w:t>36.3</w:t>
            </w:r>
          </w:p>
        </w:tc>
        <w:tc>
          <w:tcPr>
            <w:tcW w:w="126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31.4</w:t>
            </w:r>
          </w:p>
        </w:tc>
      </w:tr>
      <w:tr>
        <w:trPr>
          <w:trHeight w:val="270"/>
        </w:trPr>
        <w:tc>
          <w:tcPr>
            <w:tcW w:w="960" w:type="dxa"/>
            <w:vAlign w:val="bottom"/>
          </w:tcPr>
          <w:p>
            <w:pPr>
              <w:jc w:val="right"/>
              <w:ind w:right="210"/>
              <w:spacing w:after="0"/>
              <w:rPr>
                <w:sz w:val="20"/>
                <w:szCs w:val="20"/>
                <w:color w:val="auto"/>
              </w:rPr>
            </w:pPr>
            <w:r>
              <w:rPr>
                <w:rFonts w:ascii="Arial" w:cs="Arial" w:eastAsia="Arial" w:hAnsi="Arial"/>
                <w:sz w:val="18"/>
                <w:szCs w:val="18"/>
                <w:color w:val="auto"/>
              </w:rPr>
              <w:t>(137.2)</w:t>
            </w:r>
          </w:p>
        </w:tc>
        <w:tc>
          <w:tcPr>
            <w:tcW w:w="1260" w:type="dxa"/>
            <w:vAlign w:val="bottom"/>
          </w:tcPr>
          <w:p>
            <w:pPr>
              <w:jc w:val="right"/>
              <w:ind w:right="210"/>
              <w:spacing w:after="0"/>
              <w:rPr>
                <w:sz w:val="20"/>
                <w:szCs w:val="20"/>
                <w:color w:val="auto"/>
              </w:rPr>
            </w:pPr>
            <w:r>
              <w:rPr>
                <w:rFonts w:ascii="Arial" w:cs="Arial" w:eastAsia="Arial" w:hAnsi="Arial"/>
                <w:sz w:val="18"/>
                <w:szCs w:val="18"/>
                <w:color w:val="auto"/>
              </w:rPr>
              <w:t>(93.5)</w:t>
            </w:r>
          </w:p>
        </w:tc>
        <w:tc>
          <w:tcPr>
            <w:tcW w:w="1260" w:type="dxa"/>
            <w:vAlign w:val="bottom"/>
          </w:tcPr>
          <w:p>
            <w:pPr>
              <w:jc w:val="right"/>
              <w:ind w:right="210"/>
              <w:spacing w:after="0"/>
              <w:rPr>
                <w:sz w:val="20"/>
                <w:szCs w:val="20"/>
                <w:color w:val="auto"/>
              </w:rPr>
            </w:pPr>
            <w:r>
              <w:rPr>
                <w:rFonts w:ascii="Arial" w:cs="Arial" w:eastAsia="Arial" w:hAnsi="Arial"/>
                <w:sz w:val="18"/>
                <w:szCs w:val="18"/>
                <w:color w:val="auto"/>
              </w:rPr>
              <w:t>(53.8)</w:t>
            </w:r>
          </w:p>
        </w:tc>
        <w:tc>
          <w:tcPr>
            <w:tcW w:w="960" w:type="dxa"/>
            <w:vAlign w:val="bottom"/>
          </w:tcPr>
          <w:p>
            <w:pPr>
              <w:jc w:val="right"/>
              <w:spacing w:after="0"/>
              <w:rPr>
                <w:sz w:val="20"/>
                <w:szCs w:val="20"/>
                <w:color w:val="auto"/>
              </w:rPr>
            </w:pPr>
            <w:r>
              <w:rPr>
                <w:rFonts w:ascii="Arial" w:cs="Arial" w:eastAsia="Arial" w:hAnsi="Arial"/>
                <w:sz w:val="18"/>
                <w:szCs w:val="18"/>
                <w:color w:val="auto"/>
              </w:rPr>
              <w:t>(56.0)</w:t>
            </w:r>
          </w:p>
        </w:tc>
      </w:tr>
      <w:tr>
        <w:trPr>
          <w:trHeight w:val="270"/>
        </w:trPr>
        <w:tc>
          <w:tcPr>
            <w:tcW w:w="960" w:type="dxa"/>
            <w:vAlign w:val="bottom"/>
          </w:tcPr>
          <w:p>
            <w:pPr>
              <w:jc w:val="right"/>
              <w:ind w:right="270"/>
              <w:spacing w:after="0"/>
              <w:rPr>
                <w:sz w:val="20"/>
                <w:szCs w:val="20"/>
                <w:color w:val="auto"/>
              </w:rPr>
            </w:pPr>
            <w:r>
              <w:rPr>
                <w:rFonts w:ascii="Arial" w:cs="Arial" w:eastAsia="Arial" w:hAnsi="Arial"/>
                <w:sz w:val="18"/>
                <w:szCs w:val="18"/>
                <w:color w:val="auto"/>
              </w:rPr>
              <w:t>513.6</w:t>
            </w:r>
          </w:p>
        </w:tc>
        <w:tc>
          <w:tcPr>
            <w:tcW w:w="1260" w:type="dxa"/>
            <w:vAlign w:val="bottom"/>
          </w:tcPr>
          <w:p>
            <w:pPr>
              <w:jc w:val="right"/>
              <w:ind w:right="270"/>
              <w:spacing w:after="0"/>
              <w:rPr>
                <w:sz w:val="20"/>
                <w:szCs w:val="20"/>
                <w:color w:val="auto"/>
              </w:rPr>
            </w:pPr>
            <w:r>
              <w:rPr>
                <w:rFonts w:ascii="Arial" w:cs="Arial" w:eastAsia="Arial" w:hAnsi="Arial"/>
                <w:sz w:val="18"/>
                <w:szCs w:val="18"/>
                <w:color w:val="auto"/>
              </w:rPr>
              <w:t>655.5</w:t>
            </w:r>
          </w:p>
        </w:tc>
        <w:tc>
          <w:tcPr>
            <w:tcW w:w="1260" w:type="dxa"/>
            <w:vAlign w:val="bottom"/>
          </w:tcPr>
          <w:p>
            <w:pPr>
              <w:jc w:val="right"/>
              <w:ind w:right="270"/>
              <w:spacing w:after="0"/>
              <w:rPr>
                <w:sz w:val="20"/>
                <w:szCs w:val="20"/>
                <w:color w:val="auto"/>
              </w:rPr>
            </w:pPr>
            <w:r>
              <w:rPr>
                <w:rFonts w:ascii="Arial" w:cs="Arial" w:eastAsia="Arial" w:hAnsi="Arial"/>
                <w:sz w:val="18"/>
                <w:szCs w:val="18"/>
                <w:color w:val="auto"/>
              </w:rPr>
              <w:t>940.4</w:t>
            </w:r>
          </w:p>
        </w:tc>
        <w:tc>
          <w:tcPr>
            <w:tcW w:w="960" w:type="dxa"/>
            <w:vAlign w:val="bottom"/>
          </w:tcPr>
          <w:p>
            <w:pPr>
              <w:jc w:val="right"/>
              <w:spacing w:after="0"/>
              <w:rPr>
                <w:sz w:val="20"/>
                <w:szCs w:val="20"/>
                <w:color w:val="auto"/>
              </w:rPr>
            </w:pPr>
            <w:r>
              <w:rPr>
                <w:rFonts w:ascii="Arial" w:cs="Arial" w:eastAsia="Arial" w:hAnsi="Arial"/>
                <w:sz w:val="18"/>
                <w:szCs w:val="18"/>
                <w:color w:val="auto"/>
              </w:rPr>
              <w:t>890.8</w:t>
            </w:r>
          </w:p>
        </w:tc>
      </w:tr>
      <w:tr>
        <w:trPr>
          <w:trHeight w:val="270"/>
        </w:trPr>
        <w:tc>
          <w:tcPr>
            <w:tcW w:w="960" w:type="dxa"/>
            <w:vAlign w:val="bottom"/>
          </w:tcPr>
          <w:p>
            <w:pPr>
              <w:jc w:val="right"/>
              <w:ind w:right="270"/>
              <w:spacing w:after="0"/>
              <w:rPr>
                <w:sz w:val="20"/>
                <w:szCs w:val="20"/>
                <w:color w:val="auto"/>
              </w:rPr>
            </w:pPr>
            <w:r>
              <w:rPr>
                <w:rFonts w:ascii="Arial" w:cs="Arial" w:eastAsia="Arial" w:hAnsi="Arial"/>
                <w:sz w:val="18"/>
                <w:szCs w:val="18"/>
                <w:color w:val="auto"/>
              </w:rPr>
              <w:t>428.5</w:t>
            </w:r>
          </w:p>
        </w:tc>
        <w:tc>
          <w:tcPr>
            <w:tcW w:w="1260" w:type="dxa"/>
            <w:vAlign w:val="bottom"/>
          </w:tcPr>
          <w:p>
            <w:pPr>
              <w:jc w:val="right"/>
              <w:ind w:right="270"/>
              <w:spacing w:after="0"/>
              <w:rPr>
                <w:sz w:val="20"/>
                <w:szCs w:val="20"/>
                <w:color w:val="auto"/>
              </w:rPr>
            </w:pPr>
            <w:r>
              <w:rPr>
                <w:rFonts w:ascii="Arial" w:cs="Arial" w:eastAsia="Arial" w:hAnsi="Arial"/>
                <w:sz w:val="18"/>
                <w:szCs w:val="18"/>
                <w:color w:val="auto"/>
              </w:rPr>
              <w:t>500.6</w:t>
            </w:r>
          </w:p>
        </w:tc>
        <w:tc>
          <w:tcPr>
            <w:tcW w:w="1260" w:type="dxa"/>
            <w:vAlign w:val="bottom"/>
          </w:tcPr>
          <w:p>
            <w:pPr>
              <w:jc w:val="right"/>
              <w:ind w:right="270"/>
              <w:spacing w:after="0"/>
              <w:rPr>
                <w:sz w:val="20"/>
                <w:szCs w:val="20"/>
                <w:color w:val="auto"/>
              </w:rPr>
            </w:pPr>
            <w:r>
              <w:rPr>
                <w:rFonts w:ascii="Arial" w:cs="Arial" w:eastAsia="Arial" w:hAnsi="Arial"/>
                <w:sz w:val="18"/>
                <w:szCs w:val="18"/>
                <w:color w:val="auto"/>
              </w:rPr>
              <w:t>733.5</w:t>
            </w:r>
          </w:p>
        </w:tc>
        <w:tc>
          <w:tcPr>
            <w:tcW w:w="960" w:type="dxa"/>
            <w:vAlign w:val="bottom"/>
          </w:tcPr>
          <w:p>
            <w:pPr>
              <w:jc w:val="right"/>
              <w:spacing w:after="0"/>
              <w:rPr>
                <w:sz w:val="20"/>
                <w:szCs w:val="20"/>
                <w:color w:val="auto"/>
              </w:rPr>
            </w:pPr>
            <w:r>
              <w:rPr>
                <w:rFonts w:ascii="Arial" w:cs="Arial" w:eastAsia="Arial" w:hAnsi="Arial"/>
                <w:sz w:val="18"/>
                <w:szCs w:val="18"/>
                <w:color w:val="auto"/>
              </w:rPr>
              <w:t>727.9</w:t>
            </w:r>
          </w:p>
        </w:tc>
      </w:tr>
      <w:tr>
        <w:trPr>
          <w:trHeight w:val="270"/>
        </w:trPr>
        <w:tc>
          <w:tcPr>
            <w:tcW w:w="960" w:type="dxa"/>
            <w:vAlign w:val="bottom"/>
          </w:tcPr>
          <w:p>
            <w:pPr>
              <w:jc w:val="right"/>
              <w:ind w:right="270"/>
              <w:spacing w:after="0"/>
              <w:rPr>
                <w:sz w:val="20"/>
                <w:szCs w:val="20"/>
                <w:color w:val="auto"/>
              </w:rPr>
            </w:pPr>
            <w:r>
              <w:rPr>
                <w:rFonts w:ascii="Arial" w:cs="Arial" w:eastAsia="Arial" w:hAnsi="Arial"/>
                <w:sz w:val="18"/>
                <w:szCs w:val="18"/>
                <w:color w:val="auto"/>
              </w:rPr>
              <w:t>0.40</w:t>
            </w:r>
          </w:p>
        </w:tc>
        <w:tc>
          <w:tcPr>
            <w:tcW w:w="1260" w:type="dxa"/>
            <w:vAlign w:val="bottom"/>
          </w:tcPr>
          <w:p>
            <w:pPr>
              <w:jc w:val="right"/>
              <w:ind w:right="270"/>
              <w:spacing w:after="0"/>
              <w:rPr>
                <w:sz w:val="20"/>
                <w:szCs w:val="20"/>
                <w:color w:val="auto"/>
              </w:rPr>
            </w:pPr>
            <w:r>
              <w:rPr>
                <w:rFonts w:ascii="Arial" w:cs="Arial" w:eastAsia="Arial" w:hAnsi="Arial"/>
                <w:sz w:val="18"/>
                <w:szCs w:val="18"/>
                <w:color w:val="auto"/>
              </w:rPr>
              <w:t>0.47</w:t>
            </w:r>
          </w:p>
        </w:tc>
        <w:tc>
          <w:tcPr>
            <w:tcW w:w="1260" w:type="dxa"/>
            <w:vAlign w:val="bottom"/>
          </w:tcPr>
          <w:p>
            <w:pPr>
              <w:jc w:val="right"/>
              <w:ind w:right="270"/>
              <w:spacing w:after="0"/>
              <w:rPr>
                <w:sz w:val="20"/>
                <w:szCs w:val="20"/>
                <w:color w:val="auto"/>
              </w:rPr>
            </w:pPr>
            <w:r>
              <w:rPr>
                <w:rFonts w:ascii="Arial" w:cs="Arial" w:eastAsia="Arial" w:hAnsi="Arial"/>
                <w:sz w:val="18"/>
                <w:szCs w:val="18"/>
                <w:color w:val="auto"/>
              </w:rPr>
              <w:t>0.68</w:t>
            </w:r>
          </w:p>
        </w:tc>
        <w:tc>
          <w:tcPr>
            <w:tcW w:w="960" w:type="dxa"/>
            <w:vAlign w:val="bottom"/>
          </w:tcPr>
          <w:p>
            <w:pPr>
              <w:jc w:val="right"/>
              <w:spacing w:after="0"/>
              <w:rPr>
                <w:sz w:val="20"/>
                <w:szCs w:val="20"/>
                <w:color w:val="auto"/>
              </w:rPr>
            </w:pPr>
            <w:r>
              <w:rPr>
                <w:rFonts w:ascii="Arial" w:cs="Arial" w:eastAsia="Arial" w:hAnsi="Arial"/>
                <w:sz w:val="18"/>
                <w:szCs w:val="18"/>
                <w:color w:val="auto"/>
              </w:rPr>
              <w:t>0.68</w:t>
            </w:r>
          </w:p>
        </w:tc>
      </w:tr>
      <w:tr>
        <w:trPr>
          <w:trHeight w:val="270"/>
        </w:trPr>
        <w:tc>
          <w:tcPr>
            <w:tcW w:w="960" w:type="dxa"/>
            <w:vAlign w:val="bottom"/>
          </w:tcPr>
          <w:p>
            <w:pPr>
              <w:jc w:val="right"/>
              <w:ind w:right="270"/>
              <w:spacing w:after="0"/>
              <w:rPr>
                <w:sz w:val="20"/>
                <w:szCs w:val="20"/>
                <w:color w:val="auto"/>
              </w:rPr>
            </w:pPr>
            <w:r>
              <w:rPr>
                <w:rFonts w:ascii="Arial" w:cs="Arial" w:eastAsia="Arial" w:hAnsi="Arial"/>
                <w:sz w:val="18"/>
                <w:szCs w:val="18"/>
                <w:color w:val="auto"/>
              </w:rPr>
              <w:t>0.40</w:t>
            </w:r>
          </w:p>
        </w:tc>
        <w:tc>
          <w:tcPr>
            <w:tcW w:w="1260" w:type="dxa"/>
            <w:vAlign w:val="bottom"/>
          </w:tcPr>
          <w:p>
            <w:pPr>
              <w:jc w:val="right"/>
              <w:ind w:right="270"/>
              <w:spacing w:after="0"/>
              <w:rPr>
                <w:sz w:val="20"/>
                <w:szCs w:val="20"/>
                <w:color w:val="auto"/>
              </w:rPr>
            </w:pPr>
            <w:r>
              <w:rPr>
                <w:rFonts w:ascii="Arial" w:cs="Arial" w:eastAsia="Arial" w:hAnsi="Arial"/>
                <w:sz w:val="18"/>
                <w:szCs w:val="18"/>
                <w:color w:val="auto"/>
              </w:rPr>
              <w:t>0.47</w:t>
            </w:r>
          </w:p>
        </w:tc>
        <w:tc>
          <w:tcPr>
            <w:tcW w:w="1260" w:type="dxa"/>
            <w:vAlign w:val="bottom"/>
          </w:tcPr>
          <w:p>
            <w:pPr>
              <w:jc w:val="right"/>
              <w:ind w:right="270"/>
              <w:spacing w:after="0"/>
              <w:rPr>
                <w:sz w:val="20"/>
                <w:szCs w:val="20"/>
                <w:color w:val="auto"/>
              </w:rPr>
            </w:pPr>
            <w:r>
              <w:rPr>
                <w:rFonts w:ascii="Arial" w:cs="Arial" w:eastAsia="Arial" w:hAnsi="Arial"/>
                <w:sz w:val="18"/>
                <w:szCs w:val="18"/>
                <w:color w:val="auto"/>
              </w:rPr>
              <w:t>0.68</w:t>
            </w:r>
          </w:p>
        </w:tc>
        <w:tc>
          <w:tcPr>
            <w:tcW w:w="960" w:type="dxa"/>
            <w:vAlign w:val="bottom"/>
          </w:tcPr>
          <w:p>
            <w:pPr>
              <w:jc w:val="right"/>
              <w:spacing w:after="0"/>
              <w:rPr>
                <w:sz w:val="20"/>
                <w:szCs w:val="20"/>
                <w:color w:val="auto"/>
              </w:rPr>
            </w:pPr>
            <w:r>
              <w:rPr>
                <w:rFonts w:ascii="Arial" w:cs="Arial" w:eastAsia="Arial" w:hAnsi="Arial"/>
                <w:sz w:val="18"/>
                <w:szCs w:val="18"/>
                <w:color w:val="auto"/>
              </w:rPr>
              <w:t>0.68</w:t>
            </w:r>
          </w:p>
        </w:tc>
      </w:tr>
      <w:tr>
        <w:trPr>
          <w:trHeight w:val="270"/>
        </w:trPr>
        <w:tc>
          <w:tcPr>
            <w:tcW w:w="960" w:type="dxa"/>
            <w:vAlign w:val="bottom"/>
          </w:tcPr>
          <w:p>
            <w:pPr>
              <w:jc w:val="right"/>
              <w:ind w:right="270"/>
              <w:spacing w:after="0"/>
              <w:rPr>
                <w:sz w:val="20"/>
                <w:szCs w:val="20"/>
                <w:color w:val="auto"/>
              </w:rPr>
            </w:pPr>
            <w:r>
              <w:rPr>
                <w:rFonts w:ascii="Arial" w:cs="Arial" w:eastAsia="Arial" w:hAnsi="Arial"/>
                <w:sz w:val="18"/>
                <w:szCs w:val="18"/>
                <w:color w:val="auto"/>
              </w:rPr>
              <w:t>0.49</w:t>
            </w:r>
          </w:p>
        </w:tc>
        <w:tc>
          <w:tcPr>
            <w:tcW w:w="1260" w:type="dxa"/>
            <w:vAlign w:val="bottom"/>
          </w:tcPr>
          <w:p>
            <w:pPr>
              <w:jc w:val="right"/>
              <w:ind w:right="270"/>
              <w:spacing w:after="0"/>
              <w:rPr>
                <w:sz w:val="20"/>
                <w:szCs w:val="20"/>
                <w:color w:val="auto"/>
              </w:rPr>
            </w:pPr>
            <w:r>
              <w:rPr>
                <w:rFonts w:ascii="Arial" w:cs="Arial" w:eastAsia="Arial" w:hAnsi="Arial"/>
                <w:sz w:val="18"/>
                <w:szCs w:val="18"/>
                <w:color w:val="auto"/>
              </w:rPr>
              <w:t>0.49</w:t>
            </w:r>
          </w:p>
        </w:tc>
        <w:tc>
          <w:tcPr>
            <w:tcW w:w="1260" w:type="dxa"/>
            <w:vAlign w:val="bottom"/>
          </w:tcPr>
          <w:p>
            <w:pPr>
              <w:jc w:val="right"/>
              <w:ind w:right="270"/>
              <w:spacing w:after="0"/>
              <w:rPr>
                <w:sz w:val="20"/>
                <w:szCs w:val="20"/>
                <w:color w:val="auto"/>
              </w:rPr>
            </w:pPr>
            <w:r>
              <w:rPr>
                <w:rFonts w:ascii="Arial" w:cs="Arial" w:eastAsia="Arial" w:hAnsi="Arial"/>
                <w:sz w:val="18"/>
                <w:szCs w:val="18"/>
                <w:color w:val="auto"/>
              </w:rPr>
              <w:t>0.49</w:t>
            </w:r>
          </w:p>
        </w:tc>
        <w:tc>
          <w:tcPr>
            <w:tcW w:w="960" w:type="dxa"/>
            <w:vAlign w:val="bottom"/>
          </w:tcPr>
          <w:p>
            <w:pPr>
              <w:jc w:val="right"/>
              <w:spacing w:after="0"/>
              <w:rPr>
                <w:sz w:val="20"/>
                <w:szCs w:val="20"/>
                <w:color w:val="auto"/>
              </w:rPr>
            </w:pPr>
            <w:r>
              <w:rPr>
                <w:rFonts w:ascii="Arial" w:cs="Arial" w:eastAsia="Arial" w:hAnsi="Arial"/>
                <w:sz w:val="18"/>
                <w:szCs w:val="18"/>
                <w:color w:val="auto"/>
              </w:rPr>
              <w:t>0.49</w:t>
            </w:r>
          </w:p>
        </w:tc>
      </w:tr>
      <w:tr>
        <w:trPr>
          <w:trHeight w:val="540"/>
        </w:trPr>
        <w:tc>
          <w:tcPr>
            <w:tcW w:w="960" w:type="dxa"/>
            <w:vAlign w:val="bottom"/>
          </w:tcPr>
          <w:p>
            <w:pPr>
              <w:jc w:val="right"/>
              <w:ind w:right="270"/>
              <w:spacing w:after="0"/>
              <w:rPr>
                <w:sz w:val="20"/>
                <w:szCs w:val="20"/>
                <w:color w:val="auto"/>
              </w:rPr>
            </w:pPr>
            <w:r>
              <w:rPr>
                <w:rFonts w:ascii="Arial" w:cs="Arial" w:eastAsia="Arial" w:hAnsi="Arial"/>
                <w:sz w:val="18"/>
                <w:szCs w:val="18"/>
                <w:color w:val="auto"/>
              </w:rPr>
              <w:t>72.83</w:t>
            </w:r>
          </w:p>
        </w:tc>
        <w:tc>
          <w:tcPr>
            <w:tcW w:w="1260" w:type="dxa"/>
            <w:vAlign w:val="bottom"/>
          </w:tcPr>
          <w:p>
            <w:pPr>
              <w:jc w:val="right"/>
              <w:ind w:right="270"/>
              <w:spacing w:after="0"/>
              <w:rPr>
                <w:sz w:val="20"/>
                <w:szCs w:val="20"/>
                <w:color w:val="auto"/>
              </w:rPr>
            </w:pPr>
            <w:r>
              <w:rPr>
                <w:rFonts w:ascii="Arial" w:cs="Arial" w:eastAsia="Arial" w:hAnsi="Arial"/>
                <w:sz w:val="18"/>
                <w:szCs w:val="18"/>
                <w:color w:val="auto"/>
              </w:rPr>
              <w:t>66.59</w:t>
            </w:r>
          </w:p>
        </w:tc>
        <w:tc>
          <w:tcPr>
            <w:tcW w:w="1260" w:type="dxa"/>
            <w:vAlign w:val="bottom"/>
          </w:tcPr>
          <w:p>
            <w:pPr>
              <w:jc w:val="right"/>
              <w:ind w:right="270"/>
              <w:spacing w:after="0"/>
              <w:rPr>
                <w:sz w:val="20"/>
                <w:szCs w:val="20"/>
                <w:color w:val="auto"/>
              </w:rPr>
            </w:pPr>
            <w:r>
              <w:rPr>
                <w:rFonts w:ascii="Arial" w:cs="Arial" w:eastAsia="Arial" w:hAnsi="Arial"/>
                <w:sz w:val="18"/>
                <w:szCs w:val="18"/>
                <w:color w:val="auto"/>
              </w:rPr>
              <w:t>63.10</w:t>
            </w:r>
          </w:p>
        </w:tc>
        <w:tc>
          <w:tcPr>
            <w:tcW w:w="960" w:type="dxa"/>
            <w:vAlign w:val="bottom"/>
          </w:tcPr>
          <w:p>
            <w:pPr>
              <w:jc w:val="right"/>
              <w:spacing w:after="0"/>
              <w:rPr>
                <w:sz w:val="20"/>
                <w:szCs w:val="20"/>
                <w:color w:val="auto"/>
              </w:rPr>
            </w:pPr>
            <w:r>
              <w:rPr>
                <w:rFonts w:ascii="Arial" w:cs="Arial" w:eastAsia="Arial" w:hAnsi="Arial"/>
                <w:sz w:val="18"/>
                <w:szCs w:val="18"/>
                <w:color w:val="auto"/>
              </w:rPr>
              <w:t>59.85</w:t>
            </w:r>
          </w:p>
        </w:tc>
      </w:tr>
      <w:tr>
        <w:trPr>
          <w:trHeight w:val="270"/>
        </w:trPr>
        <w:tc>
          <w:tcPr>
            <w:tcW w:w="960" w:type="dxa"/>
            <w:vAlign w:val="bottom"/>
          </w:tcPr>
          <w:p>
            <w:pPr>
              <w:jc w:val="right"/>
              <w:ind w:right="270"/>
              <w:spacing w:after="0"/>
              <w:rPr>
                <w:sz w:val="20"/>
                <w:szCs w:val="20"/>
                <w:color w:val="auto"/>
              </w:rPr>
            </w:pPr>
            <w:r>
              <w:rPr>
                <w:rFonts w:ascii="Arial" w:cs="Arial" w:eastAsia="Arial" w:hAnsi="Arial"/>
                <w:sz w:val="18"/>
                <w:szCs w:val="18"/>
                <w:color w:val="auto"/>
              </w:rPr>
              <w:t>61.90</w:t>
            </w:r>
          </w:p>
        </w:tc>
        <w:tc>
          <w:tcPr>
            <w:tcW w:w="1260" w:type="dxa"/>
            <w:vAlign w:val="bottom"/>
          </w:tcPr>
          <w:p>
            <w:pPr>
              <w:jc w:val="right"/>
              <w:ind w:right="270"/>
              <w:spacing w:after="0"/>
              <w:rPr>
                <w:sz w:val="20"/>
                <w:szCs w:val="20"/>
                <w:color w:val="auto"/>
              </w:rPr>
            </w:pPr>
            <w:r>
              <w:rPr>
                <w:rFonts w:ascii="Arial" w:cs="Arial" w:eastAsia="Arial" w:hAnsi="Arial"/>
                <w:sz w:val="18"/>
                <w:szCs w:val="18"/>
                <w:color w:val="auto"/>
              </w:rPr>
              <w:t>60.35</w:t>
            </w:r>
          </w:p>
        </w:tc>
        <w:tc>
          <w:tcPr>
            <w:tcW w:w="1260" w:type="dxa"/>
            <w:vAlign w:val="bottom"/>
          </w:tcPr>
          <w:p>
            <w:pPr>
              <w:jc w:val="right"/>
              <w:ind w:right="270"/>
              <w:spacing w:after="0"/>
              <w:rPr>
                <w:sz w:val="20"/>
                <w:szCs w:val="20"/>
                <w:color w:val="auto"/>
              </w:rPr>
            </w:pPr>
            <w:r>
              <w:rPr>
                <w:rFonts w:ascii="Arial" w:cs="Arial" w:eastAsia="Arial" w:hAnsi="Arial"/>
                <w:sz w:val="18"/>
                <w:szCs w:val="18"/>
                <w:color w:val="auto"/>
              </w:rPr>
              <w:t>58.21</w:t>
            </w:r>
          </w:p>
        </w:tc>
        <w:tc>
          <w:tcPr>
            <w:tcW w:w="960" w:type="dxa"/>
            <w:vAlign w:val="bottom"/>
          </w:tcPr>
          <w:p>
            <w:pPr>
              <w:jc w:val="right"/>
              <w:spacing w:after="0"/>
              <w:rPr>
                <w:sz w:val="20"/>
                <w:szCs w:val="20"/>
                <w:color w:val="auto"/>
              </w:rPr>
            </w:pPr>
            <w:r>
              <w:rPr>
                <w:rFonts w:ascii="Arial" w:cs="Arial" w:eastAsia="Arial" w:hAnsi="Arial"/>
                <w:sz w:val="18"/>
                <w:szCs w:val="18"/>
                <w:color w:val="auto"/>
              </w:rPr>
              <w:t>50.73</w:t>
            </w:r>
          </w:p>
        </w:tc>
      </w:tr>
    </w:tbl>
    <w:p>
      <w:pPr>
        <w:spacing w:after="0" w:line="472" w:lineRule="exact"/>
        <w:rPr>
          <w:sz w:val="20"/>
          <w:szCs w:val="20"/>
          <w:color w:val="auto"/>
        </w:rPr>
      </w:pPr>
    </w:p>
    <w:p>
      <w:pPr>
        <w:sectPr>
          <w:pgSz w:w="11900" w:h="16838" w:orient="portrait"/>
          <w:cols w:equalWidth="0" w:num="2">
            <w:col w:w="6220" w:space="720"/>
            <w:col w:w="4480"/>
          </w:cols>
          <w:pgMar w:left="240" w:top="736" w:right="239" w:bottom="1440" w:gutter="0" w:footer="0" w:header="0"/>
          <w:type w:val="continuous"/>
        </w:sectPr>
      </w:pPr>
    </w:p>
    <w:p>
      <w:pPr>
        <w:spacing w:after="0"/>
        <w:rPr>
          <w:sz w:val="20"/>
          <w:szCs w:val="20"/>
          <w:color w:val="auto"/>
        </w:rPr>
      </w:pPr>
      <w:r>
        <w:rPr>
          <w:rFonts w:ascii="Arial" w:cs="Arial" w:eastAsia="Arial" w:hAnsi="Arial"/>
          <w:sz w:val="17"/>
          <w:szCs w:val="17"/>
          <w:color w:val="auto"/>
        </w:rPr>
        <w:t>Our common stock is listed on the New York Stock Exchange (NYSE), NYSE Euronext, and SIX Swiss Exchange.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104</w:t>
      </w:r>
    </w:p>
    <w:p>
      <w:pPr>
        <w:sectPr>
          <w:pgSz w:w="11900" w:h="16838" w:orient="portrait"/>
          <w:cols w:equalWidth="0" w:num="1">
            <w:col w:w="11420"/>
          </w:cols>
          <w:pgMar w:left="240" w:top="736" w:right="239" w:bottom="1440" w:gutter="0" w:footer="0" w:header="0"/>
          <w:type w:val="continuous"/>
        </w:sectPr>
      </w:pPr>
    </w:p>
    <w:bookmarkStart w:id="104" w:name="page105"/>
    <w:bookmarkEnd w:id="104"/>
    <w:p>
      <w:pPr>
        <w:spacing w:after="0"/>
        <w:rPr>
          <w:sz w:val="20"/>
          <w:szCs w:val="20"/>
          <w:color w:val="auto"/>
        </w:rPr>
      </w:pPr>
      <w:r>
        <w:rPr>
          <w:rFonts w:ascii="Arial" w:cs="Arial" w:eastAsia="Arial" w:hAnsi="Arial"/>
          <w:sz w:val="32"/>
          <w:szCs w:val="32"/>
          <w:i w:val="1"/>
          <w:iCs w:val="1"/>
          <w:color w:val="CC0000"/>
        </w:rPr>
        <w:t>Management’s Reports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Management’s Report for Financial Statements—Eli Lilly and Company and Subsidiaries</w:t>
      </w:r>
    </w:p>
    <w:p>
      <w:pPr>
        <w:spacing w:after="0" w:line="119"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Management of Eli Lilly and Company and subsidiaries is responsible for the accuracy, integrity, and fair presentation of the financial statements. The statements have been prepared in accordance with generally accepted accounting principles in the United States and include amounts based on judgments and estimates by management. In management’s opinion, the consolidated financial statements present fairly our financial position, results of operations, and cash flows.</w:t>
      </w:r>
    </w:p>
    <w:p>
      <w:pPr>
        <w:spacing w:after="0" w:line="62"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color w:val="auto"/>
        </w:rPr>
        <w:t>In addition to the system of internal accounting controls, we maintain a code of conduct (known as "</w:t>
      </w:r>
      <w:r>
        <w:rPr>
          <w:rFonts w:ascii="Arial" w:cs="Arial" w:eastAsia="Arial" w:hAnsi="Arial"/>
          <w:sz w:val="18"/>
          <w:szCs w:val="18"/>
          <w:i w:val="1"/>
          <w:iCs w:val="1"/>
          <w:color w:val="auto"/>
        </w:rPr>
        <w:t>The Red Book"</w:t>
      </w:r>
      <w:r>
        <w:rPr>
          <w:rFonts w:ascii="Arial" w:cs="Arial" w:eastAsia="Arial" w:hAnsi="Arial"/>
          <w:sz w:val="18"/>
          <w:szCs w:val="18"/>
          <w:color w:val="auto"/>
        </w:rPr>
        <w:t xml:space="preserve">) that applies to all employees worldwide, requiring proper overall business conduct, avoidance of conflicts of interest, compliance with laws, and confidentiality of proprietary information. All employees must take training annually on </w:t>
      </w:r>
      <w:r>
        <w:rPr>
          <w:rFonts w:ascii="Arial" w:cs="Arial" w:eastAsia="Arial" w:hAnsi="Arial"/>
          <w:sz w:val="18"/>
          <w:szCs w:val="18"/>
          <w:i w:val="1"/>
          <w:iCs w:val="1"/>
          <w:color w:val="auto"/>
        </w:rPr>
        <w:t>The Red Book</w:t>
      </w:r>
      <w:r>
        <w:rPr>
          <w:rFonts w:ascii="Arial" w:cs="Arial" w:eastAsia="Arial" w:hAnsi="Arial"/>
          <w:sz w:val="18"/>
          <w:szCs w:val="18"/>
          <w:color w:val="auto"/>
        </w:rPr>
        <w:t xml:space="preserve"> and are required to report suspected violations. A hotline number is published in </w:t>
      </w:r>
      <w:r>
        <w:rPr>
          <w:rFonts w:ascii="Arial" w:cs="Arial" w:eastAsia="Arial" w:hAnsi="Arial"/>
          <w:sz w:val="18"/>
          <w:szCs w:val="18"/>
          <w:i w:val="1"/>
          <w:iCs w:val="1"/>
          <w:color w:val="auto"/>
        </w:rPr>
        <w:t>The Red Book</w:t>
      </w:r>
      <w:r>
        <w:rPr>
          <w:rFonts w:ascii="Arial" w:cs="Arial" w:eastAsia="Arial" w:hAnsi="Arial"/>
          <w:sz w:val="18"/>
          <w:szCs w:val="18"/>
          <w:color w:val="auto"/>
        </w:rPr>
        <w:t xml:space="preserve"> to enable employees to report suspected violations anonymously. Employees who report suspected violations are protected from discrimination or retaliation by the company. In addition to </w:t>
      </w:r>
      <w:r>
        <w:rPr>
          <w:rFonts w:ascii="Arial" w:cs="Arial" w:eastAsia="Arial" w:hAnsi="Arial"/>
          <w:sz w:val="18"/>
          <w:szCs w:val="18"/>
          <w:i w:val="1"/>
          <w:iCs w:val="1"/>
          <w:color w:val="auto"/>
        </w:rPr>
        <w:t>The Red Book</w:t>
      </w:r>
      <w:r>
        <w:rPr>
          <w:rFonts w:ascii="Arial" w:cs="Arial" w:eastAsia="Arial" w:hAnsi="Arial"/>
          <w:sz w:val="18"/>
          <w:szCs w:val="18"/>
          <w:color w:val="auto"/>
        </w:rPr>
        <w:t>, the CEO and all financial management must sign a financial code of ethics, which further reinforces their fiduciary responsibilities.</w:t>
      </w:r>
    </w:p>
    <w:p>
      <w:pPr>
        <w:spacing w:after="0" w:line="69" w:lineRule="exact"/>
        <w:rPr>
          <w:sz w:val="20"/>
          <w:szCs w:val="20"/>
          <w:color w:val="auto"/>
        </w:rPr>
      </w:pPr>
    </w:p>
    <w:p>
      <w:pPr>
        <w:ind w:right="580"/>
        <w:spacing w:after="0" w:line="260" w:lineRule="auto"/>
        <w:rPr>
          <w:sz w:val="20"/>
          <w:szCs w:val="20"/>
          <w:color w:val="auto"/>
        </w:rPr>
      </w:pPr>
      <w:r>
        <w:rPr>
          <w:rFonts w:ascii="Arial" w:cs="Arial" w:eastAsia="Arial" w:hAnsi="Arial"/>
          <w:sz w:val="18"/>
          <w:szCs w:val="18"/>
          <w:color w:val="auto"/>
        </w:rPr>
        <w:t>The consolidated financial statements have been audited by Ernst &amp; Young LLP, an independent registered public accounting firm. Their responsibility is to examine our consolidated financial statements in accordance with generally accepted auditing standards of the Public Company Accounting Oversight Board (United States). Ernst &amp; Young’s opinion with respect to the fairness of the presentation of the statements is included in Item 8 of our annual report on Form 10-K. Ernst &amp; Young reports directly to the audit committee of the board of directors.</w:t>
      </w:r>
    </w:p>
    <w:p>
      <w:pPr>
        <w:spacing w:after="0" w:line="67"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Our audit committee includes four nonemployee members of the board of directors, all of whom are independent from our company. The committee charter, which is available on our website, outlines the members’ roles and responsibilities and is consistent with enacted corporate reform laws and regulations. It is the audit committee’s responsibility to appoint an independent registered public accounting firm subject to shareholder ratification, approve both audit and non-audit services performed by the independent registered public accounting firm, and review the reports submitted by the firm. The audit committee meets several times during the year with management, the internal auditors, and the independent public accounting firm to discuss audit activities, internal controls, and financial reporting matters, including reviews of our externally published financial results. The internal auditors and the independent registered public accounting firm have full and free access to the committee.</w:t>
      </w:r>
    </w:p>
    <w:p>
      <w:pPr>
        <w:spacing w:after="0" w:line="70" w:lineRule="exact"/>
        <w:rPr>
          <w:sz w:val="20"/>
          <w:szCs w:val="20"/>
          <w:color w:val="auto"/>
        </w:rPr>
      </w:pPr>
    </w:p>
    <w:p>
      <w:pPr>
        <w:ind w:right="120"/>
        <w:spacing w:after="0" w:line="260" w:lineRule="auto"/>
        <w:rPr>
          <w:sz w:val="20"/>
          <w:szCs w:val="20"/>
          <w:color w:val="auto"/>
        </w:rPr>
      </w:pPr>
      <w:r>
        <w:rPr>
          <w:rFonts w:ascii="Arial" w:cs="Arial" w:eastAsia="Arial" w:hAnsi="Arial"/>
          <w:sz w:val="18"/>
          <w:szCs w:val="18"/>
          <w:color w:val="auto"/>
        </w:rPr>
        <w:t>We are dedicated to ensuring that we maintain the high standards of financial accounting and reporting that we have established. We are committed to providing financial information that is transparent, timely, complete, relevant, and accurate. Our culture demands integrity and an unyielding commitment to strong internal practices and policies. Finally, we have the highest confidence in our financial reporting, our underlying system of internal controls, and our people, who are objective in their responsibilities and operate under a code of conduct and the highest level of ethical standards.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Management’s Report on Internal Control Over Financial Reporting—Eli Lilly and Company and Subsidiaries</w:t>
      </w:r>
    </w:p>
    <w:p>
      <w:pPr>
        <w:spacing w:after="0" w:line="11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Management of Eli Lilly and Company and subsidiaries is responsible for establishing and maintaining adequate internal control over financial reporting as defined in Rules 13a-15(f) and 15d-15(f) under the Securities Exchange Act of 1934. We have global financial policies that govern critical areas, including internal controls, financial accounting and reporting, fiduciary accountability, and safeguarding of corporate assets. Our internal accounting control systems are designed to provide reasonable assurance that assets are safeguarded, that transactions are executed in accordance with management’s authorization and are properly recorded, and that accounting records are adequate for preparation of financial statements and other financial information. A staff of internal auditors regularly monitors, on a worldwide basis, the adequacy and effectiveness of internal accounting controls. The general auditor reports directly to the audit committee of the board of directors.</w:t>
      </w:r>
    </w:p>
    <w:p>
      <w:pPr>
        <w:spacing w:after="0" w:line="20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105</w:t>
      </w:r>
    </w:p>
    <w:p>
      <w:pPr>
        <w:sectPr>
          <w:pgSz w:w="11900" w:h="16838" w:orient="portrait"/>
          <w:cols w:equalWidth="0" w:num="1">
            <w:col w:w="11420"/>
          </w:cols>
          <w:pgMar w:left="240" w:top="564" w:right="239" w:bottom="1440" w:gutter="0" w:footer="0" w:header="0"/>
        </w:sectPr>
      </w:pPr>
    </w:p>
    <w:bookmarkStart w:id="105" w:name="page106"/>
    <w:bookmarkEnd w:id="105"/>
    <w:p>
      <w:pPr>
        <w:ind w:right="60"/>
        <w:spacing w:after="0" w:line="264" w:lineRule="auto"/>
        <w:rPr>
          <w:sz w:val="20"/>
          <w:szCs w:val="20"/>
          <w:color w:val="auto"/>
        </w:rPr>
      </w:pPr>
      <w:r>
        <w:rPr>
          <w:rFonts w:ascii="Arial" w:cs="Arial" w:eastAsia="Arial" w:hAnsi="Arial"/>
          <w:sz w:val="18"/>
          <w:szCs w:val="18"/>
          <w:color w:val="auto"/>
        </w:rPr>
        <w:t xml:space="preserve">We conducted an evaluation of the effectiveness of our internal control over financial reporting based on the framework in "2013 </w:t>
      </w:r>
      <w:r>
        <w:rPr>
          <w:rFonts w:ascii="Arial" w:cs="Arial" w:eastAsia="Arial" w:hAnsi="Arial"/>
          <w:sz w:val="18"/>
          <w:szCs w:val="18"/>
          <w:i w:val="1"/>
          <w:iCs w:val="1"/>
          <w:color w:val="auto"/>
        </w:rPr>
        <w:t>Internal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Control—Integrated Framework" </w:t>
      </w:r>
      <w:r>
        <w:rPr>
          <w:rFonts w:ascii="Arial" w:cs="Arial" w:eastAsia="Arial" w:hAnsi="Arial"/>
          <w:sz w:val="18"/>
          <w:szCs w:val="18"/>
          <w:color w:val="auto"/>
        </w:rPr>
        <w:t>issued by the Committee of Sponsoring Organizations of the Treadway Commission. Our evaluation excluded</w:t>
      </w:r>
      <w:r>
        <w:rPr>
          <w:rFonts w:ascii="Arial" w:cs="Arial" w:eastAsia="Arial" w:hAnsi="Arial"/>
          <w:sz w:val="18"/>
          <w:szCs w:val="18"/>
          <w:i w:val="1"/>
          <w:iCs w:val="1"/>
          <w:color w:val="auto"/>
        </w:rPr>
        <w:t xml:space="preserve"> </w:t>
      </w:r>
      <w:r>
        <w:rPr>
          <w:rFonts w:ascii="Arial" w:cs="Arial" w:eastAsia="Arial" w:hAnsi="Arial"/>
          <w:sz w:val="18"/>
          <w:szCs w:val="18"/>
          <w:color w:val="auto"/>
        </w:rPr>
        <w:t>the current year acquisition of Novartis Animal Health. The operations acquired from Novartis AG represented approximately 3% of our consolidated total assets and 5% of our consolidated net sales as of and for the year ended December 31, 2015.</w:t>
      </w:r>
    </w:p>
    <w:p>
      <w:pPr>
        <w:spacing w:after="0" w:line="6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Based on our evaluation under this framework, we concluded that our internal control over financial reporting was effective as of December 31, 2015. However,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62" w:lineRule="exact"/>
        <w:rPr>
          <w:sz w:val="20"/>
          <w:szCs w:val="20"/>
          <w:color w:val="auto"/>
        </w:rPr>
      </w:pPr>
    </w:p>
    <w:p>
      <w:pPr>
        <w:ind w:right="540"/>
        <w:spacing w:after="0" w:line="292" w:lineRule="auto"/>
        <w:rPr>
          <w:sz w:val="20"/>
          <w:szCs w:val="20"/>
          <w:color w:val="auto"/>
        </w:rPr>
      </w:pPr>
      <w:r>
        <w:rPr>
          <w:rFonts w:ascii="Arial" w:cs="Arial" w:eastAsia="Arial" w:hAnsi="Arial"/>
          <w:sz w:val="18"/>
          <w:szCs w:val="18"/>
          <w:color w:val="auto"/>
        </w:rPr>
        <w:t>The internal control over financial reporting has been assessed by Ernst &amp; Young LLP as of December 31, 2015. Their responsibility is to evaluate whether internal control over financial reporting was designed and operating effectively.</w:t>
      </w:r>
    </w:p>
    <w:p>
      <w:pPr>
        <w:sectPr>
          <w:pgSz w:w="11900" w:h="16838" w:orient="portrait"/>
          <w:cols w:equalWidth="0" w:num="1">
            <w:col w:w="11420"/>
          </w:cols>
          <w:pgMar w:left="240" w:top="684" w:right="239" w:bottom="1440" w:gutter="0" w:footer="0" w:header="0"/>
        </w:sectPr>
      </w:pPr>
    </w:p>
    <w:p>
      <w:pPr>
        <w:spacing w:after="0" w:line="199" w:lineRule="exact"/>
        <w:rPr>
          <w:sz w:val="20"/>
          <w:szCs w:val="20"/>
          <w:color w:val="auto"/>
        </w:rPr>
      </w:pPr>
    </w:p>
    <w:p>
      <w:pPr>
        <w:ind w:left="40"/>
        <w:spacing w:after="0"/>
        <w:rPr>
          <w:sz w:val="20"/>
          <w:szCs w:val="20"/>
          <w:color w:val="auto"/>
        </w:rPr>
      </w:pPr>
      <w:r>
        <w:rPr>
          <w:rFonts w:ascii="Arial" w:cs="Arial" w:eastAsia="Arial" w:hAnsi="Arial"/>
          <w:sz w:val="17"/>
          <w:szCs w:val="17"/>
          <w:color w:val="auto"/>
        </w:rPr>
        <w:t>John C. Lechleiter, Ph.D.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color w:val="auto"/>
        </w:rPr>
        <w:t>Derica W. Rice</w:t>
      </w:r>
    </w:p>
    <w:p>
      <w:pPr>
        <w:spacing w:after="0" w:line="63" w:lineRule="exact"/>
        <w:rPr>
          <w:sz w:val="20"/>
          <w:szCs w:val="20"/>
          <w:color w:val="auto"/>
        </w:rPr>
      </w:pPr>
    </w:p>
    <w:p>
      <w:pPr>
        <w:sectPr>
          <w:pgSz w:w="11900" w:h="16838" w:orient="portrait"/>
          <w:cols w:equalWidth="0" w:num="2">
            <w:col w:w="4940" w:space="720"/>
            <w:col w:w="5760"/>
          </w:cols>
          <w:pgMar w:left="240" w:top="684" w:right="239" w:bottom="1440" w:gutter="0" w:footer="0" w:header="0"/>
          <w:type w:val="continuous"/>
        </w:sectPr>
      </w:pPr>
    </w:p>
    <w:p>
      <w:pPr>
        <w:ind w:left="40"/>
        <w:spacing w:after="0"/>
        <w:rPr>
          <w:sz w:val="20"/>
          <w:szCs w:val="20"/>
          <w:color w:val="auto"/>
        </w:rPr>
      </w:pPr>
      <w:r>
        <w:rPr>
          <w:rFonts w:ascii="Arial" w:cs="Arial" w:eastAsia="Arial" w:hAnsi="Arial"/>
          <w:sz w:val="17"/>
          <w:szCs w:val="17"/>
          <w:i w:val="1"/>
          <w:iCs w:val="1"/>
          <w:color w:val="auto"/>
        </w:rPr>
        <w:t>Chairman, President, and Chief Executive Officer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i w:val="1"/>
          <w:iCs w:val="1"/>
          <w:color w:val="auto"/>
        </w:rPr>
        <w:t>Executive Vice President, Global Services and Chief Financial Officer</w:t>
      </w:r>
    </w:p>
    <w:p>
      <w:pPr>
        <w:spacing w:after="0" w:line="140" w:lineRule="exact"/>
        <w:rPr>
          <w:sz w:val="20"/>
          <w:szCs w:val="20"/>
          <w:color w:val="auto"/>
        </w:rPr>
      </w:pPr>
    </w:p>
    <w:p>
      <w:pPr>
        <w:sectPr>
          <w:pgSz w:w="11900" w:h="16838" w:orient="portrait"/>
          <w:cols w:equalWidth="0" w:num="2">
            <w:col w:w="4940" w:space="720"/>
            <w:col w:w="5760"/>
          </w:cols>
          <w:pgMar w:left="240" w:top="684" w:right="239" w:bottom="1440" w:gutter="0" w:footer="0" w:header="0"/>
          <w:type w:val="continuous"/>
        </w:sectPr>
      </w:pPr>
    </w:p>
    <w:p>
      <w:pPr>
        <w:spacing w:after="0"/>
        <w:rPr>
          <w:sz w:val="20"/>
          <w:szCs w:val="20"/>
          <w:color w:val="auto"/>
        </w:rPr>
      </w:pPr>
      <w:r>
        <w:rPr>
          <w:rFonts w:ascii="Arial" w:cs="Arial" w:eastAsia="Arial" w:hAnsi="Arial"/>
          <w:sz w:val="18"/>
          <w:szCs w:val="18"/>
          <w:color w:val="auto"/>
        </w:rPr>
        <w:t>February 19, 2016</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106</w:t>
      </w:r>
    </w:p>
    <w:p>
      <w:pPr>
        <w:sectPr>
          <w:pgSz w:w="11900" w:h="16838" w:orient="portrait"/>
          <w:cols w:equalWidth="0" w:num="1">
            <w:col w:w="11420"/>
          </w:cols>
          <w:pgMar w:left="240" w:top="684" w:right="239" w:bottom="1440" w:gutter="0" w:footer="0" w:header="0"/>
          <w:type w:val="continuous"/>
        </w:sectPr>
      </w:pPr>
    </w:p>
    <w:bookmarkStart w:id="106" w:name="page107"/>
    <w:bookmarkEnd w:id="106"/>
    <w:p>
      <w:pPr>
        <w:spacing w:after="0"/>
        <w:rPr>
          <w:sz w:val="20"/>
          <w:szCs w:val="20"/>
          <w:color w:val="auto"/>
        </w:rPr>
      </w:pPr>
      <w:r>
        <w:rPr>
          <w:rFonts w:ascii="Arial" w:cs="Arial" w:eastAsia="Arial" w:hAnsi="Arial"/>
          <w:sz w:val="32"/>
          <w:szCs w:val="32"/>
          <w:i w:val="1"/>
          <w:iCs w:val="1"/>
          <w:color w:val="CC0000"/>
        </w:rPr>
        <w:t>Report of Independent Registered Public Accounting Firm</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 and Shareholders of Eli Lilly and Company</w:t>
      </w:r>
    </w:p>
    <w:p>
      <w:pPr>
        <w:spacing w:after="0" w:line="11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audited the accompanying consolidated balance sheets of Eli Lilly and Company and subsidiaries as of December 31, 2015 and 2014, and the related consolidated statements of operations, comprehensive income, shareholders' equity, and cash flows for each of the three years in the period ended December 31, 2015. These financial statements are the responsibility of the Company's management. Our responsibility is to express an opinion on these financial statements based on our audits.</w:t>
      </w:r>
    </w:p>
    <w:p>
      <w:pPr>
        <w:spacing w:after="0" w:line="62"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67"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consolidated financial position of Eli Lilly and Company and subsidiaries at December 31, 2015 and 2014, and the consolidated results of their operations and their cash flows for each of the three years in the period ended December 31, 2015, in conformity with U.S. generally accepted accounting principles.</w:t>
      </w:r>
    </w:p>
    <w:p>
      <w:pPr>
        <w:spacing w:after="0" w:line="5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As discussed in Note 2 to the consolidated financial statements, the Company changed its method for classifying deferred tax liabilities and assets as a result of the adoption of the amendments to the FASB Accounting Standards Codification resulting from Accounting Standards Update No. 2015-17, Balance Sheet Classification of Deferred Taxes</w:t>
      </w:r>
      <w:r>
        <w:rPr>
          <w:rFonts w:ascii="Arial" w:cs="Arial" w:eastAsia="Arial" w:hAnsi="Arial"/>
          <w:sz w:val="18"/>
          <w:szCs w:val="18"/>
          <w:i w:val="1"/>
          <w:iCs w:val="1"/>
          <w:color w:val="auto"/>
        </w:rPr>
        <w:t>.</w:t>
      </w:r>
    </w:p>
    <w:p>
      <w:pPr>
        <w:spacing w:after="0" w:line="5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Eli Lilly and Company and subsidiaries’ internal control over financial reporting as of December 31, 2015, based on criteria established in Internal Control-Integrated Framework issued by the Committee of Sponsoring Organizations of the Treadway Commission (2013 framework), and our report dated February 19, 2016, expressed an unqualified opinion thereon.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3547110</wp:posOffset>
            </wp:positionH>
            <wp:positionV relativeFrom="paragraph">
              <wp:posOffset>799465</wp:posOffset>
            </wp:positionV>
            <wp:extent cx="2169795" cy="55753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169795"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Indianapolis, Indiana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February 19, 2016</w:t>
      </w:r>
    </w:p>
    <w:p>
      <w:pPr>
        <w:spacing w:after="0" w:line="25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107</w:t>
      </w:r>
    </w:p>
    <w:p>
      <w:pPr>
        <w:sectPr>
          <w:pgSz w:w="11900" w:h="16838" w:orient="portrait"/>
          <w:cols w:equalWidth="0" w:num="1">
            <w:col w:w="11420"/>
          </w:cols>
          <w:pgMar w:left="240" w:top="565" w:right="239" w:bottom="1440" w:gutter="0" w:footer="0" w:header="0"/>
        </w:sectPr>
      </w:pPr>
    </w:p>
    <w:bookmarkStart w:id="107" w:name="page108"/>
    <w:bookmarkEnd w:id="107"/>
    <w:p>
      <w:pPr>
        <w:spacing w:after="0"/>
        <w:rPr>
          <w:sz w:val="20"/>
          <w:szCs w:val="20"/>
          <w:color w:val="auto"/>
        </w:rPr>
      </w:pPr>
      <w:r>
        <w:rPr>
          <w:rFonts w:ascii="Arial" w:cs="Arial" w:eastAsia="Arial" w:hAnsi="Arial"/>
          <w:sz w:val="32"/>
          <w:szCs w:val="32"/>
          <w:i w:val="1"/>
          <w:iCs w:val="1"/>
          <w:color w:val="CC0000"/>
        </w:rPr>
        <w:t>Report of Independent Registered Public Accounting Firm</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 and Shareholders of Eli Lilly and Company</w:t>
      </w:r>
    </w:p>
    <w:p>
      <w:pPr>
        <w:spacing w:after="0" w:line="119"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We have audited Eli Lilly and Company and subsidiaries’ internal control over financial reporting as of December 31, 2015, based on criteria established in Internal Control-Integrated Framework issued by the Committee of Sponsoring Organizations of the Treadway Commission (2013 framework) (the COSO criteria). Eli Lilly and Company and subsidiaries’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69"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6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7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55"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As indicated in the accompanying Management’s Report on Internal Control Over Financial Reporting, management’s assessment of and conclusion on the effectiveness of internal control over financial reporting did not include the internal controls of Novartis Animal Health, which is included in the 2015 consolidated financial statements of Eli Lilly and Company and subsidiaries and constituted 3% of total assets as of December 31, 2015 and 5% of revenues for the year then ended. Our audit of internal control over financial reporting of Eli Lilly and Company and subsidiaries also did not include an evaluation of the internal control over financial reporting of Novartis Animal Health.</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108</w:t>
      </w:r>
    </w:p>
    <w:p>
      <w:pPr>
        <w:sectPr>
          <w:pgSz w:w="11900" w:h="16838" w:orient="portrait"/>
          <w:cols w:equalWidth="0" w:num="1">
            <w:col w:w="11420"/>
          </w:cols>
          <w:pgMar w:left="240" w:top="564" w:right="239" w:bottom="1440" w:gutter="0" w:footer="0" w:header="0"/>
        </w:sectPr>
      </w:pPr>
    </w:p>
    <w:bookmarkStart w:id="108" w:name="page109"/>
    <w:bookmarkEnd w:id="108"/>
    <w:p>
      <w:pPr>
        <w:jc w:val="both"/>
        <w:spacing w:after="0" w:line="292" w:lineRule="auto"/>
        <w:rPr>
          <w:sz w:val="20"/>
          <w:szCs w:val="20"/>
          <w:color w:val="auto"/>
        </w:rPr>
      </w:pPr>
      <w:r>
        <w:rPr>
          <w:rFonts w:ascii="Arial" w:cs="Arial" w:eastAsia="Arial" w:hAnsi="Arial"/>
          <w:sz w:val="18"/>
          <w:szCs w:val="18"/>
          <w:color w:val="auto"/>
        </w:rPr>
        <w:t>In our opinion, Eli Lilly and Company and subsidiaries maintained, in all material respects, effective internal control over financial reporting as of December 31, 2015, based on the COSO criteria.</w:t>
      </w:r>
    </w:p>
    <w:p>
      <w:pPr>
        <w:spacing w:after="0" w:line="37"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the 2015 consolidated financial statements of Eli Lilly and Company and subsidiaries and our report dated February 19, 2016 expressed an unqualified opinion thereon.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3392805</wp:posOffset>
            </wp:positionH>
            <wp:positionV relativeFrom="paragraph">
              <wp:posOffset>795655</wp:posOffset>
            </wp:positionV>
            <wp:extent cx="2169795" cy="55753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169795"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Indianapolis, Indiana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February 19, 2016</w:t>
      </w:r>
    </w:p>
    <w:p>
      <w:pPr>
        <w:spacing w:after="0" w:line="25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109</w:t>
      </w:r>
    </w:p>
    <w:p>
      <w:pPr>
        <w:sectPr>
          <w:pgSz w:w="11900" w:h="16838" w:orient="portrait"/>
          <w:cols w:equalWidth="0" w:num="1">
            <w:col w:w="11420"/>
          </w:cols>
          <w:pgMar w:left="240" w:top="684" w:right="239" w:bottom="1440" w:gutter="0" w:footer="0" w:header="0"/>
        </w:sectPr>
      </w:pPr>
    </w:p>
    <w:bookmarkStart w:id="109" w:name="page110"/>
    <w:bookmarkEnd w:id="109"/>
    <w:p>
      <w:pPr>
        <w:jc w:val="both"/>
        <w:ind w:left="1300" w:right="120" w:hanging="1296"/>
        <w:spacing w:after="0" w:line="302" w:lineRule="auto"/>
        <w:rPr>
          <w:sz w:val="20"/>
          <w:szCs w:val="20"/>
          <w:color w:val="auto"/>
        </w:rPr>
      </w:pPr>
      <w:r>
        <w:rPr>
          <w:rFonts w:ascii="Arial" w:cs="Arial" w:eastAsia="Arial" w:hAnsi="Arial"/>
          <w:sz w:val="32"/>
          <w:szCs w:val="32"/>
          <w:b w:val="1"/>
          <w:bCs w:val="1"/>
          <w:i w:val="1"/>
          <w:iCs w:val="1"/>
          <w:color w:val="CC0000"/>
        </w:rPr>
        <w:t>Item 9. Changes in and Disagreements with Accountants on Accounting and Financial Disclosure</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12" w:lineRule="exact"/>
        <w:rPr>
          <w:sz w:val="20"/>
          <w:szCs w:val="20"/>
          <w:color w:val="auto"/>
        </w:rPr>
      </w:pPr>
    </w:p>
    <w:p>
      <w:pPr>
        <w:spacing w:after="0"/>
        <w:rPr>
          <w:sz w:val="20"/>
          <w:szCs w:val="20"/>
          <w:color w:val="auto"/>
        </w:rPr>
      </w:pPr>
      <w:r>
        <w:rPr>
          <w:rFonts w:ascii="Arial" w:cs="Arial" w:eastAsia="Arial" w:hAnsi="Arial"/>
          <w:sz w:val="32"/>
          <w:szCs w:val="32"/>
          <w:b w:val="1"/>
          <w:bCs w:val="1"/>
          <w:i w:val="1"/>
          <w:iCs w:val="1"/>
          <w:color w:val="CC0000"/>
        </w:rPr>
        <w:t>Item 9A.Controls and Procedures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Disclosure Controls and Procedures</w:t>
      </w:r>
    </w:p>
    <w:p>
      <w:pPr>
        <w:spacing w:after="0" w:line="119"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Under applicable Securities and Exchange Commission (SEC) regulations, management of a reporting company, with the participation of the principal executive officer and principal financial officer, must periodically evaluate the company’s “disclosure controls and procedures,” which are defined generally as controls and other procedures designed to ensure that information required to be disclosed by the reporting company in its periodic reports filed with the SEC (such as this Form 10-K) is recorded, processed, summarized, and reported on a timely basis.</w:t>
      </w:r>
    </w:p>
    <w:p>
      <w:pPr>
        <w:spacing w:after="0" w:line="62"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Our management, with the participation of John C. Lechleiter, Ph.D., chairman, president, and chief executive officer, and Derica W. Rice, executive vice president, global services and chief financial officer, evaluated our disclosure controls and procedures as of December 31, 2015, and concluded that they are effective.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Internal Control over Financial Reporting</w:t>
      </w:r>
    </w:p>
    <w:p>
      <w:pPr>
        <w:spacing w:after="0" w:line="119"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color w:val="auto"/>
        </w:rPr>
        <w:t>Dr. Lechleiter and Mr. Rice provided a report on behalf of management on our internal control over financial reporting, in which management concluded that the company’s internal control over financial reporting is effective at December 31, 2015. Our evaluation excluded the 2015 acquisition of Novartis Animal Health (Novartis AH). In addition, Ernst &amp; Young LLP, the company’s independent registered public accounting firm, provided an attestation report on the company’s internal control over financial reporting as of December 31, 2015. You can find the full text of management’s report and Ernst &amp; Young’s attestation report in Item 8, and both reports are incorporated by reference in this Item.</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Changes in Internal Controls</w:t>
      </w:r>
    </w:p>
    <w:p>
      <w:pPr>
        <w:spacing w:after="0" w:line="11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During the fourth quarter of 2015, there were no changes in our internal control over financial reporting that materially affected, or are reasonably likely to materially affect, our internal control over financial reporting. This evaluation excluded the operations of Novartis AH, which we acquired on January 1, 2015. As part of the ongoing integration activities, we will complete an assessment of Novartis AH's existing controls and incorporate our controls and procedures into the acquired operations, as appropriate.</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110</w:t>
      </w:r>
    </w:p>
    <w:p>
      <w:pPr>
        <w:sectPr>
          <w:pgSz w:w="11900" w:h="16838" w:orient="portrait"/>
          <w:cols w:equalWidth="0" w:num="1">
            <w:col w:w="11400"/>
          </w:cols>
          <w:pgMar w:left="240" w:top="562" w:right="259" w:bottom="1440" w:gutter="0" w:footer="0" w:header="0"/>
        </w:sectPr>
      </w:pPr>
    </w:p>
    <w:bookmarkStart w:id="110" w:name="page111"/>
    <w:bookmarkEnd w:id="110"/>
    <w:p>
      <w:pPr>
        <w:spacing w:after="0"/>
        <w:rPr>
          <w:sz w:val="20"/>
          <w:szCs w:val="20"/>
          <w:color w:val="auto"/>
        </w:rPr>
      </w:pPr>
      <w:r>
        <w:rPr>
          <w:rFonts w:ascii="Arial" w:cs="Arial" w:eastAsia="Arial" w:hAnsi="Arial"/>
          <w:sz w:val="32"/>
          <w:szCs w:val="32"/>
          <w:b w:val="1"/>
          <w:bCs w:val="1"/>
          <w:i w:val="1"/>
          <w:iCs w:val="1"/>
          <w:color w:val="CC0000"/>
        </w:rPr>
        <w:t>Item 9B.Other Information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Disclosure Pursuant to Section 219 of the Iran Threat Reduction and Syria Human Rights Act of 2012</w:t>
      </w:r>
    </w:p>
    <w:p>
      <w:pPr>
        <w:spacing w:after="0" w:line="115"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Section 219 of the Iran Threat Reduction and Syria Human Rights Act of 2012 (ITRSHRA), which added Section 13(r) of the Exchange Act, requires disclosure by public companies of, among other things, certain transactions involving the Government of Iran, as well as entities and individuals designated under Executive Order 13382. ITRSHRA requires companies to disclose these types of transactions even if they were permissible under U.S. law or were conducted by a non-U.S. subsidiary in accordance with the local law under which such entity operates.</w:t>
      </w:r>
    </w:p>
    <w:p>
      <w:pPr>
        <w:spacing w:after="0" w:line="62"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As a global pharmaceutical company, we conduct business in multiple jurisdictions throughout the world. Our activities have included supplying medicines for patient use in Iran. We ship our products to Iran and conduct related activities in accordance with our corporate policies and licenses issued by the U.S. Department of the Treasury's Office of Foreign Assets Control.</w:t>
      </w:r>
    </w:p>
    <w:p>
      <w:pPr>
        <w:spacing w:after="0" w:line="69"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Pursuant to U.S. government authorizations, we, through a non-U.S. subsidiary, shipped our products to authorized customers in Iran. We recently completed a review in which we determined that between the last quarter of 2013 and the first half of 2015, some of these shipments, which were arranged by a third-party logistics company, were sent to Iran on aircraft owned or operated by Iran Air, which is a designated air carrier under Executive Order 13382. Neither we nor our affiliate entered into agreements with nor made any direct payments to Iran Air. We generated no gross revenues or net profits during the relevant periods attributable to the use of this carrier. Our affiliate paid air freight expenses associated with these shipments to the third-party logistics company in the total amount of approximately $51,700 using exchange rates in effect at the time of each shipment. We have voluntarily self-disclosed this matter to the U.S. government. We also have instructed the third-party logistics company that arranged these shipments from our non-U.S. affiliate not to use Iran Air to ship our products in the future, and we have implemented additional controls to address this issue.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111</w:t>
      </w:r>
    </w:p>
    <w:p>
      <w:pPr>
        <w:sectPr>
          <w:pgSz w:w="11900" w:h="16838" w:orient="portrait"/>
          <w:cols w:equalWidth="0" w:num="1">
            <w:col w:w="11420"/>
          </w:cols>
          <w:pgMar w:left="240" w:top="562" w:right="239" w:bottom="1440" w:gutter="0" w:footer="0" w:header="0"/>
        </w:sectPr>
      </w:pPr>
    </w:p>
    <w:bookmarkStart w:id="111" w:name="page112"/>
    <w:bookmarkEnd w:id="111"/>
    <w:p>
      <w:pPr>
        <w:spacing w:after="0"/>
        <w:rPr>
          <w:sz w:val="20"/>
          <w:szCs w:val="20"/>
          <w:color w:val="auto"/>
        </w:rPr>
      </w:pPr>
      <w:r>
        <w:rPr>
          <w:rFonts w:ascii="Arial" w:cs="Arial" w:eastAsia="Arial" w:hAnsi="Arial"/>
          <w:sz w:val="32"/>
          <w:szCs w:val="32"/>
          <w:b w:val="1"/>
          <w:bCs w:val="1"/>
          <w:color w:val="auto"/>
        </w:rPr>
        <w:t>Part III</w:t>
      </w:r>
    </w:p>
    <w:p>
      <w:pPr>
        <w:spacing w:after="0" w:line="232" w:lineRule="exact"/>
        <w:rPr>
          <w:sz w:val="20"/>
          <w:szCs w:val="20"/>
          <w:color w:val="auto"/>
        </w:rPr>
      </w:pPr>
    </w:p>
    <w:p>
      <w:pPr>
        <w:spacing w:after="0"/>
        <w:rPr>
          <w:sz w:val="20"/>
          <w:szCs w:val="20"/>
          <w:color w:val="auto"/>
        </w:rPr>
      </w:pPr>
      <w:r>
        <w:rPr>
          <w:rFonts w:ascii="Arial" w:cs="Arial" w:eastAsia="Arial" w:hAnsi="Arial"/>
          <w:sz w:val="32"/>
          <w:szCs w:val="32"/>
          <w:b w:val="1"/>
          <w:bCs w:val="1"/>
          <w:i w:val="1"/>
          <w:iCs w:val="1"/>
          <w:color w:val="CC0000"/>
        </w:rPr>
        <w:t>Item 10. Directors, Executive Officers, and Corporate Governance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Directors and Executive Officers</w:t>
      </w:r>
    </w:p>
    <w:p>
      <w:pPr>
        <w:spacing w:after="0" w:line="119" w:lineRule="exact"/>
        <w:rPr>
          <w:sz w:val="20"/>
          <w:szCs w:val="20"/>
          <w:color w:val="auto"/>
        </w:rPr>
      </w:pPr>
    </w:p>
    <w:p>
      <w:pPr>
        <w:ind w:right="280"/>
        <w:spacing w:after="0" w:line="292" w:lineRule="auto"/>
        <w:rPr>
          <w:sz w:val="20"/>
          <w:szCs w:val="20"/>
          <w:color w:val="auto"/>
        </w:rPr>
      </w:pPr>
      <w:r>
        <w:rPr>
          <w:rFonts w:ascii="Arial" w:cs="Arial" w:eastAsia="Arial" w:hAnsi="Arial"/>
          <w:sz w:val="18"/>
          <w:szCs w:val="18"/>
          <w:color w:val="auto"/>
        </w:rPr>
        <w:t>Information relating to our Board of Directors is found in our Proxy Statement to be dated on or about March 21, 2016 (the Proxy Statement) under “Board of Directors” and is incorporated in this report by reference.</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color w:val="auto"/>
        </w:rPr>
        <w:t>Information relating to our executive officers is found at Item 1, "Business—Executive Officers of the Company.”</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Code of Ethics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We have adopted a code of ethics that complies with the applicable SEC and New York Stock Exchange requirements. The code is set forth in:</w:t>
      </w:r>
    </w:p>
    <w:p>
      <w:pPr>
        <w:spacing w:after="0" w:line="117" w:lineRule="exact"/>
        <w:rPr>
          <w:sz w:val="20"/>
          <w:szCs w:val="20"/>
          <w:color w:val="auto"/>
        </w:rPr>
      </w:pPr>
    </w:p>
    <w:p>
      <w:pPr>
        <w:ind w:left="660" w:right="60" w:hanging="328"/>
        <w:spacing w:after="0" w:line="292" w:lineRule="auto"/>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i w:val="1"/>
          <w:iCs w:val="1"/>
          <w:color w:val="auto"/>
        </w:rPr>
        <w:t xml:space="preserve">The Red Book, </w:t>
      </w:r>
      <w:r>
        <w:rPr>
          <w:rFonts w:ascii="Arial" w:cs="Arial" w:eastAsia="Arial" w:hAnsi="Arial"/>
          <w:sz w:val="18"/>
          <w:szCs w:val="18"/>
          <w:color w:val="auto"/>
        </w:rPr>
        <w:t>a comprehensive code of ethical and legal business conduct applicable to all employees worldwide and to our Board of</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and</w:t>
      </w:r>
    </w:p>
    <w:p>
      <w:pPr>
        <w:spacing w:after="0" w:line="36" w:lineRule="exact"/>
        <w:rPr>
          <w:rFonts w:ascii="Arial" w:cs="Arial" w:eastAsia="Arial" w:hAnsi="Arial"/>
          <w:sz w:val="18"/>
          <w:szCs w:val="18"/>
          <w:color w:val="auto"/>
        </w:rPr>
      </w:pPr>
    </w:p>
    <w:p>
      <w:pPr>
        <w:ind w:left="660" w:right="640" w:hanging="328"/>
        <w:spacing w:after="0" w:line="292" w:lineRule="auto"/>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i w:val="1"/>
          <w:iCs w:val="1"/>
          <w:color w:val="auto"/>
        </w:rPr>
        <w:t>Code of Ethical Conduct for Lilly Financial Management</w:t>
      </w:r>
      <w:r>
        <w:rPr>
          <w:rFonts w:ascii="Arial" w:cs="Arial" w:eastAsia="Arial" w:hAnsi="Arial"/>
          <w:sz w:val="18"/>
          <w:szCs w:val="18"/>
          <w:color w:val="auto"/>
        </w:rPr>
        <w:t>, a supplemental code for our chief executive officer and all members of</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management that focuses on accounting, financial reporting, internal controls, and financial stewardship.</w:t>
      </w:r>
    </w:p>
    <w:p>
      <w:pPr>
        <w:spacing w:after="0" w:line="3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Both documents are online on our website at </w:t>
      </w:r>
      <w:r>
        <w:rPr>
          <w:rFonts w:ascii="Arial" w:cs="Arial" w:eastAsia="Arial" w:hAnsi="Arial"/>
          <w:sz w:val="18"/>
          <w:szCs w:val="18"/>
          <w:b w:val="1"/>
          <w:bCs w:val="1"/>
          <w:color w:val="auto"/>
        </w:rPr>
        <w:t>http://www.lilly.com/about/business-practices/ethics-compliance/Pages/ethics-compliance.aspx</w:t>
      </w:r>
      <w:r>
        <w:rPr>
          <w:rFonts w:ascii="Arial" w:cs="Arial" w:eastAsia="Arial" w:hAnsi="Arial"/>
          <w:sz w:val="18"/>
          <w:szCs w:val="18"/>
          <w:color w:val="auto"/>
        </w:rPr>
        <w:t>. In the event of any amendments to, or waivers from, a provision of the code affecting the chief executive officer, chief</w:t>
      </w:r>
      <w:r>
        <w:rPr>
          <w:rFonts w:ascii="Arial" w:cs="Arial" w:eastAsia="Arial" w:hAnsi="Arial"/>
          <w:sz w:val="18"/>
          <w:szCs w:val="18"/>
          <w:b w:val="1"/>
          <w:bCs w:val="1"/>
          <w:color w:val="auto"/>
        </w:rPr>
        <w:t xml:space="preserve"> </w:t>
      </w:r>
      <w:r>
        <w:rPr>
          <w:rFonts w:ascii="Arial" w:cs="Arial" w:eastAsia="Arial" w:hAnsi="Arial"/>
          <w:sz w:val="18"/>
          <w:szCs w:val="18"/>
          <w:color w:val="auto"/>
        </w:rPr>
        <w:t>financial officer, chief accounting officer, controller, or persons performing similar functions, we intend to post on the above website within four business days after the event a description of the amendment or waiver as required under applicable SEC rules. We will maintain that information on our website for at least 12 months. Paper copies of these documents are available free of charge upon request to the company’s secretary at the address on the front of this Form 10-K.</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Corporate Governance</w:t>
      </w:r>
    </w:p>
    <w:p>
      <w:pPr>
        <w:spacing w:after="0" w:line="119" w:lineRule="exact"/>
        <w:rPr>
          <w:sz w:val="20"/>
          <w:szCs w:val="20"/>
          <w:color w:val="auto"/>
        </w:rPr>
      </w:pPr>
    </w:p>
    <w:p>
      <w:pPr>
        <w:ind w:right="240"/>
        <w:spacing w:after="0" w:line="292" w:lineRule="auto"/>
        <w:rPr>
          <w:sz w:val="20"/>
          <w:szCs w:val="20"/>
          <w:color w:val="auto"/>
        </w:rPr>
      </w:pPr>
      <w:r>
        <w:rPr>
          <w:rFonts w:ascii="Arial" w:cs="Arial" w:eastAsia="Arial" w:hAnsi="Arial"/>
          <w:sz w:val="18"/>
          <w:szCs w:val="18"/>
          <w:color w:val="auto"/>
        </w:rPr>
        <w:t>In our proxy statements, we describe the procedures by which shareholders can recommend nominees to our board of directors. There have been no changes in those procedures since they were last published in our proxy statement of March 23, 2015.</w:t>
      </w:r>
    </w:p>
    <w:p>
      <w:pPr>
        <w:spacing w:after="0" w:line="37" w:lineRule="exact"/>
        <w:rPr>
          <w:sz w:val="20"/>
          <w:szCs w:val="20"/>
          <w:color w:val="auto"/>
        </w:rPr>
      </w:pPr>
    </w:p>
    <w:p>
      <w:pPr>
        <w:ind w:right="200"/>
        <w:spacing w:after="0" w:line="294" w:lineRule="auto"/>
        <w:rPr>
          <w:sz w:val="20"/>
          <w:szCs w:val="20"/>
          <w:color w:val="auto"/>
        </w:rPr>
      </w:pPr>
      <w:r>
        <w:rPr>
          <w:rFonts w:ascii="Arial" w:cs="Arial" w:eastAsia="Arial" w:hAnsi="Arial"/>
          <w:sz w:val="17"/>
          <w:szCs w:val="17"/>
          <w:color w:val="auto"/>
        </w:rPr>
        <w:t>The board has appointed an audit committee consisting entirely of independent directors in accordance with applicable SEC and New York Stock Exchange rules for audit committees. The members of the committee are Michael L. Eskew (chair), Katherine Baicker, Kathi P. Seifert, and Jackson P. Tai. The board has determined that Messrs. Eskew and Tai are audit committee financial experts as defined in the SEC rules.</w:t>
      </w:r>
    </w:p>
    <w:p>
      <w:pPr>
        <w:spacing w:after="0" w:line="133" w:lineRule="exact"/>
        <w:rPr>
          <w:sz w:val="20"/>
          <w:szCs w:val="20"/>
          <w:color w:val="auto"/>
        </w:rPr>
      </w:pPr>
    </w:p>
    <w:p>
      <w:pPr>
        <w:spacing w:after="0"/>
        <w:rPr>
          <w:sz w:val="20"/>
          <w:szCs w:val="20"/>
          <w:color w:val="auto"/>
        </w:rPr>
      </w:pPr>
      <w:r>
        <w:rPr>
          <w:rFonts w:ascii="Arial" w:cs="Arial" w:eastAsia="Arial" w:hAnsi="Arial"/>
          <w:sz w:val="32"/>
          <w:szCs w:val="32"/>
          <w:b w:val="1"/>
          <w:bCs w:val="1"/>
          <w:i w:val="1"/>
          <w:iCs w:val="1"/>
          <w:color w:val="CC0000"/>
        </w:rPr>
        <w:t>Item 11. Executive Compensation</w:t>
      </w:r>
    </w:p>
    <w:p>
      <w:pPr>
        <w:spacing w:after="0" w:line="186"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Information on director compensation, executive compensation, and compensation committee matters can be found in the Proxy Statement under “Director Compensation,” "Committees of the Board of Directors -- Compensation Committee," "Compensation Discussion and Analysis," and “Executive Compensation.” That information is incorporated in this report by reference.</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112</w:t>
      </w:r>
    </w:p>
    <w:p>
      <w:pPr>
        <w:sectPr>
          <w:pgSz w:w="11900" w:h="16838" w:orient="portrait"/>
          <w:cols w:equalWidth="0" w:num="1">
            <w:col w:w="11420"/>
          </w:cols>
          <w:pgMar w:left="240" w:top="556" w:right="239" w:bottom="1440" w:gutter="0" w:footer="0" w:header="0"/>
        </w:sectPr>
      </w:pPr>
    </w:p>
    <w:bookmarkStart w:id="112" w:name="page113"/>
    <w:bookmarkEnd w:id="112"/>
    <w:p>
      <w:pPr>
        <w:spacing w:after="0"/>
        <w:rPr>
          <w:sz w:val="20"/>
          <w:szCs w:val="20"/>
          <w:color w:val="auto"/>
        </w:rPr>
      </w:pPr>
      <w:r>
        <w:rPr>
          <w:rFonts w:ascii="Arial" w:cs="Arial" w:eastAsia="Arial" w:hAnsi="Arial"/>
          <w:sz w:val="32"/>
          <w:szCs w:val="32"/>
          <w:b w:val="1"/>
          <w:bCs w:val="1"/>
          <w:i w:val="1"/>
          <w:iCs w:val="1"/>
          <w:color w:val="CC0000"/>
        </w:rPr>
        <w:t>Item 12. Security Ownership of Certain Beneficial Owners and</w:t>
      </w:r>
    </w:p>
    <w:p>
      <w:pPr>
        <w:spacing w:after="0" w:line="50" w:lineRule="exact"/>
        <w:rPr>
          <w:sz w:val="20"/>
          <w:szCs w:val="20"/>
          <w:color w:val="auto"/>
        </w:rPr>
      </w:pPr>
    </w:p>
    <w:p>
      <w:pPr>
        <w:ind w:left="1300"/>
        <w:spacing w:after="0"/>
        <w:rPr>
          <w:sz w:val="20"/>
          <w:szCs w:val="20"/>
          <w:color w:val="auto"/>
        </w:rPr>
      </w:pPr>
      <w:r>
        <w:rPr>
          <w:rFonts w:ascii="Arial" w:cs="Arial" w:eastAsia="Arial" w:hAnsi="Arial"/>
          <w:sz w:val="32"/>
          <w:szCs w:val="32"/>
          <w:b w:val="1"/>
          <w:bCs w:val="1"/>
          <w:i w:val="1"/>
          <w:iCs w:val="1"/>
          <w:color w:val="CC0000"/>
        </w:rPr>
        <w:t>Management and Related Stockholder Matters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Security Ownership of Certain Beneficial Owners and Management</w:t>
      </w:r>
    </w:p>
    <w:p>
      <w:pPr>
        <w:spacing w:after="0" w:line="119"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color w:val="auto"/>
        </w:rPr>
        <w:t>Information relating to ownership of the company’s common stock by management and by persons known by the company to be the beneficial owners of more than five percent of the outstanding shares of common stock is found in the Proxy Statement under “Ownership of Company Stock.” That information is incorporated in this report by reference.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Securities Authorized for Issuance Under Equity Compensation Plans</w:t>
      </w:r>
    </w:p>
    <w:p>
      <w:pPr>
        <w:spacing w:after="0" w:line="119" w:lineRule="exact"/>
        <w:rPr>
          <w:sz w:val="20"/>
          <w:szCs w:val="20"/>
          <w:color w:val="auto"/>
        </w:rPr>
      </w:pPr>
    </w:p>
    <w:p>
      <w:pPr>
        <w:ind w:right="420"/>
        <w:spacing w:after="0" w:line="292" w:lineRule="auto"/>
        <w:rPr>
          <w:sz w:val="20"/>
          <w:szCs w:val="20"/>
          <w:color w:val="auto"/>
        </w:rPr>
      </w:pPr>
      <w:r>
        <w:rPr>
          <w:rFonts w:ascii="Arial" w:cs="Arial" w:eastAsia="Arial" w:hAnsi="Arial"/>
          <w:sz w:val="18"/>
          <w:szCs w:val="18"/>
          <w:color w:val="auto"/>
        </w:rPr>
        <w:t>The following table presents information as of December 31, 2015, regarding our compensation plans under which shares of Lilly common stock have been authorized for issuance.</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60" w:type="dxa"/>
            <w:vAlign w:val="bottom"/>
          </w:tcPr>
          <w:p>
            <w:pPr>
              <w:spacing w:after="0"/>
              <w:rPr>
                <w:sz w:val="14"/>
                <w:szCs w:val="14"/>
                <w:color w:val="auto"/>
              </w:rPr>
            </w:pPr>
          </w:p>
        </w:tc>
        <w:tc>
          <w:tcPr>
            <w:tcW w:w="1780" w:type="dxa"/>
            <w:vAlign w:val="bottom"/>
          </w:tcPr>
          <w:p>
            <w:pPr>
              <w:jc w:val="center"/>
              <w:spacing w:after="0"/>
              <w:rPr>
                <w:sz w:val="20"/>
                <w:szCs w:val="20"/>
                <w:color w:val="auto"/>
              </w:rPr>
            </w:pPr>
            <w:r>
              <w:rPr>
                <w:rFonts w:ascii="Arial" w:cs="Arial" w:eastAsia="Arial" w:hAnsi="Arial"/>
                <w:sz w:val="14"/>
                <w:szCs w:val="14"/>
                <w:b w:val="1"/>
                <w:bCs w:val="1"/>
                <w:color w:val="auto"/>
              </w:rPr>
              <w:t>(a) Number of securities</w:t>
            </w:r>
          </w:p>
        </w:tc>
        <w:tc>
          <w:tcPr>
            <w:tcW w:w="10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560" w:type="dxa"/>
            <w:vAlign w:val="bottom"/>
          </w:tcPr>
          <w:p>
            <w:pPr>
              <w:jc w:val="center"/>
              <w:spacing w:after="0"/>
              <w:rPr>
                <w:sz w:val="20"/>
                <w:szCs w:val="20"/>
                <w:color w:val="auto"/>
              </w:rPr>
            </w:pPr>
            <w:r>
              <w:rPr>
                <w:rFonts w:ascii="Arial" w:cs="Arial" w:eastAsia="Arial" w:hAnsi="Arial"/>
                <w:sz w:val="14"/>
                <w:szCs w:val="14"/>
                <w:b w:val="1"/>
                <w:bCs w:val="1"/>
                <w:color w:val="auto"/>
              </w:rPr>
              <w:t>(c) Number of securities remaining</w:t>
            </w:r>
          </w:p>
        </w:tc>
      </w:tr>
      <w:tr>
        <w:trPr>
          <w:trHeight w:val="162"/>
        </w:trPr>
        <w:tc>
          <w:tcPr>
            <w:tcW w:w="4960" w:type="dxa"/>
            <w:vAlign w:val="bottom"/>
          </w:tcPr>
          <w:p>
            <w:pPr>
              <w:spacing w:after="0"/>
              <w:rPr>
                <w:sz w:val="14"/>
                <w:szCs w:val="14"/>
                <w:color w:val="auto"/>
              </w:rPr>
            </w:pPr>
          </w:p>
        </w:tc>
        <w:tc>
          <w:tcPr>
            <w:tcW w:w="1780" w:type="dxa"/>
            <w:vAlign w:val="bottom"/>
          </w:tcPr>
          <w:p>
            <w:pPr>
              <w:jc w:val="center"/>
              <w:spacing w:after="0"/>
              <w:rPr>
                <w:sz w:val="20"/>
                <w:szCs w:val="20"/>
                <w:color w:val="auto"/>
              </w:rPr>
            </w:pPr>
            <w:r>
              <w:rPr>
                <w:rFonts w:ascii="Arial" w:cs="Arial" w:eastAsia="Arial" w:hAnsi="Arial"/>
                <w:sz w:val="14"/>
                <w:szCs w:val="14"/>
                <w:b w:val="1"/>
                <w:bCs w:val="1"/>
                <w:color w:val="auto"/>
              </w:rPr>
              <w:t>to be issued upon</w:t>
            </w:r>
          </w:p>
        </w:tc>
        <w:tc>
          <w:tcPr>
            <w:tcW w:w="10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560" w:type="dxa"/>
            <w:vAlign w:val="bottom"/>
          </w:tcPr>
          <w:p>
            <w:pPr>
              <w:jc w:val="center"/>
              <w:spacing w:after="0"/>
              <w:rPr>
                <w:sz w:val="20"/>
                <w:szCs w:val="20"/>
                <w:color w:val="auto"/>
              </w:rPr>
            </w:pPr>
            <w:r>
              <w:rPr>
                <w:rFonts w:ascii="Arial" w:cs="Arial" w:eastAsia="Arial" w:hAnsi="Arial"/>
                <w:sz w:val="14"/>
                <w:szCs w:val="14"/>
                <w:b w:val="1"/>
                <w:bCs w:val="1"/>
                <w:color w:val="auto"/>
              </w:rPr>
              <w:t>available for future issuance under</w:t>
            </w:r>
          </w:p>
        </w:tc>
      </w:tr>
      <w:tr>
        <w:trPr>
          <w:trHeight w:val="162"/>
        </w:trPr>
        <w:tc>
          <w:tcPr>
            <w:tcW w:w="4960" w:type="dxa"/>
            <w:vAlign w:val="bottom"/>
          </w:tcPr>
          <w:p>
            <w:pPr>
              <w:spacing w:after="0"/>
              <w:rPr>
                <w:sz w:val="14"/>
                <w:szCs w:val="14"/>
                <w:color w:val="auto"/>
              </w:rPr>
            </w:pPr>
          </w:p>
        </w:tc>
        <w:tc>
          <w:tcPr>
            <w:tcW w:w="1780" w:type="dxa"/>
            <w:vAlign w:val="bottom"/>
          </w:tcPr>
          <w:p>
            <w:pPr>
              <w:jc w:val="center"/>
              <w:spacing w:after="0"/>
              <w:rPr>
                <w:sz w:val="20"/>
                <w:szCs w:val="20"/>
                <w:color w:val="auto"/>
              </w:rPr>
            </w:pPr>
            <w:r>
              <w:rPr>
                <w:rFonts w:ascii="Arial" w:cs="Arial" w:eastAsia="Arial" w:hAnsi="Arial"/>
                <w:sz w:val="14"/>
                <w:szCs w:val="14"/>
                <w:b w:val="1"/>
                <w:bCs w:val="1"/>
                <w:color w:val="auto"/>
              </w:rPr>
              <w:t>exercise of outstanding</w:t>
            </w:r>
          </w:p>
        </w:tc>
        <w:tc>
          <w:tcPr>
            <w:tcW w:w="2120" w:type="dxa"/>
            <w:vAlign w:val="bottom"/>
            <w:gridSpan w:val="2"/>
          </w:tcPr>
          <w:p>
            <w:pPr>
              <w:jc w:val="center"/>
              <w:spacing w:after="0"/>
              <w:rPr>
                <w:sz w:val="20"/>
                <w:szCs w:val="20"/>
                <w:color w:val="auto"/>
              </w:rPr>
            </w:pPr>
            <w:r>
              <w:rPr>
                <w:rFonts w:ascii="Arial" w:cs="Arial" w:eastAsia="Arial" w:hAnsi="Arial"/>
                <w:sz w:val="14"/>
                <w:szCs w:val="14"/>
                <w:b w:val="1"/>
                <w:bCs w:val="1"/>
                <w:color w:val="auto"/>
              </w:rPr>
              <w:t>(b) Weighted-average exercise</w:t>
            </w:r>
          </w:p>
        </w:tc>
        <w:tc>
          <w:tcPr>
            <w:tcW w:w="2560" w:type="dxa"/>
            <w:vAlign w:val="bottom"/>
          </w:tcPr>
          <w:p>
            <w:pPr>
              <w:jc w:val="center"/>
              <w:spacing w:after="0"/>
              <w:rPr>
                <w:sz w:val="20"/>
                <w:szCs w:val="20"/>
                <w:color w:val="auto"/>
              </w:rPr>
            </w:pPr>
            <w:r>
              <w:rPr>
                <w:rFonts w:ascii="Arial" w:cs="Arial" w:eastAsia="Arial" w:hAnsi="Arial"/>
                <w:sz w:val="14"/>
                <w:szCs w:val="14"/>
                <w:b w:val="1"/>
                <w:bCs w:val="1"/>
                <w:color w:val="auto"/>
              </w:rPr>
              <w:t>equity compensation plans</w:t>
            </w:r>
          </w:p>
        </w:tc>
      </w:tr>
      <w:tr>
        <w:trPr>
          <w:trHeight w:val="162"/>
        </w:trPr>
        <w:tc>
          <w:tcPr>
            <w:tcW w:w="4960" w:type="dxa"/>
            <w:vAlign w:val="bottom"/>
          </w:tcPr>
          <w:p>
            <w:pPr>
              <w:spacing w:after="0"/>
              <w:rPr>
                <w:sz w:val="14"/>
                <w:szCs w:val="14"/>
                <w:color w:val="auto"/>
              </w:rPr>
            </w:pPr>
          </w:p>
        </w:tc>
        <w:tc>
          <w:tcPr>
            <w:tcW w:w="1780" w:type="dxa"/>
            <w:vAlign w:val="bottom"/>
          </w:tcPr>
          <w:p>
            <w:pPr>
              <w:jc w:val="center"/>
              <w:spacing w:after="0"/>
              <w:rPr>
                <w:sz w:val="20"/>
                <w:szCs w:val="20"/>
                <w:color w:val="auto"/>
              </w:rPr>
            </w:pPr>
            <w:r>
              <w:rPr>
                <w:rFonts w:ascii="Arial" w:cs="Arial" w:eastAsia="Arial" w:hAnsi="Arial"/>
                <w:sz w:val="14"/>
                <w:szCs w:val="14"/>
                <w:b w:val="1"/>
                <w:bCs w:val="1"/>
                <w:color w:val="auto"/>
              </w:rPr>
              <w:t>options, warrants, and</w:t>
            </w:r>
          </w:p>
        </w:tc>
        <w:tc>
          <w:tcPr>
            <w:tcW w:w="2120" w:type="dxa"/>
            <w:vAlign w:val="bottom"/>
            <w:gridSpan w:val="2"/>
          </w:tcPr>
          <w:p>
            <w:pPr>
              <w:jc w:val="center"/>
              <w:spacing w:after="0"/>
              <w:rPr>
                <w:sz w:val="20"/>
                <w:szCs w:val="20"/>
                <w:color w:val="auto"/>
              </w:rPr>
            </w:pPr>
            <w:r>
              <w:rPr>
                <w:rFonts w:ascii="Arial" w:cs="Arial" w:eastAsia="Arial" w:hAnsi="Arial"/>
                <w:sz w:val="14"/>
                <w:szCs w:val="14"/>
                <w:b w:val="1"/>
                <w:bCs w:val="1"/>
                <w:color w:val="auto"/>
              </w:rPr>
              <w:t>price of outstanding options,</w:t>
            </w:r>
          </w:p>
        </w:tc>
        <w:tc>
          <w:tcPr>
            <w:tcW w:w="2560" w:type="dxa"/>
            <w:vAlign w:val="bottom"/>
          </w:tcPr>
          <w:p>
            <w:pPr>
              <w:jc w:val="center"/>
              <w:spacing w:after="0"/>
              <w:rPr>
                <w:sz w:val="20"/>
                <w:szCs w:val="20"/>
                <w:color w:val="auto"/>
              </w:rPr>
            </w:pPr>
            <w:r>
              <w:rPr>
                <w:rFonts w:ascii="Arial" w:cs="Arial" w:eastAsia="Arial" w:hAnsi="Arial"/>
                <w:sz w:val="14"/>
                <w:szCs w:val="14"/>
                <w:b w:val="1"/>
                <w:bCs w:val="1"/>
                <w:color w:val="auto"/>
              </w:rPr>
              <w:t>(excluding securities reflected in</w:t>
            </w:r>
          </w:p>
        </w:tc>
      </w:tr>
      <w:tr>
        <w:trPr>
          <w:trHeight w:val="203"/>
        </w:trPr>
        <w:tc>
          <w:tcPr>
            <w:tcW w:w="49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Plan category</w:t>
            </w: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rights</w:t>
            </w:r>
          </w:p>
        </w:tc>
        <w:tc>
          <w:tcPr>
            <w:tcW w:w="21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warrants, and rights</w:t>
            </w:r>
          </w:p>
        </w:tc>
        <w:tc>
          <w:tcPr>
            <w:tcW w:w="2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column (a))</w:t>
            </w:r>
          </w:p>
        </w:tc>
      </w:tr>
      <w:tr>
        <w:trPr>
          <w:trHeight w:val="251"/>
        </w:trPr>
        <w:tc>
          <w:tcPr>
            <w:tcW w:w="4960" w:type="dxa"/>
            <w:vAlign w:val="bottom"/>
            <w:shd w:val="clear" w:color="auto" w:fill="D8D8D8"/>
          </w:tcPr>
          <w:p>
            <w:pPr>
              <w:ind w:left="40"/>
              <w:spacing w:after="0"/>
              <w:rPr>
                <w:sz w:val="20"/>
                <w:szCs w:val="20"/>
                <w:color w:val="auto"/>
              </w:rPr>
            </w:pPr>
            <w:r>
              <w:rPr>
                <w:rFonts w:ascii="Arial" w:cs="Arial" w:eastAsia="Arial" w:hAnsi="Arial"/>
                <w:sz w:val="18"/>
                <w:szCs w:val="18"/>
                <w:color w:val="auto"/>
              </w:rPr>
              <w:t>Equity compensation plans approved by security holders</w:t>
            </w:r>
          </w:p>
        </w:tc>
        <w:tc>
          <w:tcPr>
            <w:tcW w:w="1780" w:type="dxa"/>
            <w:vAlign w:val="bottom"/>
            <w:shd w:val="clear" w:color="auto" w:fill="D8D8D8"/>
          </w:tcPr>
          <w:p>
            <w:pPr>
              <w:jc w:val="right"/>
              <w:ind w:right="41"/>
              <w:spacing w:after="0"/>
              <w:rPr>
                <w:sz w:val="20"/>
                <w:szCs w:val="20"/>
                <w:color w:val="auto"/>
              </w:rPr>
            </w:pPr>
            <w:r>
              <w:rPr>
                <w:rFonts w:ascii="Arial" w:cs="Arial" w:eastAsia="Arial" w:hAnsi="Arial"/>
                <w:sz w:val="18"/>
                <w:szCs w:val="18"/>
                <w:color w:val="auto"/>
              </w:rPr>
              <w:t>368,914</w:t>
            </w:r>
          </w:p>
        </w:tc>
        <w:tc>
          <w:tcPr>
            <w:tcW w:w="1000" w:type="dxa"/>
            <w:vAlign w:val="bottom"/>
            <w:shd w:val="clear" w:color="auto" w:fill="D8D8D8"/>
          </w:tcPr>
          <w:p>
            <w:pPr>
              <w:jc w:val="right"/>
              <w:ind w:right="484"/>
              <w:spacing w:after="0"/>
              <w:rPr>
                <w:sz w:val="20"/>
                <w:szCs w:val="20"/>
                <w:color w:val="auto"/>
              </w:rPr>
            </w:pPr>
            <w:r>
              <w:rPr>
                <w:rFonts w:ascii="Arial" w:cs="Arial" w:eastAsia="Arial" w:hAnsi="Arial"/>
                <w:sz w:val="18"/>
                <w:szCs w:val="18"/>
                <w:color w:val="auto"/>
              </w:rPr>
              <w:t>$</w:t>
            </w:r>
          </w:p>
        </w:tc>
        <w:tc>
          <w:tcPr>
            <w:tcW w:w="1120" w:type="dxa"/>
            <w:vAlign w:val="bottom"/>
            <w:shd w:val="clear" w:color="auto" w:fill="D8D8D8"/>
          </w:tcPr>
          <w:p>
            <w:pPr>
              <w:jc w:val="right"/>
              <w:ind w:right="10"/>
              <w:spacing w:after="0"/>
              <w:rPr>
                <w:sz w:val="20"/>
                <w:szCs w:val="20"/>
                <w:color w:val="auto"/>
              </w:rPr>
            </w:pPr>
            <w:r>
              <w:rPr>
                <w:rFonts w:ascii="Arial" w:cs="Arial" w:eastAsia="Arial" w:hAnsi="Arial"/>
                <w:sz w:val="18"/>
                <w:szCs w:val="18"/>
                <w:color w:val="auto"/>
              </w:rPr>
              <w:t>56.20</w:t>
            </w:r>
          </w:p>
        </w:tc>
        <w:tc>
          <w:tcPr>
            <w:tcW w:w="2560" w:type="dxa"/>
            <w:vAlign w:val="bottom"/>
            <w:shd w:val="clear" w:color="auto" w:fill="D8D8D8"/>
          </w:tcPr>
          <w:p>
            <w:pPr>
              <w:jc w:val="right"/>
              <w:ind w:right="21"/>
              <w:spacing w:after="0"/>
              <w:rPr>
                <w:sz w:val="20"/>
                <w:szCs w:val="20"/>
                <w:color w:val="auto"/>
              </w:rPr>
            </w:pPr>
            <w:r>
              <w:rPr>
                <w:rFonts w:ascii="Arial" w:cs="Arial" w:eastAsia="Arial" w:hAnsi="Arial"/>
                <w:sz w:val="18"/>
                <w:szCs w:val="18"/>
                <w:color w:val="auto"/>
              </w:rPr>
              <w:t>100,636,160</w:t>
            </w:r>
          </w:p>
        </w:tc>
      </w:tr>
      <w:tr>
        <w:trPr>
          <w:trHeight w:val="252"/>
        </w:trPr>
        <w:tc>
          <w:tcPr>
            <w:tcW w:w="4960" w:type="dxa"/>
            <w:vAlign w:val="bottom"/>
            <w:tcBorders>
              <w:bottom w:val="single" w:sz="8" w:color="D8D8D8"/>
            </w:tcBorders>
          </w:tcPr>
          <w:p>
            <w:pPr>
              <w:ind w:left="40"/>
              <w:spacing w:after="0"/>
              <w:rPr>
                <w:sz w:val="20"/>
                <w:szCs w:val="20"/>
                <w:color w:val="auto"/>
              </w:rPr>
            </w:pPr>
            <w:r>
              <w:rPr>
                <w:rFonts w:ascii="Arial" w:cs="Arial" w:eastAsia="Arial" w:hAnsi="Arial"/>
                <w:sz w:val="18"/>
                <w:szCs w:val="18"/>
                <w:color w:val="auto"/>
              </w:rPr>
              <w:t>Equity compensation plan not approved by security holders</w:t>
            </w:r>
          </w:p>
        </w:tc>
        <w:tc>
          <w:tcPr>
            <w:tcW w:w="1780" w:type="dxa"/>
            <w:vAlign w:val="bottom"/>
            <w:tcBorders>
              <w:bottom w:val="single" w:sz="8" w:color="auto"/>
            </w:tcBorders>
          </w:tcPr>
          <w:p>
            <w:pPr>
              <w:jc w:val="right"/>
              <w:ind w:right="41"/>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D8D8D8"/>
            </w:tcBorders>
          </w:tcPr>
          <w:p>
            <w:pPr>
              <w:spacing w:after="0"/>
              <w:rPr>
                <w:sz w:val="21"/>
                <w:szCs w:val="21"/>
                <w:color w:val="auto"/>
              </w:rPr>
            </w:pPr>
          </w:p>
        </w:tc>
        <w:tc>
          <w:tcPr>
            <w:tcW w:w="1120" w:type="dxa"/>
            <w:vAlign w:val="bottom"/>
            <w:tcBorders>
              <w:bottom w:val="single" w:sz="8" w:color="D8D8D8"/>
            </w:tcBorders>
          </w:tcPr>
          <w:p>
            <w:pPr>
              <w:jc w:val="right"/>
              <w:ind w:right="10"/>
              <w:spacing w:after="0"/>
              <w:rPr>
                <w:sz w:val="20"/>
                <w:szCs w:val="20"/>
                <w:color w:val="auto"/>
              </w:rPr>
            </w:pPr>
            <w:r>
              <w:rPr>
                <w:rFonts w:ascii="Arial" w:cs="Arial" w:eastAsia="Arial" w:hAnsi="Arial"/>
                <w:sz w:val="18"/>
                <w:szCs w:val="18"/>
                <w:color w:val="auto"/>
              </w:rPr>
              <w:t>—</w:t>
            </w:r>
          </w:p>
        </w:tc>
        <w:tc>
          <w:tcPr>
            <w:tcW w:w="2560" w:type="dxa"/>
            <w:vAlign w:val="bottom"/>
            <w:tcBorders>
              <w:bottom w:val="single" w:sz="8" w:color="auto"/>
            </w:tcBorders>
          </w:tcPr>
          <w:p>
            <w:pPr>
              <w:jc w:val="right"/>
              <w:ind w:right="21"/>
              <w:spacing w:after="0"/>
              <w:rPr>
                <w:sz w:val="20"/>
                <w:szCs w:val="20"/>
                <w:color w:val="auto"/>
              </w:rPr>
            </w:pPr>
            <w:r>
              <w:rPr>
                <w:rFonts w:ascii="Arial" w:cs="Arial" w:eastAsia="Arial" w:hAnsi="Arial"/>
                <w:sz w:val="18"/>
                <w:szCs w:val="18"/>
                <w:color w:val="auto"/>
              </w:rPr>
              <w:t>—</w:t>
            </w:r>
          </w:p>
        </w:tc>
      </w:tr>
      <w:tr>
        <w:trPr>
          <w:trHeight w:val="262"/>
        </w:trPr>
        <w:tc>
          <w:tcPr>
            <w:tcW w:w="4960" w:type="dxa"/>
            <w:vAlign w:val="bottom"/>
            <w:tcBorders>
              <w:bottom w:val="single" w:sz="8" w:color="D8D8D8"/>
            </w:tcBorders>
            <w:shd w:val="clear" w:color="auto" w:fill="D8D8D8"/>
          </w:tcPr>
          <w:p>
            <w:pPr>
              <w:ind w:left="40"/>
              <w:spacing w:after="0"/>
              <w:rPr>
                <w:sz w:val="20"/>
                <w:szCs w:val="20"/>
                <w:color w:val="auto"/>
              </w:rPr>
            </w:pPr>
            <w:r>
              <w:rPr>
                <w:rFonts w:ascii="Arial" w:cs="Arial" w:eastAsia="Arial" w:hAnsi="Arial"/>
                <w:sz w:val="18"/>
                <w:szCs w:val="18"/>
                <w:color w:val="auto"/>
              </w:rPr>
              <w:t>Total</w:t>
            </w:r>
          </w:p>
        </w:tc>
        <w:tc>
          <w:tcPr>
            <w:tcW w:w="1780" w:type="dxa"/>
            <w:vAlign w:val="bottom"/>
            <w:tcBorders>
              <w:bottom w:val="single" w:sz="8" w:color="auto"/>
            </w:tcBorders>
            <w:shd w:val="clear" w:color="auto" w:fill="D8D8D8"/>
          </w:tcPr>
          <w:p>
            <w:pPr>
              <w:jc w:val="right"/>
              <w:ind w:right="41"/>
              <w:spacing w:after="0"/>
              <w:rPr>
                <w:sz w:val="20"/>
                <w:szCs w:val="20"/>
                <w:color w:val="auto"/>
              </w:rPr>
            </w:pPr>
            <w:r>
              <w:rPr>
                <w:rFonts w:ascii="Arial" w:cs="Arial" w:eastAsia="Arial" w:hAnsi="Arial"/>
                <w:sz w:val="18"/>
                <w:szCs w:val="18"/>
                <w:color w:val="auto"/>
              </w:rPr>
              <w:t>368,914</w:t>
            </w:r>
          </w:p>
        </w:tc>
        <w:tc>
          <w:tcPr>
            <w:tcW w:w="1000" w:type="dxa"/>
            <w:vAlign w:val="bottom"/>
            <w:tcBorders>
              <w:bottom w:val="single" w:sz="8" w:color="D8D8D8"/>
            </w:tcBorders>
            <w:shd w:val="clear" w:color="auto" w:fill="D8D8D8"/>
          </w:tcPr>
          <w:p>
            <w:pPr>
              <w:spacing w:after="0"/>
              <w:rPr>
                <w:sz w:val="22"/>
                <w:szCs w:val="22"/>
                <w:color w:val="auto"/>
              </w:rPr>
            </w:pPr>
          </w:p>
        </w:tc>
        <w:tc>
          <w:tcPr>
            <w:tcW w:w="1120" w:type="dxa"/>
            <w:vAlign w:val="bottom"/>
            <w:tcBorders>
              <w:bottom w:val="single" w:sz="8" w:color="D8D8D8"/>
            </w:tcBorders>
            <w:shd w:val="clear" w:color="auto" w:fill="D8D8D8"/>
          </w:tcPr>
          <w:p>
            <w:pPr>
              <w:jc w:val="right"/>
              <w:ind w:right="10"/>
              <w:spacing w:after="0"/>
              <w:rPr>
                <w:sz w:val="20"/>
                <w:szCs w:val="20"/>
                <w:color w:val="auto"/>
              </w:rPr>
            </w:pPr>
            <w:r>
              <w:rPr>
                <w:rFonts w:ascii="Arial" w:cs="Arial" w:eastAsia="Arial" w:hAnsi="Arial"/>
                <w:sz w:val="18"/>
                <w:szCs w:val="18"/>
                <w:color w:val="auto"/>
              </w:rPr>
              <w:t>56.20</w:t>
            </w:r>
          </w:p>
        </w:tc>
        <w:tc>
          <w:tcPr>
            <w:tcW w:w="2560" w:type="dxa"/>
            <w:vAlign w:val="bottom"/>
            <w:tcBorders>
              <w:bottom w:val="single" w:sz="8" w:color="auto"/>
            </w:tcBorders>
            <w:shd w:val="clear" w:color="auto" w:fill="D8D8D8"/>
          </w:tcPr>
          <w:p>
            <w:pPr>
              <w:jc w:val="right"/>
              <w:ind w:right="21"/>
              <w:spacing w:after="0"/>
              <w:rPr>
                <w:sz w:val="20"/>
                <w:szCs w:val="20"/>
                <w:color w:val="auto"/>
              </w:rPr>
            </w:pPr>
            <w:r>
              <w:rPr>
                <w:rFonts w:ascii="Arial" w:cs="Arial" w:eastAsia="Arial" w:hAnsi="Arial"/>
                <w:sz w:val="18"/>
                <w:szCs w:val="18"/>
                <w:color w:val="auto"/>
              </w:rPr>
              <w:t>100,636,160</w:t>
            </w:r>
          </w:p>
        </w:tc>
      </w:tr>
    </w:tbl>
    <w:p>
      <w:pPr>
        <w:spacing w:after="0" w:line="180" w:lineRule="exact"/>
        <w:rPr>
          <w:sz w:val="20"/>
          <w:szCs w:val="20"/>
          <w:color w:val="auto"/>
        </w:rPr>
      </w:pPr>
    </w:p>
    <w:p>
      <w:pPr>
        <w:ind w:left="1300" w:right="660" w:hanging="1296"/>
        <w:spacing w:after="0" w:line="302" w:lineRule="auto"/>
        <w:rPr>
          <w:sz w:val="20"/>
          <w:szCs w:val="20"/>
          <w:color w:val="auto"/>
        </w:rPr>
      </w:pPr>
      <w:r>
        <w:rPr>
          <w:rFonts w:ascii="Arial" w:cs="Arial" w:eastAsia="Arial" w:hAnsi="Arial"/>
          <w:sz w:val="32"/>
          <w:szCs w:val="32"/>
          <w:b w:val="1"/>
          <w:bCs w:val="1"/>
          <w:i w:val="1"/>
          <w:iCs w:val="1"/>
          <w:color w:val="CC0000"/>
        </w:rPr>
        <w:t>Item 13. Certain Relationships and Related Transactions, and Director Independence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Related Person Transactions</w:t>
      </w:r>
    </w:p>
    <w:p>
      <w:pPr>
        <w:spacing w:after="0" w:line="119" w:lineRule="exact"/>
        <w:rPr>
          <w:sz w:val="20"/>
          <w:szCs w:val="20"/>
          <w:color w:val="auto"/>
        </w:rPr>
      </w:pPr>
    </w:p>
    <w:p>
      <w:pPr>
        <w:jc w:val="both"/>
        <w:ind w:right="240"/>
        <w:spacing w:after="0" w:line="271" w:lineRule="auto"/>
        <w:rPr>
          <w:sz w:val="20"/>
          <w:szCs w:val="20"/>
          <w:color w:val="auto"/>
        </w:rPr>
      </w:pPr>
      <w:r>
        <w:rPr>
          <w:rFonts w:ascii="Arial" w:cs="Arial" w:eastAsia="Arial" w:hAnsi="Arial"/>
          <w:sz w:val="18"/>
          <w:szCs w:val="18"/>
          <w:color w:val="auto"/>
        </w:rPr>
        <w:t>Information relating to three related person transactions and the board’s policies and procedures for approval of related person transactions can be found in the Proxy Statement under “Highlights of the Company’s Corporate Governance—Conflicts of Interest and Transactions with Related Persons.” That information is incorporated in this report by reference.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Director Independence</w:t>
      </w:r>
    </w:p>
    <w:p>
      <w:pPr>
        <w:spacing w:after="0" w:line="119" w:lineRule="exact"/>
        <w:rPr>
          <w:sz w:val="20"/>
          <w:szCs w:val="20"/>
          <w:color w:val="auto"/>
        </w:rPr>
      </w:pPr>
    </w:p>
    <w:p>
      <w:pPr>
        <w:ind w:right="280"/>
        <w:spacing w:after="0" w:line="292" w:lineRule="auto"/>
        <w:rPr>
          <w:sz w:val="20"/>
          <w:szCs w:val="20"/>
          <w:color w:val="auto"/>
        </w:rPr>
      </w:pPr>
      <w:r>
        <w:rPr>
          <w:rFonts w:ascii="Arial" w:cs="Arial" w:eastAsia="Arial" w:hAnsi="Arial"/>
          <w:sz w:val="18"/>
          <w:szCs w:val="18"/>
          <w:color w:val="auto"/>
        </w:rPr>
        <w:t>Information relating to director independence can be found in the Proxy Statement under “Director Independence” and is incorporated in this report by reference.</w:t>
      </w:r>
    </w:p>
    <w:p>
      <w:pPr>
        <w:spacing w:after="0" w:line="131" w:lineRule="exact"/>
        <w:rPr>
          <w:sz w:val="20"/>
          <w:szCs w:val="20"/>
          <w:color w:val="auto"/>
        </w:rPr>
      </w:pPr>
    </w:p>
    <w:p>
      <w:pPr>
        <w:spacing w:after="0"/>
        <w:rPr>
          <w:sz w:val="20"/>
          <w:szCs w:val="20"/>
          <w:color w:val="auto"/>
        </w:rPr>
      </w:pPr>
      <w:r>
        <w:rPr>
          <w:rFonts w:ascii="Arial" w:cs="Arial" w:eastAsia="Arial" w:hAnsi="Arial"/>
          <w:sz w:val="32"/>
          <w:szCs w:val="32"/>
          <w:b w:val="1"/>
          <w:bCs w:val="1"/>
          <w:i w:val="1"/>
          <w:iCs w:val="1"/>
          <w:color w:val="CC0000"/>
        </w:rPr>
        <w:t>Item 14. Principal Accountant Fees and Services</w:t>
      </w:r>
    </w:p>
    <w:p>
      <w:pPr>
        <w:spacing w:after="0" w:line="186"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Information related to the fees and services of our principal independent accountants, Ernst &amp; Young LLP, can be found in the Proxy Statement under “Item 3. Proposal to Ratify the Appointment of Principal Independent Auditor—Services Performed by the Independent Auditor” and “Independent Auditor Fees.” That information is incorporated in this report by reference.</w:t>
      </w:r>
    </w:p>
    <w:p>
      <w:pPr>
        <w:spacing w:after="0" w:line="150" w:lineRule="exact"/>
        <w:rPr>
          <w:sz w:val="20"/>
          <w:szCs w:val="20"/>
          <w:color w:val="auto"/>
        </w:rPr>
      </w:pPr>
    </w:p>
    <w:p>
      <w:pPr>
        <w:spacing w:after="0"/>
        <w:rPr>
          <w:sz w:val="20"/>
          <w:szCs w:val="20"/>
          <w:color w:val="auto"/>
        </w:rPr>
      </w:pPr>
      <w:r>
        <w:rPr>
          <w:rFonts w:ascii="Arial" w:cs="Arial" w:eastAsia="Arial" w:hAnsi="Arial"/>
          <w:sz w:val="32"/>
          <w:szCs w:val="32"/>
          <w:b w:val="1"/>
          <w:bCs w:val="1"/>
          <w:i w:val="1"/>
          <w:iCs w:val="1"/>
          <w:color w:val="CC0000"/>
        </w:rPr>
        <w:t>Item 15. Exhibits and Financial Statement Schedules</w:t>
      </w:r>
    </w:p>
    <w:p>
      <w:pPr>
        <w:spacing w:after="0" w:line="238"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CC0000"/>
        </w:rPr>
        <w:t>(a)1.</w:t>
      </w:r>
      <w:r>
        <w:rPr>
          <w:sz w:val="20"/>
          <w:szCs w:val="20"/>
          <w:color w:val="auto"/>
        </w:rPr>
        <w:tab/>
      </w:r>
      <w:r>
        <w:rPr>
          <w:rFonts w:ascii="Arial" w:cs="Arial" w:eastAsia="Arial" w:hAnsi="Arial"/>
          <w:sz w:val="17"/>
          <w:szCs w:val="17"/>
          <w:b w:val="1"/>
          <w:bCs w:val="1"/>
          <w:color w:val="CC0000"/>
        </w:rPr>
        <w:t>Financial Statements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consolidated financial statements of the company and its subsidiaries are found at Item 8:</w:t>
      </w:r>
    </w:p>
    <w:p>
      <w:pPr>
        <w:spacing w:after="0" w:line="117" w:lineRule="exact"/>
        <w:rPr>
          <w:sz w:val="20"/>
          <w:szCs w:val="20"/>
          <w:color w:val="auto"/>
        </w:rPr>
      </w:pPr>
    </w:p>
    <w:p>
      <w:pPr>
        <w:ind w:left="660" w:hanging="328"/>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Consolidated Statements of Operations—Years Ended December 31, 2015, 2014, and 2013</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Consolidated Statements of Comprehensive Income—Years Ended December 31, 2015, 2014, and 2013</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Consolidated Balance Sheets—December 31, 2015 and 2014</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Consolidated Statements of Shareholders' Equity—Years Ended December 31, 2015, 2014, and 2013</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Consolidated Statements of Cash Flows—Years Ended December 31, 2015, 2014, and 2013</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Notes to Consolidated Financial Statements</w:t>
      </w:r>
    </w:p>
    <w:p>
      <w:pPr>
        <w:spacing w:after="0" w:line="22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CC0000"/>
        </w:rPr>
        <w:t>(a)2.</w:t>
      </w:r>
      <w:r>
        <w:rPr>
          <w:sz w:val="20"/>
          <w:szCs w:val="20"/>
          <w:color w:val="auto"/>
        </w:rPr>
        <w:tab/>
      </w:r>
      <w:r>
        <w:rPr>
          <w:rFonts w:ascii="Arial" w:cs="Arial" w:eastAsia="Arial" w:hAnsi="Arial"/>
          <w:sz w:val="17"/>
          <w:szCs w:val="17"/>
          <w:b w:val="1"/>
          <w:bCs w:val="1"/>
          <w:color w:val="CC0000"/>
        </w:rPr>
        <w:t>Financial Statement Schedules</w:t>
      </w:r>
    </w:p>
    <w:p>
      <w:pPr>
        <w:spacing w:after="0" w:line="119" w:lineRule="exact"/>
        <w:rPr>
          <w:sz w:val="20"/>
          <w:szCs w:val="20"/>
          <w:color w:val="auto"/>
        </w:rPr>
      </w:pPr>
    </w:p>
    <w:p>
      <w:pPr>
        <w:ind w:right="440"/>
        <w:spacing w:after="0" w:line="292" w:lineRule="auto"/>
        <w:rPr>
          <w:sz w:val="20"/>
          <w:szCs w:val="20"/>
          <w:color w:val="auto"/>
        </w:rPr>
      </w:pPr>
      <w:r>
        <w:rPr>
          <w:rFonts w:ascii="Arial" w:cs="Arial" w:eastAsia="Arial" w:hAnsi="Arial"/>
          <w:sz w:val="18"/>
          <w:szCs w:val="18"/>
          <w:color w:val="auto"/>
        </w:rPr>
        <w:t>The consolidated financial statement schedules of the company and its subsidiaries have been omitted because they are not required, are inapplicable, or are adequately explained in the financial statements.</w:t>
      </w:r>
    </w:p>
    <w:p>
      <w:pPr>
        <w:spacing w:after="0" w:line="37" w:lineRule="exact"/>
        <w:rPr>
          <w:sz w:val="20"/>
          <w:szCs w:val="20"/>
          <w:color w:val="auto"/>
        </w:rPr>
      </w:pPr>
    </w:p>
    <w:p>
      <w:pPr>
        <w:ind w:right="120"/>
        <w:spacing w:after="0" w:line="292" w:lineRule="auto"/>
        <w:rPr>
          <w:sz w:val="20"/>
          <w:szCs w:val="20"/>
          <w:color w:val="auto"/>
        </w:rPr>
      </w:pPr>
      <w:r>
        <w:rPr>
          <w:rFonts w:ascii="Arial" w:cs="Arial" w:eastAsia="Arial" w:hAnsi="Arial"/>
          <w:sz w:val="18"/>
          <w:szCs w:val="18"/>
          <w:color w:val="auto"/>
        </w:rPr>
        <w:t>Financial statements of interests of 50 percent or less, which are accounted for by the equity method, have been omitted because they do not, considered in the aggregate as a single subsidiary, constitute a significant subsidiary.</w:t>
      </w:r>
    </w:p>
    <w:p>
      <w:pPr>
        <w:sectPr>
          <w:pgSz w:w="11900" w:h="16838" w:orient="portrait"/>
          <w:cols w:equalWidth="0" w:num="1">
            <w:col w:w="11420"/>
          </w:cols>
          <w:pgMar w:left="240" w:top="562" w:right="239" w:bottom="1440" w:gutter="0" w:footer="0" w:header="0"/>
        </w:sectPr>
      </w:pPr>
    </w:p>
    <w:p>
      <w:pPr>
        <w:spacing w:after="0" w:line="172" w:lineRule="exact"/>
        <w:rPr>
          <w:sz w:val="20"/>
          <w:szCs w:val="20"/>
          <w:color w:val="auto"/>
        </w:rPr>
      </w:pPr>
    </w:p>
    <w:p>
      <w:pPr>
        <w:ind w:left="11160"/>
        <w:spacing w:after="0"/>
        <w:rPr>
          <w:sz w:val="20"/>
          <w:szCs w:val="20"/>
          <w:color w:val="auto"/>
        </w:rPr>
      </w:pPr>
      <w:r>
        <w:rPr>
          <w:rFonts w:ascii="Times New Roman" w:cs="Times New Roman" w:eastAsia="Times New Roman" w:hAnsi="Times New Roman"/>
          <w:sz w:val="17"/>
          <w:szCs w:val="17"/>
          <w:b w:val="1"/>
          <w:bCs w:val="1"/>
          <w:i w:val="1"/>
          <w:iCs w:val="1"/>
          <w:color w:val="auto"/>
        </w:rPr>
        <w:t>113</w:t>
      </w:r>
    </w:p>
    <w:p>
      <w:pPr>
        <w:sectPr>
          <w:pgSz w:w="11900" w:h="16838" w:orient="portrait"/>
          <w:cols w:equalWidth="0" w:num="1">
            <w:col w:w="11420"/>
          </w:cols>
          <w:pgMar w:left="240" w:top="562" w:right="239" w:bottom="1440" w:gutter="0" w:footer="0" w:header="0"/>
          <w:type w:val="continuous"/>
        </w:sectPr>
      </w:pPr>
    </w:p>
    <w:bookmarkStart w:id="113" w:name="page114"/>
    <w:bookmarkEnd w:id="113"/>
    <w:tbl>
      <w:tblPr>
        <w:tblLayout w:type="fixed"/>
        <w:tblInd w:w="0" w:type="dxa"/>
        <w:tblCellMar>
          <w:top w:w="0" w:type="dxa"/>
          <w:left w:w="0" w:type="dxa"/>
          <w:bottom w:w="0" w:type="dxa"/>
          <w:right w:w="0" w:type="dxa"/>
        </w:tblCellMar>
      </w:tblPr>
      <w:tr>
        <w:trPr>
          <w:trHeight w:val="253"/>
        </w:trPr>
        <w:tc>
          <w:tcPr>
            <w:tcW w:w="480" w:type="dxa"/>
            <w:vAlign w:val="bottom"/>
          </w:tcPr>
          <w:p>
            <w:pPr>
              <w:spacing w:after="0"/>
              <w:rPr>
                <w:sz w:val="20"/>
                <w:szCs w:val="20"/>
                <w:color w:val="auto"/>
              </w:rPr>
            </w:pPr>
            <w:r>
              <w:rPr>
                <w:rFonts w:ascii="Arial" w:cs="Arial" w:eastAsia="Arial" w:hAnsi="Arial"/>
                <w:sz w:val="18"/>
                <w:szCs w:val="18"/>
                <w:b w:val="1"/>
                <w:bCs w:val="1"/>
                <w:color w:val="CC0000"/>
              </w:rPr>
              <w:t>(a)3.</w:t>
            </w:r>
          </w:p>
        </w:tc>
        <w:tc>
          <w:tcPr>
            <w:tcW w:w="10860" w:type="dxa"/>
            <w:vAlign w:val="bottom"/>
          </w:tcPr>
          <w:p>
            <w:pPr>
              <w:ind w:left="100"/>
              <w:spacing w:after="0"/>
              <w:rPr>
                <w:sz w:val="20"/>
                <w:szCs w:val="20"/>
                <w:color w:val="auto"/>
              </w:rPr>
            </w:pPr>
            <w:r>
              <w:rPr>
                <w:rFonts w:ascii="Arial" w:cs="Arial" w:eastAsia="Arial" w:hAnsi="Arial"/>
                <w:sz w:val="18"/>
                <w:szCs w:val="18"/>
                <w:b w:val="1"/>
                <w:bCs w:val="1"/>
                <w:color w:val="CC0000"/>
              </w:rPr>
              <w:t>Exhibits</w:t>
            </w:r>
          </w:p>
        </w:tc>
      </w:tr>
      <w:tr>
        <w:trPr>
          <w:trHeight w:val="384"/>
        </w:trPr>
        <w:tc>
          <w:tcPr>
            <w:tcW w:w="480" w:type="dxa"/>
            <w:vAlign w:val="bottom"/>
          </w:tcPr>
          <w:p>
            <w:pPr>
              <w:ind w:left="40"/>
              <w:spacing w:after="0"/>
              <w:rPr>
                <w:sz w:val="20"/>
                <w:szCs w:val="20"/>
                <w:color w:val="auto"/>
              </w:rPr>
            </w:pPr>
            <w:r>
              <w:rPr>
                <w:rFonts w:ascii="Arial" w:cs="Arial" w:eastAsia="Arial" w:hAnsi="Arial"/>
                <w:sz w:val="18"/>
                <w:szCs w:val="18"/>
                <w:color w:val="auto"/>
              </w:rPr>
              <w:t>2.1</w:t>
            </w:r>
          </w:p>
        </w:tc>
        <w:tc>
          <w:tcPr>
            <w:tcW w:w="10860" w:type="dxa"/>
            <w:vAlign w:val="bottom"/>
          </w:tcPr>
          <w:p>
            <w:pPr>
              <w:ind w:left="500"/>
              <w:spacing w:after="0"/>
              <w:rPr>
                <w:sz w:val="20"/>
                <w:szCs w:val="20"/>
                <w:color w:val="auto"/>
              </w:rPr>
            </w:pPr>
            <w:r>
              <w:rPr>
                <w:rFonts w:ascii="Arial" w:cs="Arial" w:eastAsia="Arial" w:hAnsi="Arial"/>
                <w:sz w:val="18"/>
                <w:szCs w:val="18"/>
                <w:color w:val="auto"/>
              </w:rPr>
              <w:t>Stock and Asset Purchase Agreement between Novartis AG and Eli Lilly and Company dated as of April 22, 2014</w:t>
            </w:r>
          </w:p>
        </w:tc>
      </w:tr>
      <w:tr>
        <w:trPr>
          <w:trHeight w:val="338"/>
        </w:trPr>
        <w:tc>
          <w:tcPr>
            <w:tcW w:w="480" w:type="dxa"/>
            <w:vAlign w:val="bottom"/>
          </w:tcPr>
          <w:p>
            <w:pPr>
              <w:ind w:left="40"/>
              <w:spacing w:after="0"/>
              <w:rPr>
                <w:sz w:val="20"/>
                <w:szCs w:val="20"/>
                <w:color w:val="auto"/>
              </w:rPr>
            </w:pPr>
            <w:r>
              <w:rPr>
                <w:rFonts w:ascii="Arial" w:cs="Arial" w:eastAsia="Arial" w:hAnsi="Arial"/>
                <w:sz w:val="18"/>
                <w:szCs w:val="18"/>
                <w:color w:val="auto"/>
              </w:rPr>
              <w:t>2.2</w:t>
            </w:r>
          </w:p>
        </w:tc>
        <w:tc>
          <w:tcPr>
            <w:tcW w:w="10860" w:type="dxa"/>
            <w:vAlign w:val="bottom"/>
          </w:tcPr>
          <w:p>
            <w:pPr>
              <w:ind w:left="500"/>
              <w:spacing w:after="0"/>
              <w:rPr>
                <w:sz w:val="20"/>
                <w:szCs w:val="20"/>
                <w:color w:val="auto"/>
              </w:rPr>
            </w:pPr>
            <w:r>
              <w:rPr>
                <w:rFonts w:ascii="Arial" w:cs="Arial" w:eastAsia="Arial" w:hAnsi="Arial"/>
                <w:sz w:val="18"/>
                <w:szCs w:val="18"/>
                <w:color w:val="auto"/>
                <w:w w:val="99"/>
              </w:rPr>
              <w:t>First Amendment to Stock and Asset Purchase Agreement between Novartis AG and Eli Lilly and Company dated as of December</w:t>
            </w:r>
          </w:p>
        </w:tc>
      </w:tr>
      <w:tr>
        <w:trPr>
          <w:trHeight w:val="243"/>
        </w:trPr>
        <w:tc>
          <w:tcPr>
            <w:tcW w:w="480" w:type="dxa"/>
            <w:vAlign w:val="bottom"/>
          </w:tcPr>
          <w:p>
            <w:pPr>
              <w:spacing w:after="0"/>
              <w:rPr>
                <w:sz w:val="21"/>
                <w:szCs w:val="21"/>
                <w:color w:val="auto"/>
              </w:rPr>
            </w:pPr>
          </w:p>
        </w:tc>
        <w:tc>
          <w:tcPr>
            <w:tcW w:w="10860" w:type="dxa"/>
            <w:vAlign w:val="bottom"/>
          </w:tcPr>
          <w:p>
            <w:pPr>
              <w:ind w:left="500"/>
              <w:spacing w:after="0"/>
              <w:rPr>
                <w:sz w:val="20"/>
                <w:szCs w:val="20"/>
                <w:color w:val="auto"/>
              </w:rPr>
            </w:pPr>
            <w:r>
              <w:rPr>
                <w:rFonts w:ascii="Arial" w:cs="Arial" w:eastAsia="Arial" w:hAnsi="Arial"/>
                <w:sz w:val="18"/>
                <w:szCs w:val="18"/>
                <w:color w:val="auto"/>
              </w:rPr>
              <w:t>17, 2014</w:t>
            </w:r>
          </w:p>
        </w:tc>
      </w:tr>
      <w:tr>
        <w:trPr>
          <w:trHeight w:val="378"/>
        </w:trPr>
        <w:tc>
          <w:tcPr>
            <w:tcW w:w="480" w:type="dxa"/>
            <w:vAlign w:val="bottom"/>
          </w:tcPr>
          <w:p>
            <w:pPr>
              <w:ind w:left="40"/>
              <w:spacing w:after="0"/>
              <w:rPr>
                <w:sz w:val="20"/>
                <w:szCs w:val="20"/>
                <w:color w:val="auto"/>
              </w:rPr>
            </w:pPr>
            <w:r>
              <w:rPr>
                <w:rFonts w:ascii="Arial" w:cs="Arial" w:eastAsia="Arial" w:hAnsi="Arial"/>
                <w:sz w:val="18"/>
                <w:szCs w:val="18"/>
                <w:color w:val="auto"/>
              </w:rPr>
              <w:t>3.1</w:t>
            </w:r>
          </w:p>
        </w:tc>
        <w:tc>
          <w:tcPr>
            <w:tcW w:w="10860" w:type="dxa"/>
            <w:vAlign w:val="bottom"/>
          </w:tcPr>
          <w:p>
            <w:pPr>
              <w:ind w:left="500"/>
              <w:spacing w:after="0"/>
              <w:rPr>
                <w:sz w:val="20"/>
                <w:szCs w:val="20"/>
                <w:color w:val="auto"/>
              </w:rPr>
            </w:pPr>
            <w:r>
              <w:rPr>
                <w:rFonts w:ascii="Arial" w:cs="Arial" w:eastAsia="Arial" w:hAnsi="Arial"/>
                <w:sz w:val="18"/>
                <w:szCs w:val="18"/>
                <w:color w:val="auto"/>
              </w:rPr>
              <w:t>Amended Articles of Incorporation</w:t>
            </w:r>
          </w:p>
        </w:tc>
      </w:tr>
      <w:tr>
        <w:trPr>
          <w:trHeight w:val="378"/>
        </w:trPr>
        <w:tc>
          <w:tcPr>
            <w:tcW w:w="480" w:type="dxa"/>
            <w:vAlign w:val="bottom"/>
          </w:tcPr>
          <w:p>
            <w:pPr>
              <w:ind w:left="40"/>
              <w:spacing w:after="0"/>
              <w:rPr>
                <w:sz w:val="20"/>
                <w:szCs w:val="20"/>
                <w:color w:val="auto"/>
              </w:rPr>
            </w:pPr>
            <w:r>
              <w:rPr>
                <w:rFonts w:ascii="Arial" w:cs="Arial" w:eastAsia="Arial" w:hAnsi="Arial"/>
                <w:sz w:val="18"/>
                <w:szCs w:val="18"/>
                <w:color w:val="auto"/>
              </w:rPr>
              <w:t>3.2</w:t>
            </w:r>
          </w:p>
        </w:tc>
        <w:tc>
          <w:tcPr>
            <w:tcW w:w="10860" w:type="dxa"/>
            <w:vAlign w:val="bottom"/>
          </w:tcPr>
          <w:p>
            <w:pPr>
              <w:ind w:left="500"/>
              <w:spacing w:after="0"/>
              <w:rPr>
                <w:sz w:val="20"/>
                <w:szCs w:val="20"/>
                <w:color w:val="auto"/>
              </w:rPr>
            </w:pPr>
            <w:r>
              <w:rPr>
                <w:rFonts w:ascii="Arial" w:cs="Arial" w:eastAsia="Arial" w:hAnsi="Arial"/>
                <w:sz w:val="18"/>
                <w:szCs w:val="18"/>
                <w:color w:val="auto"/>
              </w:rPr>
              <w:t>Bylaws, as amended</w:t>
            </w:r>
          </w:p>
        </w:tc>
      </w:tr>
      <w:tr>
        <w:trPr>
          <w:trHeight w:val="338"/>
        </w:trPr>
        <w:tc>
          <w:tcPr>
            <w:tcW w:w="480" w:type="dxa"/>
            <w:vAlign w:val="bottom"/>
          </w:tcPr>
          <w:p>
            <w:pPr>
              <w:ind w:left="40"/>
              <w:spacing w:after="0"/>
              <w:rPr>
                <w:sz w:val="20"/>
                <w:szCs w:val="20"/>
                <w:color w:val="auto"/>
              </w:rPr>
            </w:pPr>
            <w:r>
              <w:rPr>
                <w:rFonts w:ascii="Arial" w:cs="Arial" w:eastAsia="Arial" w:hAnsi="Arial"/>
                <w:sz w:val="18"/>
                <w:szCs w:val="18"/>
                <w:color w:val="auto"/>
              </w:rPr>
              <w:t>4.1</w:t>
            </w:r>
          </w:p>
        </w:tc>
        <w:tc>
          <w:tcPr>
            <w:tcW w:w="10860" w:type="dxa"/>
            <w:vAlign w:val="bottom"/>
          </w:tcPr>
          <w:p>
            <w:pPr>
              <w:ind w:left="500"/>
              <w:spacing w:after="0"/>
              <w:rPr>
                <w:sz w:val="20"/>
                <w:szCs w:val="20"/>
                <w:color w:val="auto"/>
              </w:rPr>
            </w:pPr>
            <w:r>
              <w:rPr>
                <w:rFonts w:ascii="Arial" w:cs="Arial" w:eastAsia="Arial" w:hAnsi="Arial"/>
                <w:sz w:val="18"/>
                <w:szCs w:val="18"/>
                <w:color w:val="auto"/>
              </w:rPr>
              <w:t>Indenture with respect to Debt Securities dated as of February 1, 1991, between Eli Lilly and Company and Deutsche Bank Trust</w:t>
            </w:r>
          </w:p>
        </w:tc>
      </w:tr>
      <w:tr>
        <w:trPr>
          <w:trHeight w:val="243"/>
        </w:trPr>
        <w:tc>
          <w:tcPr>
            <w:tcW w:w="480" w:type="dxa"/>
            <w:vAlign w:val="bottom"/>
          </w:tcPr>
          <w:p>
            <w:pPr>
              <w:spacing w:after="0"/>
              <w:rPr>
                <w:sz w:val="21"/>
                <w:szCs w:val="21"/>
                <w:color w:val="auto"/>
              </w:rPr>
            </w:pPr>
          </w:p>
        </w:tc>
        <w:tc>
          <w:tcPr>
            <w:tcW w:w="10860" w:type="dxa"/>
            <w:vAlign w:val="bottom"/>
          </w:tcPr>
          <w:p>
            <w:pPr>
              <w:ind w:left="500"/>
              <w:spacing w:after="0"/>
              <w:rPr>
                <w:sz w:val="20"/>
                <w:szCs w:val="20"/>
                <w:color w:val="auto"/>
              </w:rPr>
            </w:pPr>
            <w:r>
              <w:rPr>
                <w:rFonts w:ascii="Arial" w:cs="Arial" w:eastAsia="Arial" w:hAnsi="Arial"/>
                <w:sz w:val="18"/>
                <w:szCs w:val="18"/>
                <w:color w:val="auto"/>
              </w:rPr>
              <w:t>Company Americas, as successor trustee to Citibank, N.A., Trustee</w:t>
            </w:r>
          </w:p>
        </w:tc>
      </w:tr>
      <w:tr>
        <w:trPr>
          <w:trHeight w:val="338"/>
        </w:trPr>
        <w:tc>
          <w:tcPr>
            <w:tcW w:w="480" w:type="dxa"/>
            <w:vAlign w:val="bottom"/>
          </w:tcPr>
          <w:p>
            <w:pPr>
              <w:ind w:left="40"/>
              <w:spacing w:after="0"/>
              <w:rPr>
                <w:sz w:val="20"/>
                <w:szCs w:val="20"/>
                <w:color w:val="auto"/>
              </w:rPr>
            </w:pPr>
            <w:r>
              <w:rPr>
                <w:rFonts w:ascii="Arial" w:cs="Arial" w:eastAsia="Arial" w:hAnsi="Arial"/>
                <w:sz w:val="18"/>
                <w:szCs w:val="18"/>
                <w:color w:val="auto"/>
              </w:rPr>
              <w:t>4.2</w:t>
            </w:r>
          </w:p>
        </w:tc>
        <w:tc>
          <w:tcPr>
            <w:tcW w:w="10860" w:type="dxa"/>
            <w:vAlign w:val="bottom"/>
          </w:tcPr>
          <w:p>
            <w:pPr>
              <w:ind w:left="500"/>
              <w:spacing w:after="0"/>
              <w:rPr>
                <w:sz w:val="20"/>
                <w:szCs w:val="20"/>
                <w:color w:val="auto"/>
              </w:rPr>
            </w:pPr>
            <w:r>
              <w:rPr>
                <w:rFonts w:ascii="Arial" w:cs="Arial" w:eastAsia="Arial" w:hAnsi="Arial"/>
                <w:sz w:val="18"/>
                <w:szCs w:val="18"/>
                <w:color w:val="auto"/>
              </w:rPr>
              <w:t>Agreement dated September 13, 2007 appointing Deutsche Bank Trust Company Americas as Successor Trustee under the</w:t>
            </w:r>
          </w:p>
        </w:tc>
      </w:tr>
      <w:tr>
        <w:trPr>
          <w:trHeight w:val="243"/>
        </w:trPr>
        <w:tc>
          <w:tcPr>
            <w:tcW w:w="480" w:type="dxa"/>
            <w:vAlign w:val="bottom"/>
          </w:tcPr>
          <w:p>
            <w:pPr>
              <w:spacing w:after="0"/>
              <w:rPr>
                <w:sz w:val="21"/>
                <w:szCs w:val="21"/>
                <w:color w:val="auto"/>
              </w:rPr>
            </w:pPr>
          </w:p>
        </w:tc>
        <w:tc>
          <w:tcPr>
            <w:tcW w:w="10860" w:type="dxa"/>
            <w:vAlign w:val="bottom"/>
          </w:tcPr>
          <w:p>
            <w:pPr>
              <w:ind w:left="500"/>
              <w:spacing w:after="0"/>
              <w:rPr>
                <w:sz w:val="20"/>
                <w:szCs w:val="20"/>
                <w:color w:val="auto"/>
              </w:rPr>
            </w:pPr>
            <w:r>
              <w:rPr>
                <w:rFonts w:ascii="Arial" w:cs="Arial" w:eastAsia="Arial" w:hAnsi="Arial"/>
                <w:sz w:val="18"/>
                <w:szCs w:val="18"/>
                <w:color w:val="auto"/>
              </w:rPr>
              <w:t>Indenture listed above</w:t>
            </w:r>
          </w:p>
        </w:tc>
      </w:tr>
      <w:tr>
        <w:trPr>
          <w:trHeight w:val="433"/>
        </w:trPr>
        <w:tc>
          <w:tcPr>
            <w:tcW w:w="480" w:type="dxa"/>
            <w:vAlign w:val="bottom"/>
          </w:tcPr>
          <w:p>
            <w:pPr>
              <w:ind w:left="40"/>
              <w:spacing w:after="0"/>
              <w:rPr>
                <w:sz w:val="20"/>
                <w:szCs w:val="20"/>
                <w:color w:val="auto"/>
              </w:rPr>
            </w:pPr>
            <w:r>
              <w:rPr>
                <w:rFonts w:ascii="Arial" w:cs="Arial" w:eastAsia="Arial" w:hAnsi="Arial"/>
                <w:sz w:val="18"/>
                <w:szCs w:val="18"/>
                <w:color w:val="auto"/>
              </w:rPr>
              <w:t>10.1</w:t>
            </w:r>
          </w:p>
        </w:tc>
        <w:tc>
          <w:tcPr>
            <w:tcW w:w="10860" w:type="dxa"/>
            <w:vAlign w:val="bottom"/>
          </w:tcPr>
          <w:p>
            <w:pPr>
              <w:ind w:left="500"/>
              <w:spacing w:after="0"/>
              <w:rPr>
                <w:sz w:val="20"/>
                <w:szCs w:val="20"/>
                <w:color w:val="auto"/>
              </w:rPr>
            </w:pPr>
            <w:r>
              <w:rPr>
                <w:rFonts w:ascii="Arial" w:cs="Arial" w:eastAsia="Arial" w:hAnsi="Arial"/>
                <w:sz w:val="18"/>
                <w:szCs w:val="18"/>
                <w:color w:val="auto"/>
              </w:rPr>
              <w:t>2002 Lilly Stock Plan, as amended</w:t>
            </w:r>
            <w:r>
              <w:rPr>
                <w:rFonts w:ascii="Arial" w:cs="Arial" w:eastAsia="Arial" w:hAnsi="Arial"/>
                <w:sz w:val="21"/>
                <w:szCs w:val="21"/>
                <w:color w:val="auto"/>
                <w:vertAlign w:val="superscript"/>
              </w:rPr>
              <w:t>(1)</w:t>
            </w:r>
          </w:p>
        </w:tc>
      </w:tr>
      <w:tr>
        <w:trPr>
          <w:trHeight w:val="378"/>
        </w:trPr>
        <w:tc>
          <w:tcPr>
            <w:tcW w:w="480" w:type="dxa"/>
            <w:vAlign w:val="bottom"/>
          </w:tcPr>
          <w:p>
            <w:pPr>
              <w:ind w:left="40"/>
              <w:spacing w:after="0"/>
              <w:rPr>
                <w:sz w:val="20"/>
                <w:szCs w:val="20"/>
                <w:color w:val="auto"/>
              </w:rPr>
            </w:pPr>
            <w:r>
              <w:rPr>
                <w:rFonts w:ascii="Arial" w:cs="Arial" w:eastAsia="Arial" w:hAnsi="Arial"/>
                <w:sz w:val="18"/>
                <w:szCs w:val="18"/>
                <w:color w:val="auto"/>
              </w:rPr>
              <w:t>10.2</w:t>
            </w:r>
          </w:p>
        </w:tc>
        <w:tc>
          <w:tcPr>
            <w:tcW w:w="10860" w:type="dxa"/>
            <w:vAlign w:val="bottom"/>
          </w:tcPr>
          <w:p>
            <w:pPr>
              <w:ind w:left="500"/>
              <w:spacing w:after="0"/>
              <w:rPr>
                <w:sz w:val="20"/>
                <w:szCs w:val="20"/>
                <w:color w:val="auto"/>
              </w:rPr>
            </w:pPr>
            <w:r>
              <w:rPr>
                <w:rFonts w:ascii="Arial" w:cs="Arial" w:eastAsia="Arial" w:hAnsi="Arial"/>
                <w:sz w:val="18"/>
                <w:szCs w:val="18"/>
                <w:color w:val="auto"/>
              </w:rPr>
              <w:t>Form of Performance Award under the 2002 Lilly Stock Plan</w:t>
            </w:r>
            <w:r>
              <w:rPr>
                <w:rFonts w:ascii="Arial" w:cs="Arial" w:eastAsia="Arial" w:hAnsi="Arial"/>
                <w:sz w:val="21"/>
                <w:szCs w:val="21"/>
                <w:color w:val="auto"/>
                <w:vertAlign w:val="superscript"/>
              </w:rPr>
              <w:t>(1)</w:t>
            </w:r>
          </w:p>
        </w:tc>
      </w:tr>
      <w:tr>
        <w:trPr>
          <w:trHeight w:val="378"/>
        </w:trPr>
        <w:tc>
          <w:tcPr>
            <w:tcW w:w="480" w:type="dxa"/>
            <w:vAlign w:val="bottom"/>
          </w:tcPr>
          <w:p>
            <w:pPr>
              <w:ind w:left="40"/>
              <w:spacing w:after="0"/>
              <w:rPr>
                <w:sz w:val="20"/>
                <w:szCs w:val="20"/>
                <w:color w:val="auto"/>
              </w:rPr>
            </w:pPr>
            <w:r>
              <w:rPr>
                <w:rFonts w:ascii="Arial" w:cs="Arial" w:eastAsia="Arial" w:hAnsi="Arial"/>
                <w:sz w:val="18"/>
                <w:szCs w:val="18"/>
                <w:color w:val="auto"/>
              </w:rPr>
              <w:t>10.3</w:t>
            </w:r>
          </w:p>
        </w:tc>
        <w:tc>
          <w:tcPr>
            <w:tcW w:w="10860" w:type="dxa"/>
            <w:vAlign w:val="bottom"/>
          </w:tcPr>
          <w:p>
            <w:pPr>
              <w:ind w:left="500"/>
              <w:spacing w:after="0"/>
              <w:rPr>
                <w:sz w:val="20"/>
                <w:szCs w:val="20"/>
                <w:color w:val="auto"/>
              </w:rPr>
            </w:pPr>
            <w:r>
              <w:rPr>
                <w:rFonts w:ascii="Arial" w:cs="Arial" w:eastAsia="Arial" w:hAnsi="Arial"/>
                <w:sz w:val="18"/>
                <w:szCs w:val="18"/>
                <w:color w:val="auto"/>
              </w:rPr>
              <w:t>Form of Shareholder Value Award under the 2002 Lilly Stock Plan</w:t>
            </w:r>
            <w:r>
              <w:rPr>
                <w:rFonts w:ascii="Arial" w:cs="Arial" w:eastAsia="Arial" w:hAnsi="Arial"/>
                <w:sz w:val="21"/>
                <w:szCs w:val="21"/>
                <w:color w:val="auto"/>
                <w:vertAlign w:val="superscript"/>
              </w:rPr>
              <w:t>(1)</w:t>
            </w:r>
          </w:p>
        </w:tc>
      </w:tr>
      <w:tr>
        <w:trPr>
          <w:trHeight w:val="378"/>
        </w:trPr>
        <w:tc>
          <w:tcPr>
            <w:tcW w:w="480" w:type="dxa"/>
            <w:vAlign w:val="bottom"/>
          </w:tcPr>
          <w:p>
            <w:pPr>
              <w:ind w:left="40"/>
              <w:spacing w:after="0"/>
              <w:rPr>
                <w:sz w:val="20"/>
                <w:szCs w:val="20"/>
                <w:color w:val="auto"/>
              </w:rPr>
            </w:pPr>
            <w:r>
              <w:rPr>
                <w:rFonts w:ascii="Arial" w:cs="Arial" w:eastAsia="Arial" w:hAnsi="Arial"/>
                <w:sz w:val="18"/>
                <w:szCs w:val="18"/>
                <w:color w:val="auto"/>
              </w:rPr>
              <w:t>10.4</w:t>
            </w:r>
          </w:p>
        </w:tc>
        <w:tc>
          <w:tcPr>
            <w:tcW w:w="10860" w:type="dxa"/>
            <w:vAlign w:val="bottom"/>
          </w:tcPr>
          <w:p>
            <w:pPr>
              <w:ind w:left="500"/>
              <w:spacing w:after="0"/>
              <w:rPr>
                <w:sz w:val="20"/>
                <w:szCs w:val="20"/>
                <w:color w:val="auto"/>
              </w:rPr>
            </w:pPr>
            <w:r>
              <w:rPr>
                <w:rFonts w:ascii="Arial" w:cs="Arial" w:eastAsia="Arial" w:hAnsi="Arial"/>
                <w:sz w:val="18"/>
                <w:szCs w:val="18"/>
                <w:color w:val="auto"/>
              </w:rPr>
              <w:t>The Lilly Deferred Compensation Plan, as amended</w:t>
            </w:r>
            <w:r>
              <w:rPr>
                <w:rFonts w:ascii="Arial" w:cs="Arial" w:eastAsia="Arial" w:hAnsi="Arial"/>
                <w:sz w:val="21"/>
                <w:szCs w:val="21"/>
                <w:color w:val="auto"/>
                <w:vertAlign w:val="superscript"/>
              </w:rPr>
              <w:t>(1)</w:t>
            </w:r>
          </w:p>
        </w:tc>
      </w:tr>
      <w:tr>
        <w:trPr>
          <w:trHeight w:val="378"/>
        </w:trPr>
        <w:tc>
          <w:tcPr>
            <w:tcW w:w="480" w:type="dxa"/>
            <w:vAlign w:val="bottom"/>
          </w:tcPr>
          <w:p>
            <w:pPr>
              <w:ind w:left="40"/>
              <w:spacing w:after="0"/>
              <w:rPr>
                <w:sz w:val="20"/>
                <w:szCs w:val="20"/>
                <w:color w:val="auto"/>
              </w:rPr>
            </w:pPr>
            <w:r>
              <w:rPr>
                <w:rFonts w:ascii="Arial" w:cs="Arial" w:eastAsia="Arial" w:hAnsi="Arial"/>
                <w:sz w:val="18"/>
                <w:szCs w:val="18"/>
                <w:color w:val="auto"/>
              </w:rPr>
              <w:t>10.5</w:t>
            </w:r>
          </w:p>
        </w:tc>
        <w:tc>
          <w:tcPr>
            <w:tcW w:w="10860" w:type="dxa"/>
            <w:vAlign w:val="bottom"/>
          </w:tcPr>
          <w:p>
            <w:pPr>
              <w:ind w:left="500"/>
              <w:spacing w:after="0"/>
              <w:rPr>
                <w:sz w:val="20"/>
                <w:szCs w:val="20"/>
                <w:color w:val="auto"/>
              </w:rPr>
            </w:pPr>
            <w:r>
              <w:rPr>
                <w:rFonts w:ascii="Arial" w:cs="Arial" w:eastAsia="Arial" w:hAnsi="Arial"/>
                <w:sz w:val="18"/>
                <w:szCs w:val="18"/>
                <w:color w:val="auto"/>
              </w:rPr>
              <w:t>The Lilly Directors’ Deferral Plan, as amended</w:t>
            </w:r>
            <w:r>
              <w:rPr>
                <w:rFonts w:ascii="Arial" w:cs="Arial" w:eastAsia="Arial" w:hAnsi="Arial"/>
                <w:sz w:val="21"/>
                <w:szCs w:val="21"/>
                <w:color w:val="auto"/>
                <w:vertAlign w:val="superscript"/>
              </w:rPr>
              <w:t>(1)</w:t>
            </w:r>
          </w:p>
        </w:tc>
      </w:tr>
      <w:tr>
        <w:trPr>
          <w:trHeight w:val="378"/>
        </w:trPr>
        <w:tc>
          <w:tcPr>
            <w:tcW w:w="480" w:type="dxa"/>
            <w:vAlign w:val="bottom"/>
          </w:tcPr>
          <w:p>
            <w:pPr>
              <w:ind w:left="40"/>
              <w:spacing w:after="0"/>
              <w:rPr>
                <w:sz w:val="20"/>
                <w:szCs w:val="20"/>
                <w:color w:val="auto"/>
              </w:rPr>
            </w:pPr>
            <w:r>
              <w:rPr>
                <w:rFonts w:ascii="Arial" w:cs="Arial" w:eastAsia="Arial" w:hAnsi="Arial"/>
                <w:sz w:val="18"/>
                <w:szCs w:val="18"/>
                <w:color w:val="auto"/>
              </w:rPr>
              <w:t>10.6</w:t>
            </w:r>
          </w:p>
        </w:tc>
        <w:tc>
          <w:tcPr>
            <w:tcW w:w="10860" w:type="dxa"/>
            <w:vAlign w:val="bottom"/>
          </w:tcPr>
          <w:p>
            <w:pPr>
              <w:ind w:left="500"/>
              <w:spacing w:after="0"/>
              <w:rPr>
                <w:sz w:val="20"/>
                <w:szCs w:val="20"/>
                <w:color w:val="auto"/>
              </w:rPr>
            </w:pPr>
            <w:r>
              <w:rPr>
                <w:rFonts w:ascii="Arial" w:cs="Arial" w:eastAsia="Arial" w:hAnsi="Arial"/>
                <w:sz w:val="18"/>
                <w:szCs w:val="18"/>
                <w:color w:val="auto"/>
              </w:rPr>
              <w:t>The Eli Lilly and Company Bonus Plan, as amended</w:t>
            </w:r>
            <w:r>
              <w:rPr>
                <w:rFonts w:ascii="Arial" w:cs="Arial" w:eastAsia="Arial" w:hAnsi="Arial"/>
                <w:sz w:val="21"/>
                <w:szCs w:val="21"/>
                <w:color w:val="auto"/>
                <w:vertAlign w:val="superscript"/>
              </w:rPr>
              <w:t>(1)</w:t>
            </w:r>
          </w:p>
        </w:tc>
      </w:tr>
      <w:tr>
        <w:trPr>
          <w:trHeight w:val="378"/>
        </w:trPr>
        <w:tc>
          <w:tcPr>
            <w:tcW w:w="480" w:type="dxa"/>
            <w:vAlign w:val="bottom"/>
          </w:tcPr>
          <w:p>
            <w:pPr>
              <w:ind w:left="40"/>
              <w:spacing w:after="0"/>
              <w:rPr>
                <w:sz w:val="20"/>
                <w:szCs w:val="20"/>
                <w:color w:val="auto"/>
              </w:rPr>
            </w:pPr>
            <w:r>
              <w:rPr>
                <w:rFonts w:ascii="Arial" w:cs="Arial" w:eastAsia="Arial" w:hAnsi="Arial"/>
                <w:sz w:val="18"/>
                <w:szCs w:val="18"/>
                <w:color w:val="auto"/>
              </w:rPr>
              <w:t>10.7</w:t>
            </w:r>
          </w:p>
        </w:tc>
        <w:tc>
          <w:tcPr>
            <w:tcW w:w="10860" w:type="dxa"/>
            <w:vAlign w:val="bottom"/>
          </w:tcPr>
          <w:p>
            <w:pPr>
              <w:ind w:left="500"/>
              <w:spacing w:after="0"/>
              <w:rPr>
                <w:sz w:val="20"/>
                <w:szCs w:val="20"/>
                <w:color w:val="auto"/>
              </w:rPr>
            </w:pPr>
            <w:r>
              <w:rPr>
                <w:rFonts w:ascii="Arial" w:cs="Arial" w:eastAsia="Arial" w:hAnsi="Arial"/>
                <w:sz w:val="18"/>
                <w:szCs w:val="18"/>
                <w:color w:val="auto"/>
              </w:rPr>
              <w:t>The Eli Lilly and Company Executive Officer Incentive Plan</w:t>
            </w:r>
            <w:r>
              <w:rPr>
                <w:rFonts w:ascii="Arial" w:cs="Arial" w:eastAsia="Arial" w:hAnsi="Arial"/>
                <w:sz w:val="21"/>
                <w:szCs w:val="21"/>
                <w:color w:val="auto"/>
                <w:vertAlign w:val="superscript"/>
              </w:rPr>
              <w:t>(1)</w:t>
            </w:r>
          </w:p>
        </w:tc>
      </w:tr>
      <w:tr>
        <w:trPr>
          <w:trHeight w:val="378"/>
        </w:trPr>
        <w:tc>
          <w:tcPr>
            <w:tcW w:w="480" w:type="dxa"/>
            <w:vAlign w:val="bottom"/>
          </w:tcPr>
          <w:p>
            <w:pPr>
              <w:ind w:left="40"/>
              <w:spacing w:after="0"/>
              <w:rPr>
                <w:sz w:val="20"/>
                <w:szCs w:val="20"/>
                <w:color w:val="auto"/>
              </w:rPr>
            </w:pPr>
            <w:r>
              <w:rPr>
                <w:rFonts w:ascii="Arial" w:cs="Arial" w:eastAsia="Arial" w:hAnsi="Arial"/>
                <w:sz w:val="18"/>
                <w:szCs w:val="18"/>
                <w:color w:val="auto"/>
              </w:rPr>
              <w:t>10.8</w:t>
            </w:r>
          </w:p>
        </w:tc>
        <w:tc>
          <w:tcPr>
            <w:tcW w:w="10860" w:type="dxa"/>
            <w:vAlign w:val="bottom"/>
          </w:tcPr>
          <w:p>
            <w:pPr>
              <w:ind w:left="500"/>
              <w:spacing w:after="0"/>
              <w:rPr>
                <w:sz w:val="20"/>
                <w:szCs w:val="20"/>
                <w:color w:val="auto"/>
              </w:rPr>
            </w:pPr>
            <w:r>
              <w:rPr>
                <w:rFonts w:ascii="Arial" w:cs="Arial" w:eastAsia="Arial" w:hAnsi="Arial"/>
                <w:sz w:val="18"/>
                <w:szCs w:val="18"/>
                <w:color w:val="auto"/>
              </w:rPr>
              <w:t>2007 Change in Control Severance Pay Plan for Select Employees, as amended</w:t>
            </w:r>
            <w:r>
              <w:rPr>
                <w:rFonts w:ascii="Arial" w:cs="Arial" w:eastAsia="Arial" w:hAnsi="Arial"/>
                <w:sz w:val="21"/>
                <w:szCs w:val="21"/>
                <w:color w:val="auto"/>
                <w:vertAlign w:val="superscript"/>
              </w:rPr>
              <w:t>(1)</w:t>
            </w:r>
          </w:p>
        </w:tc>
      </w:tr>
      <w:tr>
        <w:trPr>
          <w:trHeight w:val="323"/>
        </w:trPr>
        <w:tc>
          <w:tcPr>
            <w:tcW w:w="480" w:type="dxa"/>
            <w:vAlign w:val="bottom"/>
          </w:tcPr>
          <w:p>
            <w:pPr>
              <w:ind w:left="40"/>
              <w:spacing w:after="0"/>
              <w:rPr>
                <w:sz w:val="20"/>
                <w:szCs w:val="20"/>
                <w:color w:val="auto"/>
              </w:rPr>
            </w:pPr>
            <w:r>
              <w:rPr>
                <w:rFonts w:ascii="Arial" w:cs="Arial" w:eastAsia="Arial" w:hAnsi="Arial"/>
                <w:sz w:val="18"/>
                <w:szCs w:val="18"/>
                <w:color w:val="auto"/>
              </w:rPr>
              <w:t>12</w:t>
            </w:r>
          </w:p>
        </w:tc>
        <w:tc>
          <w:tcPr>
            <w:tcW w:w="10860" w:type="dxa"/>
            <w:vAlign w:val="bottom"/>
          </w:tcPr>
          <w:p>
            <w:pPr>
              <w:ind w:left="500"/>
              <w:spacing w:after="0"/>
              <w:rPr>
                <w:sz w:val="20"/>
                <w:szCs w:val="20"/>
                <w:color w:val="auto"/>
              </w:rPr>
            </w:pPr>
            <w:r>
              <w:rPr>
                <w:rFonts w:ascii="Arial" w:cs="Arial" w:eastAsia="Arial" w:hAnsi="Arial"/>
                <w:sz w:val="18"/>
                <w:szCs w:val="18"/>
                <w:color w:val="auto"/>
              </w:rPr>
              <w:t>Statement re: Computation of Ratio of Earnings to Fixed Charges</w:t>
            </w:r>
          </w:p>
        </w:tc>
      </w:tr>
      <w:tr>
        <w:trPr>
          <w:trHeight w:val="378"/>
        </w:trPr>
        <w:tc>
          <w:tcPr>
            <w:tcW w:w="480" w:type="dxa"/>
            <w:vAlign w:val="bottom"/>
          </w:tcPr>
          <w:p>
            <w:pPr>
              <w:ind w:left="40"/>
              <w:spacing w:after="0"/>
              <w:rPr>
                <w:sz w:val="20"/>
                <w:szCs w:val="20"/>
                <w:color w:val="auto"/>
              </w:rPr>
            </w:pPr>
            <w:r>
              <w:rPr>
                <w:rFonts w:ascii="Arial" w:cs="Arial" w:eastAsia="Arial" w:hAnsi="Arial"/>
                <w:sz w:val="18"/>
                <w:szCs w:val="18"/>
                <w:color w:val="auto"/>
              </w:rPr>
              <w:t>21</w:t>
            </w:r>
          </w:p>
        </w:tc>
        <w:tc>
          <w:tcPr>
            <w:tcW w:w="10860" w:type="dxa"/>
            <w:vAlign w:val="bottom"/>
          </w:tcPr>
          <w:p>
            <w:pPr>
              <w:ind w:left="500"/>
              <w:spacing w:after="0"/>
              <w:rPr>
                <w:sz w:val="20"/>
                <w:szCs w:val="20"/>
                <w:color w:val="auto"/>
              </w:rPr>
            </w:pPr>
            <w:r>
              <w:rPr>
                <w:rFonts w:ascii="Arial" w:cs="Arial" w:eastAsia="Arial" w:hAnsi="Arial"/>
                <w:sz w:val="18"/>
                <w:szCs w:val="18"/>
                <w:color w:val="auto"/>
              </w:rPr>
              <w:t>List of Subsidiaries</w:t>
            </w:r>
          </w:p>
        </w:tc>
      </w:tr>
      <w:tr>
        <w:trPr>
          <w:trHeight w:val="378"/>
        </w:trPr>
        <w:tc>
          <w:tcPr>
            <w:tcW w:w="480" w:type="dxa"/>
            <w:vAlign w:val="bottom"/>
          </w:tcPr>
          <w:p>
            <w:pPr>
              <w:ind w:left="40"/>
              <w:spacing w:after="0"/>
              <w:rPr>
                <w:sz w:val="20"/>
                <w:szCs w:val="20"/>
                <w:color w:val="auto"/>
              </w:rPr>
            </w:pPr>
            <w:r>
              <w:rPr>
                <w:rFonts w:ascii="Arial" w:cs="Arial" w:eastAsia="Arial" w:hAnsi="Arial"/>
                <w:sz w:val="18"/>
                <w:szCs w:val="18"/>
                <w:color w:val="auto"/>
              </w:rPr>
              <w:t>23</w:t>
            </w:r>
          </w:p>
        </w:tc>
        <w:tc>
          <w:tcPr>
            <w:tcW w:w="10860" w:type="dxa"/>
            <w:vAlign w:val="bottom"/>
          </w:tcPr>
          <w:p>
            <w:pPr>
              <w:ind w:left="500"/>
              <w:spacing w:after="0"/>
              <w:rPr>
                <w:sz w:val="20"/>
                <w:szCs w:val="20"/>
                <w:color w:val="auto"/>
              </w:rPr>
            </w:pPr>
            <w:r>
              <w:rPr>
                <w:rFonts w:ascii="Arial" w:cs="Arial" w:eastAsia="Arial" w:hAnsi="Arial"/>
                <w:sz w:val="18"/>
                <w:szCs w:val="18"/>
                <w:color w:val="auto"/>
              </w:rPr>
              <w:t>Consent of Independent Registered Public Accounting Firm</w:t>
            </w:r>
          </w:p>
        </w:tc>
      </w:tr>
      <w:tr>
        <w:trPr>
          <w:trHeight w:val="378"/>
        </w:trPr>
        <w:tc>
          <w:tcPr>
            <w:tcW w:w="480" w:type="dxa"/>
            <w:vAlign w:val="bottom"/>
          </w:tcPr>
          <w:p>
            <w:pPr>
              <w:ind w:left="40"/>
              <w:spacing w:after="0"/>
              <w:rPr>
                <w:sz w:val="20"/>
                <w:szCs w:val="20"/>
                <w:color w:val="auto"/>
              </w:rPr>
            </w:pPr>
            <w:r>
              <w:rPr>
                <w:rFonts w:ascii="Arial" w:cs="Arial" w:eastAsia="Arial" w:hAnsi="Arial"/>
                <w:sz w:val="18"/>
                <w:szCs w:val="18"/>
                <w:color w:val="auto"/>
              </w:rPr>
              <w:t>31.1</w:t>
            </w:r>
          </w:p>
        </w:tc>
        <w:tc>
          <w:tcPr>
            <w:tcW w:w="10860" w:type="dxa"/>
            <w:vAlign w:val="bottom"/>
          </w:tcPr>
          <w:p>
            <w:pPr>
              <w:ind w:left="500"/>
              <w:spacing w:after="0"/>
              <w:rPr>
                <w:sz w:val="20"/>
                <w:szCs w:val="20"/>
                <w:color w:val="auto"/>
              </w:rPr>
            </w:pPr>
            <w:r>
              <w:rPr>
                <w:rFonts w:ascii="Arial" w:cs="Arial" w:eastAsia="Arial" w:hAnsi="Arial"/>
                <w:sz w:val="18"/>
                <w:szCs w:val="18"/>
                <w:color w:val="auto"/>
              </w:rPr>
              <w:t>Rule 13a-14(a) Certification of John C. Lechleiter, Ph.D., Chairman of the Board, President, and Chief Executive Officer</w:t>
            </w:r>
          </w:p>
        </w:tc>
      </w:tr>
      <w:tr>
        <w:trPr>
          <w:trHeight w:val="378"/>
        </w:trPr>
        <w:tc>
          <w:tcPr>
            <w:tcW w:w="480" w:type="dxa"/>
            <w:vAlign w:val="bottom"/>
          </w:tcPr>
          <w:p>
            <w:pPr>
              <w:ind w:left="40"/>
              <w:spacing w:after="0"/>
              <w:rPr>
                <w:sz w:val="20"/>
                <w:szCs w:val="20"/>
                <w:color w:val="auto"/>
              </w:rPr>
            </w:pPr>
            <w:r>
              <w:rPr>
                <w:rFonts w:ascii="Arial" w:cs="Arial" w:eastAsia="Arial" w:hAnsi="Arial"/>
                <w:sz w:val="18"/>
                <w:szCs w:val="18"/>
                <w:color w:val="auto"/>
              </w:rPr>
              <w:t>31.2</w:t>
            </w:r>
          </w:p>
        </w:tc>
        <w:tc>
          <w:tcPr>
            <w:tcW w:w="10860" w:type="dxa"/>
            <w:vAlign w:val="bottom"/>
          </w:tcPr>
          <w:p>
            <w:pPr>
              <w:ind w:left="500"/>
              <w:spacing w:after="0"/>
              <w:rPr>
                <w:sz w:val="20"/>
                <w:szCs w:val="20"/>
                <w:color w:val="auto"/>
              </w:rPr>
            </w:pPr>
            <w:r>
              <w:rPr>
                <w:rFonts w:ascii="Arial" w:cs="Arial" w:eastAsia="Arial" w:hAnsi="Arial"/>
                <w:sz w:val="18"/>
                <w:szCs w:val="18"/>
                <w:color w:val="auto"/>
              </w:rPr>
              <w:t>Rule 13a-14(a) Certification of Derica W. Rice, Executive Vice President, Global Services and Chief Financial Officer</w:t>
            </w:r>
          </w:p>
        </w:tc>
      </w:tr>
      <w:tr>
        <w:trPr>
          <w:trHeight w:val="378"/>
        </w:trPr>
        <w:tc>
          <w:tcPr>
            <w:tcW w:w="480" w:type="dxa"/>
            <w:vAlign w:val="bottom"/>
          </w:tcPr>
          <w:p>
            <w:pPr>
              <w:ind w:left="40"/>
              <w:spacing w:after="0"/>
              <w:rPr>
                <w:sz w:val="20"/>
                <w:szCs w:val="20"/>
                <w:color w:val="auto"/>
              </w:rPr>
            </w:pPr>
            <w:r>
              <w:rPr>
                <w:rFonts w:ascii="Arial" w:cs="Arial" w:eastAsia="Arial" w:hAnsi="Arial"/>
                <w:sz w:val="18"/>
                <w:szCs w:val="18"/>
                <w:color w:val="auto"/>
              </w:rPr>
              <w:t>32</w:t>
            </w:r>
          </w:p>
        </w:tc>
        <w:tc>
          <w:tcPr>
            <w:tcW w:w="10860" w:type="dxa"/>
            <w:vAlign w:val="bottom"/>
          </w:tcPr>
          <w:p>
            <w:pPr>
              <w:ind w:left="500"/>
              <w:spacing w:after="0"/>
              <w:rPr>
                <w:sz w:val="20"/>
                <w:szCs w:val="20"/>
                <w:color w:val="auto"/>
              </w:rPr>
            </w:pPr>
            <w:r>
              <w:rPr>
                <w:rFonts w:ascii="Arial" w:cs="Arial" w:eastAsia="Arial" w:hAnsi="Arial"/>
                <w:sz w:val="18"/>
                <w:szCs w:val="18"/>
                <w:color w:val="auto"/>
              </w:rPr>
              <w:t>Section 1350 Certification</w:t>
            </w:r>
          </w:p>
        </w:tc>
      </w:tr>
    </w:tbl>
    <w:p>
      <w:pPr>
        <w:spacing w:after="0" w:line="135" w:lineRule="exact"/>
        <w:rPr>
          <w:sz w:val="20"/>
          <w:szCs w:val="20"/>
          <w:color w:val="auto"/>
        </w:rPr>
      </w:pPr>
    </w:p>
    <w:p>
      <w:pPr>
        <w:ind w:left="980" w:hanging="945"/>
        <w:spacing w:after="0"/>
        <w:tabs>
          <w:tab w:leader="none" w:pos="980" w:val="left"/>
        </w:tabs>
        <w:numPr>
          <w:ilvl w:val="1"/>
          <w:numId w:val="69"/>
        </w:numPr>
        <w:rPr>
          <w:rFonts w:ascii="Arial" w:cs="Arial" w:eastAsia="Arial" w:hAnsi="Arial"/>
          <w:sz w:val="18"/>
          <w:szCs w:val="18"/>
          <w:color w:val="auto"/>
        </w:rPr>
      </w:pPr>
      <w:r>
        <w:rPr>
          <w:rFonts w:ascii="Arial" w:cs="Arial" w:eastAsia="Arial" w:hAnsi="Arial"/>
          <w:sz w:val="18"/>
          <w:szCs w:val="18"/>
          <w:color w:val="auto"/>
        </w:rPr>
        <w:t>Interactive Data File</w:t>
      </w:r>
    </w:p>
    <w:p>
      <w:pPr>
        <w:spacing w:after="0" w:line="127" w:lineRule="exact"/>
        <w:rPr>
          <w:rFonts w:ascii="Arial" w:cs="Arial" w:eastAsia="Arial" w:hAnsi="Arial"/>
          <w:sz w:val="18"/>
          <w:szCs w:val="18"/>
          <w:color w:val="auto"/>
        </w:rPr>
      </w:pPr>
    </w:p>
    <w:p>
      <w:pPr>
        <w:ind w:left="160" w:hanging="152"/>
        <w:spacing w:after="0"/>
        <w:tabs>
          <w:tab w:leader="none" w:pos="160" w:val="left"/>
        </w:tabs>
        <w:numPr>
          <w:ilvl w:val="0"/>
          <w:numId w:val="70"/>
        </w:numPr>
        <w:rPr>
          <w:rFonts w:ascii="Arial" w:cs="Arial" w:eastAsia="Arial" w:hAnsi="Arial"/>
          <w:sz w:val="18"/>
          <w:szCs w:val="18"/>
          <w:color w:val="auto"/>
          <w:vertAlign w:val="superscript"/>
        </w:rPr>
      </w:pPr>
      <w:r>
        <w:rPr>
          <w:rFonts w:ascii="Arial" w:cs="Arial" w:eastAsia="Arial" w:hAnsi="Arial"/>
          <w:sz w:val="14"/>
          <w:szCs w:val="14"/>
          <w:color w:val="auto"/>
        </w:rPr>
        <w:t>Indicates management contract or compensatory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180975</wp:posOffset>
            </wp:positionV>
            <wp:extent cx="72720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Signatures</w:t>
      </w:r>
    </w:p>
    <w:p>
      <w:pPr>
        <w:spacing w:after="0" w:line="173" w:lineRule="exact"/>
        <w:rPr>
          <w:sz w:val="20"/>
          <w:szCs w:val="20"/>
          <w:color w:val="auto"/>
        </w:rPr>
      </w:pPr>
    </w:p>
    <w:p>
      <w:pPr>
        <w:ind w:right="200"/>
        <w:spacing w:after="0" w:line="292"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CC0000"/>
        </w:rPr>
        <w:t>Eli Lilly and Company</w:t>
      </w:r>
    </w:p>
    <w:p>
      <w:pPr>
        <w:spacing w:after="0" w:line="277" w:lineRule="exact"/>
        <w:rPr>
          <w:sz w:val="20"/>
          <w:szCs w:val="20"/>
          <w:color w:val="auto"/>
        </w:rPr>
      </w:pPr>
    </w:p>
    <w:p>
      <w:pPr>
        <w:ind w:left="40"/>
        <w:spacing w:after="0"/>
        <w:tabs>
          <w:tab w:leader="none" w:pos="560" w:val="left"/>
          <w:tab w:leader="none" w:pos="960" w:val="left"/>
        </w:tabs>
        <w:rPr>
          <w:sz w:val="20"/>
          <w:szCs w:val="20"/>
          <w:color w:val="auto"/>
        </w:rPr>
      </w:pPr>
      <w:r>
        <w:rPr>
          <w:rFonts w:ascii="Arial" w:cs="Arial" w:eastAsia="Arial" w:hAnsi="Arial"/>
          <w:sz w:val="18"/>
          <w:szCs w:val="18"/>
          <w:i w:val="1"/>
          <w:iCs w:val="1"/>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John C. Lechleiter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28575</wp:posOffset>
            </wp:positionV>
            <wp:extent cx="397065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970655" cy="8890"/>
                    </a:xfrm>
                    <a:prstGeom prst="rect">
                      <a:avLst/>
                    </a:prstGeom>
                    <a:noFill/>
                  </pic:spPr>
                </pic:pic>
              </a:graphicData>
            </a:graphic>
          </wp:anchor>
        </w:drawing>
      </w:r>
    </w:p>
    <w:p>
      <w:pPr>
        <w:spacing w:after="0" w:line="32"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John C. Lechleiter, Ph.D.</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Chairman of the Board, President, and Chief Executive Officer</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February 19, 2016</w:t>
      </w:r>
    </w:p>
    <w:p>
      <w:pPr>
        <w:sectPr>
          <w:pgSz w:w="11900" w:h="16838" w:orient="portrait"/>
          <w:cols w:equalWidth="0" w:num="1">
            <w:col w:w="11340"/>
          </w:cols>
          <w:pgMar w:left="240" w:top="790" w:right="319" w:bottom="1440" w:gutter="0" w:footer="0" w:header="0"/>
        </w:sect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114</w:t>
      </w:r>
    </w:p>
    <w:p>
      <w:pPr>
        <w:sectPr>
          <w:pgSz w:w="11900" w:h="16838" w:orient="portrait"/>
          <w:cols w:equalWidth="0" w:num="1">
            <w:col w:w="11340"/>
          </w:cols>
          <w:pgMar w:left="240" w:top="790" w:right="319" w:bottom="1440" w:gutter="0" w:footer="0" w:header="0"/>
          <w:type w:val="continuous"/>
        </w:sectPr>
      </w:pPr>
    </w:p>
    <w:bookmarkStart w:id="114" w:name="page115"/>
    <w:bookmarkEnd w:id="114"/>
    <w:p>
      <w:pPr>
        <w:ind w:right="80"/>
        <w:spacing w:after="0" w:line="292"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on February 19, 2016 by the following persons on behalf of the Registrant and in the capacities indicated.</w:t>
      </w:r>
    </w:p>
    <w:p>
      <w:pPr>
        <w:spacing w:after="0" w:line="98" w:lineRule="exact"/>
        <w:rPr>
          <w:sz w:val="20"/>
          <w:szCs w:val="20"/>
          <w:color w:val="auto"/>
        </w:rPr>
      </w:pPr>
    </w:p>
    <w:p>
      <w:pPr>
        <w:ind w:left="2580"/>
        <w:spacing w:after="0"/>
        <w:tabs>
          <w:tab w:leader="none" w:pos="852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72466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30" w:right="239" w:bottom="1440" w:gutter="0" w:footer="0" w:header="0"/>
        </w:sectPr>
      </w:pP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2100" w:type="dxa"/>
            <w:vAlign w:val="bottom"/>
            <w:tcBorders>
              <w:bottom w:val="single" w:sz="8" w:color="auto"/>
            </w:tcBorders>
          </w:tcPr>
          <w:p>
            <w:pPr>
              <w:ind w:left="1720"/>
              <w:spacing w:after="0"/>
              <w:rPr>
                <w:sz w:val="20"/>
                <w:szCs w:val="20"/>
                <w:color w:val="auto"/>
              </w:rPr>
            </w:pPr>
            <w:r>
              <w:rPr>
                <w:rFonts w:ascii="Arial" w:cs="Arial" w:eastAsia="Arial" w:hAnsi="Arial"/>
                <w:sz w:val="18"/>
                <w:szCs w:val="18"/>
                <w:color w:val="auto"/>
              </w:rPr>
              <w:t>/s/</w:t>
            </w:r>
          </w:p>
        </w:tc>
        <w:tc>
          <w:tcPr>
            <w:tcW w:w="3720" w:type="dxa"/>
            <w:vAlign w:val="bottom"/>
            <w:tcBorders>
              <w:bottom w:val="single" w:sz="8" w:color="auto"/>
            </w:tcBorders>
            <w:gridSpan w:val="2"/>
          </w:tcPr>
          <w:p>
            <w:pPr>
              <w:jc w:val="center"/>
              <w:ind w:right="1610"/>
              <w:spacing w:after="0"/>
              <w:rPr>
                <w:sz w:val="20"/>
                <w:szCs w:val="20"/>
                <w:color w:val="auto"/>
              </w:rPr>
            </w:pPr>
            <w:r>
              <w:rPr>
                <w:rFonts w:ascii="Arial" w:cs="Arial" w:eastAsia="Arial" w:hAnsi="Arial"/>
                <w:sz w:val="18"/>
                <w:szCs w:val="18"/>
                <w:color w:val="auto"/>
                <w:w w:val="98"/>
              </w:rPr>
              <w:t>John C. Lechleiter, Ph.D.</w:t>
            </w:r>
          </w:p>
        </w:tc>
      </w:tr>
      <w:tr>
        <w:trPr>
          <w:trHeight w:val="245"/>
        </w:trPr>
        <w:tc>
          <w:tcPr>
            <w:tcW w:w="5820" w:type="dxa"/>
            <w:vAlign w:val="bottom"/>
            <w:gridSpan w:val="3"/>
          </w:tcPr>
          <w:p>
            <w:pPr>
              <w:jc w:val="center"/>
              <w:spacing w:after="0"/>
              <w:rPr>
                <w:sz w:val="20"/>
                <w:szCs w:val="20"/>
                <w:color w:val="auto"/>
              </w:rPr>
            </w:pPr>
            <w:r>
              <w:rPr>
                <w:rFonts w:ascii="Arial" w:cs="Arial" w:eastAsia="Arial" w:hAnsi="Arial"/>
                <w:sz w:val="18"/>
                <w:szCs w:val="18"/>
                <w:color w:val="auto"/>
                <w:w w:val="99"/>
              </w:rPr>
              <w:t>JOHN C. LECHLEITER, Ph.D.</w:t>
            </w:r>
          </w:p>
        </w:tc>
      </w:tr>
      <w:tr>
        <w:trPr>
          <w:trHeight w:val="383"/>
        </w:trPr>
        <w:tc>
          <w:tcPr>
            <w:tcW w:w="2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w:t>
            </w:r>
          </w:p>
        </w:tc>
        <w:tc>
          <w:tcPr>
            <w:tcW w:w="3400" w:type="dxa"/>
            <w:vAlign w:val="bottom"/>
            <w:tcBorders>
              <w:bottom w:val="single" w:sz="8" w:color="auto"/>
            </w:tcBorders>
          </w:tcPr>
          <w:p>
            <w:pPr>
              <w:jc w:val="center"/>
              <w:ind w:right="1930"/>
              <w:spacing w:after="0"/>
              <w:rPr>
                <w:sz w:val="20"/>
                <w:szCs w:val="20"/>
                <w:color w:val="auto"/>
              </w:rPr>
            </w:pPr>
            <w:r>
              <w:rPr>
                <w:rFonts w:ascii="Arial" w:cs="Arial" w:eastAsia="Arial" w:hAnsi="Arial"/>
                <w:sz w:val="18"/>
                <w:szCs w:val="18"/>
                <w:color w:val="auto"/>
                <w:w w:val="98"/>
              </w:rPr>
              <w:t>Derica W. Rice</w:t>
            </w:r>
          </w:p>
        </w:tc>
      </w:tr>
      <w:tr>
        <w:trPr>
          <w:trHeight w:val="245"/>
        </w:trPr>
        <w:tc>
          <w:tcPr>
            <w:tcW w:w="2100" w:type="dxa"/>
            <w:vAlign w:val="bottom"/>
          </w:tcPr>
          <w:p>
            <w:pPr>
              <w:spacing w:after="0"/>
              <w:rPr>
                <w:sz w:val="21"/>
                <w:szCs w:val="21"/>
                <w:color w:val="auto"/>
              </w:rPr>
            </w:pPr>
          </w:p>
        </w:tc>
        <w:tc>
          <w:tcPr>
            <w:tcW w:w="3720" w:type="dxa"/>
            <w:vAlign w:val="bottom"/>
            <w:gridSpan w:val="2"/>
          </w:tcPr>
          <w:p>
            <w:pPr>
              <w:jc w:val="center"/>
              <w:ind w:right="2010"/>
              <w:spacing w:after="0"/>
              <w:rPr>
                <w:sz w:val="20"/>
                <w:szCs w:val="20"/>
                <w:color w:val="auto"/>
              </w:rPr>
            </w:pPr>
            <w:r>
              <w:rPr>
                <w:rFonts w:ascii="Arial" w:cs="Arial" w:eastAsia="Arial" w:hAnsi="Arial"/>
                <w:sz w:val="18"/>
                <w:szCs w:val="18"/>
                <w:color w:val="auto"/>
                <w:w w:val="99"/>
              </w:rPr>
              <w:t>DERICA W. RICE</w:t>
            </w:r>
          </w:p>
        </w:tc>
      </w:tr>
      <w:tr>
        <w:trPr>
          <w:trHeight w:val="383"/>
        </w:trPr>
        <w:tc>
          <w:tcPr>
            <w:tcW w:w="2100" w:type="dxa"/>
            <w:vAlign w:val="bottom"/>
            <w:tcBorders>
              <w:bottom w:val="single" w:sz="8" w:color="auto"/>
            </w:tcBorders>
          </w:tcPr>
          <w:p>
            <w:pPr>
              <w:ind w:left="1900"/>
              <w:spacing w:after="0"/>
              <w:rPr>
                <w:sz w:val="20"/>
                <w:szCs w:val="20"/>
                <w:color w:val="auto"/>
              </w:rPr>
            </w:pPr>
            <w:r>
              <w:rPr>
                <w:rFonts w:ascii="Arial" w:cs="Arial" w:eastAsia="Arial" w:hAnsi="Arial"/>
                <w:sz w:val="18"/>
                <w:szCs w:val="18"/>
                <w:color w:val="auto"/>
                <w:w w:val="94"/>
              </w:rPr>
              <w:t>/s/</w:t>
            </w:r>
          </w:p>
        </w:tc>
        <w:tc>
          <w:tcPr>
            <w:tcW w:w="3720" w:type="dxa"/>
            <w:vAlign w:val="bottom"/>
            <w:tcBorders>
              <w:bottom w:val="single" w:sz="8" w:color="auto"/>
            </w:tcBorders>
            <w:gridSpan w:val="2"/>
          </w:tcPr>
          <w:p>
            <w:pPr>
              <w:jc w:val="center"/>
              <w:ind w:right="1610"/>
              <w:spacing w:after="0"/>
              <w:rPr>
                <w:sz w:val="20"/>
                <w:szCs w:val="20"/>
                <w:color w:val="auto"/>
              </w:rPr>
            </w:pPr>
            <w:r>
              <w:rPr>
                <w:rFonts w:ascii="Arial" w:cs="Arial" w:eastAsia="Arial" w:hAnsi="Arial"/>
                <w:sz w:val="18"/>
                <w:szCs w:val="18"/>
                <w:color w:val="auto"/>
              </w:rPr>
              <w:t>Donald A. Zakrowski</w:t>
            </w:r>
          </w:p>
        </w:tc>
      </w:tr>
      <w:tr>
        <w:trPr>
          <w:trHeight w:val="245"/>
        </w:trPr>
        <w:tc>
          <w:tcPr>
            <w:tcW w:w="5820" w:type="dxa"/>
            <w:vAlign w:val="bottom"/>
            <w:gridSpan w:val="3"/>
          </w:tcPr>
          <w:p>
            <w:pPr>
              <w:jc w:val="center"/>
              <w:spacing w:after="0"/>
              <w:rPr>
                <w:sz w:val="20"/>
                <w:szCs w:val="20"/>
                <w:color w:val="auto"/>
              </w:rPr>
            </w:pPr>
            <w:r>
              <w:rPr>
                <w:rFonts w:ascii="Arial" w:cs="Arial" w:eastAsia="Arial" w:hAnsi="Arial"/>
                <w:sz w:val="18"/>
                <w:szCs w:val="18"/>
                <w:color w:val="auto"/>
                <w:w w:val="99"/>
              </w:rPr>
              <w:t>DONALD A. ZAKROWSKI</w:t>
            </w:r>
          </w:p>
        </w:tc>
      </w:tr>
      <w:tr>
        <w:trPr>
          <w:trHeight w:val="383"/>
        </w:trPr>
        <w:tc>
          <w:tcPr>
            <w:tcW w:w="2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w:t>
            </w:r>
          </w:p>
        </w:tc>
        <w:tc>
          <w:tcPr>
            <w:tcW w:w="3400" w:type="dxa"/>
            <w:vAlign w:val="bottom"/>
            <w:tcBorders>
              <w:bottom w:val="single" w:sz="8" w:color="auto"/>
            </w:tcBorders>
          </w:tcPr>
          <w:p>
            <w:pPr>
              <w:jc w:val="center"/>
              <w:ind w:right="1950"/>
              <w:spacing w:after="0"/>
              <w:rPr>
                <w:sz w:val="20"/>
                <w:szCs w:val="20"/>
                <w:color w:val="auto"/>
              </w:rPr>
            </w:pPr>
            <w:r>
              <w:rPr>
                <w:rFonts w:ascii="Arial" w:cs="Arial" w:eastAsia="Arial" w:hAnsi="Arial"/>
                <w:sz w:val="18"/>
                <w:szCs w:val="18"/>
                <w:color w:val="auto"/>
                <w:w w:val="99"/>
              </w:rPr>
              <w:t>Ralph Alvarez</w:t>
            </w:r>
          </w:p>
        </w:tc>
      </w:tr>
      <w:tr>
        <w:trPr>
          <w:trHeight w:val="245"/>
        </w:trPr>
        <w:tc>
          <w:tcPr>
            <w:tcW w:w="2100" w:type="dxa"/>
            <w:vAlign w:val="bottom"/>
          </w:tcPr>
          <w:p>
            <w:pPr>
              <w:spacing w:after="0"/>
              <w:rPr>
                <w:sz w:val="21"/>
                <w:szCs w:val="21"/>
                <w:color w:val="auto"/>
              </w:rPr>
            </w:pPr>
          </w:p>
        </w:tc>
        <w:tc>
          <w:tcPr>
            <w:tcW w:w="3720" w:type="dxa"/>
            <w:vAlign w:val="bottom"/>
            <w:gridSpan w:val="2"/>
          </w:tcPr>
          <w:p>
            <w:pPr>
              <w:jc w:val="center"/>
              <w:ind w:right="2010"/>
              <w:spacing w:after="0"/>
              <w:rPr>
                <w:sz w:val="20"/>
                <w:szCs w:val="20"/>
                <w:color w:val="auto"/>
              </w:rPr>
            </w:pPr>
            <w:r>
              <w:rPr>
                <w:rFonts w:ascii="Arial" w:cs="Arial" w:eastAsia="Arial" w:hAnsi="Arial"/>
                <w:sz w:val="18"/>
                <w:szCs w:val="18"/>
                <w:color w:val="auto"/>
                <w:w w:val="99"/>
              </w:rPr>
              <w:t>RALPH ALVAREZ</w:t>
            </w:r>
          </w:p>
        </w:tc>
      </w:tr>
    </w:tbl>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ind w:right="100"/>
        <w:spacing w:after="0" w:line="276" w:lineRule="auto"/>
        <w:rPr>
          <w:sz w:val="20"/>
          <w:szCs w:val="20"/>
          <w:color w:val="auto"/>
        </w:rPr>
      </w:pPr>
      <w:r>
        <w:rPr>
          <w:rFonts w:ascii="Arial" w:cs="Arial" w:eastAsia="Arial" w:hAnsi="Arial"/>
          <w:sz w:val="18"/>
          <w:szCs w:val="18"/>
          <w:color w:val="auto"/>
        </w:rPr>
        <w:t>Chairman of the Board, President, and Chief Executive Officer, and a Director (principal executive officer)</w:t>
      </w:r>
    </w:p>
    <w:p>
      <w:pPr>
        <w:spacing w:after="0" w:line="172" w:lineRule="exact"/>
        <w:rPr>
          <w:sz w:val="20"/>
          <w:szCs w:val="20"/>
          <w:color w:val="auto"/>
        </w:rPr>
      </w:pPr>
    </w:p>
    <w:p>
      <w:pPr>
        <w:ind w:right="500"/>
        <w:spacing w:after="0" w:line="276" w:lineRule="auto"/>
        <w:rPr>
          <w:sz w:val="20"/>
          <w:szCs w:val="20"/>
          <w:color w:val="auto"/>
        </w:rPr>
      </w:pPr>
      <w:r>
        <w:rPr>
          <w:rFonts w:ascii="Arial" w:cs="Arial" w:eastAsia="Arial" w:hAnsi="Arial"/>
          <w:sz w:val="18"/>
          <w:szCs w:val="18"/>
          <w:color w:val="auto"/>
        </w:rPr>
        <w:t>Executive Vice President, Global Services and Chief Financial Officer (principal financial officer)</w:t>
      </w:r>
    </w:p>
    <w:p>
      <w:pPr>
        <w:spacing w:after="0" w:line="172" w:lineRule="exact"/>
        <w:rPr>
          <w:sz w:val="20"/>
          <w:szCs w:val="20"/>
          <w:color w:val="auto"/>
        </w:rPr>
      </w:pPr>
    </w:p>
    <w:p>
      <w:pPr>
        <w:ind w:right="420"/>
        <w:spacing w:after="0" w:line="276" w:lineRule="auto"/>
        <w:rPr>
          <w:sz w:val="20"/>
          <w:szCs w:val="20"/>
          <w:color w:val="auto"/>
        </w:rPr>
      </w:pPr>
      <w:r>
        <w:rPr>
          <w:rFonts w:ascii="Arial" w:cs="Arial" w:eastAsia="Arial" w:hAnsi="Arial"/>
          <w:sz w:val="18"/>
          <w:szCs w:val="18"/>
          <w:color w:val="auto"/>
        </w:rPr>
        <w:t>Vice President, Finance and Chief Accounting Officer (principal accounting officer)</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441" w:lineRule="exact"/>
        <w:rPr>
          <w:sz w:val="20"/>
          <w:szCs w:val="20"/>
          <w:color w:val="auto"/>
        </w:rPr>
      </w:pPr>
    </w:p>
    <w:p>
      <w:pPr>
        <w:sectPr>
          <w:pgSz w:w="11900" w:h="16838" w:orient="portrait"/>
          <w:cols w:equalWidth="0" w:num="2">
            <w:col w:w="5820" w:space="160"/>
            <w:col w:w="5440"/>
          </w:cols>
          <w:pgMar w:left="240" w:top="630" w:right="239" w:bottom="1440" w:gutter="0" w:footer="0" w:header="0"/>
          <w:type w:val="continuous"/>
        </w:sectPr>
      </w:pPr>
    </w:p>
    <w:tbl>
      <w:tblPr>
        <w:tblLayout w:type="fixed"/>
        <w:tblInd w:w="0" w:type="dxa"/>
        <w:tblCellMar>
          <w:top w:w="0" w:type="dxa"/>
          <w:left w:w="0" w:type="dxa"/>
          <w:bottom w:w="0" w:type="dxa"/>
          <w:right w:w="0" w:type="dxa"/>
        </w:tblCellMar>
      </w:tblPr>
      <w:tr>
        <w:trPr>
          <w:trHeight w:val="248"/>
        </w:trPr>
        <w:tc>
          <w:tcPr>
            <w:tcW w:w="160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/s/</w:t>
            </w:r>
          </w:p>
        </w:tc>
        <w:tc>
          <w:tcPr>
            <w:tcW w:w="3840" w:type="dxa"/>
            <w:vAlign w:val="bottom"/>
            <w:tcBorders>
              <w:bottom w:val="single" w:sz="8" w:color="auto"/>
            </w:tcBorders>
            <w:gridSpan w:val="2"/>
          </w:tcPr>
          <w:p>
            <w:pPr>
              <w:jc w:val="center"/>
              <w:ind w:right="1510"/>
              <w:spacing w:after="0"/>
              <w:rPr>
                <w:sz w:val="20"/>
                <w:szCs w:val="20"/>
                <w:color w:val="auto"/>
              </w:rPr>
            </w:pPr>
            <w:r>
              <w:rPr>
                <w:rFonts w:ascii="Arial" w:cs="Arial" w:eastAsia="Arial" w:hAnsi="Arial"/>
                <w:sz w:val="18"/>
                <w:szCs w:val="18"/>
                <w:color w:val="auto"/>
                <w:w w:val="99"/>
              </w:rPr>
              <w:t>Katherine Baicker, Ph.D.</w:t>
            </w:r>
          </w:p>
        </w:tc>
        <w:tc>
          <w:tcPr>
            <w:tcW w:w="780" w:type="dxa"/>
            <w:vAlign w:val="bottom"/>
          </w:tcPr>
          <w:p>
            <w:pPr>
              <w:ind w:left="160"/>
              <w:spacing w:after="0"/>
              <w:rPr>
                <w:sz w:val="20"/>
                <w:szCs w:val="20"/>
                <w:color w:val="auto"/>
              </w:rPr>
            </w:pPr>
            <w:r>
              <w:rPr>
                <w:rFonts w:ascii="Arial" w:cs="Arial" w:eastAsia="Arial" w:hAnsi="Arial"/>
                <w:sz w:val="18"/>
                <w:szCs w:val="18"/>
                <w:color w:val="auto"/>
                <w:w w:val="95"/>
              </w:rPr>
              <w:t>Director</w:t>
            </w:r>
          </w:p>
        </w:tc>
      </w:tr>
      <w:tr>
        <w:trPr>
          <w:trHeight w:val="245"/>
        </w:trPr>
        <w:tc>
          <w:tcPr>
            <w:tcW w:w="1600" w:type="dxa"/>
            <w:vAlign w:val="bottom"/>
          </w:tcPr>
          <w:p>
            <w:pPr>
              <w:spacing w:after="0"/>
              <w:rPr>
                <w:sz w:val="21"/>
                <w:szCs w:val="21"/>
                <w:color w:val="auto"/>
              </w:rPr>
            </w:pPr>
          </w:p>
        </w:tc>
        <w:tc>
          <w:tcPr>
            <w:tcW w:w="4220" w:type="dxa"/>
            <w:vAlign w:val="bottom"/>
            <w:gridSpan w:val="3"/>
          </w:tcPr>
          <w:p>
            <w:pPr>
              <w:jc w:val="center"/>
              <w:ind w:right="1510"/>
              <w:spacing w:after="0"/>
              <w:rPr>
                <w:sz w:val="20"/>
                <w:szCs w:val="20"/>
                <w:color w:val="auto"/>
              </w:rPr>
            </w:pPr>
            <w:r>
              <w:rPr>
                <w:rFonts w:ascii="Arial" w:cs="Arial" w:eastAsia="Arial" w:hAnsi="Arial"/>
                <w:sz w:val="18"/>
                <w:szCs w:val="18"/>
                <w:color w:val="auto"/>
                <w:w w:val="99"/>
              </w:rPr>
              <w:t>KATHERINE BAICKER, Ph.D.</w:t>
            </w:r>
          </w:p>
        </w:tc>
        <w:tc>
          <w:tcPr>
            <w:tcW w:w="780" w:type="dxa"/>
            <w:vAlign w:val="bottom"/>
          </w:tcPr>
          <w:p>
            <w:pPr>
              <w:spacing w:after="0"/>
              <w:rPr>
                <w:sz w:val="21"/>
                <w:szCs w:val="21"/>
                <w:color w:val="auto"/>
              </w:rPr>
            </w:pPr>
          </w:p>
        </w:tc>
      </w:tr>
      <w:tr>
        <w:trPr>
          <w:trHeight w:val="383"/>
        </w:trPr>
        <w:tc>
          <w:tcPr>
            <w:tcW w:w="16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w:t>
            </w:r>
          </w:p>
        </w:tc>
        <w:tc>
          <w:tcPr>
            <w:tcW w:w="3440" w:type="dxa"/>
            <w:vAlign w:val="bottom"/>
            <w:tcBorders>
              <w:bottom w:val="single" w:sz="8" w:color="auto"/>
            </w:tcBorders>
          </w:tcPr>
          <w:p>
            <w:pPr>
              <w:jc w:val="center"/>
              <w:ind w:right="1910"/>
              <w:spacing w:after="0"/>
              <w:rPr>
                <w:sz w:val="20"/>
                <w:szCs w:val="20"/>
                <w:color w:val="auto"/>
              </w:rPr>
            </w:pPr>
            <w:r>
              <w:rPr>
                <w:rFonts w:ascii="Arial" w:cs="Arial" w:eastAsia="Arial" w:hAnsi="Arial"/>
                <w:sz w:val="18"/>
                <w:szCs w:val="18"/>
                <w:color w:val="auto"/>
                <w:w w:val="99"/>
              </w:rPr>
              <w:t>Michael L. Eskew</w:t>
            </w:r>
          </w:p>
        </w:tc>
        <w:tc>
          <w:tcPr>
            <w:tcW w:w="780" w:type="dxa"/>
            <w:vAlign w:val="bottom"/>
          </w:tcPr>
          <w:p>
            <w:pPr>
              <w:ind w:left="160"/>
              <w:spacing w:after="0"/>
              <w:rPr>
                <w:sz w:val="20"/>
                <w:szCs w:val="20"/>
                <w:color w:val="auto"/>
              </w:rPr>
            </w:pPr>
            <w:r>
              <w:rPr>
                <w:rFonts w:ascii="Arial" w:cs="Arial" w:eastAsia="Arial" w:hAnsi="Arial"/>
                <w:sz w:val="18"/>
                <w:szCs w:val="18"/>
                <w:color w:val="auto"/>
                <w:w w:val="95"/>
              </w:rPr>
              <w:t>Director</w:t>
            </w:r>
          </w:p>
        </w:tc>
      </w:tr>
      <w:tr>
        <w:trPr>
          <w:trHeight w:val="245"/>
        </w:trPr>
        <w:tc>
          <w:tcPr>
            <w:tcW w:w="16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840" w:type="dxa"/>
            <w:vAlign w:val="bottom"/>
            <w:gridSpan w:val="2"/>
          </w:tcPr>
          <w:p>
            <w:pPr>
              <w:jc w:val="center"/>
              <w:ind w:right="1890"/>
              <w:spacing w:after="0"/>
              <w:rPr>
                <w:sz w:val="20"/>
                <w:szCs w:val="20"/>
                <w:color w:val="auto"/>
              </w:rPr>
            </w:pPr>
            <w:r>
              <w:rPr>
                <w:rFonts w:ascii="Arial" w:cs="Arial" w:eastAsia="Arial" w:hAnsi="Arial"/>
                <w:sz w:val="18"/>
                <w:szCs w:val="18"/>
                <w:color w:val="auto"/>
                <w:w w:val="99"/>
              </w:rPr>
              <w:t>MICHAEL L. ESKEW</w:t>
            </w:r>
          </w:p>
        </w:tc>
        <w:tc>
          <w:tcPr>
            <w:tcW w:w="780" w:type="dxa"/>
            <w:vAlign w:val="bottom"/>
          </w:tcPr>
          <w:p>
            <w:pPr>
              <w:spacing w:after="0"/>
              <w:rPr>
                <w:sz w:val="21"/>
                <w:szCs w:val="21"/>
                <w:color w:val="auto"/>
              </w:rPr>
            </w:pPr>
          </w:p>
        </w:tc>
      </w:tr>
      <w:tr>
        <w:trPr>
          <w:trHeight w:val="383"/>
        </w:trPr>
        <w:tc>
          <w:tcPr>
            <w:tcW w:w="16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/s/</w:t>
            </w:r>
          </w:p>
        </w:tc>
        <w:tc>
          <w:tcPr>
            <w:tcW w:w="3440" w:type="dxa"/>
            <w:vAlign w:val="bottom"/>
            <w:tcBorders>
              <w:bottom w:val="single" w:sz="8" w:color="auto"/>
            </w:tcBorders>
          </w:tcPr>
          <w:p>
            <w:pPr>
              <w:jc w:val="center"/>
              <w:ind w:right="1890"/>
              <w:spacing w:after="0"/>
              <w:rPr>
                <w:sz w:val="20"/>
                <w:szCs w:val="20"/>
                <w:color w:val="auto"/>
              </w:rPr>
            </w:pPr>
            <w:r>
              <w:rPr>
                <w:rFonts w:ascii="Arial" w:cs="Arial" w:eastAsia="Arial" w:hAnsi="Arial"/>
                <w:sz w:val="18"/>
                <w:szCs w:val="18"/>
                <w:color w:val="auto"/>
                <w:w w:val="99"/>
              </w:rPr>
              <w:t>J. Erik Fyrwald</w:t>
            </w:r>
          </w:p>
        </w:tc>
        <w:tc>
          <w:tcPr>
            <w:tcW w:w="780" w:type="dxa"/>
            <w:vAlign w:val="bottom"/>
          </w:tcPr>
          <w:p>
            <w:pPr>
              <w:ind w:left="160"/>
              <w:spacing w:after="0"/>
              <w:rPr>
                <w:sz w:val="20"/>
                <w:szCs w:val="20"/>
                <w:color w:val="auto"/>
              </w:rPr>
            </w:pPr>
            <w:r>
              <w:rPr>
                <w:rFonts w:ascii="Arial" w:cs="Arial" w:eastAsia="Arial" w:hAnsi="Arial"/>
                <w:sz w:val="18"/>
                <w:szCs w:val="18"/>
                <w:color w:val="auto"/>
                <w:w w:val="95"/>
              </w:rPr>
              <w:t>Director</w:t>
            </w:r>
          </w:p>
        </w:tc>
      </w:tr>
      <w:tr>
        <w:trPr>
          <w:trHeight w:val="245"/>
        </w:trPr>
        <w:tc>
          <w:tcPr>
            <w:tcW w:w="16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840" w:type="dxa"/>
            <w:vAlign w:val="bottom"/>
            <w:gridSpan w:val="2"/>
          </w:tcPr>
          <w:p>
            <w:pPr>
              <w:jc w:val="center"/>
              <w:ind w:right="1890"/>
              <w:spacing w:after="0"/>
              <w:rPr>
                <w:sz w:val="20"/>
                <w:szCs w:val="20"/>
                <w:color w:val="auto"/>
              </w:rPr>
            </w:pPr>
            <w:r>
              <w:rPr>
                <w:rFonts w:ascii="Arial" w:cs="Arial" w:eastAsia="Arial" w:hAnsi="Arial"/>
                <w:sz w:val="18"/>
                <w:szCs w:val="18"/>
                <w:color w:val="auto"/>
                <w:w w:val="99"/>
              </w:rPr>
              <w:t>J. ERIK FYRWALD</w:t>
            </w:r>
          </w:p>
        </w:tc>
        <w:tc>
          <w:tcPr>
            <w:tcW w:w="780" w:type="dxa"/>
            <w:vAlign w:val="bottom"/>
          </w:tcPr>
          <w:p>
            <w:pPr>
              <w:spacing w:after="0"/>
              <w:rPr>
                <w:sz w:val="21"/>
                <w:szCs w:val="21"/>
                <w:color w:val="auto"/>
              </w:rPr>
            </w:pPr>
          </w:p>
        </w:tc>
      </w:tr>
      <w:tr>
        <w:trPr>
          <w:trHeight w:val="383"/>
        </w:trPr>
        <w:tc>
          <w:tcPr>
            <w:tcW w:w="16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/s/</w:t>
            </w:r>
          </w:p>
        </w:tc>
        <w:tc>
          <w:tcPr>
            <w:tcW w:w="3440" w:type="dxa"/>
            <w:vAlign w:val="bottom"/>
            <w:tcBorders>
              <w:bottom w:val="single" w:sz="8" w:color="auto"/>
            </w:tcBorders>
          </w:tcPr>
          <w:p>
            <w:pPr>
              <w:jc w:val="center"/>
              <w:ind w:right="1910"/>
              <w:spacing w:after="0"/>
              <w:rPr>
                <w:sz w:val="20"/>
                <w:szCs w:val="20"/>
                <w:color w:val="auto"/>
              </w:rPr>
            </w:pPr>
            <w:r>
              <w:rPr>
                <w:rFonts w:ascii="Arial" w:cs="Arial" w:eastAsia="Arial" w:hAnsi="Arial"/>
                <w:sz w:val="18"/>
                <w:szCs w:val="18"/>
                <w:color w:val="auto"/>
                <w:w w:val="99"/>
              </w:rPr>
              <w:t>R. David Hoover</w:t>
            </w:r>
          </w:p>
        </w:tc>
        <w:tc>
          <w:tcPr>
            <w:tcW w:w="780" w:type="dxa"/>
            <w:vAlign w:val="bottom"/>
          </w:tcPr>
          <w:p>
            <w:pPr>
              <w:ind w:left="160"/>
              <w:spacing w:after="0"/>
              <w:rPr>
                <w:sz w:val="20"/>
                <w:szCs w:val="20"/>
                <w:color w:val="auto"/>
              </w:rPr>
            </w:pPr>
            <w:r>
              <w:rPr>
                <w:rFonts w:ascii="Arial" w:cs="Arial" w:eastAsia="Arial" w:hAnsi="Arial"/>
                <w:sz w:val="18"/>
                <w:szCs w:val="18"/>
                <w:color w:val="auto"/>
                <w:w w:val="95"/>
              </w:rPr>
              <w:t>Director</w:t>
            </w:r>
          </w:p>
        </w:tc>
      </w:tr>
      <w:tr>
        <w:trPr>
          <w:trHeight w:val="245"/>
        </w:trPr>
        <w:tc>
          <w:tcPr>
            <w:tcW w:w="16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840" w:type="dxa"/>
            <w:vAlign w:val="bottom"/>
            <w:gridSpan w:val="2"/>
          </w:tcPr>
          <w:p>
            <w:pPr>
              <w:jc w:val="center"/>
              <w:ind w:right="1870"/>
              <w:spacing w:after="0"/>
              <w:rPr>
                <w:sz w:val="20"/>
                <w:szCs w:val="20"/>
                <w:color w:val="auto"/>
              </w:rPr>
            </w:pPr>
            <w:r>
              <w:rPr>
                <w:rFonts w:ascii="Arial" w:cs="Arial" w:eastAsia="Arial" w:hAnsi="Arial"/>
                <w:sz w:val="18"/>
                <w:szCs w:val="18"/>
                <w:color w:val="auto"/>
                <w:w w:val="99"/>
              </w:rPr>
              <w:t>R. DAVID HOOVER</w:t>
            </w:r>
          </w:p>
        </w:tc>
        <w:tc>
          <w:tcPr>
            <w:tcW w:w="780" w:type="dxa"/>
            <w:vAlign w:val="bottom"/>
          </w:tcPr>
          <w:p>
            <w:pPr>
              <w:spacing w:after="0"/>
              <w:rPr>
                <w:sz w:val="21"/>
                <w:szCs w:val="21"/>
                <w:color w:val="auto"/>
              </w:rPr>
            </w:pPr>
          </w:p>
        </w:tc>
      </w:tr>
      <w:tr>
        <w:trPr>
          <w:trHeight w:val="383"/>
        </w:trPr>
        <w:tc>
          <w:tcPr>
            <w:tcW w:w="1600" w:type="dxa"/>
            <w:vAlign w:val="bottom"/>
            <w:tcBorders>
              <w:bottom w:val="single" w:sz="8" w:color="auto"/>
            </w:tcBorders>
          </w:tcPr>
          <w:p>
            <w:pPr>
              <w:spacing w:after="0"/>
              <w:rPr>
                <w:sz w:val="24"/>
                <w:szCs w:val="24"/>
                <w:color w:val="auto"/>
              </w:rPr>
            </w:pPr>
          </w:p>
        </w:tc>
        <w:tc>
          <w:tcPr>
            <w:tcW w:w="4220" w:type="dxa"/>
            <w:vAlign w:val="bottom"/>
            <w:tcBorders>
              <w:bottom w:val="single" w:sz="8" w:color="auto"/>
            </w:tcBorders>
            <w:gridSpan w:val="3"/>
          </w:tcPr>
          <w:p>
            <w:pPr>
              <w:jc w:val="center"/>
              <w:ind w:right="1510"/>
              <w:spacing w:after="0"/>
              <w:rPr>
                <w:sz w:val="20"/>
                <w:szCs w:val="20"/>
                <w:color w:val="auto"/>
              </w:rPr>
            </w:pPr>
            <w:r>
              <w:rPr>
                <w:rFonts w:ascii="Arial" w:cs="Arial" w:eastAsia="Arial" w:hAnsi="Arial"/>
                <w:sz w:val="18"/>
                <w:szCs w:val="18"/>
                <w:color w:val="auto"/>
              </w:rPr>
              <w:t>/s/  Karen N. Horn, Ph.D.</w:t>
            </w:r>
          </w:p>
        </w:tc>
        <w:tc>
          <w:tcPr>
            <w:tcW w:w="780" w:type="dxa"/>
            <w:vAlign w:val="bottom"/>
          </w:tcPr>
          <w:p>
            <w:pPr>
              <w:ind w:left="160"/>
              <w:spacing w:after="0"/>
              <w:rPr>
                <w:sz w:val="20"/>
                <w:szCs w:val="20"/>
                <w:color w:val="auto"/>
              </w:rPr>
            </w:pPr>
            <w:r>
              <w:rPr>
                <w:rFonts w:ascii="Arial" w:cs="Arial" w:eastAsia="Arial" w:hAnsi="Arial"/>
                <w:sz w:val="18"/>
                <w:szCs w:val="18"/>
                <w:color w:val="auto"/>
                <w:w w:val="95"/>
              </w:rPr>
              <w:t>Director</w:t>
            </w:r>
          </w:p>
        </w:tc>
      </w:tr>
      <w:tr>
        <w:trPr>
          <w:trHeight w:val="245"/>
        </w:trPr>
        <w:tc>
          <w:tcPr>
            <w:tcW w:w="1600" w:type="dxa"/>
            <w:vAlign w:val="bottom"/>
          </w:tcPr>
          <w:p>
            <w:pPr>
              <w:spacing w:after="0"/>
              <w:rPr>
                <w:sz w:val="21"/>
                <w:szCs w:val="21"/>
                <w:color w:val="auto"/>
              </w:rPr>
            </w:pPr>
          </w:p>
        </w:tc>
        <w:tc>
          <w:tcPr>
            <w:tcW w:w="4220" w:type="dxa"/>
            <w:vAlign w:val="bottom"/>
            <w:gridSpan w:val="3"/>
          </w:tcPr>
          <w:p>
            <w:pPr>
              <w:jc w:val="center"/>
              <w:ind w:right="1510"/>
              <w:spacing w:after="0"/>
              <w:rPr>
                <w:sz w:val="20"/>
                <w:szCs w:val="20"/>
                <w:color w:val="auto"/>
              </w:rPr>
            </w:pPr>
            <w:r>
              <w:rPr>
                <w:rFonts w:ascii="Arial" w:cs="Arial" w:eastAsia="Arial" w:hAnsi="Arial"/>
                <w:sz w:val="18"/>
                <w:szCs w:val="18"/>
                <w:color w:val="auto"/>
                <w:w w:val="99"/>
              </w:rPr>
              <w:t>KAREN N. HORN, Ph.D.</w:t>
            </w:r>
          </w:p>
        </w:tc>
        <w:tc>
          <w:tcPr>
            <w:tcW w:w="780" w:type="dxa"/>
            <w:vAlign w:val="bottom"/>
          </w:tcPr>
          <w:p>
            <w:pPr>
              <w:spacing w:after="0"/>
              <w:rPr>
                <w:sz w:val="21"/>
                <w:szCs w:val="21"/>
                <w:color w:val="auto"/>
              </w:rPr>
            </w:pPr>
          </w:p>
        </w:tc>
      </w:tr>
      <w:tr>
        <w:trPr>
          <w:trHeight w:val="396"/>
        </w:trPr>
        <w:tc>
          <w:tcPr>
            <w:tcW w:w="16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w:t>
            </w:r>
          </w:p>
        </w:tc>
        <w:tc>
          <w:tcPr>
            <w:tcW w:w="3840" w:type="dxa"/>
            <w:vAlign w:val="bottom"/>
            <w:tcBorders>
              <w:bottom w:val="single" w:sz="8" w:color="auto"/>
            </w:tcBorders>
            <w:gridSpan w:val="2"/>
          </w:tcPr>
          <w:p>
            <w:pPr>
              <w:jc w:val="center"/>
              <w:ind w:right="1490"/>
              <w:spacing w:after="0"/>
              <w:rPr>
                <w:sz w:val="20"/>
                <w:szCs w:val="20"/>
                <w:color w:val="auto"/>
              </w:rPr>
            </w:pPr>
            <w:r>
              <w:rPr>
                <w:rFonts w:ascii="Arial" w:cs="Arial" w:eastAsia="Arial" w:hAnsi="Arial"/>
                <w:sz w:val="18"/>
                <w:szCs w:val="18"/>
                <w:color w:val="auto"/>
                <w:w w:val="99"/>
              </w:rPr>
              <w:t>William G. Kaelin, Jr., M.D.</w:t>
            </w:r>
          </w:p>
        </w:tc>
        <w:tc>
          <w:tcPr>
            <w:tcW w:w="780" w:type="dxa"/>
            <w:vAlign w:val="bottom"/>
          </w:tcPr>
          <w:p>
            <w:pPr>
              <w:ind w:left="160"/>
              <w:spacing w:after="0"/>
              <w:rPr>
                <w:sz w:val="20"/>
                <w:szCs w:val="20"/>
                <w:color w:val="auto"/>
              </w:rPr>
            </w:pPr>
            <w:r>
              <w:rPr>
                <w:rFonts w:ascii="Arial" w:cs="Arial" w:eastAsia="Arial" w:hAnsi="Arial"/>
                <w:sz w:val="18"/>
                <w:szCs w:val="18"/>
                <w:color w:val="auto"/>
                <w:w w:val="95"/>
              </w:rPr>
              <w:t>Director</w:t>
            </w:r>
          </w:p>
        </w:tc>
      </w:tr>
      <w:tr>
        <w:trPr>
          <w:trHeight w:val="245"/>
        </w:trPr>
        <w:tc>
          <w:tcPr>
            <w:tcW w:w="1600" w:type="dxa"/>
            <w:vAlign w:val="bottom"/>
          </w:tcPr>
          <w:p>
            <w:pPr>
              <w:spacing w:after="0"/>
              <w:rPr>
                <w:sz w:val="21"/>
                <w:szCs w:val="21"/>
                <w:color w:val="auto"/>
              </w:rPr>
            </w:pPr>
          </w:p>
        </w:tc>
        <w:tc>
          <w:tcPr>
            <w:tcW w:w="4220" w:type="dxa"/>
            <w:vAlign w:val="bottom"/>
            <w:gridSpan w:val="3"/>
          </w:tcPr>
          <w:p>
            <w:pPr>
              <w:jc w:val="center"/>
              <w:ind w:right="1490"/>
              <w:spacing w:after="0"/>
              <w:rPr>
                <w:sz w:val="20"/>
                <w:szCs w:val="20"/>
                <w:color w:val="auto"/>
              </w:rPr>
            </w:pPr>
            <w:r>
              <w:rPr>
                <w:rFonts w:ascii="Arial" w:cs="Arial" w:eastAsia="Arial" w:hAnsi="Arial"/>
                <w:sz w:val="18"/>
                <w:szCs w:val="18"/>
                <w:color w:val="auto"/>
                <w:w w:val="99"/>
              </w:rPr>
              <w:t>WILLIAM G. KAELIN, JR., M.D.</w:t>
            </w:r>
          </w:p>
        </w:tc>
        <w:tc>
          <w:tcPr>
            <w:tcW w:w="780" w:type="dxa"/>
            <w:vAlign w:val="bottom"/>
          </w:tcPr>
          <w:p>
            <w:pPr>
              <w:spacing w:after="0"/>
              <w:rPr>
                <w:sz w:val="21"/>
                <w:szCs w:val="21"/>
                <w:color w:val="auto"/>
              </w:rPr>
            </w:pPr>
          </w:p>
        </w:tc>
      </w:tr>
      <w:tr>
        <w:trPr>
          <w:trHeight w:val="378"/>
        </w:trPr>
        <w:tc>
          <w:tcPr>
            <w:tcW w:w="1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ind w:left="80"/>
              <w:spacing w:after="0"/>
              <w:rPr>
                <w:sz w:val="20"/>
                <w:szCs w:val="20"/>
                <w:color w:val="auto"/>
              </w:rPr>
            </w:pPr>
            <w:r>
              <w:rPr>
                <w:rFonts w:ascii="Arial" w:cs="Arial" w:eastAsia="Arial" w:hAnsi="Arial"/>
                <w:sz w:val="18"/>
                <w:szCs w:val="18"/>
                <w:color w:val="auto"/>
              </w:rPr>
              <w:t>/s/</w:t>
            </w:r>
          </w:p>
        </w:tc>
        <w:tc>
          <w:tcPr>
            <w:tcW w:w="3440" w:type="dxa"/>
            <w:vAlign w:val="bottom"/>
          </w:tcPr>
          <w:p>
            <w:pPr>
              <w:jc w:val="center"/>
              <w:ind w:right="1890"/>
              <w:spacing w:after="0"/>
              <w:rPr>
                <w:sz w:val="20"/>
                <w:szCs w:val="20"/>
                <w:color w:val="auto"/>
              </w:rPr>
            </w:pPr>
            <w:r>
              <w:rPr>
                <w:rFonts w:ascii="Arial" w:cs="Arial" w:eastAsia="Arial" w:hAnsi="Arial"/>
                <w:sz w:val="18"/>
                <w:szCs w:val="18"/>
                <w:color w:val="auto"/>
                <w:w w:val="99"/>
              </w:rPr>
              <w:t>Juan R. Luciano</w:t>
            </w:r>
          </w:p>
        </w:tc>
        <w:tc>
          <w:tcPr>
            <w:tcW w:w="780" w:type="dxa"/>
            <w:vAlign w:val="bottom"/>
          </w:tcPr>
          <w:p>
            <w:pPr>
              <w:ind w:left="160"/>
              <w:spacing w:after="0"/>
              <w:rPr>
                <w:sz w:val="20"/>
                <w:szCs w:val="20"/>
                <w:color w:val="auto"/>
              </w:rPr>
            </w:pPr>
            <w:r>
              <w:rPr>
                <w:rFonts w:ascii="Arial" w:cs="Arial" w:eastAsia="Arial" w:hAnsi="Arial"/>
                <w:sz w:val="18"/>
                <w:szCs w:val="18"/>
                <w:color w:val="auto"/>
                <w:w w:val="95"/>
              </w:rPr>
              <w:t>Director</w:t>
            </w:r>
          </w:p>
        </w:tc>
      </w:tr>
      <w:tr>
        <w:trPr>
          <w:trHeight w:val="23"/>
        </w:trPr>
        <w:tc>
          <w:tcPr>
            <w:tcW w:w="16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840" w:type="dxa"/>
            <w:vAlign w:val="bottom"/>
            <w:tcBorders>
              <w:bottom w:val="single" w:sz="8" w:color="auto"/>
            </w:tcBorders>
            <w:gridSpan w:val="2"/>
          </w:tcPr>
          <w:p>
            <w:pPr>
              <w:spacing w:after="0"/>
              <w:rPr>
                <w:sz w:val="2"/>
                <w:szCs w:val="2"/>
                <w:color w:val="auto"/>
              </w:rPr>
            </w:pPr>
          </w:p>
        </w:tc>
        <w:tc>
          <w:tcPr>
            <w:tcW w:w="780" w:type="dxa"/>
            <w:vAlign w:val="bottom"/>
          </w:tcPr>
          <w:p>
            <w:pPr>
              <w:spacing w:after="0"/>
              <w:rPr>
                <w:sz w:val="2"/>
                <w:szCs w:val="2"/>
                <w:color w:val="auto"/>
              </w:rPr>
            </w:pPr>
          </w:p>
        </w:tc>
      </w:tr>
      <w:tr>
        <w:trPr>
          <w:trHeight w:val="241"/>
        </w:trPr>
        <w:tc>
          <w:tcPr>
            <w:tcW w:w="1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840" w:type="dxa"/>
            <w:vAlign w:val="bottom"/>
            <w:gridSpan w:val="2"/>
          </w:tcPr>
          <w:p>
            <w:pPr>
              <w:jc w:val="center"/>
              <w:ind w:right="1890"/>
              <w:spacing w:after="0"/>
              <w:rPr>
                <w:sz w:val="20"/>
                <w:szCs w:val="20"/>
                <w:color w:val="auto"/>
              </w:rPr>
            </w:pPr>
            <w:r>
              <w:rPr>
                <w:rFonts w:ascii="Arial" w:cs="Arial" w:eastAsia="Arial" w:hAnsi="Arial"/>
                <w:sz w:val="18"/>
                <w:szCs w:val="18"/>
                <w:color w:val="auto"/>
                <w:w w:val="99"/>
              </w:rPr>
              <w:t>JUAN R. LUCIANO</w:t>
            </w:r>
          </w:p>
        </w:tc>
        <w:tc>
          <w:tcPr>
            <w:tcW w:w="780" w:type="dxa"/>
            <w:vAlign w:val="bottom"/>
          </w:tcPr>
          <w:p>
            <w:pPr>
              <w:spacing w:after="0"/>
              <w:rPr>
                <w:sz w:val="20"/>
                <w:szCs w:val="20"/>
                <w:color w:val="auto"/>
              </w:rPr>
            </w:pPr>
          </w:p>
        </w:tc>
      </w:tr>
      <w:tr>
        <w:trPr>
          <w:trHeight w:val="383"/>
        </w:trPr>
        <w:tc>
          <w:tcPr>
            <w:tcW w:w="16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/s/</w:t>
            </w:r>
          </w:p>
        </w:tc>
        <w:tc>
          <w:tcPr>
            <w:tcW w:w="3440" w:type="dxa"/>
            <w:vAlign w:val="bottom"/>
            <w:tcBorders>
              <w:bottom w:val="single" w:sz="8" w:color="auto"/>
            </w:tcBorders>
          </w:tcPr>
          <w:p>
            <w:pPr>
              <w:jc w:val="center"/>
              <w:ind w:right="1890"/>
              <w:spacing w:after="0"/>
              <w:rPr>
                <w:sz w:val="20"/>
                <w:szCs w:val="20"/>
                <w:color w:val="auto"/>
              </w:rPr>
            </w:pPr>
            <w:r>
              <w:rPr>
                <w:rFonts w:ascii="Arial" w:cs="Arial" w:eastAsia="Arial" w:hAnsi="Arial"/>
                <w:sz w:val="18"/>
                <w:szCs w:val="18"/>
                <w:color w:val="auto"/>
                <w:w w:val="99"/>
              </w:rPr>
              <w:t>Ellen R. Marram</w:t>
            </w:r>
          </w:p>
        </w:tc>
        <w:tc>
          <w:tcPr>
            <w:tcW w:w="780" w:type="dxa"/>
            <w:vAlign w:val="bottom"/>
          </w:tcPr>
          <w:p>
            <w:pPr>
              <w:ind w:left="160"/>
              <w:spacing w:after="0"/>
              <w:rPr>
                <w:sz w:val="20"/>
                <w:szCs w:val="20"/>
                <w:color w:val="auto"/>
              </w:rPr>
            </w:pPr>
            <w:r>
              <w:rPr>
                <w:rFonts w:ascii="Arial" w:cs="Arial" w:eastAsia="Arial" w:hAnsi="Arial"/>
                <w:sz w:val="18"/>
                <w:szCs w:val="18"/>
                <w:color w:val="auto"/>
                <w:w w:val="95"/>
              </w:rPr>
              <w:t>Director</w:t>
            </w:r>
          </w:p>
        </w:tc>
      </w:tr>
      <w:tr>
        <w:trPr>
          <w:trHeight w:val="245"/>
        </w:trPr>
        <w:tc>
          <w:tcPr>
            <w:tcW w:w="16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840" w:type="dxa"/>
            <w:vAlign w:val="bottom"/>
            <w:gridSpan w:val="2"/>
          </w:tcPr>
          <w:p>
            <w:pPr>
              <w:jc w:val="center"/>
              <w:ind w:right="1890"/>
              <w:spacing w:after="0"/>
              <w:rPr>
                <w:sz w:val="20"/>
                <w:szCs w:val="20"/>
                <w:color w:val="auto"/>
              </w:rPr>
            </w:pPr>
            <w:r>
              <w:rPr>
                <w:rFonts w:ascii="Arial" w:cs="Arial" w:eastAsia="Arial" w:hAnsi="Arial"/>
                <w:sz w:val="18"/>
                <w:szCs w:val="18"/>
                <w:color w:val="auto"/>
              </w:rPr>
              <w:t>ELLEN R. MARRAM</w:t>
            </w:r>
          </w:p>
        </w:tc>
        <w:tc>
          <w:tcPr>
            <w:tcW w:w="780" w:type="dxa"/>
            <w:vAlign w:val="bottom"/>
          </w:tcPr>
          <w:p>
            <w:pPr>
              <w:spacing w:after="0"/>
              <w:rPr>
                <w:sz w:val="21"/>
                <w:szCs w:val="21"/>
                <w:color w:val="auto"/>
              </w:rPr>
            </w:pPr>
          </w:p>
        </w:tc>
      </w:tr>
      <w:tr>
        <w:trPr>
          <w:trHeight w:val="383"/>
        </w:trPr>
        <w:tc>
          <w:tcPr>
            <w:tcW w:w="1600" w:type="dxa"/>
            <w:vAlign w:val="bottom"/>
            <w:tcBorders>
              <w:bottom w:val="single" w:sz="8" w:color="auto"/>
            </w:tcBorders>
          </w:tcPr>
          <w:p>
            <w:pPr>
              <w:ind w:left="1220"/>
              <w:spacing w:after="0"/>
              <w:rPr>
                <w:sz w:val="20"/>
                <w:szCs w:val="20"/>
                <w:color w:val="auto"/>
              </w:rPr>
            </w:pPr>
            <w:r>
              <w:rPr>
                <w:rFonts w:ascii="Arial" w:cs="Arial" w:eastAsia="Arial" w:hAnsi="Arial"/>
                <w:sz w:val="18"/>
                <w:szCs w:val="18"/>
                <w:color w:val="auto"/>
              </w:rPr>
              <w:t>/s/</w:t>
            </w:r>
          </w:p>
        </w:tc>
        <w:tc>
          <w:tcPr>
            <w:tcW w:w="4220" w:type="dxa"/>
            <w:vAlign w:val="bottom"/>
            <w:tcBorders>
              <w:bottom w:val="single" w:sz="8" w:color="auto"/>
            </w:tcBorders>
            <w:gridSpan w:val="3"/>
          </w:tcPr>
          <w:p>
            <w:pPr>
              <w:jc w:val="center"/>
              <w:ind w:right="1110"/>
              <w:spacing w:after="0"/>
              <w:rPr>
                <w:sz w:val="20"/>
                <w:szCs w:val="20"/>
                <w:color w:val="auto"/>
              </w:rPr>
            </w:pPr>
            <w:r>
              <w:rPr>
                <w:rFonts w:ascii="Arial" w:cs="Arial" w:eastAsia="Arial" w:hAnsi="Arial"/>
                <w:sz w:val="18"/>
                <w:szCs w:val="18"/>
                <w:color w:val="auto"/>
                <w:w w:val="99"/>
              </w:rPr>
              <w:t>Franklyn G. Prendergast, M.D., Ph.D.</w:t>
            </w:r>
          </w:p>
        </w:tc>
        <w:tc>
          <w:tcPr>
            <w:tcW w:w="780" w:type="dxa"/>
            <w:vAlign w:val="bottom"/>
          </w:tcPr>
          <w:p>
            <w:pPr>
              <w:ind w:left="160"/>
              <w:spacing w:after="0"/>
              <w:rPr>
                <w:sz w:val="20"/>
                <w:szCs w:val="20"/>
                <w:color w:val="auto"/>
              </w:rPr>
            </w:pPr>
            <w:r>
              <w:rPr>
                <w:rFonts w:ascii="Arial" w:cs="Arial" w:eastAsia="Arial" w:hAnsi="Arial"/>
                <w:sz w:val="18"/>
                <w:szCs w:val="18"/>
                <w:color w:val="auto"/>
                <w:w w:val="95"/>
              </w:rPr>
              <w:t>Director</w:t>
            </w:r>
          </w:p>
        </w:tc>
      </w:tr>
      <w:tr>
        <w:trPr>
          <w:trHeight w:val="245"/>
        </w:trPr>
        <w:tc>
          <w:tcPr>
            <w:tcW w:w="5820" w:type="dxa"/>
            <w:vAlign w:val="bottom"/>
            <w:gridSpan w:val="4"/>
          </w:tcPr>
          <w:p>
            <w:pPr>
              <w:jc w:val="center"/>
              <w:spacing w:after="0"/>
              <w:rPr>
                <w:sz w:val="20"/>
                <w:szCs w:val="20"/>
                <w:color w:val="auto"/>
              </w:rPr>
            </w:pPr>
            <w:r>
              <w:rPr>
                <w:rFonts w:ascii="Arial" w:cs="Arial" w:eastAsia="Arial" w:hAnsi="Arial"/>
                <w:sz w:val="18"/>
                <w:szCs w:val="18"/>
                <w:color w:val="auto"/>
                <w:w w:val="99"/>
              </w:rPr>
              <w:t>FRANKLYN G. PRENDERGAST, M.D., Ph.D.</w:t>
            </w:r>
          </w:p>
        </w:tc>
        <w:tc>
          <w:tcPr>
            <w:tcW w:w="780" w:type="dxa"/>
            <w:vAlign w:val="bottom"/>
          </w:tcPr>
          <w:p>
            <w:pPr>
              <w:spacing w:after="0"/>
              <w:rPr>
                <w:sz w:val="21"/>
                <w:szCs w:val="21"/>
                <w:color w:val="auto"/>
              </w:rPr>
            </w:pPr>
          </w:p>
        </w:tc>
      </w:tr>
      <w:tr>
        <w:trPr>
          <w:trHeight w:val="378"/>
        </w:trPr>
        <w:tc>
          <w:tcPr>
            <w:tcW w:w="1600" w:type="dxa"/>
            <w:vAlign w:val="bottom"/>
          </w:tcPr>
          <w:p>
            <w:pPr>
              <w:ind w:left="1420"/>
              <w:spacing w:after="0"/>
              <w:rPr>
                <w:sz w:val="20"/>
                <w:szCs w:val="20"/>
                <w:color w:val="auto"/>
              </w:rPr>
            </w:pPr>
            <w:r>
              <w:rPr>
                <w:rFonts w:ascii="Arial" w:cs="Arial" w:eastAsia="Arial" w:hAnsi="Arial"/>
                <w:sz w:val="18"/>
                <w:szCs w:val="18"/>
                <w:color w:val="auto"/>
                <w:w w:val="83"/>
              </w:rPr>
              <w:t>/s/</w:t>
            </w:r>
          </w:p>
        </w:tc>
        <w:tc>
          <w:tcPr>
            <w:tcW w:w="4220" w:type="dxa"/>
            <w:vAlign w:val="bottom"/>
            <w:gridSpan w:val="3"/>
          </w:tcPr>
          <w:p>
            <w:pPr>
              <w:jc w:val="center"/>
              <w:ind w:right="1130"/>
              <w:spacing w:after="0"/>
              <w:rPr>
                <w:sz w:val="20"/>
                <w:szCs w:val="20"/>
                <w:color w:val="auto"/>
              </w:rPr>
            </w:pPr>
            <w:r>
              <w:rPr>
                <w:rFonts w:ascii="Arial" w:cs="Arial" w:eastAsia="Arial" w:hAnsi="Arial"/>
                <w:sz w:val="18"/>
                <w:szCs w:val="18"/>
                <w:color w:val="auto"/>
                <w:w w:val="99"/>
              </w:rPr>
              <w:t>Marschall S. Runge, M.D., Ph.D.</w:t>
            </w:r>
          </w:p>
        </w:tc>
        <w:tc>
          <w:tcPr>
            <w:tcW w:w="780" w:type="dxa"/>
            <w:vAlign w:val="bottom"/>
          </w:tcPr>
          <w:p>
            <w:pPr>
              <w:ind w:left="160"/>
              <w:spacing w:after="0"/>
              <w:rPr>
                <w:sz w:val="20"/>
                <w:szCs w:val="20"/>
                <w:color w:val="auto"/>
              </w:rPr>
            </w:pPr>
            <w:r>
              <w:rPr>
                <w:rFonts w:ascii="Arial" w:cs="Arial" w:eastAsia="Arial" w:hAnsi="Arial"/>
                <w:sz w:val="18"/>
                <w:szCs w:val="18"/>
                <w:color w:val="auto"/>
                <w:w w:val="95"/>
              </w:rPr>
              <w:t>Director</w:t>
            </w:r>
          </w:p>
        </w:tc>
      </w:tr>
      <w:tr>
        <w:trPr>
          <w:trHeight w:val="23"/>
        </w:trPr>
        <w:tc>
          <w:tcPr>
            <w:tcW w:w="5820" w:type="dxa"/>
            <w:vAlign w:val="bottom"/>
            <w:tcBorders>
              <w:bottom w:val="single" w:sz="8" w:color="auto"/>
            </w:tcBorders>
            <w:gridSpan w:val="4"/>
          </w:tcPr>
          <w:p>
            <w:pPr>
              <w:spacing w:after="0"/>
              <w:rPr>
                <w:sz w:val="2"/>
                <w:szCs w:val="2"/>
                <w:color w:val="auto"/>
              </w:rPr>
            </w:pPr>
          </w:p>
        </w:tc>
        <w:tc>
          <w:tcPr>
            <w:tcW w:w="780" w:type="dxa"/>
            <w:vAlign w:val="bottom"/>
          </w:tcPr>
          <w:p>
            <w:pPr>
              <w:spacing w:after="0"/>
              <w:rPr>
                <w:sz w:val="2"/>
                <w:szCs w:val="2"/>
                <w:color w:val="auto"/>
              </w:rPr>
            </w:pPr>
          </w:p>
        </w:tc>
      </w:tr>
      <w:tr>
        <w:trPr>
          <w:trHeight w:val="241"/>
        </w:trPr>
        <w:tc>
          <w:tcPr>
            <w:tcW w:w="5820" w:type="dxa"/>
            <w:vAlign w:val="bottom"/>
            <w:gridSpan w:val="4"/>
          </w:tcPr>
          <w:p>
            <w:pPr>
              <w:jc w:val="center"/>
              <w:spacing w:after="0"/>
              <w:rPr>
                <w:sz w:val="20"/>
                <w:szCs w:val="20"/>
                <w:color w:val="auto"/>
              </w:rPr>
            </w:pPr>
            <w:r>
              <w:rPr>
                <w:rFonts w:ascii="Arial" w:cs="Arial" w:eastAsia="Arial" w:hAnsi="Arial"/>
                <w:sz w:val="18"/>
                <w:szCs w:val="18"/>
                <w:color w:val="auto"/>
              </w:rPr>
              <w:t>MARSCHALL S. RUNGE, M.D., Ph.D.</w:t>
            </w:r>
          </w:p>
        </w:tc>
        <w:tc>
          <w:tcPr>
            <w:tcW w:w="780" w:type="dxa"/>
            <w:vAlign w:val="bottom"/>
          </w:tcPr>
          <w:p>
            <w:pPr>
              <w:spacing w:after="0"/>
              <w:rPr>
                <w:sz w:val="20"/>
                <w:szCs w:val="20"/>
                <w:color w:val="auto"/>
              </w:rPr>
            </w:pPr>
          </w:p>
        </w:tc>
      </w:tr>
      <w:tr>
        <w:trPr>
          <w:trHeight w:val="383"/>
        </w:trPr>
        <w:tc>
          <w:tcPr>
            <w:tcW w:w="16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/s/</w:t>
            </w:r>
          </w:p>
        </w:tc>
        <w:tc>
          <w:tcPr>
            <w:tcW w:w="3440" w:type="dxa"/>
            <w:vAlign w:val="bottom"/>
            <w:tcBorders>
              <w:bottom w:val="single" w:sz="8" w:color="auto"/>
            </w:tcBorders>
          </w:tcPr>
          <w:p>
            <w:pPr>
              <w:jc w:val="center"/>
              <w:ind w:right="1890"/>
              <w:spacing w:after="0"/>
              <w:rPr>
                <w:sz w:val="20"/>
                <w:szCs w:val="20"/>
                <w:color w:val="auto"/>
              </w:rPr>
            </w:pPr>
            <w:r>
              <w:rPr>
                <w:rFonts w:ascii="Arial" w:cs="Arial" w:eastAsia="Arial" w:hAnsi="Arial"/>
                <w:sz w:val="18"/>
                <w:szCs w:val="18"/>
                <w:color w:val="auto"/>
                <w:w w:val="98"/>
              </w:rPr>
              <w:t>Kathi P. Seifert</w:t>
            </w:r>
          </w:p>
        </w:tc>
        <w:tc>
          <w:tcPr>
            <w:tcW w:w="780" w:type="dxa"/>
            <w:vAlign w:val="bottom"/>
          </w:tcPr>
          <w:p>
            <w:pPr>
              <w:ind w:left="160"/>
              <w:spacing w:after="0"/>
              <w:rPr>
                <w:sz w:val="20"/>
                <w:szCs w:val="20"/>
                <w:color w:val="auto"/>
              </w:rPr>
            </w:pPr>
            <w:r>
              <w:rPr>
                <w:rFonts w:ascii="Arial" w:cs="Arial" w:eastAsia="Arial" w:hAnsi="Arial"/>
                <w:sz w:val="18"/>
                <w:szCs w:val="18"/>
                <w:color w:val="auto"/>
                <w:w w:val="95"/>
              </w:rPr>
              <w:t>Director</w:t>
            </w:r>
          </w:p>
        </w:tc>
      </w:tr>
      <w:tr>
        <w:trPr>
          <w:trHeight w:val="245"/>
        </w:trPr>
        <w:tc>
          <w:tcPr>
            <w:tcW w:w="16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840" w:type="dxa"/>
            <w:vAlign w:val="bottom"/>
            <w:gridSpan w:val="2"/>
          </w:tcPr>
          <w:p>
            <w:pPr>
              <w:jc w:val="center"/>
              <w:ind w:right="1870"/>
              <w:spacing w:after="0"/>
              <w:rPr>
                <w:sz w:val="20"/>
                <w:szCs w:val="20"/>
                <w:color w:val="auto"/>
              </w:rPr>
            </w:pPr>
            <w:r>
              <w:rPr>
                <w:rFonts w:ascii="Arial" w:cs="Arial" w:eastAsia="Arial" w:hAnsi="Arial"/>
                <w:sz w:val="18"/>
                <w:szCs w:val="18"/>
                <w:color w:val="auto"/>
                <w:w w:val="97"/>
              </w:rPr>
              <w:t>KATHI P. SEIFERT</w:t>
            </w:r>
          </w:p>
        </w:tc>
        <w:tc>
          <w:tcPr>
            <w:tcW w:w="780" w:type="dxa"/>
            <w:vAlign w:val="bottom"/>
          </w:tcPr>
          <w:p>
            <w:pPr>
              <w:spacing w:after="0"/>
              <w:rPr>
                <w:sz w:val="21"/>
                <w:szCs w:val="21"/>
                <w:color w:val="auto"/>
              </w:rPr>
            </w:pPr>
          </w:p>
        </w:tc>
      </w:tr>
      <w:tr>
        <w:trPr>
          <w:trHeight w:val="378"/>
        </w:trPr>
        <w:tc>
          <w:tcPr>
            <w:tcW w:w="1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ind w:left="160"/>
              <w:spacing w:after="0"/>
              <w:rPr>
                <w:sz w:val="20"/>
                <w:szCs w:val="20"/>
                <w:color w:val="auto"/>
              </w:rPr>
            </w:pPr>
            <w:r>
              <w:rPr>
                <w:rFonts w:ascii="Arial" w:cs="Arial" w:eastAsia="Arial" w:hAnsi="Arial"/>
                <w:sz w:val="18"/>
                <w:szCs w:val="18"/>
                <w:color w:val="auto"/>
              </w:rPr>
              <w:t>/s/</w:t>
            </w:r>
          </w:p>
        </w:tc>
        <w:tc>
          <w:tcPr>
            <w:tcW w:w="3440" w:type="dxa"/>
            <w:vAlign w:val="bottom"/>
          </w:tcPr>
          <w:p>
            <w:pPr>
              <w:jc w:val="center"/>
              <w:ind w:right="1890"/>
              <w:spacing w:after="0"/>
              <w:rPr>
                <w:sz w:val="20"/>
                <w:szCs w:val="20"/>
                <w:color w:val="auto"/>
              </w:rPr>
            </w:pPr>
            <w:r>
              <w:rPr>
                <w:rFonts w:ascii="Arial" w:cs="Arial" w:eastAsia="Arial" w:hAnsi="Arial"/>
                <w:sz w:val="18"/>
                <w:szCs w:val="18"/>
                <w:color w:val="auto"/>
                <w:w w:val="96"/>
              </w:rPr>
              <w:t>Jackson P. Tai</w:t>
            </w:r>
          </w:p>
        </w:tc>
        <w:tc>
          <w:tcPr>
            <w:tcW w:w="780" w:type="dxa"/>
            <w:vAlign w:val="bottom"/>
          </w:tcPr>
          <w:p>
            <w:pPr>
              <w:ind w:left="160"/>
              <w:spacing w:after="0"/>
              <w:rPr>
                <w:sz w:val="20"/>
                <w:szCs w:val="20"/>
                <w:color w:val="auto"/>
              </w:rPr>
            </w:pPr>
            <w:r>
              <w:rPr>
                <w:rFonts w:ascii="Arial" w:cs="Arial" w:eastAsia="Arial" w:hAnsi="Arial"/>
                <w:sz w:val="18"/>
                <w:szCs w:val="18"/>
                <w:color w:val="auto"/>
                <w:w w:val="95"/>
              </w:rPr>
              <w:t>Director</w:t>
            </w:r>
          </w:p>
        </w:tc>
      </w:tr>
      <w:tr>
        <w:trPr>
          <w:trHeight w:val="23"/>
        </w:trPr>
        <w:tc>
          <w:tcPr>
            <w:tcW w:w="16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840" w:type="dxa"/>
            <w:vAlign w:val="bottom"/>
            <w:tcBorders>
              <w:bottom w:val="single" w:sz="8" w:color="auto"/>
            </w:tcBorders>
            <w:gridSpan w:val="2"/>
          </w:tcPr>
          <w:p>
            <w:pPr>
              <w:spacing w:after="0"/>
              <w:rPr>
                <w:sz w:val="2"/>
                <w:szCs w:val="2"/>
                <w:color w:val="auto"/>
              </w:rPr>
            </w:pPr>
          </w:p>
        </w:tc>
        <w:tc>
          <w:tcPr>
            <w:tcW w:w="780" w:type="dxa"/>
            <w:vAlign w:val="bottom"/>
          </w:tcPr>
          <w:p>
            <w:pPr>
              <w:spacing w:after="0"/>
              <w:rPr>
                <w:sz w:val="2"/>
                <w:szCs w:val="2"/>
                <w:color w:val="auto"/>
              </w:rPr>
            </w:pPr>
          </w:p>
        </w:tc>
      </w:tr>
      <w:tr>
        <w:trPr>
          <w:trHeight w:val="241"/>
        </w:trPr>
        <w:tc>
          <w:tcPr>
            <w:tcW w:w="1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840" w:type="dxa"/>
            <w:vAlign w:val="bottom"/>
            <w:gridSpan w:val="2"/>
          </w:tcPr>
          <w:p>
            <w:pPr>
              <w:jc w:val="center"/>
              <w:ind w:right="1890"/>
              <w:spacing w:after="0"/>
              <w:rPr>
                <w:sz w:val="20"/>
                <w:szCs w:val="20"/>
                <w:color w:val="auto"/>
              </w:rPr>
            </w:pPr>
            <w:r>
              <w:rPr>
                <w:rFonts w:ascii="Arial" w:cs="Arial" w:eastAsia="Arial" w:hAnsi="Arial"/>
                <w:sz w:val="18"/>
                <w:szCs w:val="18"/>
                <w:color w:val="auto"/>
                <w:w w:val="98"/>
              </w:rPr>
              <w:t>JACKSON P. TAI</w:t>
            </w:r>
          </w:p>
        </w:tc>
        <w:tc>
          <w:tcPr>
            <w:tcW w:w="780" w:type="dxa"/>
            <w:vAlign w:val="bottom"/>
          </w:tcPr>
          <w:p>
            <w:pPr>
              <w:spacing w:after="0"/>
              <w:rPr>
                <w:sz w:val="20"/>
                <w:szCs w:val="20"/>
                <w:color w:val="auto"/>
              </w:rPr>
            </w:pPr>
          </w:p>
        </w:tc>
      </w:tr>
    </w:tbl>
    <w:p>
      <w:pPr>
        <w:spacing w:after="0" w:line="23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115</w:t>
      </w:r>
    </w:p>
    <w:p>
      <w:pPr>
        <w:sectPr>
          <w:pgSz w:w="11900" w:h="16838" w:orient="portrait"/>
          <w:cols w:equalWidth="0" w:num="1">
            <w:col w:w="11420"/>
          </w:cols>
          <w:pgMar w:left="240" w:top="630" w:right="239" w:bottom="1440" w:gutter="0" w:footer="0" w:header="0"/>
          <w:type w:val="continuous"/>
        </w:sectPr>
      </w:pPr>
    </w:p>
    <w:bookmarkStart w:id="115" w:name="page116"/>
    <w:bookmarkEnd w:id="115"/>
    <w:p>
      <w:pPr>
        <w:spacing w:after="0"/>
        <w:rPr>
          <w:sz w:val="20"/>
          <w:szCs w:val="20"/>
          <w:color w:val="auto"/>
        </w:rPr>
      </w:pPr>
      <w:r>
        <w:rPr>
          <w:rFonts w:ascii="Arial" w:cs="Arial" w:eastAsia="Arial" w:hAnsi="Arial"/>
          <w:sz w:val="18"/>
          <w:szCs w:val="18"/>
          <w:b w:val="1"/>
          <w:bCs w:val="1"/>
          <w:color w:val="C21128"/>
        </w:rPr>
        <w:t>Trademarks Used In This Report</w:t>
      </w:r>
    </w:p>
    <w:p>
      <w:pPr>
        <w:spacing w:after="0" w:line="119" w:lineRule="exact"/>
        <w:rPr>
          <w:sz w:val="20"/>
          <w:szCs w:val="20"/>
          <w:color w:val="auto"/>
        </w:rPr>
      </w:pPr>
    </w:p>
    <w:p>
      <w:pPr>
        <w:spacing w:after="0" w:line="289" w:lineRule="auto"/>
        <w:rPr>
          <w:sz w:val="20"/>
          <w:szCs w:val="20"/>
          <w:color w:val="auto"/>
        </w:rPr>
      </w:pPr>
      <w:r>
        <w:rPr>
          <w:rFonts w:ascii="Arial" w:cs="Arial" w:eastAsia="Arial" w:hAnsi="Arial"/>
          <w:sz w:val="18"/>
          <w:szCs w:val="18"/>
          <w:color w:val="auto"/>
        </w:rPr>
        <w:t xml:space="preserve">Trademarks or service marks owned by Eli Lilly and Company or its subsidiaries or affiliates, when first used in this report, appear with an initial capital and are followed by the symbol </w:t>
      </w:r>
      <w:r>
        <w:rPr>
          <w:rFonts w:ascii="Arial" w:cs="Arial" w:eastAsia="Arial" w:hAnsi="Arial"/>
          <w:sz w:val="21"/>
          <w:szCs w:val="21"/>
          <w:color w:val="auto"/>
          <w:vertAlign w:val="superscript"/>
        </w:rPr>
        <w:t>®</w:t>
      </w:r>
      <w:r>
        <w:rPr>
          <w:rFonts w:ascii="Arial" w:cs="Arial" w:eastAsia="Arial" w:hAnsi="Arial"/>
          <w:sz w:val="18"/>
          <w:szCs w:val="18"/>
          <w:color w:val="auto"/>
        </w:rPr>
        <w:t xml:space="preserve"> or </w:t>
      </w:r>
      <w:r>
        <w:rPr>
          <w:rFonts w:ascii="Arial" w:cs="Arial" w:eastAsia="Arial" w:hAnsi="Arial"/>
          <w:sz w:val="21"/>
          <w:szCs w:val="21"/>
          <w:color w:val="auto"/>
          <w:vertAlign w:val="superscript"/>
        </w:rPr>
        <w:t>™</w:t>
      </w:r>
      <w:r>
        <w:rPr>
          <w:rFonts w:ascii="Arial" w:cs="Arial" w:eastAsia="Arial" w:hAnsi="Arial"/>
          <w:sz w:val="18"/>
          <w:szCs w:val="18"/>
          <w:color w:val="auto"/>
        </w:rPr>
        <w:t>, as applicable. In subsequent uses of the marks in the report, the symbols may be omitted.</w:t>
      </w:r>
    </w:p>
    <w:p>
      <w:pPr>
        <w:spacing w:after="0"/>
        <w:rPr>
          <w:sz w:val="20"/>
          <w:szCs w:val="20"/>
          <w:color w:val="auto"/>
        </w:rPr>
      </w:pPr>
      <w:r>
        <w:rPr>
          <w:rFonts w:ascii="Arial" w:cs="Arial" w:eastAsia="Arial" w:hAnsi="Arial"/>
          <w:sz w:val="18"/>
          <w:szCs w:val="18"/>
          <w:color w:val="auto"/>
        </w:rPr>
        <w:t>Actos</w:t>
      </w:r>
      <w:r>
        <w:rPr>
          <w:rFonts w:ascii="Arial" w:cs="Arial" w:eastAsia="Arial" w:hAnsi="Arial"/>
          <w:sz w:val="21"/>
          <w:szCs w:val="21"/>
          <w:i w:val="1"/>
          <w:iCs w:val="1"/>
          <w:color w:val="auto"/>
          <w:vertAlign w:val="superscript"/>
        </w:rPr>
        <w:t>®</w:t>
      </w:r>
      <w:r>
        <w:rPr>
          <w:rFonts w:ascii="Arial" w:cs="Arial" w:eastAsia="Arial" w:hAnsi="Arial"/>
          <w:sz w:val="18"/>
          <w:szCs w:val="18"/>
          <w:color w:val="auto"/>
        </w:rPr>
        <w:t xml:space="preserve"> is a trademark of Takeda Pharmaceutical Company Limited.</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ENHANZE</w:t>
      </w:r>
      <w:r>
        <w:rPr>
          <w:rFonts w:ascii="Arial" w:cs="Arial" w:eastAsia="Arial" w:hAnsi="Arial"/>
          <w:sz w:val="21"/>
          <w:szCs w:val="21"/>
          <w:color w:val="auto"/>
          <w:vertAlign w:val="superscript"/>
        </w:rPr>
        <w:t>™</w:t>
      </w:r>
      <w:r>
        <w:rPr>
          <w:rFonts w:ascii="Arial" w:cs="Arial" w:eastAsia="Arial" w:hAnsi="Arial"/>
          <w:sz w:val="18"/>
          <w:szCs w:val="18"/>
          <w:color w:val="auto"/>
        </w:rPr>
        <w:t xml:space="preserve"> is a trademark of Halozyme Therapeutics, Inc.</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Bydureon</w:t>
      </w:r>
      <w:r>
        <w:rPr>
          <w:rFonts w:ascii="Arial" w:cs="Arial" w:eastAsia="Arial" w:hAnsi="Arial"/>
          <w:sz w:val="21"/>
          <w:szCs w:val="21"/>
          <w:color w:val="auto"/>
          <w:vertAlign w:val="superscript"/>
        </w:rPr>
        <w:t>®</w:t>
      </w:r>
      <w:r>
        <w:rPr>
          <w:rFonts w:ascii="Arial" w:cs="Arial" w:eastAsia="Arial" w:hAnsi="Arial"/>
          <w:sz w:val="18"/>
          <w:szCs w:val="18"/>
          <w:color w:val="auto"/>
        </w:rPr>
        <w:t xml:space="preserve"> and Byetta</w:t>
      </w:r>
      <w:r>
        <w:rPr>
          <w:rFonts w:ascii="Arial" w:cs="Arial" w:eastAsia="Arial" w:hAnsi="Arial"/>
          <w:sz w:val="21"/>
          <w:szCs w:val="21"/>
          <w:color w:val="auto"/>
          <w:vertAlign w:val="superscript"/>
        </w:rPr>
        <w:t>®</w:t>
      </w:r>
      <w:r>
        <w:rPr>
          <w:rFonts w:ascii="Arial" w:cs="Arial" w:eastAsia="Arial" w:hAnsi="Arial"/>
          <w:sz w:val="18"/>
          <w:szCs w:val="18"/>
          <w:color w:val="auto"/>
        </w:rPr>
        <w:t xml:space="preserve"> are trademarks of Amylin Pharmaceuticals, Inc.</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Glyxambi</w:t>
      </w:r>
      <w:r>
        <w:rPr>
          <w:rFonts w:ascii="Arial" w:cs="Arial" w:eastAsia="Arial" w:hAnsi="Arial"/>
          <w:sz w:val="21"/>
          <w:szCs w:val="21"/>
          <w:color w:val="auto"/>
          <w:vertAlign w:val="superscript"/>
        </w:rPr>
        <w:t>®</w:t>
      </w:r>
      <w:r>
        <w:rPr>
          <w:rFonts w:ascii="Arial" w:cs="Arial" w:eastAsia="Arial" w:hAnsi="Arial"/>
          <w:sz w:val="18"/>
          <w:szCs w:val="18"/>
          <w:color w:val="auto"/>
        </w:rPr>
        <w:t>, Jardiance</w:t>
      </w:r>
      <w:r>
        <w:rPr>
          <w:rFonts w:ascii="Arial" w:cs="Arial" w:eastAsia="Arial" w:hAnsi="Arial"/>
          <w:sz w:val="21"/>
          <w:szCs w:val="21"/>
          <w:color w:val="auto"/>
          <w:vertAlign w:val="superscript"/>
        </w:rPr>
        <w:t>®</w:t>
      </w:r>
      <w:r>
        <w:rPr>
          <w:rFonts w:ascii="Arial" w:cs="Arial" w:eastAsia="Arial" w:hAnsi="Arial"/>
          <w:sz w:val="18"/>
          <w:szCs w:val="18"/>
          <w:color w:val="auto"/>
        </w:rPr>
        <w:t>, Jentadueto</w:t>
      </w:r>
      <w:r>
        <w:rPr>
          <w:rFonts w:ascii="Arial" w:cs="Arial" w:eastAsia="Arial" w:hAnsi="Arial"/>
          <w:sz w:val="21"/>
          <w:szCs w:val="21"/>
          <w:color w:val="auto"/>
          <w:vertAlign w:val="superscript"/>
        </w:rPr>
        <w:t>®</w:t>
      </w:r>
      <w:r>
        <w:rPr>
          <w:rFonts w:ascii="Arial" w:cs="Arial" w:eastAsia="Arial" w:hAnsi="Arial"/>
          <w:sz w:val="18"/>
          <w:szCs w:val="18"/>
          <w:color w:val="auto"/>
        </w:rPr>
        <w:t>, Synjardy</w:t>
      </w:r>
      <w:r>
        <w:rPr>
          <w:rFonts w:ascii="Arial" w:cs="Arial" w:eastAsia="Arial" w:hAnsi="Arial"/>
          <w:sz w:val="21"/>
          <w:szCs w:val="21"/>
          <w:color w:val="auto"/>
          <w:vertAlign w:val="superscript"/>
        </w:rPr>
        <w:t>®</w:t>
      </w:r>
      <w:r>
        <w:rPr>
          <w:rFonts w:ascii="Arial" w:cs="Arial" w:eastAsia="Arial" w:hAnsi="Arial"/>
          <w:sz w:val="18"/>
          <w:szCs w:val="18"/>
          <w:color w:val="auto"/>
        </w:rPr>
        <w:t xml:space="preserve"> and Trajenta</w:t>
      </w:r>
      <w:r>
        <w:rPr>
          <w:rFonts w:ascii="Arial" w:cs="Arial" w:eastAsia="Arial" w:hAnsi="Arial"/>
          <w:sz w:val="21"/>
          <w:szCs w:val="21"/>
          <w:color w:val="auto"/>
          <w:vertAlign w:val="superscript"/>
        </w:rPr>
        <w:t>®</w:t>
      </w:r>
      <w:r>
        <w:rPr>
          <w:rFonts w:ascii="Arial" w:cs="Arial" w:eastAsia="Arial" w:hAnsi="Arial"/>
          <w:sz w:val="18"/>
          <w:szCs w:val="18"/>
          <w:color w:val="auto"/>
        </w:rPr>
        <w:t xml:space="preserve"> are trademarks of Boehringer Ingelheim GmbH.</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Lantus</w:t>
      </w:r>
      <w:r>
        <w:rPr>
          <w:rFonts w:ascii="Arial" w:cs="Arial" w:eastAsia="Arial" w:hAnsi="Arial"/>
          <w:sz w:val="21"/>
          <w:szCs w:val="21"/>
          <w:color w:val="auto"/>
          <w:vertAlign w:val="superscript"/>
        </w:rPr>
        <w:t>®</w:t>
      </w:r>
      <w:r>
        <w:rPr>
          <w:rFonts w:ascii="Arial" w:cs="Arial" w:eastAsia="Arial" w:hAnsi="Arial"/>
          <w:sz w:val="18"/>
          <w:szCs w:val="18"/>
          <w:color w:val="auto"/>
        </w:rPr>
        <w:t xml:space="preserve"> is a trademark of Sanofi-Aventis Deutschland GmbH.</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Sentinel</w:t>
      </w:r>
      <w:r>
        <w:rPr>
          <w:rFonts w:ascii="Arial" w:cs="Arial" w:eastAsia="Arial" w:hAnsi="Arial"/>
          <w:sz w:val="21"/>
          <w:szCs w:val="21"/>
          <w:i w:val="1"/>
          <w:iCs w:val="1"/>
          <w:color w:val="auto"/>
          <w:vertAlign w:val="superscript"/>
        </w:rPr>
        <w:t>®</w:t>
      </w:r>
      <w:r>
        <w:rPr>
          <w:rFonts w:ascii="Arial" w:cs="Arial" w:eastAsia="Arial" w:hAnsi="Arial"/>
          <w:sz w:val="18"/>
          <w:szCs w:val="18"/>
          <w:color w:val="auto"/>
        </w:rPr>
        <w:t xml:space="preserve"> is a trademark of Virbac Corporation.</w:t>
      </w: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116</w:t>
      </w:r>
    </w:p>
    <w:p>
      <w:pPr>
        <w:sectPr>
          <w:pgSz w:w="11900" w:h="16838" w:orient="portrait"/>
          <w:cols w:equalWidth="0" w:num="1">
            <w:col w:w="11380"/>
          </w:cols>
          <w:pgMar w:left="240" w:top="736" w:right="279" w:bottom="1440" w:gutter="0" w:footer="0" w:header="0"/>
        </w:sectPr>
      </w:pPr>
    </w:p>
    <w:bookmarkStart w:id="116" w:name="page117"/>
    <w:bookmarkEnd w:id="116"/>
    <w:p>
      <w:pPr>
        <w:spacing w:after="0"/>
        <w:rPr>
          <w:sz w:val="20"/>
          <w:szCs w:val="20"/>
          <w:color w:val="auto"/>
        </w:rPr>
      </w:pPr>
      <w:r>
        <w:rPr>
          <w:rFonts w:ascii="Arial" w:cs="Arial" w:eastAsia="Arial" w:hAnsi="Arial"/>
          <w:sz w:val="18"/>
          <w:szCs w:val="18"/>
          <w:b w:val="1"/>
          <w:bCs w:val="1"/>
          <w:color w:val="auto"/>
        </w:rPr>
        <w:t>Index to Exhibits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documents are filed as part of this report:</w:t>
      </w:r>
    </w:p>
    <w:p>
      <w:pPr>
        <w:spacing w:after="0" w:line="179" w:lineRule="exact"/>
        <w:rPr>
          <w:sz w:val="20"/>
          <w:szCs w:val="20"/>
          <w:color w:val="auto"/>
        </w:rPr>
      </w:pPr>
    </w:p>
    <w:p>
      <w:pPr>
        <w:ind w:left="40"/>
        <w:spacing w:after="0"/>
        <w:rPr>
          <w:sz w:val="20"/>
          <w:szCs w:val="20"/>
          <w:color w:val="auto"/>
        </w:rPr>
      </w:pPr>
      <w:r>
        <w:rPr>
          <w:rFonts w:ascii="Arial" w:cs="Arial" w:eastAsia="Arial" w:hAnsi="Arial"/>
          <w:sz w:val="14"/>
          <w:szCs w:val="14"/>
          <w:b w:val="1"/>
          <w:bCs w:val="1"/>
          <w:u w:val="single" w:color="auto"/>
          <w:color w:val="auto"/>
        </w:rPr>
        <w:t>Exhibit</w:t>
      </w:r>
    </w:p>
    <w:p>
      <w:pPr>
        <w:spacing w:after="0" w:line="169" w:lineRule="exact"/>
        <w:rPr>
          <w:sz w:val="20"/>
          <w:szCs w:val="20"/>
          <w:color w:val="auto"/>
        </w:rPr>
      </w:pPr>
    </w:p>
    <w:p>
      <w:pPr>
        <w:ind w:left="960" w:hanging="917"/>
        <w:spacing w:after="0" w:line="276" w:lineRule="auto"/>
        <w:tabs>
          <w:tab w:leader="none" w:pos="94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color w:val="auto"/>
        </w:rPr>
        <w:t>Stock and Asset Purchase Agreement between Novartis AG and Eli Lilly and Company dated as of April 22, 2014</w:t>
      </w:r>
    </w:p>
    <w:p>
      <w:pPr>
        <w:spacing w:after="0" w:line="105" w:lineRule="exact"/>
        <w:rPr>
          <w:sz w:val="20"/>
          <w:szCs w:val="20"/>
          <w:color w:val="auto"/>
        </w:rPr>
      </w:pPr>
    </w:p>
    <w:p>
      <w:pPr>
        <w:ind w:left="960" w:right="40" w:hanging="917"/>
        <w:spacing w:after="0" w:line="248" w:lineRule="auto"/>
        <w:tabs>
          <w:tab w:leader="none" w:pos="94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8"/>
          <w:szCs w:val="18"/>
          <w:color w:val="auto"/>
        </w:rPr>
        <w:t>First Amendment to Stock and Asset Purchase Agreement between Novartis AG and Eli Lilly and Company dated as of December 17, 2014 (confidential treatment requested for certain information in this Amendment)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Location</w:t>
      </w:r>
    </w:p>
    <w:p>
      <w:pPr>
        <w:spacing w:after="0" w:line="169" w:lineRule="exact"/>
        <w:rPr>
          <w:sz w:val="20"/>
          <w:szCs w:val="20"/>
          <w:color w:val="auto"/>
        </w:rPr>
      </w:pPr>
    </w:p>
    <w:p>
      <w:pPr>
        <w:ind w:right="260"/>
        <w:spacing w:after="0" w:line="306" w:lineRule="auto"/>
        <w:rPr>
          <w:sz w:val="20"/>
          <w:szCs w:val="20"/>
          <w:color w:val="auto"/>
        </w:rPr>
      </w:pPr>
      <w:r>
        <w:rPr>
          <w:rFonts w:ascii="Arial" w:cs="Arial" w:eastAsia="Arial" w:hAnsi="Arial"/>
          <w:sz w:val="17"/>
          <w:szCs w:val="17"/>
          <w:color w:val="auto"/>
        </w:rPr>
        <w:t>Incorporated by reference to Exhibit 2 to the Company's Report on Form 10-Q for the quarter ended June 30, 2014</w:t>
      </w:r>
    </w:p>
    <w:p>
      <w:pPr>
        <w:spacing w:after="0" w:line="82" w:lineRule="exact"/>
        <w:rPr>
          <w:sz w:val="20"/>
          <w:szCs w:val="20"/>
          <w:color w:val="auto"/>
        </w:rPr>
      </w:pPr>
    </w:p>
    <w:p>
      <w:pPr>
        <w:ind w:right="60"/>
        <w:spacing w:after="0" w:line="306" w:lineRule="auto"/>
        <w:rPr>
          <w:sz w:val="20"/>
          <w:szCs w:val="20"/>
          <w:color w:val="auto"/>
        </w:rPr>
      </w:pPr>
      <w:r>
        <w:rPr>
          <w:rFonts w:ascii="Arial" w:cs="Arial" w:eastAsia="Arial" w:hAnsi="Arial"/>
          <w:sz w:val="17"/>
          <w:szCs w:val="17"/>
          <w:color w:val="auto"/>
        </w:rPr>
        <w:t>Incorporated by reference to Exhibit 2.2 to the Company's Report on Form 10-K for the year ended December 31, 2014</w:t>
      </w:r>
    </w:p>
    <w:p>
      <w:pPr>
        <w:spacing w:after="0" w:line="487" w:lineRule="exact"/>
        <w:rPr>
          <w:sz w:val="20"/>
          <w:szCs w:val="20"/>
          <w:color w:val="auto"/>
        </w:rPr>
      </w:pPr>
    </w:p>
    <w:p>
      <w:pPr>
        <w:sectPr>
          <w:pgSz w:w="11900" w:h="16838" w:orient="portrait"/>
          <w:cols w:equalWidth="0" w:num="2">
            <w:col w:w="6100" w:space="440"/>
            <w:col w:w="4880"/>
          </w:cols>
          <w:pgMar w:left="240" w:top="574" w:right="239" w:bottom="1440" w:gutter="0" w:footer="0" w:header="0"/>
        </w:sectPr>
      </w:pPr>
    </w:p>
    <w:tbl>
      <w:tblPr>
        <w:tblLayout w:type="fixed"/>
        <w:tblInd w:w="40" w:type="dxa"/>
        <w:tblCellMar>
          <w:top w:w="0" w:type="dxa"/>
          <w:left w:w="0" w:type="dxa"/>
          <w:bottom w:w="0" w:type="dxa"/>
          <w:right w:w="0" w:type="dxa"/>
        </w:tblCellMar>
      </w:tblPr>
      <w:tr>
        <w:trPr>
          <w:trHeight w:val="243"/>
        </w:trPr>
        <w:tc>
          <w:tcPr>
            <w:tcW w:w="620" w:type="dxa"/>
            <w:vAlign w:val="bottom"/>
          </w:tcPr>
          <w:p>
            <w:pPr>
              <w:spacing w:after="0"/>
              <w:rPr>
                <w:sz w:val="20"/>
                <w:szCs w:val="20"/>
                <w:color w:val="auto"/>
              </w:rPr>
            </w:pPr>
            <w:r>
              <w:rPr>
                <w:rFonts w:ascii="Arial" w:cs="Arial" w:eastAsia="Arial" w:hAnsi="Arial"/>
                <w:sz w:val="18"/>
                <w:szCs w:val="18"/>
                <w:color w:val="auto"/>
              </w:rPr>
              <w:t>3.1</w:t>
            </w:r>
          </w:p>
        </w:tc>
        <w:tc>
          <w:tcPr>
            <w:tcW w:w="5660" w:type="dxa"/>
            <w:vAlign w:val="bottom"/>
          </w:tcPr>
          <w:p>
            <w:pPr>
              <w:ind w:left="300"/>
              <w:spacing w:after="0"/>
              <w:rPr>
                <w:sz w:val="20"/>
                <w:szCs w:val="20"/>
                <w:color w:val="auto"/>
              </w:rPr>
            </w:pPr>
            <w:r>
              <w:rPr>
                <w:rFonts w:ascii="Arial" w:cs="Arial" w:eastAsia="Arial" w:hAnsi="Arial"/>
                <w:sz w:val="18"/>
                <w:szCs w:val="18"/>
                <w:color w:val="auto"/>
              </w:rPr>
              <w:t>Amended Articles of Incorporation</w:t>
            </w:r>
          </w:p>
        </w:tc>
      </w:tr>
      <w:tr>
        <w:trPr>
          <w:trHeight w:val="581"/>
        </w:trPr>
        <w:tc>
          <w:tcPr>
            <w:tcW w:w="620" w:type="dxa"/>
            <w:vAlign w:val="bottom"/>
          </w:tcPr>
          <w:p>
            <w:pPr>
              <w:spacing w:after="0"/>
              <w:rPr>
                <w:sz w:val="20"/>
                <w:szCs w:val="20"/>
                <w:color w:val="auto"/>
              </w:rPr>
            </w:pPr>
            <w:r>
              <w:rPr>
                <w:rFonts w:ascii="Arial" w:cs="Arial" w:eastAsia="Arial" w:hAnsi="Arial"/>
                <w:sz w:val="18"/>
                <w:szCs w:val="18"/>
                <w:color w:val="auto"/>
              </w:rPr>
              <w:t>3.2</w:t>
            </w:r>
          </w:p>
        </w:tc>
        <w:tc>
          <w:tcPr>
            <w:tcW w:w="5660" w:type="dxa"/>
            <w:vAlign w:val="bottom"/>
          </w:tcPr>
          <w:p>
            <w:pPr>
              <w:ind w:left="300"/>
              <w:spacing w:after="0"/>
              <w:rPr>
                <w:sz w:val="20"/>
                <w:szCs w:val="20"/>
                <w:color w:val="auto"/>
              </w:rPr>
            </w:pPr>
            <w:r>
              <w:rPr>
                <w:rFonts w:ascii="Arial" w:cs="Arial" w:eastAsia="Arial" w:hAnsi="Arial"/>
                <w:sz w:val="18"/>
                <w:szCs w:val="18"/>
                <w:color w:val="auto"/>
              </w:rPr>
              <w:t>Bylaws, as amended</w:t>
            </w:r>
          </w:p>
        </w:tc>
      </w:tr>
      <w:tr>
        <w:trPr>
          <w:trHeight w:val="540"/>
        </w:trPr>
        <w:tc>
          <w:tcPr>
            <w:tcW w:w="620" w:type="dxa"/>
            <w:vAlign w:val="bottom"/>
          </w:tcPr>
          <w:p>
            <w:pPr>
              <w:spacing w:after="0"/>
              <w:rPr>
                <w:sz w:val="20"/>
                <w:szCs w:val="20"/>
                <w:color w:val="auto"/>
              </w:rPr>
            </w:pPr>
            <w:r>
              <w:rPr>
                <w:rFonts w:ascii="Arial" w:cs="Arial" w:eastAsia="Arial" w:hAnsi="Arial"/>
                <w:sz w:val="18"/>
                <w:szCs w:val="18"/>
                <w:color w:val="auto"/>
              </w:rPr>
              <w:t>4.1</w:t>
            </w:r>
          </w:p>
        </w:tc>
        <w:tc>
          <w:tcPr>
            <w:tcW w:w="5660" w:type="dxa"/>
            <w:vAlign w:val="bottom"/>
          </w:tcPr>
          <w:p>
            <w:pPr>
              <w:ind w:left="300"/>
              <w:spacing w:after="0"/>
              <w:rPr>
                <w:sz w:val="20"/>
                <w:szCs w:val="20"/>
                <w:color w:val="auto"/>
              </w:rPr>
            </w:pPr>
            <w:r>
              <w:rPr>
                <w:rFonts w:ascii="Arial" w:cs="Arial" w:eastAsia="Arial" w:hAnsi="Arial"/>
                <w:sz w:val="18"/>
                <w:szCs w:val="18"/>
                <w:color w:val="auto"/>
              </w:rPr>
              <w:t>Indenture with respect to Debt Securities dated as of February 1,</w:t>
            </w:r>
          </w:p>
        </w:tc>
      </w:tr>
      <w:tr>
        <w:trPr>
          <w:trHeight w:val="203"/>
        </w:trPr>
        <w:tc>
          <w:tcPr>
            <w:tcW w:w="620" w:type="dxa"/>
            <w:vAlign w:val="bottom"/>
          </w:tcPr>
          <w:p>
            <w:pPr>
              <w:spacing w:after="0"/>
              <w:rPr>
                <w:sz w:val="17"/>
                <w:szCs w:val="17"/>
                <w:color w:val="auto"/>
              </w:rPr>
            </w:pPr>
          </w:p>
        </w:tc>
        <w:tc>
          <w:tcPr>
            <w:tcW w:w="5660" w:type="dxa"/>
            <w:vAlign w:val="bottom"/>
          </w:tcPr>
          <w:p>
            <w:pPr>
              <w:ind w:left="300"/>
              <w:spacing w:after="0" w:line="202" w:lineRule="exact"/>
              <w:rPr>
                <w:sz w:val="20"/>
                <w:szCs w:val="20"/>
                <w:color w:val="auto"/>
              </w:rPr>
            </w:pPr>
            <w:r>
              <w:rPr>
                <w:rFonts w:ascii="Arial" w:cs="Arial" w:eastAsia="Arial" w:hAnsi="Arial"/>
                <w:sz w:val="18"/>
                <w:szCs w:val="18"/>
                <w:color w:val="auto"/>
              </w:rPr>
              <w:t>1991, between Eli Lilly and Company and Deutsche Bank Trust</w:t>
            </w:r>
          </w:p>
        </w:tc>
      </w:tr>
      <w:tr>
        <w:trPr>
          <w:trHeight w:val="243"/>
        </w:trPr>
        <w:tc>
          <w:tcPr>
            <w:tcW w:w="620" w:type="dxa"/>
            <w:vAlign w:val="bottom"/>
          </w:tcPr>
          <w:p>
            <w:pPr>
              <w:spacing w:after="0"/>
              <w:rPr>
                <w:sz w:val="21"/>
                <w:szCs w:val="21"/>
                <w:color w:val="auto"/>
              </w:rPr>
            </w:pPr>
          </w:p>
        </w:tc>
        <w:tc>
          <w:tcPr>
            <w:tcW w:w="5660" w:type="dxa"/>
            <w:vAlign w:val="bottom"/>
          </w:tcPr>
          <w:p>
            <w:pPr>
              <w:ind w:left="300"/>
              <w:spacing w:after="0"/>
              <w:rPr>
                <w:sz w:val="20"/>
                <w:szCs w:val="20"/>
                <w:color w:val="auto"/>
              </w:rPr>
            </w:pPr>
            <w:r>
              <w:rPr>
                <w:rFonts w:ascii="Arial" w:cs="Arial" w:eastAsia="Arial" w:hAnsi="Arial"/>
                <w:sz w:val="18"/>
                <w:szCs w:val="18"/>
                <w:color w:val="auto"/>
                <w:w w:val="99"/>
              </w:rPr>
              <w:t>Company Americas, as successor trustee to Citibank, N.A., Trustee</w:t>
            </w:r>
          </w:p>
        </w:tc>
      </w:tr>
      <w:tr>
        <w:trPr>
          <w:trHeight w:val="338"/>
        </w:trPr>
        <w:tc>
          <w:tcPr>
            <w:tcW w:w="620" w:type="dxa"/>
            <w:vAlign w:val="bottom"/>
          </w:tcPr>
          <w:p>
            <w:pPr>
              <w:spacing w:after="0"/>
              <w:rPr>
                <w:sz w:val="20"/>
                <w:szCs w:val="20"/>
                <w:color w:val="auto"/>
              </w:rPr>
            </w:pPr>
            <w:r>
              <w:rPr>
                <w:rFonts w:ascii="Arial" w:cs="Arial" w:eastAsia="Arial" w:hAnsi="Arial"/>
                <w:sz w:val="18"/>
                <w:szCs w:val="18"/>
                <w:color w:val="auto"/>
              </w:rPr>
              <w:t>4.2</w:t>
            </w:r>
          </w:p>
        </w:tc>
        <w:tc>
          <w:tcPr>
            <w:tcW w:w="5660" w:type="dxa"/>
            <w:vAlign w:val="bottom"/>
          </w:tcPr>
          <w:p>
            <w:pPr>
              <w:ind w:left="300"/>
              <w:spacing w:after="0"/>
              <w:rPr>
                <w:sz w:val="20"/>
                <w:szCs w:val="20"/>
                <w:color w:val="auto"/>
              </w:rPr>
            </w:pPr>
            <w:r>
              <w:rPr>
                <w:rFonts w:ascii="Arial" w:cs="Arial" w:eastAsia="Arial" w:hAnsi="Arial"/>
                <w:sz w:val="18"/>
                <w:szCs w:val="18"/>
                <w:color w:val="auto"/>
              </w:rPr>
              <w:t>Agreement dated September 13, 2007 appointing Deutsche Bank</w:t>
            </w:r>
          </w:p>
        </w:tc>
      </w:tr>
      <w:tr>
        <w:trPr>
          <w:trHeight w:val="203"/>
        </w:trPr>
        <w:tc>
          <w:tcPr>
            <w:tcW w:w="620" w:type="dxa"/>
            <w:vAlign w:val="bottom"/>
          </w:tcPr>
          <w:p>
            <w:pPr>
              <w:spacing w:after="0"/>
              <w:rPr>
                <w:sz w:val="17"/>
                <w:szCs w:val="17"/>
                <w:color w:val="auto"/>
              </w:rPr>
            </w:pPr>
          </w:p>
        </w:tc>
        <w:tc>
          <w:tcPr>
            <w:tcW w:w="5660" w:type="dxa"/>
            <w:vAlign w:val="bottom"/>
          </w:tcPr>
          <w:p>
            <w:pPr>
              <w:ind w:left="300"/>
              <w:spacing w:after="0" w:line="202" w:lineRule="exact"/>
              <w:rPr>
                <w:sz w:val="20"/>
                <w:szCs w:val="20"/>
                <w:color w:val="auto"/>
              </w:rPr>
            </w:pPr>
            <w:r>
              <w:rPr>
                <w:rFonts w:ascii="Arial" w:cs="Arial" w:eastAsia="Arial" w:hAnsi="Arial"/>
                <w:sz w:val="18"/>
                <w:szCs w:val="18"/>
                <w:color w:val="auto"/>
              </w:rPr>
              <w:t>Trust Company Americas as Successor Trustee under the</w:t>
            </w:r>
          </w:p>
        </w:tc>
      </w:tr>
      <w:tr>
        <w:trPr>
          <w:trHeight w:val="243"/>
        </w:trPr>
        <w:tc>
          <w:tcPr>
            <w:tcW w:w="620" w:type="dxa"/>
            <w:vAlign w:val="bottom"/>
          </w:tcPr>
          <w:p>
            <w:pPr>
              <w:spacing w:after="0"/>
              <w:rPr>
                <w:sz w:val="21"/>
                <w:szCs w:val="21"/>
                <w:color w:val="auto"/>
              </w:rPr>
            </w:pPr>
          </w:p>
        </w:tc>
        <w:tc>
          <w:tcPr>
            <w:tcW w:w="5660" w:type="dxa"/>
            <w:vAlign w:val="bottom"/>
          </w:tcPr>
          <w:p>
            <w:pPr>
              <w:ind w:left="300"/>
              <w:spacing w:after="0"/>
              <w:rPr>
                <w:sz w:val="20"/>
                <w:szCs w:val="20"/>
                <w:color w:val="auto"/>
              </w:rPr>
            </w:pPr>
            <w:r>
              <w:rPr>
                <w:rFonts w:ascii="Arial" w:cs="Arial" w:eastAsia="Arial" w:hAnsi="Arial"/>
                <w:sz w:val="18"/>
                <w:szCs w:val="18"/>
                <w:color w:val="auto"/>
              </w:rPr>
              <w:t>Indenture listed above</w:t>
            </w:r>
          </w:p>
        </w:tc>
      </w:tr>
      <w:tr>
        <w:trPr>
          <w:trHeight w:val="378"/>
        </w:trPr>
        <w:tc>
          <w:tcPr>
            <w:tcW w:w="620" w:type="dxa"/>
            <w:vAlign w:val="bottom"/>
          </w:tcPr>
          <w:p>
            <w:pPr>
              <w:spacing w:after="0"/>
              <w:rPr>
                <w:sz w:val="20"/>
                <w:szCs w:val="20"/>
                <w:color w:val="auto"/>
              </w:rPr>
            </w:pPr>
            <w:r>
              <w:rPr>
                <w:rFonts w:ascii="Arial" w:cs="Arial" w:eastAsia="Arial" w:hAnsi="Arial"/>
                <w:sz w:val="18"/>
                <w:szCs w:val="18"/>
                <w:color w:val="auto"/>
              </w:rPr>
              <w:t>10.1</w:t>
            </w:r>
          </w:p>
        </w:tc>
        <w:tc>
          <w:tcPr>
            <w:tcW w:w="5660" w:type="dxa"/>
            <w:vAlign w:val="bottom"/>
          </w:tcPr>
          <w:p>
            <w:pPr>
              <w:ind w:left="300"/>
              <w:spacing w:after="0"/>
              <w:rPr>
                <w:sz w:val="20"/>
                <w:szCs w:val="20"/>
                <w:color w:val="auto"/>
              </w:rPr>
            </w:pPr>
            <w:r>
              <w:rPr>
                <w:rFonts w:ascii="Arial" w:cs="Arial" w:eastAsia="Arial" w:hAnsi="Arial"/>
                <w:sz w:val="18"/>
                <w:szCs w:val="18"/>
                <w:color w:val="auto"/>
              </w:rPr>
              <w:t>2002 Lilly Stock Plan, as amended</w:t>
            </w:r>
          </w:p>
        </w:tc>
      </w:tr>
    </w:tbl>
    <w:p>
      <w:pPr>
        <w:spacing w:after="0" w:line="20" w:lineRule="exact"/>
        <w:rPr>
          <w:sz w:val="20"/>
          <w:szCs w:val="20"/>
          <w:color w:val="auto"/>
        </w:rPr>
      </w:pPr>
      <w:r>
        <w:rPr>
          <w:sz w:val="20"/>
          <w:szCs w:val="20"/>
          <w:color w:val="auto"/>
        </w:rPr>
        <w:br w:type="column"/>
      </w:r>
    </w:p>
    <w:p>
      <w:pPr>
        <w:ind w:right="60"/>
        <w:spacing w:after="0" w:line="306" w:lineRule="auto"/>
        <w:rPr>
          <w:sz w:val="20"/>
          <w:szCs w:val="20"/>
          <w:color w:val="auto"/>
        </w:rPr>
      </w:pPr>
      <w:r>
        <w:rPr>
          <w:rFonts w:ascii="Arial" w:cs="Arial" w:eastAsia="Arial" w:hAnsi="Arial"/>
          <w:sz w:val="17"/>
          <w:szCs w:val="17"/>
          <w:color w:val="auto"/>
        </w:rPr>
        <w:t>Incorporated by reference to Exhibit 3.1 to the Company's Report on Form 10-K for the year ended December 31, 2013</w:t>
      </w:r>
    </w:p>
    <w:p>
      <w:pPr>
        <w:spacing w:after="0" w:line="82" w:lineRule="exact"/>
        <w:rPr>
          <w:sz w:val="20"/>
          <w:szCs w:val="20"/>
          <w:color w:val="auto"/>
        </w:rPr>
      </w:pPr>
    </w:p>
    <w:p>
      <w:pPr>
        <w:ind w:right="340"/>
        <w:spacing w:after="0" w:line="276" w:lineRule="auto"/>
        <w:rPr>
          <w:sz w:val="20"/>
          <w:szCs w:val="20"/>
          <w:color w:val="auto"/>
        </w:rPr>
      </w:pPr>
      <w:r>
        <w:rPr>
          <w:rFonts w:ascii="Arial" w:cs="Arial" w:eastAsia="Arial" w:hAnsi="Arial"/>
          <w:sz w:val="18"/>
          <w:szCs w:val="18"/>
          <w:color w:val="auto"/>
        </w:rPr>
        <w:t>Incorporated by reference to Exhibit 99 to the Company’s Report on Form 8-K filed February 27, 2012</w:t>
      </w:r>
    </w:p>
    <w:p>
      <w:pPr>
        <w:spacing w:after="0" w:line="105" w:lineRule="exact"/>
        <w:rPr>
          <w:sz w:val="20"/>
          <w:szCs w:val="20"/>
          <w:color w:val="auto"/>
        </w:rPr>
      </w:pPr>
    </w:p>
    <w:p>
      <w:pPr>
        <w:jc w:val="both"/>
        <w:ind w:right="200"/>
        <w:spacing w:after="0" w:line="255" w:lineRule="auto"/>
        <w:rPr>
          <w:sz w:val="20"/>
          <w:szCs w:val="20"/>
          <w:color w:val="auto"/>
        </w:rPr>
      </w:pPr>
      <w:r>
        <w:rPr>
          <w:rFonts w:ascii="Arial" w:cs="Arial" w:eastAsia="Arial" w:hAnsi="Arial"/>
          <w:sz w:val="18"/>
          <w:szCs w:val="18"/>
          <w:color w:val="auto"/>
        </w:rPr>
        <w:t>Incorporated by reference to Exhibit 4.1 to the Company’s Registration Statement on Form S-3, Registration No. 333-186979</w:t>
      </w:r>
    </w:p>
    <w:p>
      <w:pPr>
        <w:spacing w:after="0" w:line="124"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Incorporated by reference to Exhibit 4.2 to the Company’s Report on Form 10-K for the year ended December 31, 2008 (SEC File No. 001-06351, Film No. 09640420)</w:t>
      </w:r>
    </w:p>
    <w:p>
      <w:pPr>
        <w:spacing w:after="0" w:line="124"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Incorporated by reference to Exhibit 10 to the Company’s Report on Form 10-Q for the quarter ended September 30, 2012</w:t>
      </w:r>
    </w:p>
    <w:p>
      <w:pPr>
        <w:spacing w:after="0" w:line="119" w:lineRule="exact"/>
        <w:rPr>
          <w:sz w:val="20"/>
          <w:szCs w:val="20"/>
          <w:color w:val="auto"/>
        </w:rPr>
      </w:pPr>
    </w:p>
    <w:p>
      <w:pPr>
        <w:sectPr>
          <w:pgSz w:w="11900" w:h="16838" w:orient="portrait"/>
          <w:cols w:equalWidth="0" w:num="2">
            <w:col w:w="6320" w:space="220"/>
            <w:col w:w="4880"/>
          </w:cols>
          <w:pgMar w:left="240" w:top="574" w:right="239" w:bottom="1440" w:gutter="0" w:footer="0" w:header="0"/>
          <w:type w:val="continuous"/>
        </w:sectPr>
      </w:pPr>
    </w:p>
    <w:tbl>
      <w:tblPr>
        <w:tblLayout w:type="fixed"/>
        <w:tblInd w:w="40" w:type="dxa"/>
        <w:tblCellMar>
          <w:top w:w="0" w:type="dxa"/>
          <w:left w:w="0" w:type="dxa"/>
          <w:bottom w:w="0" w:type="dxa"/>
          <w:right w:w="0" w:type="dxa"/>
        </w:tblCellMar>
      </w:tblPr>
      <w:tr>
        <w:trPr>
          <w:trHeight w:val="207"/>
        </w:trPr>
        <w:tc>
          <w:tcPr>
            <w:tcW w:w="620" w:type="dxa"/>
            <w:vAlign w:val="bottom"/>
          </w:tcPr>
          <w:p>
            <w:pPr>
              <w:jc w:val="right"/>
              <w:ind w:right="190"/>
              <w:spacing w:after="0"/>
              <w:rPr>
                <w:sz w:val="20"/>
                <w:szCs w:val="20"/>
                <w:color w:val="auto"/>
              </w:rPr>
            </w:pPr>
            <w:r>
              <w:rPr>
                <w:rFonts w:ascii="Arial" w:cs="Arial" w:eastAsia="Arial" w:hAnsi="Arial"/>
                <w:sz w:val="18"/>
                <w:szCs w:val="18"/>
                <w:color w:val="auto"/>
                <w:w w:val="91"/>
              </w:rPr>
              <w:t>10.2</w:t>
            </w:r>
          </w:p>
        </w:tc>
        <w:tc>
          <w:tcPr>
            <w:tcW w:w="5700" w:type="dxa"/>
            <w:vAlign w:val="bottom"/>
          </w:tcPr>
          <w:p>
            <w:pPr>
              <w:ind w:left="300"/>
              <w:spacing w:after="0"/>
              <w:rPr>
                <w:sz w:val="20"/>
                <w:szCs w:val="20"/>
                <w:color w:val="auto"/>
              </w:rPr>
            </w:pPr>
            <w:r>
              <w:rPr>
                <w:rFonts w:ascii="Arial" w:cs="Arial" w:eastAsia="Arial" w:hAnsi="Arial"/>
                <w:sz w:val="18"/>
                <w:szCs w:val="18"/>
                <w:color w:val="auto"/>
              </w:rPr>
              <w:t>Form of Performance Award under the 2002 Lilly Stock Plan</w:t>
            </w:r>
          </w:p>
        </w:tc>
        <w:tc>
          <w:tcPr>
            <w:tcW w:w="5060" w:type="dxa"/>
            <w:vAlign w:val="bottom"/>
          </w:tcPr>
          <w:p>
            <w:pPr>
              <w:ind w:left="180"/>
              <w:spacing w:after="0"/>
              <w:rPr>
                <w:sz w:val="20"/>
                <w:szCs w:val="20"/>
                <w:color w:val="auto"/>
              </w:rPr>
            </w:pPr>
            <w:r>
              <w:rPr>
                <w:rFonts w:ascii="Arial" w:cs="Arial" w:eastAsia="Arial" w:hAnsi="Arial"/>
                <w:sz w:val="18"/>
                <w:szCs w:val="18"/>
                <w:color w:val="auto"/>
              </w:rPr>
              <w:t>Incorporated by reference to Exhibit 10.2 to the Company's</w:t>
            </w:r>
          </w:p>
        </w:tc>
      </w:tr>
      <w:tr>
        <w:trPr>
          <w:trHeight w:val="243"/>
        </w:trPr>
        <w:tc>
          <w:tcPr>
            <w:tcW w:w="620" w:type="dxa"/>
            <w:vAlign w:val="bottom"/>
          </w:tcPr>
          <w:p>
            <w:pPr>
              <w:spacing w:after="0"/>
              <w:rPr>
                <w:sz w:val="21"/>
                <w:szCs w:val="21"/>
                <w:color w:val="auto"/>
              </w:rPr>
            </w:pPr>
          </w:p>
        </w:tc>
        <w:tc>
          <w:tcPr>
            <w:tcW w:w="5700" w:type="dxa"/>
            <w:vAlign w:val="bottom"/>
          </w:tcPr>
          <w:p>
            <w:pPr>
              <w:spacing w:after="0"/>
              <w:rPr>
                <w:sz w:val="21"/>
                <w:szCs w:val="21"/>
                <w:color w:val="auto"/>
              </w:rPr>
            </w:pPr>
          </w:p>
        </w:tc>
        <w:tc>
          <w:tcPr>
            <w:tcW w:w="5060" w:type="dxa"/>
            <w:vAlign w:val="bottom"/>
          </w:tcPr>
          <w:p>
            <w:pPr>
              <w:ind w:left="180"/>
              <w:spacing w:after="0"/>
              <w:rPr>
                <w:sz w:val="20"/>
                <w:szCs w:val="20"/>
                <w:color w:val="auto"/>
              </w:rPr>
            </w:pPr>
            <w:r>
              <w:rPr>
                <w:rFonts w:ascii="Arial" w:cs="Arial" w:eastAsia="Arial" w:hAnsi="Arial"/>
                <w:sz w:val="18"/>
                <w:szCs w:val="18"/>
                <w:color w:val="auto"/>
              </w:rPr>
              <w:t>Report on Form 10-K for the year ended December 31, 2014</w:t>
            </w:r>
          </w:p>
        </w:tc>
      </w:tr>
      <w:tr>
        <w:trPr>
          <w:trHeight w:val="378"/>
        </w:trPr>
        <w:tc>
          <w:tcPr>
            <w:tcW w:w="620" w:type="dxa"/>
            <w:vAlign w:val="bottom"/>
          </w:tcPr>
          <w:p>
            <w:pPr>
              <w:jc w:val="right"/>
              <w:ind w:right="190"/>
              <w:spacing w:after="0"/>
              <w:rPr>
                <w:sz w:val="20"/>
                <w:szCs w:val="20"/>
                <w:color w:val="auto"/>
              </w:rPr>
            </w:pPr>
            <w:r>
              <w:rPr>
                <w:rFonts w:ascii="Arial" w:cs="Arial" w:eastAsia="Arial" w:hAnsi="Arial"/>
                <w:sz w:val="18"/>
                <w:szCs w:val="18"/>
                <w:color w:val="auto"/>
                <w:w w:val="91"/>
              </w:rPr>
              <w:t>10.3</w:t>
            </w:r>
          </w:p>
        </w:tc>
        <w:tc>
          <w:tcPr>
            <w:tcW w:w="5700" w:type="dxa"/>
            <w:vAlign w:val="bottom"/>
          </w:tcPr>
          <w:p>
            <w:pPr>
              <w:ind w:left="300"/>
              <w:spacing w:after="0"/>
              <w:rPr>
                <w:sz w:val="20"/>
                <w:szCs w:val="20"/>
                <w:color w:val="auto"/>
              </w:rPr>
            </w:pPr>
            <w:r>
              <w:rPr>
                <w:rFonts w:ascii="Arial" w:cs="Arial" w:eastAsia="Arial" w:hAnsi="Arial"/>
                <w:sz w:val="18"/>
                <w:szCs w:val="18"/>
                <w:color w:val="auto"/>
              </w:rPr>
              <w:t>Form of Shareholder Value Award under the 2002 Lilly Stock Plan</w:t>
            </w:r>
          </w:p>
        </w:tc>
        <w:tc>
          <w:tcPr>
            <w:tcW w:w="5060" w:type="dxa"/>
            <w:vAlign w:val="bottom"/>
          </w:tcPr>
          <w:p>
            <w:pPr>
              <w:ind w:left="180"/>
              <w:spacing w:after="0"/>
              <w:rPr>
                <w:sz w:val="20"/>
                <w:szCs w:val="20"/>
                <w:color w:val="auto"/>
              </w:rPr>
            </w:pPr>
            <w:r>
              <w:rPr>
                <w:rFonts w:ascii="Arial" w:cs="Arial" w:eastAsia="Arial" w:hAnsi="Arial"/>
                <w:sz w:val="18"/>
                <w:szCs w:val="18"/>
                <w:color w:val="auto"/>
              </w:rPr>
              <w:t>Attached</w:t>
            </w:r>
          </w:p>
        </w:tc>
      </w:tr>
      <w:tr>
        <w:trPr>
          <w:trHeight w:val="338"/>
        </w:trPr>
        <w:tc>
          <w:tcPr>
            <w:tcW w:w="620" w:type="dxa"/>
            <w:vAlign w:val="bottom"/>
          </w:tcPr>
          <w:p>
            <w:pPr>
              <w:jc w:val="right"/>
              <w:ind w:right="190"/>
              <w:spacing w:after="0"/>
              <w:rPr>
                <w:sz w:val="20"/>
                <w:szCs w:val="20"/>
                <w:color w:val="auto"/>
              </w:rPr>
            </w:pPr>
            <w:r>
              <w:rPr>
                <w:rFonts w:ascii="Arial" w:cs="Arial" w:eastAsia="Arial" w:hAnsi="Arial"/>
                <w:sz w:val="18"/>
                <w:szCs w:val="18"/>
                <w:color w:val="auto"/>
                <w:w w:val="91"/>
              </w:rPr>
              <w:t>10.4</w:t>
            </w:r>
          </w:p>
        </w:tc>
        <w:tc>
          <w:tcPr>
            <w:tcW w:w="5700" w:type="dxa"/>
            <w:vAlign w:val="bottom"/>
          </w:tcPr>
          <w:p>
            <w:pPr>
              <w:ind w:left="300"/>
              <w:spacing w:after="0"/>
              <w:rPr>
                <w:sz w:val="20"/>
                <w:szCs w:val="20"/>
                <w:color w:val="auto"/>
              </w:rPr>
            </w:pPr>
            <w:r>
              <w:rPr>
                <w:rFonts w:ascii="Arial" w:cs="Arial" w:eastAsia="Arial" w:hAnsi="Arial"/>
                <w:sz w:val="18"/>
                <w:szCs w:val="18"/>
                <w:color w:val="auto"/>
              </w:rPr>
              <w:t>The Lilly Deferred Compensation Plan, as amended</w:t>
            </w:r>
          </w:p>
        </w:tc>
        <w:tc>
          <w:tcPr>
            <w:tcW w:w="5060" w:type="dxa"/>
            <w:vAlign w:val="bottom"/>
          </w:tcPr>
          <w:p>
            <w:pPr>
              <w:ind w:left="180"/>
              <w:spacing w:after="0"/>
              <w:rPr>
                <w:sz w:val="20"/>
                <w:szCs w:val="20"/>
                <w:color w:val="auto"/>
              </w:rPr>
            </w:pPr>
            <w:r>
              <w:rPr>
                <w:rFonts w:ascii="Arial" w:cs="Arial" w:eastAsia="Arial" w:hAnsi="Arial"/>
                <w:sz w:val="18"/>
                <w:szCs w:val="18"/>
                <w:color w:val="auto"/>
              </w:rPr>
              <w:t>Incorporated by reference to Exhibit 10.5 to the Company's</w:t>
            </w:r>
          </w:p>
        </w:tc>
      </w:tr>
      <w:tr>
        <w:trPr>
          <w:trHeight w:val="243"/>
        </w:trPr>
        <w:tc>
          <w:tcPr>
            <w:tcW w:w="620" w:type="dxa"/>
            <w:vAlign w:val="bottom"/>
          </w:tcPr>
          <w:p>
            <w:pPr>
              <w:spacing w:after="0"/>
              <w:rPr>
                <w:sz w:val="21"/>
                <w:szCs w:val="21"/>
                <w:color w:val="auto"/>
              </w:rPr>
            </w:pPr>
          </w:p>
        </w:tc>
        <w:tc>
          <w:tcPr>
            <w:tcW w:w="5700" w:type="dxa"/>
            <w:vAlign w:val="bottom"/>
          </w:tcPr>
          <w:p>
            <w:pPr>
              <w:spacing w:after="0"/>
              <w:rPr>
                <w:sz w:val="21"/>
                <w:szCs w:val="21"/>
                <w:color w:val="auto"/>
              </w:rPr>
            </w:pPr>
          </w:p>
        </w:tc>
        <w:tc>
          <w:tcPr>
            <w:tcW w:w="5060" w:type="dxa"/>
            <w:vAlign w:val="bottom"/>
          </w:tcPr>
          <w:p>
            <w:pPr>
              <w:ind w:left="180"/>
              <w:spacing w:after="0"/>
              <w:rPr>
                <w:sz w:val="20"/>
                <w:szCs w:val="20"/>
                <w:color w:val="auto"/>
              </w:rPr>
            </w:pPr>
            <w:r>
              <w:rPr>
                <w:rFonts w:ascii="Arial" w:cs="Arial" w:eastAsia="Arial" w:hAnsi="Arial"/>
                <w:sz w:val="18"/>
                <w:szCs w:val="18"/>
                <w:color w:val="auto"/>
              </w:rPr>
              <w:t>Report on Form 10-K for the year ended December 31, 2013</w:t>
            </w:r>
          </w:p>
        </w:tc>
      </w:tr>
      <w:tr>
        <w:trPr>
          <w:trHeight w:val="338"/>
        </w:trPr>
        <w:tc>
          <w:tcPr>
            <w:tcW w:w="620" w:type="dxa"/>
            <w:vAlign w:val="bottom"/>
          </w:tcPr>
          <w:p>
            <w:pPr>
              <w:jc w:val="right"/>
              <w:ind w:right="190"/>
              <w:spacing w:after="0"/>
              <w:rPr>
                <w:sz w:val="20"/>
                <w:szCs w:val="20"/>
                <w:color w:val="auto"/>
              </w:rPr>
            </w:pPr>
            <w:r>
              <w:rPr>
                <w:rFonts w:ascii="Arial" w:cs="Arial" w:eastAsia="Arial" w:hAnsi="Arial"/>
                <w:sz w:val="18"/>
                <w:szCs w:val="18"/>
                <w:color w:val="auto"/>
                <w:w w:val="91"/>
              </w:rPr>
              <w:t>10.5</w:t>
            </w:r>
          </w:p>
        </w:tc>
        <w:tc>
          <w:tcPr>
            <w:tcW w:w="5700" w:type="dxa"/>
            <w:vAlign w:val="bottom"/>
          </w:tcPr>
          <w:p>
            <w:pPr>
              <w:ind w:left="300"/>
              <w:spacing w:after="0"/>
              <w:rPr>
                <w:sz w:val="20"/>
                <w:szCs w:val="20"/>
                <w:color w:val="auto"/>
              </w:rPr>
            </w:pPr>
            <w:r>
              <w:rPr>
                <w:rFonts w:ascii="Arial" w:cs="Arial" w:eastAsia="Arial" w:hAnsi="Arial"/>
                <w:sz w:val="18"/>
                <w:szCs w:val="18"/>
                <w:color w:val="auto"/>
              </w:rPr>
              <w:t>The Lilly Directors’ Deferral Plan, as amended</w:t>
            </w:r>
          </w:p>
        </w:tc>
        <w:tc>
          <w:tcPr>
            <w:tcW w:w="5060" w:type="dxa"/>
            <w:vAlign w:val="bottom"/>
          </w:tcPr>
          <w:p>
            <w:pPr>
              <w:ind w:left="180"/>
              <w:spacing w:after="0"/>
              <w:rPr>
                <w:sz w:val="20"/>
                <w:szCs w:val="20"/>
                <w:color w:val="auto"/>
              </w:rPr>
            </w:pPr>
            <w:r>
              <w:rPr>
                <w:rFonts w:ascii="Arial" w:cs="Arial" w:eastAsia="Arial" w:hAnsi="Arial"/>
                <w:sz w:val="18"/>
                <w:szCs w:val="18"/>
                <w:color w:val="auto"/>
              </w:rPr>
              <w:t>Incorporated by reference to Exhibit 10 to the Company’s</w:t>
            </w:r>
          </w:p>
        </w:tc>
      </w:tr>
      <w:tr>
        <w:trPr>
          <w:trHeight w:val="203"/>
        </w:trPr>
        <w:tc>
          <w:tcPr>
            <w:tcW w:w="620" w:type="dxa"/>
            <w:vAlign w:val="bottom"/>
          </w:tcPr>
          <w:p>
            <w:pPr>
              <w:spacing w:after="0"/>
              <w:rPr>
                <w:sz w:val="17"/>
                <w:szCs w:val="17"/>
                <w:color w:val="auto"/>
              </w:rPr>
            </w:pPr>
          </w:p>
        </w:tc>
        <w:tc>
          <w:tcPr>
            <w:tcW w:w="5700" w:type="dxa"/>
            <w:vAlign w:val="bottom"/>
          </w:tcPr>
          <w:p>
            <w:pPr>
              <w:spacing w:after="0"/>
              <w:rPr>
                <w:sz w:val="17"/>
                <w:szCs w:val="17"/>
                <w:color w:val="auto"/>
              </w:rPr>
            </w:pPr>
          </w:p>
        </w:tc>
        <w:tc>
          <w:tcPr>
            <w:tcW w:w="5060" w:type="dxa"/>
            <w:vAlign w:val="bottom"/>
          </w:tcPr>
          <w:p>
            <w:pPr>
              <w:ind w:left="180"/>
              <w:spacing w:after="0" w:line="202" w:lineRule="exact"/>
              <w:rPr>
                <w:sz w:val="20"/>
                <w:szCs w:val="20"/>
                <w:color w:val="auto"/>
              </w:rPr>
            </w:pPr>
            <w:r>
              <w:rPr>
                <w:rFonts w:ascii="Arial" w:cs="Arial" w:eastAsia="Arial" w:hAnsi="Arial"/>
                <w:sz w:val="18"/>
                <w:szCs w:val="18"/>
                <w:color w:val="auto"/>
              </w:rPr>
              <w:t>Report on Form 10-Q for the quarter ended September 30,</w:t>
            </w:r>
          </w:p>
        </w:tc>
      </w:tr>
      <w:tr>
        <w:trPr>
          <w:trHeight w:val="243"/>
        </w:trPr>
        <w:tc>
          <w:tcPr>
            <w:tcW w:w="620" w:type="dxa"/>
            <w:vAlign w:val="bottom"/>
          </w:tcPr>
          <w:p>
            <w:pPr>
              <w:spacing w:after="0"/>
              <w:rPr>
                <w:sz w:val="21"/>
                <w:szCs w:val="21"/>
                <w:color w:val="auto"/>
              </w:rPr>
            </w:pPr>
          </w:p>
        </w:tc>
        <w:tc>
          <w:tcPr>
            <w:tcW w:w="5700" w:type="dxa"/>
            <w:vAlign w:val="bottom"/>
          </w:tcPr>
          <w:p>
            <w:pPr>
              <w:spacing w:after="0"/>
              <w:rPr>
                <w:sz w:val="21"/>
                <w:szCs w:val="21"/>
                <w:color w:val="auto"/>
              </w:rPr>
            </w:pPr>
          </w:p>
        </w:tc>
        <w:tc>
          <w:tcPr>
            <w:tcW w:w="5060" w:type="dxa"/>
            <w:vAlign w:val="bottom"/>
          </w:tcPr>
          <w:p>
            <w:pPr>
              <w:ind w:left="180"/>
              <w:spacing w:after="0"/>
              <w:rPr>
                <w:sz w:val="20"/>
                <w:szCs w:val="20"/>
                <w:color w:val="auto"/>
              </w:rPr>
            </w:pPr>
            <w:r>
              <w:rPr>
                <w:rFonts w:ascii="Arial" w:cs="Arial" w:eastAsia="Arial" w:hAnsi="Arial"/>
                <w:sz w:val="18"/>
                <w:szCs w:val="18"/>
                <w:color w:val="auto"/>
              </w:rPr>
              <w:t>2009 (SEC File No. 001-06351, Film No. 091147352)</w:t>
            </w:r>
          </w:p>
        </w:tc>
      </w:tr>
      <w:tr>
        <w:trPr>
          <w:trHeight w:val="338"/>
        </w:trPr>
        <w:tc>
          <w:tcPr>
            <w:tcW w:w="620" w:type="dxa"/>
            <w:vAlign w:val="bottom"/>
          </w:tcPr>
          <w:p>
            <w:pPr>
              <w:jc w:val="right"/>
              <w:ind w:right="190"/>
              <w:spacing w:after="0"/>
              <w:rPr>
                <w:sz w:val="20"/>
                <w:szCs w:val="20"/>
                <w:color w:val="auto"/>
              </w:rPr>
            </w:pPr>
            <w:r>
              <w:rPr>
                <w:rFonts w:ascii="Arial" w:cs="Arial" w:eastAsia="Arial" w:hAnsi="Arial"/>
                <w:sz w:val="18"/>
                <w:szCs w:val="18"/>
                <w:color w:val="auto"/>
                <w:w w:val="91"/>
              </w:rPr>
              <w:t>10.6</w:t>
            </w:r>
          </w:p>
        </w:tc>
        <w:tc>
          <w:tcPr>
            <w:tcW w:w="5700" w:type="dxa"/>
            <w:vAlign w:val="bottom"/>
          </w:tcPr>
          <w:p>
            <w:pPr>
              <w:ind w:left="300"/>
              <w:spacing w:after="0"/>
              <w:rPr>
                <w:sz w:val="20"/>
                <w:szCs w:val="20"/>
                <w:color w:val="auto"/>
              </w:rPr>
            </w:pPr>
            <w:r>
              <w:rPr>
                <w:rFonts w:ascii="Arial" w:cs="Arial" w:eastAsia="Arial" w:hAnsi="Arial"/>
                <w:sz w:val="18"/>
                <w:szCs w:val="18"/>
                <w:color w:val="auto"/>
              </w:rPr>
              <w:t>The Eli Lilly and Company Bonus Plan, as amended</w:t>
            </w:r>
          </w:p>
        </w:tc>
        <w:tc>
          <w:tcPr>
            <w:tcW w:w="5060" w:type="dxa"/>
            <w:vAlign w:val="bottom"/>
          </w:tcPr>
          <w:p>
            <w:pPr>
              <w:ind w:left="180"/>
              <w:spacing w:after="0"/>
              <w:rPr>
                <w:sz w:val="20"/>
                <w:szCs w:val="20"/>
                <w:color w:val="auto"/>
              </w:rPr>
            </w:pPr>
            <w:r>
              <w:rPr>
                <w:rFonts w:ascii="Arial" w:cs="Arial" w:eastAsia="Arial" w:hAnsi="Arial"/>
                <w:sz w:val="18"/>
                <w:szCs w:val="18"/>
                <w:color w:val="auto"/>
              </w:rPr>
              <w:t>Incorporated by reference to Exhibit 10.7 to the Company's</w:t>
            </w:r>
          </w:p>
        </w:tc>
      </w:tr>
      <w:tr>
        <w:trPr>
          <w:trHeight w:val="243"/>
        </w:trPr>
        <w:tc>
          <w:tcPr>
            <w:tcW w:w="620" w:type="dxa"/>
            <w:vAlign w:val="bottom"/>
          </w:tcPr>
          <w:p>
            <w:pPr>
              <w:spacing w:after="0"/>
              <w:rPr>
                <w:sz w:val="21"/>
                <w:szCs w:val="21"/>
                <w:color w:val="auto"/>
              </w:rPr>
            </w:pPr>
          </w:p>
        </w:tc>
        <w:tc>
          <w:tcPr>
            <w:tcW w:w="5700" w:type="dxa"/>
            <w:vAlign w:val="bottom"/>
          </w:tcPr>
          <w:p>
            <w:pPr>
              <w:spacing w:after="0"/>
              <w:rPr>
                <w:sz w:val="21"/>
                <w:szCs w:val="21"/>
                <w:color w:val="auto"/>
              </w:rPr>
            </w:pPr>
          </w:p>
        </w:tc>
        <w:tc>
          <w:tcPr>
            <w:tcW w:w="5060" w:type="dxa"/>
            <w:vAlign w:val="bottom"/>
          </w:tcPr>
          <w:p>
            <w:pPr>
              <w:ind w:left="180"/>
              <w:spacing w:after="0"/>
              <w:rPr>
                <w:sz w:val="20"/>
                <w:szCs w:val="20"/>
                <w:color w:val="auto"/>
              </w:rPr>
            </w:pPr>
            <w:r>
              <w:rPr>
                <w:rFonts w:ascii="Arial" w:cs="Arial" w:eastAsia="Arial" w:hAnsi="Arial"/>
                <w:sz w:val="18"/>
                <w:szCs w:val="18"/>
                <w:color w:val="auto"/>
              </w:rPr>
              <w:t>Report on Form 10-K for the year ended December 31, 2013</w:t>
            </w:r>
          </w:p>
        </w:tc>
      </w:tr>
      <w:tr>
        <w:trPr>
          <w:trHeight w:val="338"/>
        </w:trPr>
        <w:tc>
          <w:tcPr>
            <w:tcW w:w="620" w:type="dxa"/>
            <w:vAlign w:val="bottom"/>
          </w:tcPr>
          <w:p>
            <w:pPr>
              <w:jc w:val="right"/>
              <w:ind w:right="190"/>
              <w:spacing w:after="0"/>
              <w:rPr>
                <w:sz w:val="20"/>
                <w:szCs w:val="20"/>
                <w:color w:val="auto"/>
              </w:rPr>
            </w:pPr>
            <w:r>
              <w:rPr>
                <w:rFonts w:ascii="Arial" w:cs="Arial" w:eastAsia="Arial" w:hAnsi="Arial"/>
                <w:sz w:val="18"/>
                <w:szCs w:val="18"/>
                <w:color w:val="auto"/>
                <w:w w:val="91"/>
              </w:rPr>
              <w:t>10.7</w:t>
            </w:r>
          </w:p>
        </w:tc>
        <w:tc>
          <w:tcPr>
            <w:tcW w:w="5700" w:type="dxa"/>
            <w:vAlign w:val="bottom"/>
          </w:tcPr>
          <w:p>
            <w:pPr>
              <w:ind w:left="300"/>
              <w:spacing w:after="0"/>
              <w:rPr>
                <w:sz w:val="20"/>
                <w:szCs w:val="20"/>
                <w:color w:val="auto"/>
              </w:rPr>
            </w:pPr>
            <w:r>
              <w:rPr>
                <w:rFonts w:ascii="Arial" w:cs="Arial" w:eastAsia="Arial" w:hAnsi="Arial"/>
                <w:sz w:val="18"/>
                <w:szCs w:val="18"/>
                <w:color w:val="auto"/>
              </w:rPr>
              <w:t>The Eli Lilly and Company Executive Officer Incentive Plan</w:t>
            </w:r>
          </w:p>
        </w:tc>
        <w:tc>
          <w:tcPr>
            <w:tcW w:w="5060" w:type="dxa"/>
            <w:vAlign w:val="bottom"/>
          </w:tcPr>
          <w:p>
            <w:pPr>
              <w:ind w:left="180"/>
              <w:spacing w:after="0"/>
              <w:rPr>
                <w:sz w:val="20"/>
                <w:szCs w:val="20"/>
                <w:color w:val="auto"/>
              </w:rPr>
            </w:pPr>
            <w:r>
              <w:rPr>
                <w:rFonts w:ascii="Arial" w:cs="Arial" w:eastAsia="Arial" w:hAnsi="Arial"/>
                <w:sz w:val="18"/>
                <w:szCs w:val="18"/>
                <w:color w:val="auto"/>
              </w:rPr>
              <w:t>Incorporated by reference to Appendix B to the Company’s</w:t>
            </w:r>
          </w:p>
        </w:tc>
      </w:tr>
      <w:tr>
        <w:trPr>
          <w:trHeight w:val="203"/>
        </w:trPr>
        <w:tc>
          <w:tcPr>
            <w:tcW w:w="620" w:type="dxa"/>
            <w:vAlign w:val="bottom"/>
          </w:tcPr>
          <w:p>
            <w:pPr>
              <w:spacing w:after="0"/>
              <w:rPr>
                <w:sz w:val="17"/>
                <w:szCs w:val="17"/>
                <w:color w:val="auto"/>
              </w:rPr>
            </w:pPr>
          </w:p>
        </w:tc>
        <w:tc>
          <w:tcPr>
            <w:tcW w:w="5700" w:type="dxa"/>
            <w:vAlign w:val="bottom"/>
          </w:tcPr>
          <w:p>
            <w:pPr>
              <w:spacing w:after="0"/>
              <w:rPr>
                <w:sz w:val="17"/>
                <w:szCs w:val="17"/>
                <w:color w:val="auto"/>
              </w:rPr>
            </w:pPr>
          </w:p>
        </w:tc>
        <w:tc>
          <w:tcPr>
            <w:tcW w:w="5060" w:type="dxa"/>
            <w:vAlign w:val="bottom"/>
          </w:tcPr>
          <w:p>
            <w:pPr>
              <w:ind w:left="180"/>
              <w:spacing w:after="0" w:line="202" w:lineRule="exact"/>
              <w:rPr>
                <w:sz w:val="20"/>
                <w:szCs w:val="20"/>
                <w:color w:val="auto"/>
              </w:rPr>
            </w:pPr>
            <w:r>
              <w:rPr>
                <w:rFonts w:ascii="Arial" w:cs="Arial" w:eastAsia="Arial" w:hAnsi="Arial"/>
                <w:sz w:val="18"/>
                <w:szCs w:val="18"/>
                <w:color w:val="auto"/>
              </w:rPr>
              <w:t>proxy statement on Schedule 14A filed March 7, 2011 (SEC</w:t>
            </w:r>
          </w:p>
        </w:tc>
      </w:tr>
      <w:tr>
        <w:trPr>
          <w:trHeight w:val="243"/>
        </w:trPr>
        <w:tc>
          <w:tcPr>
            <w:tcW w:w="620" w:type="dxa"/>
            <w:vAlign w:val="bottom"/>
          </w:tcPr>
          <w:p>
            <w:pPr>
              <w:spacing w:after="0"/>
              <w:rPr>
                <w:sz w:val="21"/>
                <w:szCs w:val="21"/>
                <w:color w:val="auto"/>
              </w:rPr>
            </w:pPr>
          </w:p>
        </w:tc>
        <w:tc>
          <w:tcPr>
            <w:tcW w:w="5700" w:type="dxa"/>
            <w:vAlign w:val="bottom"/>
          </w:tcPr>
          <w:p>
            <w:pPr>
              <w:spacing w:after="0"/>
              <w:rPr>
                <w:sz w:val="21"/>
                <w:szCs w:val="21"/>
                <w:color w:val="auto"/>
              </w:rPr>
            </w:pPr>
          </w:p>
        </w:tc>
        <w:tc>
          <w:tcPr>
            <w:tcW w:w="5060" w:type="dxa"/>
            <w:vAlign w:val="bottom"/>
          </w:tcPr>
          <w:p>
            <w:pPr>
              <w:ind w:left="180"/>
              <w:spacing w:after="0"/>
              <w:rPr>
                <w:sz w:val="20"/>
                <w:szCs w:val="20"/>
                <w:color w:val="auto"/>
              </w:rPr>
            </w:pPr>
            <w:r>
              <w:rPr>
                <w:rFonts w:ascii="Arial" w:cs="Arial" w:eastAsia="Arial" w:hAnsi="Arial"/>
                <w:sz w:val="18"/>
                <w:szCs w:val="18"/>
                <w:color w:val="auto"/>
              </w:rPr>
              <w:t>File No. 001-06351, Film No. 11666753)</w:t>
            </w:r>
          </w:p>
        </w:tc>
      </w:tr>
      <w:tr>
        <w:trPr>
          <w:trHeight w:val="590"/>
        </w:trPr>
        <w:tc>
          <w:tcPr>
            <w:tcW w:w="62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5060" w:type="dxa"/>
            <w:vAlign w:val="bottom"/>
          </w:tcPr>
          <w:p>
            <w:pPr>
              <w:ind w:left="4800"/>
              <w:spacing w:after="0"/>
              <w:rPr>
                <w:sz w:val="20"/>
                <w:szCs w:val="20"/>
                <w:color w:val="auto"/>
              </w:rPr>
            </w:pPr>
            <w:r>
              <w:rPr>
                <w:rFonts w:ascii="Times New Roman" w:cs="Times New Roman" w:eastAsia="Times New Roman" w:hAnsi="Times New Roman"/>
                <w:sz w:val="18"/>
                <w:szCs w:val="18"/>
                <w:b w:val="1"/>
                <w:bCs w:val="1"/>
                <w:i w:val="1"/>
                <w:iCs w:val="1"/>
                <w:color w:val="auto"/>
                <w:w w:val="88"/>
              </w:rPr>
              <w:t>117</w:t>
            </w:r>
          </w:p>
        </w:tc>
      </w:tr>
    </w:tbl>
    <w:p>
      <w:pPr>
        <w:sectPr>
          <w:pgSz w:w="11900" w:h="16838" w:orient="portrait"/>
          <w:cols w:equalWidth="0" w:num="1">
            <w:col w:w="11420"/>
          </w:cols>
          <w:pgMar w:left="240" w:top="574" w:right="239" w:bottom="1440" w:gutter="0" w:footer="0" w:header="0"/>
          <w:type w:val="continuous"/>
        </w:sectPr>
      </w:pPr>
    </w:p>
    <w:bookmarkStart w:id="117" w:name="page118"/>
    <w:bookmarkEnd w:id="117"/>
    <w:p>
      <w:pPr>
        <w:ind w:left="40"/>
        <w:spacing w:after="0"/>
        <w:tabs>
          <w:tab w:leader="none" w:pos="6520" w:val="left"/>
        </w:tabs>
        <w:rPr>
          <w:sz w:val="20"/>
          <w:szCs w:val="20"/>
          <w:color w:val="auto"/>
        </w:rPr>
      </w:pPr>
      <w:r>
        <w:rPr>
          <w:rFonts w:ascii="Arial" w:cs="Arial" w:eastAsia="Arial" w:hAnsi="Arial"/>
          <w:sz w:val="14"/>
          <w:szCs w:val="14"/>
          <w:b w:val="1"/>
          <w:bCs w:val="1"/>
          <w:u w:val="single" w:color="auto"/>
          <w:color w:val="auto"/>
        </w:rPr>
        <w:t>Exhibit</w:t>
      </w:r>
      <w:r>
        <w:rPr>
          <w:sz w:val="20"/>
          <w:szCs w:val="20"/>
          <w:color w:val="auto"/>
        </w:rPr>
        <w:tab/>
      </w:r>
      <w:r>
        <w:rPr>
          <w:rFonts w:ascii="Arial" w:cs="Arial" w:eastAsia="Arial" w:hAnsi="Arial"/>
          <w:sz w:val="14"/>
          <w:szCs w:val="14"/>
          <w:b w:val="1"/>
          <w:bCs w:val="1"/>
          <w:u w:val="single" w:color="auto"/>
          <w:color w:val="auto"/>
        </w:rPr>
        <w:t>Location</w:t>
      </w:r>
    </w:p>
    <w:p>
      <w:pPr>
        <w:sectPr>
          <w:pgSz w:w="11900" w:h="16838" w:orient="portrait"/>
          <w:cols w:equalWidth="0" w:num="1">
            <w:col w:w="11200"/>
          </w:cols>
          <w:pgMar w:left="240" w:top="745" w:right="459" w:bottom="1440" w:gutter="0" w:footer="0" w:header="0"/>
        </w:sectPr>
      </w:pPr>
    </w:p>
    <w:p>
      <w:pPr>
        <w:spacing w:after="0" w:line="169" w:lineRule="exact"/>
        <w:rPr>
          <w:sz w:val="20"/>
          <w:szCs w:val="20"/>
          <w:color w:val="auto"/>
        </w:rPr>
      </w:pPr>
    </w:p>
    <w:p>
      <w:pPr>
        <w:ind w:left="960" w:hanging="917"/>
        <w:spacing w:after="0" w:line="276" w:lineRule="auto"/>
        <w:tabs>
          <w:tab w:leader="none" w:pos="940" w:val="left"/>
        </w:tabs>
        <w:rPr>
          <w:sz w:val="20"/>
          <w:szCs w:val="20"/>
          <w:color w:val="auto"/>
        </w:rPr>
      </w:pPr>
      <w:r>
        <w:rPr>
          <w:rFonts w:ascii="Arial" w:cs="Arial" w:eastAsia="Arial" w:hAnsi="Arial"/>
          <w:sz w:val="18"/>
          <w:szCs w:val="18"/>
          <w:color w:val="auto"/>
        </w:rPr>
        <w:t>10.8</w:t>
      </w:r>
      <w:r>
        <w:rPr>
          <w:sz w:val="20"/>
          <w:szCs w:val="20"/>
          <w:color w:val="auto"/>
        </w:rPr>
        <w:tab/>
      </w:r>
      <w:r>
        <w:rPr>
          <w:rFonts w:ascii="Arial" w:cs="Arial" w:eastAsia="Arial" w:hAnsi="Arial"/>
          <w:sz w:val="18"/>
          <w:szCs w:val="18"/>
          <w:color w:val="auto"/>
        </w:rPr>
        <w:t>2007 Change in Control Severance Pay Plan for Select Employees, as amended</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Incorporated by reference to Exhibit 10 to the Company’s Report on Form 10-Q for the quarter ended September 30, 2010 (SEC File No. 001-06351, Film No. 101149876)</w:t>
      </w:r>
    </w:p>
    <w:p>
      <w:pPr>
        <w:spacing w:after="0" w:line="124" w:lineRule="exact"/>
        <w:rPr>
          <w:sz w:val="20"/>
          <w:szCs w:val="20"/>
          <w:color w:val="auto"/>
        </w:rPr>
      </w:pPr>
    </w:p>
    <w:p>
      <w:pPr>
        <w:sectPr>
          <w:pgSz w:w="11900" w:h="16838" w:orient="portrait"/>
          <w:cols w:equalWidth="0" w:num="2">
            <w:col w:w="6340" w:space="200"/>
            <w:col w:w="4660"/>
          </w:cols>
          <w:pgMar w:left="240" w:top="745" w:right="459" w:bottom="1440" w:gutter="0" w:footer="0" w:header="0"/>
          <w:type w:val="continuous"/>
        </w:sectPr>
      </w:pPr>
    </w:p>
    <w:tbl>
      <w:tblPr>
        <w:tblLayout w:type="fixed"/>
        <w:tblInd w:w="0" w:type="dxa"/>
        <w:tblCellMar>
          <w:top w:w="0" w:type="dxa"/>
          <w:left w:w="0" w:type="dxa"/>
          <w:bottom w:w="0" w:type="dxa"/>
          <w:right w:w="0" w:type="dxa"/>
        </w:tblCellMar>
      </w:tblPr>
      <w:tr>
        <w:trPr>
          <w:trHeight w:val="243"/>
        </w:trPr>
        <w:tc>
          <w:tcPr>
            <w:tcW w:w="660" w:type="dxa"/>
            <w:vAlign w:val="bottom"/>
          </w:tcPr>
          <w:p>
            <w:pPr>
              <w:ind w:left="40"/>
              <w:spacing w:after="0"/>
              <w:rPr>
                <w:sz w:val="20"/>
                <w:szCs w:val="20"/>
                <w:color w:val="auto"/>
              </w:rPr>
            </w:pPr>
            <w:r>
              <w:rPr>
                <w:rFonts w:ascii="Arial" w:cs="Arial" w:eastAsia="Arial" w:hAnsi="Arial"/>
                <w:sz w:val="18"/>
                <w:szCs w:val="18"/>
                <w:color w:val="auto"/>
              </w:rPr>
              <w:t>12</w:t>
            </w:r>
          </w:p>
        </w:tc>
        <w:tc>
          <w:tcPr>
            <w:tcW w:w="5740" w:type="dxa"/>
            <w:vAlign w:val="bottom"/>
          </w:tcPr>
          <w:p>
            <w:pPr>
              <w:ind w:left="300"/>
              <w:spacing w:after="0"/>
              <w:rPr>
                <w:sz w:val="20"/>
                <w:szCs w:val="20"/>
                <w:color w:val="auto"/>
              </w:rPr>
            </w:pPr>
            <w:r>
              <w:rPr>
                <w:rFonts w:ascii="Arial" w:cs="Arial" w:eastAsia="Arial" w:hAnsi="Arial"/>
                <w:sz w:val="18"/>
                <w:szCs w:val="18"/>
                <w:color w:val="auto"/>
              </w:rPr>
              <w:t>Statement re: Computation of Ratio of Earnings to Fixed Charges</w:t>
            </w:r>
          </w:p>
        </w:tc>
        <w:tc>
          <w:tcPr>
            <w:tcW w:w="840" w:type="dxa"/>
            <w:vAlign w:val="bottom"/>
          </w:tcPr>
          <w:p>
            <w:pPr>
              <w:ind w:left="140"/>
              <w:spacing w:after="0"/>
              <w:rPr>
                <w:sz w:val="20"/>
                <w:szCs w:val="20"/>
                <w:color w:val="auto"/>
              </w:rPr>
            </w:pPr>
            <w:r>
              <w:rPr>
                <w:rFonts w:ascii="Arial" w:cs="Arial" w:eastAsia="Arial" w:hAnsi="Arial"/>
                <w:sz w:val="18"/>
                <w:szCs w:val="18"/>
                <w:color w:val="auto"/>
                <w:w w:val="95"/>
              </w:rPr>
              <w:t>Attached</w:t>
            </w:r>
          </w:p>
        </w:tc>
      </w:tr>
      <w:tr>
        <w:trPr>
          <w:trHeight w:val="378"/>
        </w:trPr>
        <w:tc>
          <w:tcPr>
            <w:tcW w:w="660" w:type="dxa"/>
            <w:vAlign w:val="bottom"/>
          </w:tcPr>
          <w:p>
            <w:pPr>
              <w:ind w:left="40"/>
              <w:spacing w:after="0"/>
              <w:rPr>
                <w:sz w:val="20"/>
                <w:szCs w:val="20"/>
                <w:color w:val="auto"/>
              </w:rPr>
            </w:pPr>
            <w:r>
              <w:rPr>
                <w:rFonts w:ascii="Arial" w:cs="Arial" w:eastAsia="Arial" w:hAnsi="Arial"/>
                <w:sz w:val="18"/>
                <w:szCs w:val="18"/>
                <w:color w:val="auto"/>
              </w:rPr>
              <w:t>21</w:t>
            </w:r>
          </w:p>
        </w:tc>
        <w:tc>
          <w:tcPr>
            <w:tcW w:w="5740" w:type="dxa"/>
            <w:vAlign w:val="bottom"/>
          </w:tcPr>
          <w:p>
            <w:pPr>
              <w:ind w:left="300"/>
              <w:spacing w:after="0"/>
              <w:rPr>
                <w:sz w:val="20"/>
                <w:szCs w:val="20"/>
                <w:color w:val="auto"/>
              </w:rPr>
            </w:pPr>
            <w:r>
              <w:rPr>
                <w:rFonts w:ascii="Arial" w:cs="Arial" w:eastAsia="Arial" w:hAnsi="Arial"/>
                <w:sz w:val="18"/>
                <w:szCs w:val="18"/>
                <w:color w:val="auto"/>
              </w:rPr>
              <w:t>List of Subsidiaries</w:t>
            </w:r>
          </w:p>
        </w:tc>
        <w:tc>
          <w:tcPr>
            <w:tcW w:w="840" w:type="dxa"/>
            <w:vAlign w:val="bottom"/>
          </w:tcPr>
          <w:p>
            <w:pPr>
              <w:ind w:left="140"/>
              <w:spacing w:after="0"/>
              <w:rPr>
                <w:sz w:val="20"/>
                <w:szCs w:val="20"/>
                <w:color w:val="auto"/>
              </w:rPr>
            </w:pPr>
            <w:r>
              <w:rPr>
                <w:rFonts w:ascii="Arial" w:cs="Arial" w:eastAsia="Arial" w:hAnsi="Arial"/>
                <w:sz w:val="18"/>
                <w:szCs w:val="18"/>
                <w:color w:val="auto"/>
                <w:w w:val="95"/>
              </w:rPr>
              <w:t>Attached</w:t>
            </w:r>
          </w:p>
        </w:tc>
      </w:tr>
      <w:tr>
        <w:trPr>
          <w:trHeight w:val="378"/>
        </w:trPr>
        <w:tc>
          <w:tcPr>
            <w:tcW w:w="660" w:type="dxa"/>
            <w:vAlign w:val="bottom"/>
          </w:tcPr>
          <w:p>
            <w:pPr>
              <w:ind w:left="40"/>
              <w:spacing w:after="0"/>
              <w:rPr>
                <w:sz w:val="20"/>
                <w:szCs w:val="20"/>
                <w:color w:val="auto"/>
              </w:rPr>
            </w:pPr>
            <w:r>
              <w:rPr>
                <w:rFonts w:ascii="Arial" w:cs="Arial" w:eastAsia="Arial" w:hAnsi="Arial"/>
                <w:sz w:val="18"/>
                <w:szCs w:val="18"/>
                <w:color w:val="auto"/>
              </w:rPr>
              <w:t>23</w:t>
            </w:r>
          </w:p>
        </w:tc>
        <w:tc>
          <w:tcPr>
            <w:tcW w:w="5740" w:type="dxa"/>
            <w:vAlign w:val="bottom"/>
          </w:tcPr>
          <w:p>
            <w:pPr>
              <w:ind w:left="300"/>
              <w:spacing w:after="0"/>
              <w:rPr>
                <w:sz w:val="20"/>
                <w:szCs w:val="20"/>
                <w:color w:val="auto"/>
              </w:rPr>
            </w:pPr>
            <w:r>
              <w:rPr>
                <w:rFonts w:ascii="Arial" w:cs="Arial" w:eastAsia="Arial" w:hAnsi="Arial"/>
                <w:sz w:val="18"/>
                <w:szCs w:val="18"/>
                <w:color w:val="auto"/>
              </w:rPr>
              <w:t>Consent of Registered Independent Public Accounting Firm</w:t>
            </w:r>
          </w:p>
        </w:tc>
        <w:tc>
          <w:tcPr>
            <w:tcW w:w="840" w:type="dxa"/>
            <w:vAlign w:val="bottom"/>
          </w:tcPr>
          <w:p>
            <w:pPr>
              <w:ind w:left="140"/>
              <w:spacing w:after="0"/>
              <w:rPr>
                <w:sz w:val="20"/>
                <w:szCs w:val="20"/>
                <w:color w:val="auto"/>
              </w:rPr>
            </w:pPr>
            <w:r>
              <w:rPr>
                <w:rFonts w:ascii="Arial" w:cs="Arial" w:eastAsia="Arial" w:hAnsi="Arial"/>
                <w:sz w:val="18"/>
                <w:szCs w:val="18"/>
                <w:color w:val="auto"/>
                <w:w w:val="95"/>
              </w:rPr>
              <w:t>Attached</w:t>
            </w:r>
          </w:p>
        </w:tc>
      </w:tr>
      <w:tr>
        <w:trPr>
          <w:trHeight w:val="338"/>
        </w:trPr>
        <w:tc>
          <w:tcPr>
            <w:tcW w:w="660" w:type="dxa"/>
            <w:vAlign w:val="bottom"/>
          </w:tcPr>
          <w:p>
            <w:pPr>
              <w:ind w:left="40"/>
              <w:spacing w:after="0"/>
              <w:rPr>
                <w:sz w:val="20"/>
                <w:szCs w:val="20"/>
                <w:color w:val="auto"/>
              </w:rPr>
            </w:pPr>
            <w:r>
              <w:rPr>
                <w:rFonts w:ascii="Arial" w:cs="Arial" w:eastAsia="Arial" w:hAnsi="Arial"/>
                <w:sz w:val="18"/>
                <w:szCs w:val="18"/>
                <w:color w:val="auto"/>
              </w:rPr>
              <w:t>31.1</w:t>
            </w:r>
          </w:p>
        </w:tc>
        <w:tc>
          <w:tcPr>
            <w:tcW w:w="5740" w:type="dxa"/>
            <w:vAlign w:val="bottom"/>
          </w:tcPr>
          <w:p>
            <w:pPr>
              <w:ind w:left="300"/>
              <w:spacing w:after="0"/>
              <w:rPr>
                <w:sz w:val="20"/>
                <w:szCs w:val="20"/>
                <w:color w:val="auto"/>
              </w:rPr>
            </w:pPr>
            <w:r>
              <w:rPr>
                <w:rFonts w:ascii="Arial" w:cs="Arial" w:eastAsia="Arial" w:hAnsi="Arial"/>
                <w:sz w:val="18"/>
                <w:szCs w:val="18"/>
                <w:color w:val="auto"/>
              </w:rPr>
              <w:t>Rule 13a-14(a) Certification of John C. Lechleiter, Ph.D., Chairman</w:t>
            </w:r>
          </w:p>
        </w:tc>
        <w:tc>
          <w:tcPr>
            <w:tcW w:w="840" w:type="dxa"/>
            <w:vAlign w:val="bottom"/>
          </w:tcPr>
          <w:p>
            <w:pPr>
              <w:ind w:left="140"/>
              <w:spacing w:after="0"/>
              <w:rPr>
                <w:sz w:val="20"/>
                <w:szCs w:val="20"/>
                <w:color w:val="auto"/>
              </w:rPr>
            </w:pPr>
            <w:r>
              <w:rPr>
                <w:rFonts w:ascii="Arial" w:cs="Arial" w:eastAsia="Arial" w:hAnsi="Arial"/>
                <w:sz w:val="18"/>
                <w:szCs w:val="18"/>
                <w:color w:val="auto"/>
                <w:w w:val="95"/>
              </w:rPr>
              <w:t>Attached</w:t>
            </w:r>
          </w:p>
        </w:tc>
      </w:tr>
      <w:tr>
        <w:trPr>
          <w:trHeight w:val="243"/>
        </w:trPr>
        <w:tc>
          <w:tcPr>
            <w:tcW w:w="660" w:type="dxa"/>
            <w:vAlign w:val="bottom"/>
          </w:tcPr>
          <w:p>
            <w:pPr>
              <w:spacing w:after="0"/>
              <w:rPr>
                <w:sz w:val="21"/>
                <w:szCs w:val="21"/>
                <w:color w:val="auto"/>
              </w:rPr>
            </w:pPr>
          </w:p>
        </w:tc>
        <w:tc>
          <w:tcPr>
            <w:tcW w:w="5740" w:type="dxa"/>
            <w:vAlign w:val="bottom"/>
          </w:tcPr>
          <w:p>
            <w:pPr>
              <w:ind w:left="300"/>
              <w:spacing w:after="0"/>
              <w:rPr>
                <w:sz w:val="20"/>
                <w:szCs w:val="20"/>
                <w:color w:val="auto"/>
              </w:rPr>
            </w:pPr>
            <w:r>
              <w:rPr>
                <w:rFonts w:ascii="Arial" w:cs="Arial" w:eastAsia="Arial" w:hAnsi="Arial"/>
                <w:sz w:val="18"/>
                <w:szCs w:val="18"/>
                <w:color w:val="auto"/>
              </w:rPr>
              <w:t>of the Board, President, and Chief Executive Officer</w:t>
            </w:r>
          </w:p>
        </w:tc>
        <w:tc>
          <w:tcPr>
            <w:tcW w:w="840" w:type="dxa"/>
            <w:vAlign w:val="bottom"/>
          </w:tcPr>
          <w:p>
            <w:pPr>
              <w:spacing w:after="0"/>
              <w:rPr>
                <w:sz w:val="21"/>
                <w:szCs w:val="21"/>
                <w:color w:val="auto"/>
              </w:rPr>
            </w:pPr>
          </w:p>
        </w:tc>
      </w:tr>
      <w:tr>
        <w:trPr>
          <w:trHeight w:val="338"/>
        </w:trPr>
        <w:tc>
          <w:tcPr>
            <w:tcW w:w="660" w:type="dxa"/>
            <w:vAlign w:val="bottom"/>
          </w:tcPr>
          <w:p>
            <w:pPr>
              <w:ind w:left="40"/>
              <w:spacing w:after="0"/>
              <w:rPr>
                <w:sz w:val="20"/>
                <w:szCs w:val="20"/>
                <w:color w:val="auto"/>
              </w:rPr>
            </w:pPr>
            <w:r>
              <w:rPr>
                <w:rFonts w:ascii="Arial" w:cs="Arial" w:eastAsia="Arial" w:hAnsi="Arial"/>
                <w:sz w:val="18"/>
                <w:szCs w:val="18"/>
                <w:color w:val="auto"/>
              </w:rPr>
              <w:t>31.2</w:t>
            </w:r>
          </w:p>
        </w:tc>
        <w:tc>
          <w:tcPr>
            <w:tcW w:w="5740" w:type="dxa"/>
            <w:vAlign w:val="bottom"/>
          </w:tcPr>
          <w:p>
            <w:pPr>
              <w:ind w:left="300"/>
              <w:spacing w:after="0"/>
              <w:rPr>
                <w:sz w:val="20"/>
                <w:szCs w:val="20"/>
                <w:color w:val="auto"/>
              </w:rPr>
            </w:pPr>
            <w:r>
              <w:rPr>
                <w:rFonts w:ascii="Arial" w:cs="Arial" w:eastAsia="Arial" w:hAnsi="Arial"/>
                <w:sz w:val="18"/>
                <w:szCs w:val="18"/>
                <w:color w:val="auto"/>
              </w:rPr>
              <w:t>Rule 13a-14(a) Certification of Derica W. Rice, Executive Vice</w:t>
            </w:r>
          </w:p>
        </w:tc>
        <w:tc>
          <w:tcPr>
            <w:tcW w:w="840" w:type="dxa"/>
            <w:vAlign w:val="bottom"/>
          </w:tcPr>
          <w:p>
            <w:pPr>
              <w:ind w:left="140"/>
              <w:spacing w:after="0"/>
              <w:rPr>
                <w:sz w:val="20"/>
                <w:szCs w:val="20"/>
                <w:color w:val="auto"/>
              </w:rPr>
            </w:pPr>
            <w:r>
              <w:rPr>
                <w:rFonts w:ascii="Arial" w:cs="Arial" w:eastAsia="Arial" w:hAnsi="Arial"/>
                <w:sz w:val="18"/>
                <w:szCs w:val="18"/>
                <w:color w:val="auto"/>
                <w:w w:val="95"/>
              </w:rPr>
              <w:t>Attached</w:t>
            </w:r>
          </w:p>
        </w:tc>
      </w:tr>
      <w:tr>
        <w:trPr>
          <w:trHeight w:val="243"/>
        </w:trPr>
        <w:tc>
          <w:tcPr>
            <w:tcW w:w="660" w:type="dxa"/>
            <w:vAlign w:val="bottom"/>
          </w:tcPr>
          <w:p>
            <w:pPr>
              <w:spacing w:after="0"/>
              <w:rPr>
                <w:sz w:val="21"/>
                <w:szCs w:val="21"/>
                <w:color w:val="auto"/>
              </w:rPr>
            </w:pPr>
          </w:p>
        </w:tc>
        <w:tc>
          <w:tcPr>
            <w:tcW w:w="5740" w:type="dxa"/>
            <w:vAlign w:val="bottom"/>
          </w:tcPr>
          <w:p>
            <w:pPr>
              <w:ind w:left="300"/>
              <w:spacing w:after="0"/>
              <w:rPr>
                <w:sz w:val="20"/>
                <w:szCs w:val="20"/>
                <w:color w:val="auto"/>
              </w:rPr>
            </w:pPr>
            <w:r>
              <w:rPr>
                <w:rFonts w:ascii="Arial" w:cs="Arial" w:eastAsia="Arial" w:hAnsi="Arial"/>
                <w:sz w:val="18"/>
                <w:szCs w:val="18"/>
                <w:color w:val="auto"/>
              </w:rPr>
              <w:t>President, Global Services and Chief Financial Officer</w:t>
            </w:r>
          </w:p>
        </w:tc>
        <w:tc>
          <w:tcPr>
            <w:tcW w:w="840" w:type="dxa"/>
            <w:vAlign w:val="bottom"/>
          </w:tcPr>
          <w:p>
            <w:pPr>
              <w:spacing w:after="0"/>
              <w:rPr>
                <w:sz w:val="21"/>
                <w:szCs w:val="21"/>
                <w:color w:val="auto"/>
              </w:rPr>
            </w:pPr>
          </w:p>
        </w:tc>
      </w:tr>
      <w:tr>
        <w:trPr>
          <w:trHeight w:val="378"/>
        </w:trPr>
        <w:tc>
          <w:tcPr>
            <w:tcW w:w="660" w:type="dxa"/>
            <w:vAlign w:val="bottom"/>
          </w:tcPr>
          <w:p>
            <w:pPr>
              <w:ind w:left="40"/>
              <w:spacing w:after="0"/>
              <w:rPr>
                <w:sz w:val="20"/>
                <w:szCs w:val="20"/>
                <w:color w:val="auto"/>
              </w:rPr>
            </w:pPr>
            <w:r>
              <w:rPr>
                <w:rFonts w:ascii="Arial" w:cs="Arial" w:eastAsia="Arial" w:hAnsi="Arial"/>
                <w:sz w:val="18"/>
                <w:szCs w:val="18"/>
                <w:color w:val="auto"/>
              </w:rPr>
              <w:t>32</w:t>
            </w:r>
          </w:p>
        </w:tc>
        <w:tc>
          <w:tcPr>
            <w:tcW w:w="5740" w:type="dxa"/>
            <w:vAlign w:val="bottom"/>
          </w:tcPr>
          <w:p>
            <w:pPr>
              <w:ind w:left="300"/>
              <w:spacing w:after="0"/>
              <w:rPr>
                <w:sz w:val="20"/>
                <w:szCs w:val="20"/>
                <w:color w:val="auto"/>
              </w:rPr>
            </w:pPr>
            <w:r>
              <w:rPr>
                <w:rFonts w:ascii="Arial" w:cs="Arial" w:eastAsia="Arial" w:hAnsi="Arial"/>
                <w:sz w:val="18"/>
                <w:szCs w:val="18"/>
                <w:color w:val="auto"/>
              </w:rPr>
              <w:t>Section 1350 Certification</w:t>
            </w:r>
          </w:p>
        </w:tc>
        <w:tc>
          <w:tcPr>
            <w:tcW w:w="840" w:type="dxa"/>
            <w:vAlign w:val="bottom"/>
          </w:tcPr>
          <w:p>
            <w:pPr>
              <w:ind w:left="140"/>
              <w:spacing w:after="0"/>
              <w:rPr>
                <w:sz w:val="20"/>
                <w:szCs w:val="20"/>
                <w:color w:val="auto"/>
              </w:rPr>
            </w:pPr>
            <w:r>
              <w:rPr>
                <w:rFonts w:ascii="Arial" w:cs="Arial" w:eastAsia="Arial" w:hAnsi="Arial"/>
                <w:sz w:val="18"/>
                <w:szCs w:val="18"/>
                <w:color w:val="auto"/>
                <w:w w:val="95"/>
              </w:rPr>
              <w:t>Attached</w:t>
            </w:r>
          </w:p>
        </w:tc>
      </w:tr>
      <w:tr>
        <w:trPr>
          <w:trHeight w:val="378"/>
        </w:trPr>
        <w:tc>
          <w:tcPr>
            <w:tcW w:w="660" w:type="dxa"/>
            <w:vAlign w:val="bottom"/>
          </w:tcPr>
          <w:p>
            <w:pPr>
              <w:ind w:left="40"/>
              <w:spacing w:after="0"/>
              <w:rPr>
                <w:sz w:val="20"/>
                <w:szCs w:val="20"/>
                <w:color w:val="auto"/>
              </w:rPr>
            </w:pPr>
            <w:r>
              <w:rPr>
                <w:rFonts w:ascii="Arial" w:cs="Arial" w:eastAsia="Arial" w:hAnsi="Arial"/>
                <w:sz w:val="18"/>
                <w:szCs w:val="18"/>
                <w:color w:val="auto"/>
              </w:rPr>
              <w:t>101</w:t>
            </w:r>
          </w:p>
        </w:tc>
        <w:tc>
          <w:tcPr>
            <w:tcW w:w="5740" w:type="dxa"/>
            <w:vAlign w:val="bottom"/>
          </w:tcPr>
          <w:p>
            <w:pPr>
              <w:ind w:left="300"/>
              <w:spacing w:after="0"/>
              <w:rPr>
                <w:sz w:val="20"/>
                <w:szCs w:val="20"/>
                <w:color w:val="auto"/>
              </w:rPr>
            </w:pPr>
            <w:r>
              <w:rPr>
                <w:rFonts w:ascii="Arial" w:cs="Arial" w:eastAsia="Arial" w:hAnsi="Arial"/>
                <w:sz w:val="18"/>
                <w:szCs w:val="18"/>
                <w:color w:val="auto"/>
              </w:rPr>
              <w:t>Interactive Data File</w:t>
            </w:r>
          </w:p>
        </w:tc>
        <w:tc>
          <w:tcPr>
            <w:tcW w:w="840" w:type="dxa"/>
            <w:vAlign w:val="bottom"/>
          </w:tcPr>
          <w:p>
            <w:pPr>
              <w:ind w:left="140"/>
              <w:spacing w:after="0"/>
              <w:rPr>
                <w:sz w:val="20"/>
                <w:szCs w:val="20"/>
                <w:color w:val="auto"/>
              </w:rPr>
            </w:pPr>
            <w:r>
              <w:rPr>
                <w:rFonts w:ascii="Arial" w:cs="Arial" w:eastAsia="Arial" w:hAnsi="Arial"/>
                <w:sz w:val="18"/>
                <w:szCs w:val="18"/>
                <w:color w:val="auto"/>
                <w:w w:val="95"/>
              </w:rPr>
              <w:t>Attached</w:t>
            </w:r>
          </w:p>
        </w:tc>
      </w:tr>
      <w:tr>
        <w:trPr>
          <w:trHeight w:val="901"/>
        </w:trPr>
        <w:tc>
          <w:tcPr>
            <w:tcW w:w="6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118</w:t>
            </w:r>
          </w:p>
        </w:tc>
        <w:tc>
          <w:tcPr>
            <w:tcW w:w="5740" w:type="dxa"/>
            <w:vAlign w:val="bottom"/>
          </w:tcPr>
          <w:p>
            <w:pPr>
              <w:spacing w:after="0"/>
              <w:rPr>
                <w:sz w:val="24"/>
                <w:szCs w:val="24"/>
                <w:color w:val="auto"/>
              </w:rPr>
            </w:pPr>
          </w:p>
        </w:tc>
        <w:tc>
          <w:tcPr>
            <w:tcW w:w="840" w:type="dxa"/>
            <w:vAlign w:val="bottom"/>
          </w:tcPr>
          <w:p>
            <w:pPr>
              <w:spacing w:after="0"/>
              <w:rPr>
                <w:sz w:val="24"/>
                <w:szCs w:val="24"/>
                <w:color w:val="auto"/>
              </w:rPr>
            </w:pPr>
          </w:p>
        </w:tc>
      </w:tr>
    </w:tbl>
    <w:p>
      <w:pPr>
        <w:sectPr>
          <w:pgSz w:w="11900" w:h="16838" w:orient="portrait"/>
          <w:cols w:equalWidth="0" w:num="1">
            <w:col w:w="11200"/>
          </w:cols>
          <w:pgMar w:left="240" w:top="745" w:right="459" w:bottom="1440" w:gutter="0" w:footer="0" w:header="0"/>
          <w:type w:val="continuous"/>
        </w:sectPr>
      </w:pPr>
    </w:p>
    <w:bookmarkStart w:id="118" w:name="page119"/>
    <w:bookmarkEnd w:id="118"/>
    <w:p>
      <w:pPr>
        <w:spacing w:after="0"/>
        <w:rPr>
          <w:sz w:val="20"/>
          <w:szCs w:val="20"/>
          <w:color w:val="auto"/>
        </w:rPr>
      </w:pPr>
      <w:r>
        <w:rPr>
          <w:rFonts w:ascii="Times New Roman" w:cs="Times New Roman" w:eastAsia="Times New Roman" w:hAnsi="Times New Roman"/>
          <w:sz w:val="22"/>
          <w:szCs w:val="22"/>
          <w:color w:val="auto"/>
        </w:rPr>
        <w:t>Eli Lilly and Company Shareholder Value Award</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3"/>
          <w:szCs w:val="43"/>
          <w:color w:val="auto"/>
        </w:rPr>
        <w:t>Eli Lilly and Company</w:t>
      </w:r>
    </w:p>
    <w:p>
      <w:pPr>
        <w:spacing w:after="0" w:line="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3"/>
          <w:szCs w:val="43"/>
          <w:color w:val="auto"/>
        </w:rPr>
        <w:t>Shareholder Value Award</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3"/>
          <w:szCs w:val="43"/>
          <w:color w:val="auto"/>
        </w:rPr>
        <w:t>(for Executive Officers)</w:t>
      </w:r>
    </w:p>
    <w:p>
      <w:pPr>
        <w:spacing w:after="0" w:line="200" w:lineRule="exact"/>
        <w:rPr>
          <w:sz w:val="20"/>
          <w:szCs w:val="20"/>
          <w:color w:val="auto"/>
        </w:rPr>
      </w:pPr>
    </w:p>
    <w:p>
      <w:pPr>
        <w:spacing w:after="0" w:line="291" w:lineRule="exact"/>
        <w:rPr>
          <w:sz w:val="20"/>
          <w:szCs w:val="20"/>
          <w:color w:val="auto"/>
        </w:rPr>
      </w:pPr>
    </w:p>
    <w:p>
      <w:pPr>
        <w:jc w:val="both"/>
        <w:spacing w:after="0" w:line="262" w:lineRule="auto"/>
        <w:rPr>
          <w:sz w:val="20"/>
          <w:szCs w:val="20"/>
          <w:color w:val="auto"/>
        </w:rPr>
      </w:pPr>
      <w:r>
        <w:rPr>
          <w:rFonts w:ascii="Arial" w:cs="Arial" w:eastAsia="Arial" w:hAnsi="Arial"/>
          <w:sz w:val="22"/>
          <w:szCs w:val="22"/>
          <w:color w:val="auto"/>
        </w:rPr>
        <w:t>This Shareholder Value Award has been granted on February 3, 2016, for the Award Period of January 1, 2016 through December 31, 2018 by Eli Lilly and Company, an Indiana corporation with its principal offices in Indianapolis, Indiana (“Lilly” or the “Company”), to Grantee.</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color w:val="auto"/>
        </w:rPr>
        <w:t>Stock Price Performance Levels</w:t>
      </w:r>
    </w:p>
    <w:p>
      <w:pPr>
        <w:spacing w:after="0" w:line="200" w:lineRule="exact"/>
        <w:rPr>
          <w:sz w:val="20"/>
          <w:szCs w:val="20"/>
          <w:color w:val="auto"/>
        </w:rPr>
      </w:pPr>
    </w:p>
    <w:p>
      <w:pPr>
        <w:spacing w:after="0" w:line="245" w:lineRule="exact"/>
        <w:rPr>
          <w:sz w:val="20"/>
          <w:szCs w:val="20"/>
          <w:color w:val="auto"/>
        </w:rPr>
      </w:pPr>
    </w:p>
    <w:tbl>
      <w:tblPr>
        <w:tblLayout w:type="fixed"/>
        <w:tblInd w:w="310" w:type="dxa"/>
        <w:tblCellMar>
          <w:top w:w="0" w:type="dxa"/>
          <w:left w:w="0" w:type="dxa"/>
          <w:bottom w:w="0" w:type="dxa"/>
          <w:right w:w="0" w:type="dxa"/>
        </w:tblCellMar>
      </w:tblPr>
      <w:tr>
        <w:trPr>
          <w:trHeight w:val="311"/>
        </w:trPr>
        <w:tc>
          <w:tcPr>
            <w:tcW w:w="2300" w:type="dxa"/>
            <w:vAlign w:val="bottom"/>
            <w:tcBorders>
              <w:top w:val="single" w:sz="8" w:color="00000A"/>
              <w:left w:val="single" w:sz="8" w:color="00000A"/>
              <w:bottom w:val="single" w:sz="8" w:color="00000A"/>
              <w:right w:val="single" w:sz="8" w:color="00000A"/>
            </w:tcBorders>
          </w:tcPr>
          <w:p>
            <w:pPr>
              <w:spacing w:after="0"/>
              <w:rPr>
                <w:sz w:val="24"/>
                <w:szCs w:val="24"/>
                <w:color w:val="auto"/>
              </w:rPr>
            </w:pPr>
          </w:p>
        </w:tc>
        <w:tc>
          <w:tcPr>
            <w:tcW w:w="1540" w:type="dxa"/>
            <w:vAlign w:val="bottom"/>
            <w:tcBorders>
              <w:top w:val="single" w:sz="8" w:color="00000A"/>
              <w:bottom w:val="single" w:sz="8" w:color="00000A"/>
              <w:right w:val="single" w:sz="8" w:color="00000A"/>
            </w:tcBorders>
          </w:tcPr>
          <w:p>
            <w:pPr>
              <w:ind w:left="220"/>
              <w:spacing w:after="0"/>
              <w:rPr>
                <w:sz w:val="20"/>
                <w:szCs w:val="20"/>
                <w:color w:val="auto"/>
              </w:rPr>
            </w:pPr>
            <w:r>
              <w:rPr>
                <w:rFonts w:ascii="Arial" w:cs="Arial" w:eastAsia="Arial" w:hAnsi="Arial"/>
                <w:sz w:val="22"/>
                <w:szCs w:val="22"/>
                <w:b w:val="1"/>
                <w:bCs w:val="1"/>
                <w:color w:val="auto"/>
              </w:rPr>
              <w:t>No Payout</w:t>
            </w:r>
          </w:p>
        </w:tc>
        <w:tc>
          <w:tcPr>
            <w:tcW w:w="1400" w:type="dxa"/>
            <w:vAlign w:val="bottom"/>
            <w:tcBorders>
              <w:top w:val="single" w:sz="8" w:color="00000A"/>
              <w:bottom w:val="single" w:sz="8" w:color="00000A"/>
              <w:right w:val="single" w:sz="8" w:color="00000A"/>
            </w:tcBorders>
          </w:tcPr>
          <w:p>
            <w:pPr>
              <w:ind w:left="300"/>
              <w:spacing w:after="0"/>
              <w:rPr>
                <w:sz w:val="20"/>
                <w:szCs w:val="20"/>
                <w:color w:val="auto"/>
              </w:rPr>
            </w:pPr>
            <w:r>
              <w:rPr>
                <w:rFonts w:ascii="Arial" w:cs="Arial" w:eastAsia="Arial" w:hAnsi="Arial"/>
                <w:sz w:val="22"/>
                <w:szCs w:val="22"/>
                <w:b w:val="1"/>
                <w:bCs w:val="1"/>
                <w:color w:val="auto"/>
              </w:rPr>
              <w:t>Level 1</w:t>
            </w:r>
          </w:p>
        </w:tc>
        <w:tc>
          <w:tcPr>
            <w:tcW w:w="1400" w:type="dxa"/>
            <w:vAlign w:val="bottom"/>
            <w:tcBorders>
              <w:top w:val="single" w:sz="8" w:color="00000A"/>
              <w:bottom w:val="single" w:sz="8" w:color="00000A"/>
              <w:right w:val="single" w:sz="8" w:color="00000A"/>
            </w:tcBorders>
          </w:tcPr>
          <w:p>
            <w:pPr>
              <w:ind w:left="320"/>
              <w:spacing w:after="0"/>
              <w:rPr>
                <w:sz w:val="20"/>
                <w:szCs w:val="20"/>
                <w:color w:val="auto"/>
              </w:rPr>
            </w:pPr>
            <w:r>
              <w:rPr>
                <w:rFonts w:ascii="Arial" w:cs="Arial" w:eastAsia="Arial" w:hAnsi="Arial"/>
                <w:sz w:val="22"/>
                <w:szCs w:val="22"/>
                <w:b w:val="1"/>
                <w:bCs w:val="1"/>
                <w:color w:val="auto"/>
              </w:rPr>
              <w:t>Level 2</w:t>
            </w:r>
          </w:p>
        </w:tc>
        <w:tc>
          <w:tcPr>
            <w:tcW w:w="1400" w:type="dxa"/>
            <w:vAlign w:val="bottom"/>
            <w:tcBorders>
              <w:top w:val="single" w:sz="8" w:color="00000A"/>
              <w:bottom w:val="single" w:sz="8" w:color="00000A"/>
              <w:right w:val="single" w:sz="8" w:color="00000A"/>
            </w:tcBorders>
          </w:tcPr>
          <w:p>
            <w:pPr>
              <w:ind w:left="320"/>
              <w:spacing w:after="0"/>
              <w:rPr>
                <w:sz w:val="20"/>
                <w:szCs w:val="20"/>
                <w:color w:val="auto"/>
              </w:rPr>
            </w:pPr>
            <w:r>
              <w:rPr>
                <w:rFonts w:ascii="Arial" w:cs="Arial" w:eastAsia="Arial" w:hAnsi="Arial"/>
                <w:sz w:val="22"/>
                <w:szCs w:val="22"/>
                <w:b w:val="1"/>
                <w:bCs w:val="1"/>
                <w:color w:val="auto"/>
              </w:rPr>
              <w:t>Level 3</w:t>
            </w:r>
          </w:p>
        </w:tc>
        <w:tc>
          <w:tcPr>
            <w:tcW w:w="1420" w:type="dxa"/>
            <w:vAlign w:val="bottom"/>
            <w:tcBorders>
              <w:top w:val="single" w:sz="8" w:color="00000A"/>
              <w:bottom w:val="single" w:sz="8" w:color="00000A"/>
              <w:right w:val="single" w:sz="8" w:color="00000A"/>
            </w:tcBorders>
          </w:tcPr>
          <w:p>
            <w:pPr>
              <w:ind w:left="320"/>
              <w:spacing w:after="0"/>
              <w:rPr>
                <w:sz w:val="20"/>
                <w:szCs w:val="20"/>
                <w:color w:val="auto"/>
              </w:rPr>
            </w:pPr>
            <w:r>
              <w:rPr>
                <w:rFonts w:ascii="Arial" w:cs="Arial" w:eastAsia="Arial" w:hAnsi="Arial"/>
                <w:sz w:val="22"/>
                <w:szCs w:val="22"/>
                <w:b w:val="1"/>
                <w:bCs w:val="1"/>
                <w:color w:val="auto"/>
              </w:rPr>
              <w:t>Level 4</w:t>
            </w:r>
          </w:p>
        </w:tc>
        <w:tc>
          <w:tcPr>
            <w:tcW w:w="1400" w:type="dxa"/>
            <w:vAlign w:val="bottom"/>
            <w:tcBorders>
              <w:top w:val="single" w:sz="8" w:color="00000A"/>
              <w:bottom w:val="single" w:sz="8" w:color="00000A"/>
              <w:right w:val="single" w:sz="8" w:color="00000A"/>
            </w:tcBorders>
          </w:tcPr>
          <w:p>
            <w:pPr>
              <w:ind w:left="300"/>
              <w:spacing w:after="0"/>
              <w:rPr>
                <w:sz w:val="20"/>
                <w:szCs w:val="20"/>
                <w:color w:val="auto"/>
              </w:rPr>
            </w:pPr>
            <w:r>
              <w:rPr>
                <w:rFonts w:ascii="Arial" w:cs="Arial" w:eastAsia="Arial" w:hAnsi="Arial"/>
                <w:sz w:val="22"/>
                <w:szCs w:val="22"/>
                <w:b w:val="1"/>
                <w:bCs w:val="1"/>
                <w:color w:val="auto"/>
              </w:rPr>
              <w:t>Level 5</w:t>
            </w:r>
          </w:p>
        </w:tc>
        <w:tc>
          <w:tcPr>
            <w:tcW w:w="0" w:type="dxa"/>
            <w:vAlign w:val="bottom"/>
          </w:tcPr>
          <w:p>
            <w:pPr>
              <w:spacing w:after="0"/>
              <w:rPr>
                <w:sz w:val="1"/>
                <w:szCs w:val="1"/>
                <w:color w:val="auto"/>
              </w:rPr>
            </w:pPr>
          </w:p>
        </w:tc>
      </w:tr>
      <w:tr>
        <w:trPr>
          <w:trHeight w:val="229"/>
        </w:trPr>
        <w:tc>
          <w:tcPr>
            <w:tcW w:w="2300" w:type="dxa"/>
            <w:vAlign w:val="bottom"/>
            <w:tcBorders>
              <w:left w:val="single" w:sz="8" w:color="00000A"/>
              <w:right w:val="single" w:sz="8" w:color="00000A"/>
            </w:tcBorders>
            <w:vMerge w:val="restart"/>
          </w:tcPr>
          <w:p>
            <w:pPr>
              <w:ind w:left="40"/>
              <w:spacing w:after="0"/>
              <w:rPr>
                <w:sz w:val="20"/>
                <w:szCs w:val="20"/>
                <w:color w:val="auto"/>
              </w:rPr>
            </w:pPr>
            <w:r>
              <w:rPr>
                <w:rFonts w:ascii="Arial" w:cs="Arial" w:eastAsia="Arial" w:hAnsi="Arial"/>
                <w:sz w:val="22"/>
                <w:szCs w:val="22"/>
                <w:b w:val="1"/>
                <w:bCs w:val="1"/>
                <w:color w:val="auto"/>
              </w:rPr>
              <w:t>Stock Price</w:t>
            </w:r>
          </w:p>
        </w:tc>
        <w:tc>
          <w:tcPr>
            <w:tcW w:w="1540" w:type="dxa"/>
            <w:vAlign w:val="bottom"/>
            <w:tcBorders>
              <w:right w:val="single" w:sz="8" w:color="00000A"/>
            </w:tcBorders>
            <w:vMerge w:val="restart"/>
          </w:tcPr>
          <w:p>
            <w:pPr>
              <w:jc w:val="right"/>
              <w:ind w:right="292"/>
              <w:spacing w:after="0"/>
              <w:rPr>
                <w:sz w:val="20"/>
                <w:szCs w:val="20"/>
                <w:color w:val="auto"/>
              </w:rPr>
            </w:pPr>
            <w:r>
              <w:rPr>
                <w:rFonts w:ascii="Arial" w:cs="Arial" w:eastAsia="Arial" w:hAnsi="Arial"/>
                <w:sz w:val="22"/>
                <w:szCs w:val="22"/>
                <w:color w:val="auto"/>
              </w:rPr>
              <w:t>&lt;$77.51</w:t>
            </w:r>
          </w:p>
        </w:tc>
        <w:tc>
          <w:tcPr>
            <w:tcW w:w="1400" w:type="dxa"/>
            <w:vAlign w:val="bottom"/>
            <w:tcBorders>
              <w:right w:val="single" w:sz="8" w:color="00000A"/>
            </w:tcBorders>
          </w:tcPr>
          <w:p>
            <w:pPr>
              <w:jc w:val="center"/>
              <w:spacing w:after="0" w:line="229" w:lineRule="exact"/>
              <w:rPr>
                <w:sz w:val="20"/>
                <w:szCs w:val="20"/>
                <w:color w:val="auto"/>
              </w:rPr>
            </w:pPr>
            <w:r>
              <w:rPr>
                <w:rFonts w:ascii="Arial" w:cs="Arial" w:eastAsia="Arial" w:hAnsi="Arial"/>
                <w:sz w:val="22"/>
                <w:szCs w:val="22"/>
                <w:color w:val="auto"/>
                <w:w w:val="98"/>
              </w:rPr>
              <w:t>$77.51</w:t>
            </w:r>
          </w:p>
        </w:tc>
        <w:tc>
          <w:tcPr>
            <w:tcW w:w="1400" w:type="dxa"/>
            <w:vAlign w:val="bottom"/>
            <w:tcBorders>
              <w:right w:val="single" w:sz="8" w:color="00000A"/>
            </w:tcBorders>
          </w:tcPr>
          <w:p>
            <w:pPr>
              <w:jc w:val="center"/>
              <w:spacing w:after="0" w:line="229" w:lineRule="exact"/>
              <w:rPr>
                <w:sz w:val="20"/>
                <w:szCs w:val="20"/>
                <w:color w:val="auto"/>
              </w:rPr>
            </w:pPr>
            <w:r>
              <w:rPr>
                <w:rFonts w:ascii="Arial" w:cs="Arial" w:eastAsia="Arial" w:hAnsi="Arial"/>
                <w:sz w:val="22"/>
                <w:szCs w:val="22"/>
                <w:color w:val="auto"/>
                <w:w w:val="98"/>
              </w:rPr>
              <w:t>$88.03</w:t>
            </w:r>
          </w:p>
        </w:tc>
        <w:tc>
          <w:tcPr>
            <w:tcW w:w="1400" w:type="dxa"/>
            <w:vAlign w:val="bottom"/>
            <w:tcBorders>
              <w:right w:val="single" w:sz="8" w:color="00000A"/>
            </w:tcBorders>
          </w:tcPr>
          <w:p>
            <w:pPr>
              <w:jc w:val="center"/>
              <w:spacing w:after="0" w:line="229" w:lineRule="exact"/>
              <w:rPr>
                <w:sz w:val="20"/>
                <w:szCs w:val="20"/>
                <w:color w:val="auto"/>
              </w:rPr>
            </w:pPr>
            <w:r>
              <w:rPr>
                <w:rFonts w:ascii="Arial" w:cs="Arial" w:eastAsia="Arial" w:hAnsi="Arial"/>
                <w:sz w:val="22"/>
                <w:szCs w:val="22"/>
                <w:color w:val="auto"/>
                <w:w w:val="98"/>
              </w:rPr>
              <w:t>$98.55</w:t>
            </w:r>
          </w:p>
        </w:tc>
        <w:tc>
          <w:tcPr>
            <w:tcW w:w="1420" w:type="dxa"/>
            <w:vAlign w:val="bottom"/>
            <w:tcBorders>
              <w:right w:val="single" w:sz="8" w:color="00000A"/>
            </w:tcBorders>
          </w:tcPr>
          <w:p>
            <w:pPr>
              <w:jc w:val="center"/>
              <w:spacing w:after="0" w:line="229" w:lineRule="exact"/>
              <w:rPr>
                <w:sz w:val="20"/>
                <w:szCs w:val="20"/>
                <w:color w:val="auto"/>
              </w:rPr>
            </w:pPr>
            <w:r>
              <w:rPr>
                <w:rFonts w:ascii="Arial" w:cs="Arial" w:eastAsia="Arial" w:hAnsi="Arial"/>
                <w:sz w:val="22"/>
                <w:szCs w:val="22"/>
                <w:color w:val="auto"/>
                <w:w w:val="98"/>
              </w:rPr>
              <w:t>$109.07</w:t>
            </w:r>
          </w:p>
        </w:tc>
        <w:tc>
          <w:tcPr>
            <w:tcW w:w="1400" w:type="dxa"/>
            <w:vAlign w:val="bottom"/>
            <w:tcBorders>
              <w:right w:val="single" w:sz="8" w:color="00000A"/>
            </w:tcBorders>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2300" w:type="dxa"/>
            <w:vAlign w:val="bottom"/>
            <w:tcBorders>
              <w:left w:val="single" w:sz="8" w:color="00000A"/>
              <w:right w:val="single" w:sz="8" w:color="00000A"/>
            </w:tcBorders>
            <w:vMerge w:val="continue"/>
          </w:tcPr>
          <w:p>
            <w:pPr>
              <w:spacing w:after="0"/>
              <w:rPr>
                <w:sz w:val="17"/>
                <w:szCs w:val="17"/>
                <w:color w:val="auto"/>
              </w:rPr>
            </w:pPr>
          </w:p>
        </w:tc>
        <w:tc>
          <w:tcPr>
            <w:tcW w:w="1540" w:type="dxa"/>
            <w:vAlign w:val="bottom"/>
            <w:tcBorders>
              <w:right w:val="single" w:sz="8" w:color="00000A"/>
            </w:tcBorders>
            <w:vMerge w:val="continue"/>
          </w:tcPr>
          <w:p>
            <w:pPr>
              <w:spacing w:after="0"/>
              <w:rPr>
                <w:sz w:val="17"/>
                <w:szCs w:val="17"/>
                <w:color w:val="auto"/>
              </w:rPr>
            </w:pPr>
          </w:p>
        </w:tc>
        <w:tc>
          <w:tcPr>
            <w:tcW w:w="1400" w:type="dxa"/>
            <w:vAlign w:val="bottom"/>
            <w:tcBorders>
              <w:right w:val="single" w:sz="8" w:color="00000A"/>
            </w:tcBorders>
            <w:vMerge w:val="restart"/>
          </w:tcPr>
          <w:p>
            <w:pPr>
              <w:jc w:val="center"/>
              <w:spacing w:after="0" w:line="243" w:lineRule="exact"/>
              <w:rPr>
                <w:sz w:val="20"/>
                <w:szCs w:val="20"/>
                <w:color w:val="auto"/>
              </w:rPr>
            </w:pPr>
            <w:r>
              <w:rPr>
                <w:rFonts w:ascii="Arial" w:cs="Arial" w:eastAsia="Arial" w:hAnsi="Arial"/>
                <w:sz w:val="22"/>
                <w:szCs w:val="22"/>
                <w:color w:val="auto"/>
                <w:w w:val="95"/>
              </w:rPr>
              <w:t>--</w:t>
            </w:r>
          </w:p>
        </w:tc>
        <w:tc>
          <w:tcPr>
            <w:tcW w:w="1400" w:type="dxa"/>
            <w:vAlign w:val="bottom"/>
            <w:tcBorders>
              <w:right w:val="single" w:sz="8" w:color="00000A"/>
            </w:tcBorders>
            <w:vMerge w:val="restart"/>
          </w:tcPr>
          <w:p>
            <w:pPr>
              <w:jc w:val="center"/>
              <w:spacing w:after="0" w:line="243" w:lineRule="exact"/>
              <w:rPr>
                <w:sz w:val="20"/>
                <w:szCs w:val="20"/>
                <w:color w:val="auto"/>
              </w:rPr>
            </w:pPr>
            <w:r>
              <w:rPr>
                <w:rFonts w:ascii="Arial" w:cs="Arial" w:eastAsia="Arial" w:hAnsi="Arial"/>
                <w:sz w:val="22"/>
                <w:szCs w:val="22"/>
                <w:color w:val="auto"/>
                <w:w w:val="97"/>
              </w:rPr>
              <w:t>–</w:t>
            </w:r>
          </w:p>
        </w:tc>
        <w:tc>
          <w:tcPr>
            <w:tcW w:w="1400" w:type="dxa"/>
            <w:vAlign w:val="bottom"/>
            <w:tcBorders>
              <w:right w:val="single" w:sz="8" w:color="00000A"/>
            </w:tcBorders>
            <w:vMerge w:val="restart"/>
          </w:tcPr>
          <w:p>
            <w:pPr>
              <w:jc w:val="center"/>
              <w:spacing w:after="0" w:line="243" w:lineRule="exact"/>
              <w:rPr>
                <w:sz w:val="20"/>
                <w:szCs w:val="20"/>
                <w:color w:val="auto"/>
              </w:rPr>
            </w:pPr>
            <w:r>
              <w:rPr>
                <w:rFonts w:ascii="Arial" w:cs="Arial" w:eastAsia="Arial" w:hAnsi="Arial"/>
                <w:sz w:val="22"/>
                <w:szCs w:val="22"/>
                <w:color w:val="auto"/>
                <w:w w:val="97"/>
              </w:rPr>
              <w:t>–</w:t>
            </w:r>
          </w:p>
        </w:tc>
        <w:tc>
          <w:tcPr>
            <w:tcW w:w="1420" w:type="dxa"/>
            <w:vAlign w:val="bottom"/>
            <w:tcBorders>
              <w:right w:val="single" w:sz="8" w:color="00000A"/>
            </w:tcBorders>
            <w:vMerge w:val="restart"/>
          </w:tcPr>
          <w:p>
            <w:pPr>
              <w:jc w:val="center"/>
              <w:spacing w:after="0" w:line="243" w:lineRule="exact"/>
              <w:rPr>
                <w:sz w:val="20"/>
                <w:szCs w:val="20"/>
                <w:color w:val="auto"/>
              </w:rPr>
            </w:pPr>
            <w:r>
              <w:rPr>
                <w:rFonts w:ascii="Arial" w:cs="Arial" w:eastAsia="Arial" w:hAnsi="Arial"/>
                <w:sz w:val="22"/>
                <w:szCs w:val="22"/>
                <w:color w:val="auto"/>
                <w:w w:val="97"/>
              </w:rPr>
              <w:t>–</w:t>
            </w:r>
          </w:p>
        </w:tc>
        <w:tc>
          <w:tcPr>
            <w:tcW w:w="1400" w:type="dxa"/>
            <w:vAlign w:val="bottom"/>
            <w:tcBorders>
              <w:right w:val="single" w:sz="8" w:color="00000A"/>
            </w:tcBorders>
            <w:vMerge w:val="restart"/>
          </w:tcPr>
          <w:p>
            <w:pPr>
              <w:jc w:val="right"/>
              <w:ind w:right="152"/>
              <w:spacing w:after="0" w:line="243" w:lineRule="exact"/>
              <w:rPr>
                <w:sz w:val="20"/>
                <w:szCs w:val="20"/>
                <w:color w:val="auto"/>
              </w:rPr>
            </w:pPr>
            <w:r>
              <w:rPr>
                <w:rFonts w:ascii="Arial" w:cs="Arial" w:eastAsia="Arial" w:hAnsi="Arial"/>
                <w:sz w:val="22"/>
                <w:szCs w:val="22"/>
                <w:color w:val="auto"/>
              </w:rPr>
              <w:t>&gt; $119.58</w:t>
            </w:r>
          </w:p>
        </w:tc>
        <w:tc>
          <w:tcPr>
            <w:tcW w:w="0" w:type="dxa"/>
            <w:vAlign w:val="bottom"/>
          </w:tcPr>
          <w:p>
            <w:pPr>
              <w:spacing w:after="0"/>
              <w:rPr>
                <w:sz w:val="1"/>
                <w:szCs w:val="1"/>
                <w:color w:val="auto"/>
              </w:rPr>
            </w:pPr>
          </w:p>
        </w:tc>
      </w:tr>
      <w:tr>
        <w:trPr>
          <w:trHeight w:val="44"/>
        </w:trPr>
        <w:tc>
          <w:tcPr>
            <w:tcW w:w="2300" w:type="dxa"/>
            <w:vAlign w:val="bottom"/>
            <w:tcBorders>
              <w:left w:val="single" w:sz="8" w:color="00000A"/>
              <w:right w:val="single" w:sz="8" w:color="00000A"/>
            </w:tcBorders>
            <w:vMerge w:val="continue"/>
          </w:tcPr>
          <w:p>
            <w:pPr>
              <w:spacing w:after="0"/>
              <w:rPr>
                <w:sz w:val="3"/>
                <w:szCs w:val="3"/>
                <w:color w:val="auto"/>
              </w:rPr>
            </w:pPr>
          </w:p>
        </w:tc>
        <w:tc>
          <w:tcPr>
            <w:tcW w:w="1540" w:type="dxa"/>
            <w:vAlign w:val="bottom"/>
            <w:tcBorders>
              <w:right w:val="single" w:sz="8" w:color="00000A"/>
            </w:tcBorders>
          </w:tcPr>
          <w:p>
            <w:pPr>
              <w:spacing w:after="0"/>
              <w:rPr>
                <w:sz w:val="3"/>
                <w:szCs w:val="3"/>
                <w:color w:val="auto"/>
              </w:rPr>
            </w:pPr>
          </w:p>
        </w:tc>
        <w:tc>
          <w:tcPr>
            <w:tcW w:w="1400" w:type="dxa"/>
            <w:vAlign w:val="bottom"/>
            <w:tcBorders>
              <w:right w:val="single" w:sz="8" w:color="00000A"/>
            </w:tcBorders>
            <w:vMerge w:val="continue"/>
          </w:tcPr>
          <w:p>
            <w:pPr>
              <w:spacing w:after="0"/>
              <w:rPr>
                <w:sz w:val="3"/>
                <w:szCs w:val="3"/>
                <w:color w:val="auto"/>
              </w:rPr>
            </w:pPr>
          </w:p>
        </w:tc>
        <w:tc>
          <w:tcPr>
            <w:tcW w:w="1400" w:type="dxa"/>
            <w:vAlign w:val="bottom"/>
            <w:tcBorders>
              <w:right w:val="single" w:sz="8" w:color="00000A"/>
            </w:tcBorders>
            <w:vMerge w:val="continue"/>
          </w:tcPr>
          <w:p>
            <w:pPr>
              <w:spacing w:after="0"/>
              <w:rPr>
                <w:sz w:val="3"/>
                <w:szCs w:val="3"/>
                <w:color w:val="auto"/>
              </w:rPr>
            </w:pPr>
          </w:p>
        </w:tc>
        <w:tc>
          <w:tcPr>
            <w:tcW w:w="1400" w:type="dxa"/>
            <w:vAlign w:val="bottom"/>
            <w:tcBorders>
              <w:right w:val="single" w:sz="8" w:color="00000A"/>
            </w:tcBorders>
            <w:vMerge w:val="continue"/>
          </w:tcPr>
          <w:p>
            <w:pPr>
              <w:spacing w:after="0"/>
              <w:rPr>
                <w:sz w:val="3"/>
                <w:szCs w:val="3"/>
                <w:color w:val="auto"/>
              </w:rPr>
            </w:pPr>
          </w:p>
        </w:tc>
        <w:tc>
          <w:tcPr>
            <w:tcW w:w="1420" w:type="dxa"/>
            <w:vAlign w:val="bottom"/>
            <w:tcBorders>
              <w:right w:val="single" w:sz="8" w:color="00000A"/>
            </w:tcBorders>
            <w:vMerge w:val="continue"/>
          </w:tcPr>
          <w:p>
            <w:pPr>
              <w:spacing w:after="0"/>
              <w:rPr>
                <w:sz w:val="3"/>
                <w:szCs w:val="3"/>
                <w:color w:val="auto"/>
              </w:rPr>
            </w:pPr>
          </w:p>
        </w:tc>
        <w:tc>
          <w:tcPr>
            <w:tcW w:w="1400" w:type="dxa"/>
            <w:vAlign w:val="bottom"/>
            <w:tcBorders>
              <w:right w:val="single" w:sz="8" w:color="00000A"/>
            </w:tcBorders>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99"/>
        </w:trPr>
        <w:tc>
          <w:tcPr>
            <w:tcW w:w="2300" w:type="dxa"/>
            <w:vAlign w:val="bottom"/>
            <w:tcBorders>
              <w:left w:val="single" w:sz="8" w:color="00000A"/>
              <w:bottom w:val="single" w:sz="8" w:color="00000A"/>
              <w:right w:val="single" w:sz="8" w:color="00000A"/>
            </w:tcBorders>
          </w:tcPr>
          <w:p>
            <w:pPr>
              <w:spacing w:after="0"/>
              <w:rPr>
                <w:sz w:val="24"/>
                <w:szCs w:val="24"/>
                <w:color w:val="auto"/>
              </w:rPr>
            </w:pPr>
          </w:p>
        </w:tc>
        <w:tc>
          <w:tcPr>
            <w:tcW w:w="1540" w:type="dxa"/>
            <w:vAlign w:val="bottom"/>
            <w:tcBorders>
              <w:bottom w:val="single" w:sz="8" w:color="00000A"/>
              <w:right w:val="single" w:sz="8" w:color="00000A"/>
            </w:tcBorders>
          </w:tcPr>
          <w:p>
            <w:pPr>
              <w:spacing w:after="0"/>
              <w:rPr>
                <w:sz w:val="24"/>
                <w:szCs w:val="24"/>
                <w:color w:val="auto"/>
              </w:rPr>
            </w:pPr>
          </w:p>
        </w:tc>
        <w:tc>
          <w:tcPr>
            <w:tcW w:w="140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98"/>
              </w:rPr>
              <w:t>$88.02</w:t>
            </w:r>
          </w:p>
        </w:tc>
        <w:tc>
          <w:tcPr>
            <w:tcW w:w="140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98"/>
              </w:rPr>
              <w:t>$98.54</w:t>
            </w:r>
          </w:p>
        </w:tc>
        <w:tc>
          <w:tcPr>
            <w:tcW w:w="140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98"/>
              </w:rPr>
              <w:t>$109.06</w:t>
            </w:r>
          </w:p>
        </w:tc>
        <w:tc>
          <w:tcPr>
            <w:tcW w:w="142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98"/>
              </w:rPr>
              <w:t>$119.58</w:t>
            </w:r>
          </w:p>
        </w:tc>
        <w:tc>
          <w:tcPr>
            <w:tcW w:w="1400" w:type="dxa"/>
            <w:vAlign w:val="bottom"/>
            <w:tcBorders>
              <w:bottom w:val="single" w:sz="8" w:color="00000A"/>
              <w:right w:val="single" w:sz="8" w:color="00000A"/>
            </w:tcBorders>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230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b w:val="1"/>
                <w:bCs w:val="1"/>
                <w:color w:val="auto"/>
              </w:rPr>
              <w:t>Percent of Target</w:t>
            </w:r>
          </w:p>
        </w:tc>
        <w:tc>
          <w:tcPr>
            <w:tcW w:w="1540" w:type="dxa"/>
            <w:vAlign w:val="bottom"/>
            <w:tcBorders>
              <w:bottom w:val="single" w:sz="8" w:color="00000A"/>
              <w:right w:val="single" w:sz="8" w:color="00000A"/>
            </w:tcBorders>
          </w:tcPr>
          <w:p>
            <w:pPr>
              <w:jc w:val="right"/>
              <w:ind w:right="532"/>
              <w:spacing w:after="0"/>
              <w:rPr>
                <w:sz w:val="20"/>
                <w:szCs w:val="20"/>
                <w:color w:val="auto"/>
              </w:rPr>
            </w:pPr>
            <w:r>
              <w:rPr>
                <w:rFonts w:ascii="Arial" w:cs="Arial" w:eastAsia="Arial" w:hAnsi="Arial"/>
                <w:sz w:val="22"/>
                <w:szCs w:val="22"/>
                <w:color w:val="auto"/>
              </w:rPr>
              <w:t>0%</w:t>
            </w:r>
          </w:p>
        </w:tc>
        <w:tc>
          <w:tcPr>
            <w:tcW w:w="140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99"/>
              </w:rPr>
              <w:t>50%</w:t>
            </w:r>
          </w:p>
        </w:tc>
        <w:tc>
          <w:tcPr>
            <w:tcW w:w="140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99"/>
              </w:rPr>
              <w:t>75%</w:t>
            </w:r>
          </w:p>
        </w:tc>
        <w:tc>
          <w:tcPr>
            <w:tcW w:w="140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99"/>
              </w:rPr>
              <w:t>100%</w:t>
            </w:r>
          </w:p>
        </w:tc>
        <w:tc>
          <w:tcPr>
            <w:tcW w:w="142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95"/>
              </w:rPr>
              <w:t>125%</w:t>
            </w:r>
          </w:p>
        </w:tc>
        <w:tc>
          <w:tcPr>
            <w:tcW w:w="1400" w:type="dxa"/>
            <w:vAlign w:val="bottom"/>
            <w:tcBorders>
              <w:bottom w:val="single" w:sz="8" w:color="00000A"/>
              <w:right w:val="single" w:sz="8" w:color="00000A"/>
            </w:tcBorders>
          </w:tcPr>
          <w:p>
            <w:pPr>
              <w:jc w:val="right"/>
              <w:ind w:right="332"/>
              <w:spacing w:after="0"/>
              <w:rPr>
                <w:sz w:val="20"/>
                <w:szCs w:val="20"/>
                <w:color w:val="auto"/>
              </w:rPr>
            </w:pPr>
            <w:r>
              <w:rPr>
                <w:rFonts w:ascii="Arial" w:cs="Arial" w:eastAsia="Arial" w:hAnsi="Arial"/>
                <w:sz w:val="22"/>
                <w:szCs w:val="22"/>
                <w:color w:val="auto"/>
              </w:rPr>
              <w:t>150%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color w:val="auto"/>
        </w:rPr>
        <w:t>Total Shareholder Return (TSR) Modifier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6174740" cy="156083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174740" cy="1560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Page 1</w:t>
      </w:r>
    </w:p>
    <w:p>
      <w:pPr>
        <w:sectPr>
          <w:pgSz w:w="11900" w:h="16838" w:orient="portrait"/>
          <w:cols w:equalWidth="0" w:num="1">
            <w:col w:w="11420"/>
          </w:cols>
          <w:pgMar w:left="240" w:top="382" w:right="2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22"/>
          <w:szCs w:val="22"/>
          <w:color w:val="auto"/>
        </w:rPr>
        <w:t>Eli Lilly and Company Shareholder Value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color w:val="auto"/>
        </w:rPr>
        <w:t>A. Recitals</w:t>
      </w:r>
    </w:p>
    <w:p>
      <w:pPr>
        <w:spacing w:after="0" w:line="69" w:lineRule="exact"/>
        <w:rPr>
          <w:sz w:val="20"/>
          <w:szCs w:val="20"/>
          <w:color w:val="auto"/>
        </w:rPr>
      </w:pPr>
    </w:p>
    <w:p>
      <w:pPr>
        <w:jc w:val="both"/>
        <w:ind w:left="420"/>
        <w:spacing w:after="0" w:line="249" w:lineRule="auto"/>
        <w:rPr>
          <w:sz w:val="20"/>
          <w:szCs w:val="20"/>
          <w:color w:val="auto"/>
        </w:rPr>
      </w:pPr>
      <w:r>
        <w:rPr>
          <w:rFonts w:ascii="Arial" w:cs="Arial" w:eastAsia="Arial" w:hAnsi="Arial"/>
          <w:sz w:val="22"/>
          <w:szCs w:val="22"/>
          <w:color w:val="auto"/>
        </w:rPr>
        <w:t>Under the 2002 LILLY STOCK PLAN ("2002 Plan"), the Compensation Committee ("Committee") has determined the form of this Shareholder Value Award and selected the Grantee, an Eligible Employee of the Company or one of its subsidiaries, to receive a Shareholder Value Award for the Award Period January 1, 2016 through December 31, 2018. The applicable terms of the 2002 Plan are incorporated in this Shareholder Value Award by reference, including the definitions of terms contained in the 2002 Plan. This award is granted under Section 6 of the 2002 Plan, “Performance Awards to Eligible Employees,” and shall be considered a form of Performance Award for purposes of interpretation and administration of the award under the 2002 Plan.</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color w:val="auto"/>
        </w:rPr>
        <w:t>B. Shareholder Value Award</w:t>
      </w:r>
    </w:p>
    <w:p>
      <w:pPr>
        <w:spacing w:after="0" w:line="69" w:lineRule="exact"/>
        <w:rPr>
          <w:sz w:val="20"/>
          <w:szCs w:val="20"/>
          <w:color w:val="auto"/>
        </w:rPr>
      </w:pPr>
    </w:p>
    <w:p>
      <w:pPr>
        <w:jc w:val="both"/>
        <w:ind w:left="420"/>
        <w:spacing w:after="0" w:line="272" w:lineRule="auto"/>
        <w:rPr>
          <w:sz w:val="20"/>
          <w:szCs w:val="20"/>
          <w:color w:val="auto"/>
        </w:rPr>
      </w:pPr>
      <w:r>
        <w:rPr>
          <w:rFonts w:ascii="Arial" w:cs="Arial" w:eastAsia="Arial" w:hAnsi="Arial"/>
          <w:sz w:val="21"/>
          <w:szCs w:val="21"/>
          <w:color w:val="auto"/>
        </w:rPr>
        <w:t>Lilly grants to the Grantee the right to acquire Lilly Stock by issuance or transfer to the Grantee of the Performance Shares to which he or she is entitled under this Shareholder Value Award, subject to certain restrictions and on the terms and conditions contained in this Shareholder Value Award and the 2002 Plan. In the event of any conflict between the terms of the 2002 Plan and this Shareholder Value Award, the terms of the 2002 Plan shall govern.</w:t>
      </w:r>
    </w:p>
    <w:p>
      <w:pPr>
        <w:spacing w:after="0" w:line="13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3"/>
          <w:szCs w:val="23"/>
          <w:color w:val="auto"/>
        </w:rPr>
        <w:t>Section 1. Statement of Award Period</w:t>
      </w:r>
    </w:p>
    <w:p>
      <w:pPr>
        <w:spacing w:after="0" w:line="71" w:lineRule="exact"/>
        <w:rPr>
          <w:sz w:val="20"/>
          <w:szCs w:val="20"/>
          <w:color w:val="auto"/>
        </w:rPr>
      </w:pPr>
    </w:p>
    <w:p>
      <w:pPr>
        <w:ind w:left="420"/>
        <w:spacing w:after="0"/>
        <w:rPr>
          <w:sz w:val="20"/>
          <w:szCs w:val="20"/>
          <w:color w:val="auto"/>
        </w:rPr>
      </w:pPr>
      <w:r>
        <w:rPr>
          <w:rFonts w:ascii="Arial" w:cs="Arial" w:eastAsia="Arial" w:hAnsi="Arial"/>
          <w:sz w:val="22"/>
          <w:szCs w:val="22"/>
          <w:color w:val="auto"/>
        </w:rPr>
        <w:t>The Award Period shall begin January 1, 2016 and end December 31, 2018.</w:t>
      </w:r>
    </w:p>
    <w:p>
      <w:pPr>
        <w:spacing w:after="0" w:line="20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3"/>
          <w:szCs w:val="23"/>
          <w:color w:val="auto"/>
        </w:rPr>
        <w:t>Section 2. Number of Shares</w:t>
      </w:r>
    </w:p>
    <w:p>
      <w:pPr>
        <w:spacing w:after="0" w:line="71" w:lineRule="exact"/>
        <w:rPr>
          <w:sz w:val="20"/>
          <w:szCs w:val="20"/>
          <w:color w:val="auto"/>
        </w:rPr>
      </w:pPr>
    </w:p>
    <w:p>
      <w:pPr>
        <w:jc w:val="both"/>
        <w:ind w:left="400"/>
        <w:spacing w:after="0" w:line="248" w:lineRule="auto"/>
        <w:rPr>
          <w:sz w:val="20"/>
          <w:szCs w:val="20"/>
          <w:color w:val="auto"/>
        </w:rPr>
      </w:pPr>
      <w:r>
        <w:rPr>
          <w:rFonts w:ascii="Arial" w:cs="Arial" w:eastAsia="Arial" w:hAnsi="Arial"/>
          <w:sz w:val="22"/>
          <w:szCs w:val="22"/>
          <w:color w:val="auto"/>
        </w:rPr>
        <w:t xml:space="preserve">The target number of Performance Shares for the Award Period shall be determined by the value approved by the Grantee’s supervisor, multiplied by the percentage determined by the Committee to be granted as a Shareholder Value Award, divided by the grant fair value determined in accordance with accounting principles currently applicable in the United States, rounded to the nearest full share. Target shares are set at Level 3. The number of Performance Shares that vest shall be equal to the product of (a) the target number of Performance Shares for the Award Period, multiplied by (b) the Percent of Target (as defined in Section 3), multiplied by (c) the TSR Modifier (as defined in Section 3), subject to adjustment as provided below in this Section or in Section 8. Grantees may view their Shareholder Value Award by logging on to the Merrill Lynch website at </w:t>
      </w:r>
      <w:r>
        <w:rPr>
          <w:rFonts w:ascii="Times New Roman" w:cs="Times New Roman" w:eastAsia="Times New Roman" w:hAnsi="Times New Roman"/>
          <w:sz w:val="22"/>
          <w:szCs w:val="22"/>
          <w:u w:val="single" w:color="auto"/>
          <w:color w:val="0000FF"/>
        </w:rPr>
        <w:t>http://myequity.lilly.com</w:t>
      </w:r>
      <w:r>
        <w:rPr>
          <w:rFonts w:ascii="Arial" w:cs="Arial" w:eastAsia="Arial" w:hAnsi="Arial"/>
          <w:sz w:val="22"/>
          <w:szCs w:val="22"/>
          <w:color w:val="auto"/>
        </w:rPr>
        <w:t xml:space="preserve"> beginning March 1 of each grant year.</w:t>
      </w:r>
    </w:p>
    <w:p>
      <w:pPr>
        <w:spacing w:after="0" w:line="172" w:lineRule="exact"/>
        <w:rPr>
          <w:sz w:val="20"/>
          <w:szCs w:val="20"/>
          <w:color w:val="auto"/>
        </w:rPr>
      </w:pPr>
    </w:p>
    <w:p>
      <w:pPr>
        <w:jc w:val="both"/>
        <w:ind w:left="420"/>
        <w:spacing w:after="0" w:line="251" w:lineRule="auto"/>
        <w:rPr>
          <w:sz w:val="20"/>
          <w:szCs w:val="20"/>
          <w:color w:val="auto"/>
        </w:rPr>
      </w:pPr>
      <w:r>
        <w:rPr>
          <w:rFonts w:ascii="Arial" w:cs="Arial" w:eastAsia="Arial" w:hAnsi="Arial"/>
          <w:sz w:val="22"/>
          <w:szCs w:val="22"/>
          <w:color w:val="auto"/>
        </w:rPr>
        <w:t>The number of Performance Shares for the Award Period and the performance goals as described in Section 3 below, shall be subject to adjustment in accordance with the provisions of Section 4(b) of the 2002 Plan for certain corporate recapitalizations and other events and in a manner that does not cause any Shareholder Value Award that is intended to constitute “qualified performance-based compensation” under Section 162(m) of the Code (“Performance-Based Compensation”) to fail to so qualify. A fractional share resulting from such adjustment shall in the discretion of the Committee either be paid in cash or rounded.</w:t>
      </w:r>
    </w:p>
    <w:p>
      <w:pPr>
        <w:spacing w:after="0" w:line="15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3"/>
          <w:szCs w:val="23"/>
          <w:color w:val="auto"/>
        </w:rPr>
        <w:t>Section 3. Computation of Final Stock Price of Lilly Stock and TSR Modifier</w:t>
      </w:r>
    </w:p>
    <w:p>
      <w:pPr>
        <w:spacing w:after="0" w:line="71" w:lineRule="exact"/>
        <w:rPr>
          <w:sz w:val="20"/>
          <w:szCs w:val="20"/>
          <w:color w:val="auto"/>
        </w:rPr>
      </w:pPr>
    </w:p>
    <w:p>
      <w:pPr>
        <w:jc w:val="both"/>
        <w:ind w:left="420"/>
        <w:spacing w:after="0" w:line="253" w:lineRule="auto"/>
        <w:rPr>
          <w:sz w:val="20"/>
          <w:szCs w:val="20"/>
          <w:color w:val="auto"/>
        </w:rPr>
      </w:pPr>
      <w:r>
        <w:rPr>
          <w:rFonts w:ascii="Arial" w:cs="Arial" w:eastAsia="Arial" w:hAnsi="Arial"/>
          <w:sz w:val="22"/>
          <w:szCs w:val="22"/>
          <w:color w:val="auto"/>
        </w:rPr>
        <w:t>As soon as reasonably practicable following the end of the Award Period, the Committee shall determine the Final Stock Price of Lilly Stock and TSR Modifier, which shall be computed in accordance with Section 16 and the provisions in this Section 3. To the extent the Shareholder Value Award is intended to constitute Performance-Based Compensation, the Committee shall certify the attainment level of the performance goals in accordance with the requirements of Section 162(m) of the Code.</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Page 2</w:t>
      </w:r>
    </w:p>
    <w:p>
      <w:pPr>
        <w:sectPr>
          <w:pgSz w:w="11900" w:h="16838" w:orient="portrait"/>
          <w:cols w:equalWidth="0" w:num="1">
            <w:col w:w="11420"/>
          </w:cols>
          <w:pgMar w:left="240" w:top="382" w:right="2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22"/>
          <w:szCs w:val="22"/>
          <w:color w:val="auto"/>
        </w:rPr>
        <w:t>Eli Lilly and Company Shareholder Value Award</w:t>
      </w:r>
    </w:p>
    <w:p>
      <w:pPr>
        <w:spacing w:after="0" w:line="200" w:lineRule="exact"/>
        <w:rPr>
          <w:sz w:val="20"/>
          <w:szCs w:val="20"/>
          <w:color w:val="auto"/>
        </w:rPr>
      </w:pPr>
    </w:p>
    <w:p>
      <w:pPr>
        <w:spacing w:after="0" w:line="296" w:lineRule="exact"/>
        <w:rPr>
          <w:sz w:val="20"/>
          <w:szCs w:val="20"/>
          <w:color w:val="auto"/>
        </w:rPr>
      </w:pPr>
    </w:p>
    <w:p>
      <w:pPr>
        <w:ind w:left="1400" w:right="520" w:hanging="339"/>
        <w:spacing w:after="0" w:line="281" w:lineRule="auto"/>
        <w:tabs>
          <w:tab w:leader="none" w:pos="1382" w:val="left"/>
        </w:tabs>
        <w:numPr>
          <w:ilvl w:val="0"/>
          <w:numId w:val="71"/>
        </w:numPr>
        <w:rPr>
          <w:rFonts w:ascii="Arial" w:cs="Arial" w:eastAsia="Arial" w:hAnsi="Arial"/>
          <w:sz w:val="22"/>
          <w:szCs w:val="22"/>
          <w:color w:val="auto"/>
        </w:rPr>
      </w:pPr>
      <w:r>
        <w:rPr>
          <w:rFonts w:ascii="Arial" w:cs="Arial" w:eastAsia="Arial" w:hAnsi="Arial"/>
          <w:sz w:val="22"/>
          <w:szCs w:val="22"/>
          <w:color w:val="auto"/>
        </w:rPr>
        <w:t>Lilly Stock Price. The Final Stock Price of Lilly Stock and the Percent of Target shall be computed in accordance with the definitions in this Section 3(a).</w:t>
      </w:r>
    </w:p>
    <w:p>
      <w:pPr>
        <w:spacing w:after="0" w:line="177" w:lineRule="exact"/>
        <w:rPr>
          <w:rFonts w:ascii="Arial" w:cs="Arial" w:eastAsia="Arial" w:hAnsi="Arial"/>
          <w:sz w:val="22"/>
          <w:szCs w:val="22"/>
          <w:color w:val="auto"/>
        </w:rPr>
      </w:pPr>
    </w:p>
    <w:p>
      <w:pPr>
        <w:ind w:left="1960" w:right="20" w:firstLine="1289"/>
        <w:spacing w:after="0" w:line="262" w:lineRule="auto"/>
        <w:tabs>
          <w:tab w:leader="none" w:pos="3689" w:val="left"/>
        </w:tabs>
        <w:numPr>
          <w:ilvl w:val="2"/>
          <w:numId w:val="7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Final Stock Price</w:t>
      </w:r>
      <w:r>
        <w:rPr>
          <w:rFonts w:ascii="Arial" w:cs="Arial" w:eastAsia="Arial" w:hAnsi="Arial"/>
          <w:sz w:val="22"/>
          <w:szCs w:val="22"/>
          <w:color w:val="auto"/>
        </w:rPr>
        <w:t>” of Lilly Stock shall mean the average of the closing price of a share of Lilly Stock on the New York Stock Exchange for each trading day in the last two months of the Award Period, rounded to the nearest cent.</w:t>
      </w:r>
    </w:p>
    <w:p>
      <w:pPr>
        <w:spacing w:after="0" w:line="197" w:lineRule="exact"/>
        <w:rPr>
          <w:rFonts w:ascii="Arial" w:cs="Arial" w:eastAsia="Arial" w:hAnsi="Arial"/>
          <w:sz w:val="22"/>
          <w:szCs w:val="22"/>
          <w:color w:val="auto"/>
        </w:rPr>
      </w:pPr>
    </w:p>
    <w:p>
      <w:pPr>
        <w:ind w:left="1960" w:right="40" w:firstLine="1289"/>
        <w:spacing w:after="0" w:line="251" w:lineRule="auto"/>
        <w:tabs>
          <w:tab w:leader="none" w:pos="3737" w:val="left"/>
        </w:tabs>
        <w:numPr>
          <w:ilvl w:val="2"/>
          <w:numId w:val="7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Percent of Target</w:t>
      </w:r>
      <w:r>
        <w:rPr>
          <w:rFonts w:ascii="Arial" w:cs="Arial" w:eastAsia="Arial" w:hAnsi="Arial"/>
          <w:sz w:val="22"/>
          <w:szCs w:val="22"/>
          <w:color w:val="auto"/>
        </w:rPr>
        <w:t>” shall mean the percentage set forth in the Stock Price Performance Levels table on the first page of this Shareholder Value Award representing the attainment level of the Final Stock Price of Lilly Stock measured against the performance goal attainment levels set forth in the table and which shall be applied to the target number of Performance Shares as set forth in Section 2 to determine the number of Performance Shares that are eligible to vest.</w:t>
      </w:r>
    </w:p>
    <w:p>
      <w:pPr>
        <w:spacing w:after="0" w:line="208" w:lineRule="exact"/>
        <w:rPr>
          <w:rFonts w:ascii="Arial" w:cs="Arial" w:eastAsia="Arial" w:hAnsi="Arial"/>
          <w:sz w:val="22"/>
          <w:szCs w:val="22"/>
          <w:color w:val="auto"/>
        </w:rPr>
      </w:pPr>
    </w:p>
    <w:p>
      <w:pPr>
        <w:ind w:left="1400" w:right="40" w:hanging="339"/>
        <w:spacing w:after="0" w:line="251" w:lineRule="auto"/>
        <w:tabs>
          <w:tab w:leader="none" w:pos="1382" w:val="left"/>
        </w:tabs>
        <w:numPr>
          <w:ilvl w:val="0"/>
          <w:numId w:val="71"/>
        </w:numPr>
        <w:rPr>
          <w:rFonts w:ascii="Arial" w:cs="Arial" w:eastAsia="Arial" w:hAnsi="Arial"/>
          <w:sz w:val="22"/>
          <w:szCs w:val="22"/>
          <w:color w:val="auto"/>
        </w:rPr>
      </w:pPr>
      <w:r>
        <w:rPr>
          <w:rFonts w:ascii="Arial" w:cs="Arial" w:eastAsia="Arial" w:hAnsi="Arial"/>
          <w:sz w:val="22"/>
          <w:szCs w:val="22"/>
          <w:color w:val="auto"/>
        </w:rPr>
        <w:t>TSR Modifier. The number of Performance Shares that become eligible to vest based on the initial determination of the Percent of Target as provided under Section 3(a) shall be increased or decreased pursuant to the TSR Modifier, which is based on the Company’s TSR for the Award Period relative to the median TSR of the Peer Group for the Award Period. The TSR of the Company, the median TSR of the Peer Group, and the TSR Modifier shall be computed in accordance with the definitions in this Section 3(b).</w:t>
      </w:r>
    </w:p>
    <w:p>
      <w:pPr>
        <w:spacing w:after="0" w:line="208" w:lineRule="exact"/>
        <w:rPr>
          <w:rFonts w:ascii="Arial" w:cs="Arial" w:eastAsia="Arial" w:hAnsi="Arial"/>
          <w:sz w:val="22"/>
          <w:szCs w:val="22"/>
          <w:color w:val="auto"/>
        </w:rPr>
      </w:pPr>
    </w:p>
    <w:p>
      <w:pPr>
        <w:ind w:left="1960" w:firstLine="1289"/>
        <w:spacing w:after="0" w:line="261" w:lineRule="auto"/>
        <w:tabs>
          <w:tab w:leader="none" w:pos="3689" w:val="left"/>
        </w:tabs>
        <w:numPr>
          <w:ilvl w:val="2"/>
          <w:numId w:val="71"/>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Total Shareholder Return</w:t>
      </w:r>
      <w:r>
        <w:rPr>
          <w:rFonts w:ascii="Arial" w:cs="Arial" w:eastAsia="Arial" w:hAnsi="Arial"/>
          <w:sz w:val="21"/>
          <w:szCs w:val="21"/>
          <w:color w:val="auto"/>
        </w:rPr>
        <w:t>” or “</w:t>
      </w:r>
      <w:r>
        <w:rPr>
          <w:rFonts w:ascii="Arial" w:cs="Arial" w:eastAsia="Arial" w:hAnsi="Arial"/>
          <w:sz w:val="21"/>
          <w:szCs w:val="21"/>
          <w:u w:val="single" w:color="auto"/>
          <w:color w:val="auto"/>
        </w:rPr>
        <w:t>TSR</w:t>
      </w:r>
      <w:r>
        <w:rPr>
          <w:rFonts w:ascii="Arial" w:cs="Arial" w:eastAsia="Arial" w:hAnsi="Arial"/>
          <w:sz w:val="21"/>
          <w:szCs w:val="21"/>
          <w:color w:val="auto"/>
        </w:rPr>
        <w:t>” shall mean the quotient of (i) the Final Stock Price of Lilly Stock or shares of the Peer Group, as applicable, minus the Beginning Stock Price of Lilly Stock or share of the Peer Group, as applicable, including the impact of Dividend reinvestment on each ex-dividend date, if any, paid by the applicable issuer during the Award Period, divided by</w:t>
      </w:r>
    </w:p>
    <w:p>
      <w:pPr>
        <w:spacing w:after="0" w:line="3" w:lineRule="exact"/>
        <w:rPr>
          <w:rFonts w:ascii="Arial" w:cs="Arial" w:eastAsia="Arial" w:hAnsi="Arial"/>
          <w:sz w:val="21"/>
          <w:szCs w:val="21"/>
          <w:color w:val="auto"/>
        </w:rPr>
      </w:pPr>
    </w:p>
    <w:p>
      <w:pPr>
        <w:ind w:left="2260" w:hanging="307"/>
        <w:spacing w:after="0"/>
        <w:tabs>
          <w:tab w:leader="none" w:pos="2260" w:val="left"/>
        </w:tabs>
        <w:numPr>
          <w:ilvl w:val="1"/>
          <w:numId w:val="71"/>
        </w:numPr>
        <w:rPr>
          <w:rFonts w:ascii="Arial" w:cs="Arial" w:eastAsia="Arial" w:hAnsi="Arial"/>
          <w:sz w:val="22"/>
          <w:szCs w:val="22"/>
          <w:color w:val="auto"/>
        </w:rPr>
      </w:pPr>
      <w:r>
        <w:rPr>
          <w:rFonts w:ascii="Arial" w:cs="Arial" w:eastAsia="Arial" w:hAnsi="Arial"/>
          <w:sz w:val="22"/>
          <w:szCs w:val="22"/>
          <w:color w:val="auto"/>
        </w:rPr>
        <w:t>the corresponding Beginning Stock Price.</w:t>
      </w:r>
    </w:p>
    <w:p>
      <w:pPr>
        <w:spacing w:after="0" w:line="232" w:lineRule="exact"/>
        <w:rPr>
          <w:sz w:val="20"/>
          <w:szCs w:val="20"/>
          <w:color w:val="auto"/>
        </w:rPr>
      </w:pPr>
    </w:p>
    <w:p>
      <w:pPr>
        <w:ind w:left="1960" w:right="360"/>
        <w:spacing w:after="0" w:line="256" w:lineRule="auto"/>
        <w:rPr>
          <w:sz w:val="20"/>
          <w:szCs w:val="20"/>
          <w:color w:val="auto"/>
        </w:rPr>
      </w:pPr>
      <w:r>
        <w:rPr>
          <w:rFonts w:ascii="Arial" w:cs="Arial" w:eastAsia="Arial" w:hAnsi="Arial"/>
          <w:sz w:val="22"/>
          <w:szCs w:val="22"/>
          <w:color w:val="auto"/>
        </w:rPr>
        <w:t>The stock prices and cash dividend payments reflected in the calculation of Total Shareholder Return shall be adjusted to reflect stock splits during the Award Period, and dividends shall be assumed to be reinvested in the relevant issuer’s shares for purposes of the calculation of Total Shareholder Return.</w:t>
      </w:r>
    </w:p>
    <w:p>
      <w:pPr>
        <w:spacing w:after="0" w:line="204" w:lineRule="exact"/>
        <w:rPr>
          <w:sz w:val="20"/>
          <w:szCs w:val="20"/>
          <w:color w:val="auto"/>
        </w:rPr>
      </w:pPr>
    </w:p>
    <w:p>
      <w:pPr>
        <w:ind w:left="2260" w:right="20" w:hanging="890"/>
        <w:spacing w:after="0" w:line="256" w:lineRule="auto"/>
        <w:rPr>
          <w:sz w:val="20"/>
          <w:szCs w:val="20"/>
          <w:color w:val="auto"/>
        </w:rPr>
      </w:pPr>
      <w:r>
        <w:rPr>
          <w:rFonts w:ascii="Arial" w:cs="Arial" w:eastAsia="Arial" w:hAnsi="Arial"/>
          <w:sz w:val="22"/>
          <w:szCs w:val="22"/>
          <w:color w:val="auto"/>
        </w:rPr>
        <w:t>(ii)“</w:t>
      </w:r>
      <w:r>
        <w:rPr>
          <w:rFonts w:ascii="Arial" w:cs="Arial" w:eastAsia="Arial" w:hAnsi="Arial"/>
          <w:sz w:val="22"/>
          <w:szCs w:val="22"/>
          <w:u w:val="single" w:color="auto"/>
          <w:color w:val="auto"/>
        </w:rPr>
        <w:t>Beginning Stock Price</w:t>
      </w:r>
      <w:r>
        <w:rPr>
          <w:rFonts w:ascii="Arial" w:cs="Arial" w:eastAsia="Arial" w:hAnsi="Arial"/>
          <w:sz w:val="22"/>
          <w:szCs w:val="22"/>
          <w:color w:val="auto"/>
        </w:rPr>
        <w:t>” shall mean the average closing price of a share of Lilly Stock on the New York Stock Exchange or a share of each Peer Group company’s stock, as applicable, for each trading day in the two-month period immediately preceding the Award Period, rounded to the nearest cent.</w:t>
      </w:r>
    </w:p>
    <w:p>
      <w:pPr>
        <w:spacing w:after="0" w:line="204" w:lineRule="exact"/>
        <w:rPr>
          <w:sz w:val="20"/>
          <w:szCs w:val="20"/>
          <w:color w:val="auto"/>
        </w:rPr>
      </w:pPr>
    </w:p>
    <w:p>
      <w:pPr>
        <w:jc w:val="both"/>
        <w:ind w:left="2320" w:right="220" w:hanging="944"/>
        <w:spacing w:after="0" w:line="256" w:lineRule="auto"/>
        <w:rPr>
          <w:sz w:val="20"/>
          <w:szCs w:val="20"/>
          <w:color w:val="auto"/>
        </w:rPr>
      </w:pPr>
      <w:r>
        <w:rPr>
          <w:rFonts w:ascii="Arial" w:cs="Arial" w:eastAsia="Arial" w:hAnsi="Arial"/>
          <w:sz w:val="22"/>
          <w:szCs w:val="22"/>
          <w:color w:val="auto"/>
        </w:rPr>
        <w:t>(iii)“</w:t>
      </w:r>
      <w:r>
        <w:rPr>
          <w:rFonts w:ascii="Arial" w:cs="Arial" w:eastAsia="Arial" w:hAnsi="Arial"/>
          <w:sz w:val="22"/>
          <w:szCs w:val="22"/>
          <w:u w:val="single" w:color="auto"/>
          <w:color w:val="auto"/>
        </w:rPr>
        <w:t>Final Stock Price</w:t>
      </w:r>
      <w:r>
        <w:rPr>
          <w:rFonts w:ascii="Arial" w:cs="Arial" w:eastAsia="Arial" w:hAnsi="Arial"/>
          <w:sz w:val="22"/>
          <w:szCs w:val="22"/>
          <w:color w:val="auto"/>
        </w:rPr>
        <w:t>” of Lilly Stock shall be determined in accordance with Section 3(a). “Final Stock Price” of each Peer Group company’s stock shall mean the average of the closing price of a share of each Peer Group company’s stock for each trading day in the last two months of the Award Period, rounded to the nearest cent.</w:t>
      </w:r>
    </w:p>
    <w:p>
      <w:pPr>
        <w:spacing w:after="0" w:line="204" w:lineRule="exact"/>
        <w:rPr>
          <w:sz w:val="20"/>
          <w:szCs w:val="20"/>
          <w:color w:val="auto"/>
        </w:rPr>
      </w:pPr>
    </w:p>
    <w:p>
      <w:pPr>
        <w:jc w:val="center"/>
        <w:ind w:left="760" w:right="860"/>
        <w:spacing w:after="0" w:line="281" w:lineRule="auto"/>
        <w:rPr>
          <w:sz w:val="20"/>
          <w:szCs w:val="20"/>
          <w:color w:val="auto"/>
        </w:rPr>
      </w:pPr>
      <w:r>
        <w:rPr>
          <w:rFonts w:ascii="Arial" w:cs="Arial" w:eastAsia="Arial" w:hAnsi="Arial"/>
          <w:sz w:val="22"/>
          <w:szCs w:val="22"/>
          <w:color w:val="auto"/>
        </w:rPr>
        <w:t>(iv)“</w:t>
      </w:r>
      <w:r>
        <w:rPr>
          <w:rFonts w:ascii="Arial" w:cs="Arial" w:eastAsia="Arial" w:hAnsi="Arial"/>
          <w:sz w:val="22"/>
          <w:szCs w:val="22"/>
          <w:u w:val="single" w:color="auto"/>
          <w:color w:val="auto"/>
        </w:rPr>
        <w:t>Dividend</w:t>
      </w:r>
      <w:r>
        <w:rPr>
          <w:rFonts w:ascii="Arial" w:cs="Arial" w:eastAsia="Arial" w:hAnsi="Arial"/>
          <w:sz w:val="22"/>
          <w:szCs w:val="22"/>
          <w:color w:val="auto"/>
        </w:rPr>
        <w:t>” shall mean Ordinary or Extraordinary cash dividends paid by Lilly or a Peer Group company to its shareholders of record at any time during the Award Period.</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Page 3</w:t>
      </w:r>
    </w:p>
    <w:p>
      <w:pPr>
        <w:sectPr>
          <w:pgSz w:w="11900" w:h="16838" w:orient="portrait"/>
          <w:cols w:equalWidth="0" w:num="1">
            <w:col w:w="11400"/>
          </w:cols>
          <w:pgMar w:left="240" w:top="382" w:right="25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22"/>
          <w:szCs w:val="22"/>
          <w:color w:val="auto"/>
        </w:rPr>
        <w:t>Eli Lilly and Company Shareholder Value Award</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2280" w:right="120" w:hanging="904"/>
        <w:spacing w:after="0" w:line="253" w:lineRule="auto"/>
        <w:rPr>
          <w:sz w:val="20"/>
          <w:szCs w:val="20"/>
          <w:color w:val="auto"/>
        </w:rPr>
      </w:pPr>
      <w:r>
        <w:rPr>
          <w:rFonts w:ascii="Arial" w:cs="Arial" w:eastAsia="Arial" w:hAnsi="Arial"/>
          <w:sz w:val="22"/>
          <w:szCs w:val="22"/>
          <w:color w:val="auto"/>
        </w:rPr>
        <w:t>(v)“</w:t>
      </w:r>
      <w:r>
        <w:rPr>
          <w:rFonts w:ascii="Arial" w:cs="Arial" w:eastAsia="Arial" w:hAnsi="Arial"/>
          <w:sz w:val="22"/>
          <w:szCs w:val="22"/>
          <w:u w:val="single" w:color="auto"/>
          <w:color w:val="auto"/>
        </w:rPr>
        <w:t>Peer Group</w:t>
      </w:r>
      <w:r>
        <w:rPr>
          <w:rFonts w:ascii="Arial" w:cs="Arial" w:eastAsia="Arial" w:hAnsi="Arial"/>
          <w:sz w:val="22"/>
          <w:szCs w:val="22"/>
          <w:color w:val="auto"/>
        </w:rPr>
        <w:t>” shall mean all companies identified and most recently approved by the Committee as a member of the Company’s Peer Group in effect as of the date of grant. Companies that are members of the Peer Group at the beginning of the Award Period that subsequently cease to be traded on a market where an independent share price can be determined shall be excluded from the Peer Group.</w:t>
      </w:r>
    </w:p>
    <w:p>
      <w:pPr>
        <w:spacing w:after="0" w:line="206" w:lineRule="exact"/>
        <w:rPr>
          <w:sz w:val="20"/>
          <w:szCs w:val="20"/>
          <w:color w:val="auto"/>
        </w:rPr>
      </w:pPr>
    </w:p>
    <w:p>
      <w:pPr>
        <w:ind w:left="1960" w:right="20" w:hanging="588"/>
        <w:spacing w:after="0" w:line="267" w:lineRule="auto"/>
        <w:tabs>
          <w:tab w:leader="none" w:pos="1960" w:val="left"/>
        </w:tabs>
        <w:numPr>
          <w:ilvl w:val="0"/>
          <w:numId w:val="72"/>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TSR Modifier</w:t>
      </w:r>
      <w:r>
        <w:rPr>
          <w:rFonts w:ascii="Arial" w:cs="Arial" w:eastAsia="Arial" w:hAnsi="Arial"/>
          <w:sz w:val="21"/>
          <w:szCs w:val="21"/>
          <w:color w:val="auto"/>
        </w:rPr>
        <w:t>” shall mean a whole percentage, as set forth in the TSR Modifier graphic on the first page of this Shareholder Value Award, representing the absolute percentage point difference in the performance of the Company’s TSR compared to the Peer Group’s median TSR, subject to a maximum TSR Modifier of plus or minus 20% (</w:t>
      </w:r>
      <w:r>
        <w:rPr>
          <w:rFonts w:ascii="Arial" w:cs="Arial" w:eastAsia="Arial" w:hAnsi="Arial"/>
          <w:sz w:val="21"/>
          <w:szCs w:val="21"/>
          <w:i w:val="1"/>
          <w:iCs w:val="1"/>
          <w:color w:val="auto"/>
        </w:rPr>
        <w:t>i.e.</w:t>
      </w:r>
      <w:r>
        <w:rPr>
          <w:rFonts w:ascii="Arial" w:cs="Arial" w:eastAsia="Arial" w:hAnsi="Arial"/>
          <w:sz w:val="21"/>
          <w:szCs w:val="21"/>
          <w:color w:val="auto"/>
        </w:rPr>
        <w:t>, each whole percentage point represents the percentage that the Company’s TSR is above/below the Peer Group’s median TSR).</w:t>
      </w:r>
    </w:p>
    <w:p>
      <w:pPr>
        <w:spacing w:after="0" w:line="14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3"/>
          <w:szCs w:val="23"/>
          <w:color w:val="auto"/>
        </w:rPr>
        <w:t xml:space="preserve">Section </w:t>
      </w:r>
      <w:r>
        <w:rPr>
          <w:rFonts w:ascii="Times New Roman" w:cs="Times New Roman" w:eastAsia="Times New Roman" w:hAnsi="Times New Roman"/>
          <w:sz w:val="23"/>
          <w:szCs w:val="23"/>
          <w:b w:val="1"/>
          <w:bCs w:val="1"/>
          <w:color w:val="auto"/>
        </w:rPr>
        <w:t>4. Determination and Announcement of Award</w:t>
      </w:r>
    </w:p>
    <w:p>
      <w:pPr>
        <w:spacing w:after="0" w:line="75" w:lineRule="exact"/>
        <w:rPr>
          <w:sz w:val="20"/>
          <w:szCs w:val="20"/>
          <w:color w:val="auto"/>
        </w:rPr>
      </w:pPr>
    </w:p>
    <w:p>
      <w:pPr>
        <w:jc w:val="both"/>
        <w:ind w:left="420"/>
        <w:spacing w:after="0" w:line="256" w:lineRule="auto"/>
        <w:rPr>
          <w:sz w:val="20"/>
          <w:szCs w:val="20"/>
          <w:color w:val="auto"/>
        </w:rPr>
      </w:pPr>
      <w:r>
        <w:rPr>
          <w:rFonts w:ascii="Arial" w:cs="Arial" w:eastAsia="Arial" w:hAnsi="Arial"/>
          <w:sz w:val="22"/>
          <w:szCs w:val="22"/>
          <w:color w:val="auto"/>
        </w:rPr>
        <w:t>After the Final Stock Price of Lilly Stock and TSR Modifier for the Award Period have been determined by the Committee, the number of Performance Shares that have vested (determined in accordance with Sections 2 and 8), together with the Committee’s election between cash and Performance Shares under Section 5, shall be communicated to the Grantee.</w:t>
      </w:r>
    </w:p>
    <w:p>
      <w:pPr>
        <w:spacing w:after="0" w:line="1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3"/>
          <w:szCs w:val="23"/>
          <w:b w:val="1"/>
          <w:bCs w:val="1"/>
          <w:color w:val="auto"/>
        </w:rPr>
        <w:t>Section 5. Committee Election to Pay Cash</w:t>
      </w:r>
    </w:p>
    <w:p>
      <w:pPr>
        <w:spacing w:after="0" w:line="75" w:lineRule="exact"/>
        <w:rPr>
          <w:sz w:val="20"/>
          <w:szCs w:val="20"/>
          <w:color w:val="auto"/>
        </w:rPr>
      </w:pPr>
    </w:p>
    <w:p>
      <w:pPr>
        <w:jc w:val="both"/>
        <w:ind w:left="420"/>
        <w:spacing w:after="0" w:line="256" w:lineRule="auto"/>
        <w:rPr>
          <w:sz w:val="20"/>
          <w:szCs w:val="20"/>
          <w:color w:val="auto"/>
        </w:rPr>
      </w:pPr>
      <w:r>
        <w:rPr>
          <w:rFonts w:ascii="Arial" w:cs="Arial" w:eastAsia="Arial" w:hAnsi="Arial"/>
          <w:sz w:val="22"/>
          <w:szCs w:val="22"/>
          <w:color w:val="auto"/>
        </w:rPr>
        <w:t>At any time during the Award Period or until paid in accordance with Section 6, the Committee may, if it so elects, determine to pay part or all of any Shareholder Value Award in cash in lieu of issuing or transferring Performance Shares. The amount of cash shall be based upon the fair market value of Lilly Stock on a valuation date to be determined by the Committee.</w:t>
      </w:r>
    </w:p>
    <w:p>
      <w:pPr>
        <w:spacing w:after="0" w:line="1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3"/>
          <w:szCs w:val="23"/>
          <w:b w:val="1"/>
          <w:bCs w:val="1"/>
          <w:color w:val="auto"/>
        </w:rPr>
        <w:t>Section 6. Issuance or Transfer of Performance Shares and Payment of Cash Award</w:t>
      </w:r>
    </w:p>
    <w:p>
      <w:pPr>
        <w:spacing w:after="0" w:line="75" w:lineRule="exact"/>
        <w:rPr>
          <w:sz w:val="20"/>
          <w:szCs w:val="20"/>
          <w:color w:val="auto"/>
        </w:rPr>
      </w:pPr>
    </w:p>
    <w:p>
      <w:pPr>
        <w:jc w:val="both"/>
        <w:ind w:left="420"/>
        <w:spacing w:after="0" w:line="253" w:lineRule="auto"/>
        <w:rPr>
          <w:sz w:val="20"/>
          <w:szCs w:val="20"/>
          <w:color w:val="auto"/>
        </w:rPr>
      </w:pPr>
      <w:r>
        <w:rPr>
          <w:rFonts w:ascii="Arial" w:cs="Arial" w:eastAsia="Arial" w:hAnsi="Arial"/>
          <w:sz w:val="22"/>
          <w:szCs w:val="22"/>
          <w:color w:val="auto"/>
        </w:rPr>
        <w:t>Subject to the provisions of Section 7 and Section 12 below, Lilly shall issue or transfer to the Grantee any Performance Shares to be issued or transferred under Section 4 (and/or pay to the Grantee any cash pursuant to Section 5) within a sixty day period starting the day after the Award Period expiration and ending on the sixtieth day after the Award Period expiration as stated in Section 1. Grantee shall have no rights as a shareholder of Lilly with respect to the shares of Lilly Stock until the shares are issued or transferred on the books of Lilly.</w:t>
      </w:r>
    </w:p>
    <w:p>
      <w:pPr>
        <w:spacing w:after="0" w:line="15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3"/>
          <w:szCs w:val="23"/>
          <w:b w:val="1"/>
          <w:bCs w:val="1"/>
          <w:color w:val="auto"/>
        </w:rPr>
        <w:t>Section 7. Continued Employment Requirement</w:t>
      </w:r>
    </w:p>
    <w:p>
      <w:pPr>
        <w:spacing w:after="0" w:line="75" w:lineRule="exact"/>
        <w:rPr>
          <w:sz w:val="20"/>
          <w:szCs w:val="20"/>
          <w:color w:val="auto"/>
        </w:rPr>
      </w:pPr>
    </w:p>
    <w:p>
      <w:pPr>
        <w:jc w:val="both"/>
        <w:ind w:left="420"/>
        <w:spacing w:after="0" w:line="251" w:lineRule="auto"/>
        <w:rPr>
          <w:sz w:val="20"/>
          <w:szCs w:val="20"/>
          <w:color w:val="auto"/>
        </w:rPr>
      </w:pPr>
      <w:r>
        <w:rPr>
          <w:rFonts w:ascii="Arial" w:cs="Arial" w:eastAsia="Arial" w:hAnsi="Arial"/>
          <w:sz w:val="22"/>
          <w:szCs w:val="22"/>
          <w:color w:val="auto"/>
        </w:rPr>
        <w:t>If the status of the Grantee as an Eligible Employee, as defined in the 2002 Plan, terminates before the end of the Award Period except as outlined in Section 8(c), then all rights of the Grantee under this Shareholder Value Award shall terminate with respect to the Award Period. The Company shall incur no liability to Grantee under this Shareholder Value Award by terminating Grantee's status as an Eligible Employee whether by action with respect to Grantee individually, either with or without cause, or by dissolution or liquidation of Lilly or merger or consolidation of Lilly with a corporation in which Lilly is not the surviving corporation, or otherwise.</w:t>
      </w:r>
    </w:p>
    <w:p>
      <w:pPr>
        <w:spacing w:after="0" w:line="15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3"/>
          <w:szCs w:val="23"/>
          <w:b w:val="1"/>
          <w:bCs w:val="1"/>
          <w:color w:val="auto"/>
        </w:rPr>
        <w:t>Section 8. Adjustments for Certain Employment Status Changes</w:t>
      </w:r>
    </w:p>
    <w:p>
      <w:pPr>
        <w:spacing w:after="0" w:line="75" w:lineRule="exact"/>
        <w:rPr>
          <w:sz w:val="20"/>
          <w:szCs w:val="20"/>
          <w:color w:val="auto"/>
        </w:rPr>
      </w:pPr>
    </w:p>
    <w:p>
      <w:pPr>
        <w:jc w:val="both"/>
        <w:ind w:left="420"/>
        <w:spacing w:after="0" w:line="281" w:lineRule="auto"/>
        <w:rPr>
          <w:sz w:val="20"/>
          <w:szCs w:val="20"/>
          <w:color w:val="auto"/>
        </w:rPr>
      </w:pPr>
      <w:r>
        <w:rPr>
          <w:rFonts w:ascii="Arial" w:cs="Arial" w:eastAsia="Arial" w:hAnsi="Arial"/>
          <w:sz w:val="22"/>
          <w:szCs w:val="22"/>
          <w:color w:val="auto"/>
        </w:rPr>
        <w:t>The number of Performance Shares described in Section 2 is based on the assumption that the Grantee is an employee in good standing throughout the entire Award Period. Unless the Committee determines, in</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Page 4</w:t>
      </w:r>
    </w:p>
    <w:p>
      <w:pPr>
        <w:sectPr>
          <w:pgSz w:w="11900" w:h="16838" w:orient="portrait"/>
          <w:cols w:equalWidth="0" w:num="1">
            <w:col w:w="11420"/>
          </w:cols>
          <w:pgMar w:left="240" w:top="382" w:right="2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22"/>
          <w:szCs w:val="22"/>
          <w:color w:val="auto"/>
        </w:rPr>
        <w:t>Eli Lilly and Company Shareholder Value Award</w:t>
      </w:r>
    </w:p>
    <w:p>
      <w:pPr>
        <w:spacing w:after="0" w:line="200" w:lineRule="exact"/>
        <w:rPr>
          <w:sz w:val="20"/>
          <w:szCs w:val="20"/>
          <w:color w:val="auto"/>
        </w:rPr>
      </w:pPr>
    </w:p>
    <w:p>
      <w:pPr>
        <w:spacing w:after="0" w:line="296" w:lineRule="exact"/>
        <w:rPr>
          <w:sz w:val="20"/>
          <w:szCs w:val="20"/>
          <w:color w:val="auto"/>
        </w:rPr>
      </w:pPr>
    </w:p>
    <w:p>
      <w:pPr>
        <w:jc w:val="both"/>
        <w:ind w:left="420"/>
        <w:spacing w:after="0" w:line="262" w:lineRule="auto"/>
        <w:rPr>
          <w:sz w:val="20"/>
          <w:szCs w:val="20"/>
          <w:color w:val="auto"/>
        </w:rPr>
      </w:pPr>
      <w:r>
        <w:rPr>
          <w:rFonts w:ascii="Arial" w:cs="Arial" w:eastAsia="Arial" w:hAnsi="Arial"/>
          <w:sz w:val="22"/>
          <w:szCs w:val="22"/>
          <w:color w:val="auto"/>
        </w:rPr>
        <w:t>its sole discretion, that such adjustments are not advisable after consideration of employment laws in the country where the Grantee resides, the number of Performance Shares shall be adjusted for changes in employment status during the Award Period as follows:</w:t>
      </w:r>
    </w:p>
    <w:p>
      <w:pPr>
        <w:spacing w:after="0" w:line="157" w:lineRule="exact"/>
        <w:rPr>
          <w:sz w:val="20"/>
          <w:szCs w:val="20"/>
          <w:color w:val="auto"/>
        </w:rPr>
      </w:pPr>
    </w:p>
    <w:p>
      <w:pPr>
        <w:jc w:val="both"/>
        <w:ind w:left="740" w:hanging="247"/>
        <w:spacing w:after="0" w:line="262" w:lineRule="auto"/>
        <w:rPr>
          <w:sz w:val="20"/>
          <w:szCs w:val="20"/>
          <w:color w:val="auto"/>
        </w:rPr>
      </w:pPr>
      <w:r>
        <w:rPr>
          <w:rFonts w:ascii="Arial" w:cs="Arial" w:eastAsia="Arial" w:hAnsi="Arial"/>
          <w:sz w:val="22"/>
          <w:szCs w:val="22"/>
          <w:color w:val="auto"/>
        </w:rPr>
        <w:t xml:space="preserve">a. </w:t>
      </w:r>
      <w:r>
        <w:rPr>
          <w:rFonts w:ascii="Arial" w:cs="Arial" w:eastAsia="Arial" w:hAnsi="Arial"/>
          <w:sz w:val="22"/>
          <w:szCs w:val="22"/>
          <w:u w:val="single" w:color="auto"/>
          <w:color w:val="auto"/>
        </w:rPr>
        <w:t>Leaves of Absence</w:t>
      </w:r>
      <w:r>
        <w:rPr>
          <w:rFonts w:ascii="Arial" w:cs="Arial" w:eastAsia="Arial" w:hAnsi="Arial"/>
          <w:sz w:val="22"/>
          <w:szCs w:val="22"/>
          <w:i w:val="1"/>
          <w:iCs w:val="1"/>
          <w:color w:val="auto"/>
        </w:rPr>
        <w:t>.</w:t>
      </w:r>
      <w:r>
        <w:rPr>
          <w:rFonts w:ascii="Arial" w:cs="Arial" w:eastAsia="Arial" w:hAnsi="Arial"/>
          <w:sz w:val="22"/>
          <w:szCs w:val="22"/>
          <w:color w:val="auto"/>
        </w:rPr>
        <w:t xml:space="preserve"> The number of Performance Shares shall be reduced proportionally for any portion of the total days in the Award Period during which the Grantee is on an approved unpaid leave of absence longer than ninety (90) days.</w:t>
      </w:r>
    </w:p>
    <w:p>
      <w:pPr>
        <w:spacing w:after="0" w:line="157" w:lineRule="exact"/>
        <w:rPr>
          <w:sz w:val="20"/>
          <w:szCs w:val="20"/>
          <w:color w:val="auto"/>
        </w:rPr>
      </w:pPr>
    </w:p>
    <w:p>
      <w:pPr>
        <w:jc w:val="both"/>
        <w:ind w:left="740" w:hanging="247"/>
        <w:spacing w:after="0" w:line="248" w:lineRule="auto"/>
        <w:rPr>
          <w:sz w:val="20"/>
          <w:szCs w:val="20"/>
          <w:color w:val="auto"/>
        </w:rPr>
      </w:pPr>
      <w:r>
        <w:rPr>
          <w:rFonts w:ascii="Arial" w:cs="Arial" w:eastAsia="Arial" w:hAnsi="Arial"/>
          <w:sz w:val="22"/>
          <w:szCs w:val="22"/>
          <w:color w:val="auto"/>
        </w:rPr>
        <w:t xml:space="preserve">b. </w:t>
      </w:r>
      <w:r>
        <w:rPr>
          <w:rFonts w:ascii="Arial" w:cs="Arial" w:eastAsia="Arial" w:hAnsi="Arial"/>
          <w:sz w:val="22"/>
          <w:szCs w:val="22"/>
          <w:u w:val="single" w:color="auto"/>
          <w:color w:val="auto"/>
        </w:rPr>
        <w:t>Demotions, Disciplinary Actions and Misconduct</w:t>
      </w:r>
      <w:r>
        <w:rPr>
          <w:rFonts w:ascii="Arial" w:cs="Arial" w:eastAsia="Arial" w:hAnsi="Arial"/>
          <w:sz w:val="22"/>
          <w:szCs w:val="22"/>
          <w:i w:val="1"/>
          <w:iCs w:val="1"/>
          <w:color w:val="auto"/>
        </w:rPr>
        <w:t>.</w:t>
      </w:r>
      <w:r>
        <w:rPr>
          <w:rFonts w:ascii="Arial" w:cs="Arial" w:eastAsia="Arial" w:hAnsi="Arial"/>
          <w:sz w:val="22"/>
          <w:szCs w:val="22"/>
          <w:color w:val="auto"/>
        </w:rPr>
        <w:t xml:space="preserve"> The Committee may, at its discretion, cancel this Shareholder Value Award or reduce the number of Performance Shares, prorated according to time or other measure as determined appropriate by the Committee, if during any portion of the Award Period the Grantee has been (i) demoted to a job classification below those considered by the Committee to be eligible for Shareholder Value Awards, (ii) subject to disciplinary action by the Company, or (iii) determined to have committed a material violation of law or Company policy or to have failed to properly manage or monitor the conduct of an employee who has committed a material violation of law or Company policy whereby, in either case, such conduct causes significant harm to the Company.</w:t>
      </w:r>
    </w:p>
    <w:p>
      <w:pPr>
        <w:spacing w:after="0" w:line="167" w:lineRule="exact"/>
        <w:rPr>
          <w:sz w:val="20"/>
          <w:szCs w:val="20"/>
          <w:color w:val="auto"/>
        </w:rPr>
      </w:pPr>
    </w:p>
    <w:p>
      <w:pPr>
        <w:jc w:val="both"/>
        <w:ind w:left="740" w:hanging="247"/>
        <w:spacing w:after="0" w:line="271" w:lineRule="auto"/>
        <w:rPr>
          <w:sz w:val="20"/>
          <w:szCs w:val="20"/>
          <w:color w:val="auto"/>
        </w:rPr>
      </w:pPr>
      <w:r>
        <w:rPr>
          <w:rFonts w:ascii="Times New Roman" w:cs="Times New Roman" w:eastAsia="Times New Roman" w:hAnsi="Times New Roman"/>
          <w:sz w:val="23"/>
          <w:szCs w:val="23"/>
          <w:color w:val="auto"/>
        </w:rPr>
        <w:t xml:space="preserve">c. </w:t>
      </w:r>
      <w:r>
        <w:rPr>
          <w:rFonts w:ascii="Arial" w:cs="Arial" w:eastAsia="Arial" w:hAnsi="Arial"/>
          <w:sz w:val="21"/>
          <w:szCs w:val="21"/>
          <w:u w:val="single" w:color="auto"/>
          <w:color w:val="auto"/>
        </w:rPr>
        <w:t>Qualifying Termination</w:t>
      </w:r>
      <w:r>
        <w:rPr>
          <w:rFonts w:ascii="Arial" w:cs="Arial" w:eastAsia="Arial" w:hAnsi="Arial"/>
          <w:sz w:val="21"/>
          <w:szCs w:val="21"/>
          <w:i w:val="1"/>
          <w:iCs w:val="1"/>
          <w:color w:val="auto"/>
        </w:rPr>
        <w:t>.</w:t>
      </w:r>
      <w:r>
        <w:rPr>
          <w:rFonts w:ascii="Times New Roman" w:cs="Times New Roman" w:eastAsia="Times New Roman" w:hAnsi="Times New Roman"/>
          <w:sz w:val="23"/>
          <w:szCs w:val="23"/>
          <w:color w:val="auto"/>
        </w:rPr>
        <w:t xml:space="preserve"> </w:t>
      </w:r>
      <w:r>
        <w:rPr>
          <w:rFonts w:ascii="Arial" w:cs="Arial" w:eastAsia="Arial" w:hAnsi="Arial"/>
          <w:sz w:val="21"/>
          <w:szCs w:val="21"/>
          <w:color w:val="auto"/>
        </w:rPr>
        <w:t>In the event the Grantee’s employment is subject to a Qualifying Termination (as defined</w:t>
      </w:r>
      <w:r>
        <w:rPr>
          <w:rFonts w:ascii="Times New Roman" w:cs="Times New Roman" w:eastAsia="Times New Roman" w:hAnsi="Times New Roman"/>
          <w:sz w:val="23"/>
          <w:szCs w:val="23"/>
          <w:color w:val="auto"/>
        </w:rPr>
        <w:t xml:space="preserve"> </w:t>
      </w:r>
      <w:r>
        <w:rPr>
          <w:rFonts w:ascii="Arial" w:cs="Arial" w:eastAsia="Arial" w:hAnsi="Arial"/>
          <w:sz w:val="21"/>
          <w:szCs w:val="21"/>
          <w:color w:val="auto"/>
        </w:rPr>
        <w:t>below), the number of Performance Shares shall be reduced proportionally for the portion of the total days during the Award Period in which the Grantee was not an active employee. Any payment of Performance Shares that have been reduced by operation of this Section 8(c) shall be paid following the Award Period expiration as described in Section 6.</w:t>
      </w:r>
    </w:p>
    <w:p>
      <w:pPr>
        <w:spacing w:after="0" w:line="162" w:lineRule="exact"/>
        <w:rPr>
          <w:sz w:val="20"/>
          <w:szCs w:val="20"/>
          <w:color w:val="auto"/>
        </w:rPr>
      </w:pPr>
    </w:p>
    <w:p>
      <w:pPr>
        <w:ind w:left="720"/>
        <w:spacing w:after="0"/>
        <w:rPr>
          <w:sz w:val="20"/>
          <w:szCs w:val="20"/>
          <w:color w:val="auto"/>
        </w:rPr>
      </w:pPr>
      <w:r>
        <w:rPr>
          <w:rFonts w:ascii="Arial" w:cs="Arial" w:eastAsia="Arial" w:hAnsi="Arial"/>
          <w:sz w:val="22"/>
          <w:szCs w:val="22"/>
          <w:color w:val="auto"/>
        </w:rPr>
        <w:t>A Qualifying Termination means any one of the following:</w:t>
      </w:r>
    </w:p>
    <w:p>
      <w:pPr>
        <w:spacing w:after="0" w:line="32" w:lineRule="exact"/>
        <w:rPr>
          <w:sz w:val="20"/>
          <w:szCs w:val="20"/>
          <w:color w:val="auto"/>
        </w:rPr>
      </w:pPr>
    </w:p>
    <w:p>
      <w:pPr>
        <w:jc w:val="both"/>
        <w:ind w:left="1700" w:hanging="395"/>
        <w:spacing w:after="0" w:line="243" w:lineRule="auto"/>
        <w:tabs>
          <w:tab w:leader="none" w:pos="1700" w:val="left"/>
        </w:tabs>
        <w:numPr>
          <w:ilvl w:val="0"/>
          <w:numId w:val="73"/>
        </w:numPr>
        <w:rPr>
          <w:rFonts w:ascii="Arial" w:cs="Arial" w:eastAsia="Arial" w:hAnsi="Arial"/>
          <w:sz w:val="22"/>
          <w:szCs w:val="22"/>
          <w:color w:val="auto"/>
        </w:rPr>
      </w:pPr>
      <w:r>
        <w:rPr>
          <w:rFonts w:ascii="Arial" w:cs="Arial" w:eastAsia="Arial" w:hAnsi="Arial"/>
          <w:sz w:val="22"/>
          <w:szCs w:val="22"/>
          <w:color w:val="auto"/>
        </w:rPr>
        <w:t>retirement as a “retiree,” which is a person who is (A) a retired employee under the Lilly Retirement Plan; (B) a retired employee under the retirement plan or program of a Lilly subsidiary; or (C) a retired employee under a retirement program specifically approved by the Committee.</w:t>
      </w:r>
    </w:p>
    <w:p>
      <w:pPr>
        <w:spacing w:after="0" w:line="1" w:lineRule="exact"/>
        <w:rPr>
          <w:sz w:val="20"/>
          <w:szCs w:val="20"/>
          <w:color w:val="auto"/>
        </w:rPr>
      </w:pPr>
    </w:p>
    <w:p>
      <w:pPr>
        <w:ind w:left="1600" w:hanging="309"/>
        <w:spacing w:after="0"/>
        <w:tabs>
          <w:tab w:leader="none" w:pos="1600" w:val="left"/>
        </w:tabs>
        <w:numPr>
          <w:ilvl w:val="0"/>
          <w:numId w:val="74"/>
        </w:numPr>
        <w:rPr>
          <w:rFonts w:ascii="Arial" w:cs="Arial" w:eastAsia="Arial" w:hAnsi="Arial"/>
          <w:sz w:val="22"/>
          <w:szCs w:val="22"/>
          <w:color w:val="auto"/>
        </w:rPr>
      </w:pPr>
      <w:r>
        <w:rPr>
          <w:rFonts w:ascii="Arial" w:cs="Arial" w:eastAsia="Arial" w:hAnsi="Arial"/>
          <w:sz w:val="22"/>
          <w:szCs w:val="22"/>
          <w:color w:val="auto"/>
        </w:rPr>
        <w:t>death of the Grantee while in the active service of the Company;</w:t>
      </w:r>
    </w:p>
    <w:p>
      <w:pPr>
        <w:spacing w:after="0" w:line="3" w:lineRule="exact"/>
        <w:rPr>
          <w:rFonts w:ascii="Arial" w:cs="Arial" w:eastAsia="Arial" w:hAnsi="Arial"/>
          <w:sz w:val="22"/>
          <w:szCs w:val="22"/>
          <w:color w:val="auto"/>
        </w:rPr>
      </w:pPr>
    </w:p>
    <w:p>
      <w:pPr>
        <w:ind w:left="1640" w:hanging="349"/>
        <w:spacing w:after="0"/>
        <w:tabs>
          <w:tab w:leader="none" w:pos="1640" w:val="left"/>
        </w:tabs>
        <w:numPr>
          <w:ilvl w:val="0"/>
          <w:numId w:val="74"/>
        </w:numPr>
        <w:rPr>
          <w:rFonts w:ascii="Arial" w:cs="Arial" w:eastAsia="Arial" w:hAnsi="Arial"/>
          <w:sz w:val="22"/>
          <w:szCs w:val="22"/>
          <w:color w:val="auto"/>
        </w:rPr>
      </w:pPr>
      <w:r>
        <w:rPr>
          <w:rFonts w:ascii="Arial" w:cs="Arial" w:eastAsia="Arial" w:hAnsi="Arial"/>
          <w:sz w:val="22"/>
          <w:szCs w:val="22"/>
          <w:color w:val="auto"/>
        </w:rPr>
        <w:t>termination due to disability;</w:t>
      </w:r>
    </w:p>
    <w:p>
      <w:pPr>
        <w:spacing w:after="0" w:line="3" w:lineRule="exact"/>
        <w:rPr>
          <w:rFonts w:ascii="Arial" w:cs="Arial" w:eastAsia="Arial" w:hAnsi="Arial"/>
          <w:sz w:val="22"/>
          <w:szCs w:val="22"/>
          <w:color w:val="auto"/>
        </w:rPr>
      </w:pPr>
    </w:p>
    <w:p>
      <w:pPr>
        <w:ind w:left="1700" w:hanging="395"/>
        <w:spacing w:after="0"/>
        <w:tabs>
          <w:tab w:leader="none" w:pos="1700" w:val="left"/>
        </w:tabs>
        <w:numPr>
          <w:ilvl w:val="1"/>
          <w:numId w:val="74"/>
        </w:numPr>
        <w:rPr>
          <w:rFonts w:ascii="Arial" w:cs="Arial" w:eastAsia="Arial" w:hAnsi="Arial"/>
          <w:sz w:val="22"/>
          <w:szCs w:val="22"/>
          <w:color w:val="auto"/>
        </w:rPr>
      </w:pPr>
      <w:r>
        <w:rPr>
          <w:rFonts w:ascii="Arial" w:cs="Arial" w:eastAsia="Arial" w:hAnsi="Arial"/>
          <w:sz w:val="22"/>
          <w:szCs w:val="22"/>
          <w:color w:val="auto"/>
        </w:rPr>
        <w:t>termination resulting directly from the closing of a plant site or other corporate location;</w:t>
      </w:r>
    </w:p>
    <w:p>
      <w:pPr>
        <w:spacing w:after="0" w:line="3" w:lineRule="exact"/>
        <w:rPr>
          <w:rFonts w:ascii="Arial" w:cs="Arial" w:eastAsia="Arial" w:hAnsi="Arial"/>
          <w:sz w:val="22"/>
          <w:szCs w:val="22"/>
          <w:color w:val="auto"/>
        </w:rPr>
      </w:pPr>
    </w:p>
    <w:p>
      <w:pPr>
        <w:ind w:left="1700" w:hanging="395"/>
        <w:spacing w:after="0" w:line="243" w:lineRule="auto"/>
        <w:tabs>
          <w:tab w:leader="none" w:pos="1700" w:val="left"/>
        </w:tabs>
        <w:numPr>
          <w:ilvl w:val="1"/>
          <w:numId w:val="74"/>
        </w:numPr>
        <w:rPr>
          <w:rFonts w:ascii="Arial" w:cs="Arial" w:eastAsia="Arial" w:hAnsi="Arial"/>
          <w:sz w:val="22"/>
          <w:szCs w:val="22"/>
          <w:color w:val="auto"/>
        </w:rPr>
      </w:pPr>
      <w:r>
        <w:rPr>
          <w:rFonts w:ascii="Arial" w:cs="Arial" w:eastAsia="Arial" w:hAnsi="Arial"/>
          <w:sz w:val="22"/>
          <w:szCs w:val="22"/>
          <w:color w:val="auto"/>
        </w:rPr>
        <w:t>termination resulting directly from the elimination of a work group, functional or business unit or other broadly applicable reduction in job positions;</w:t>
      </w:r>
    </w:p>
    <w:p>
      <w:pPr>
        <w:jc w:val="both"/>
        <w:ind w:left="1700" w:hanging="395"/>
        <w:spacing w:after="0" w:line="243" w:lineRule="auto"/>
        <w:tabs>
          <w:tab w:leader="none" w:pos="1700" w:val="left"/>
        </w:tabs>
        <w:numPr>
          <w:ilvl w:val="1"/>
          <w:numId w:val="74"/>
        </w:numPr>
        <w:rPr>
          <w:rFonts w:ascii="Arial" w:cs="Arial" w:eastAsia="Arial" w:hAnsi="Arial"/>
          <w:sz w:val="22"/>
          <w:szCs w:val="22"/>
          <w:color w:val="auto"/>
        </w:rPr>
      </w:pPr>
      <w:r>
        <w:rPr>
          <w:rFonts w:ascii="Arial" w:cs="Arial" w:eastAsia="Arial" w:hAnsi="Arial"/>
          <w:sz w:val="22"/>
          <w:szCs w:val="22"/>
          <w:color w:val="auto"/>
        </w:rPr>
        <w:t>termination as a result of the Grantee’s failure to locate a position within the Company or any of its subsidiaries or affiliates following the placement of the Grantee on reallocation or medical reassignment in the United States.</w:t>
      </w:r>
    </w:p>
    <w:p>
      <w:pPr>
        <w:spacing w:after="0" w:line="1" w:lineRule="exact"/>
        <w:rPr>
          <w:sz w:val="20"/>
          <w:szCs w:val="20"/>
          <w:color w:val="auto"/>
        </w:rPr>
      </w:pPr>
    </w:p>
    <w:p>
      <w:pPr>
        <w:ind w:left="740"/>
        <w:spacing w:after="0"/>
        <w:rPr>
          <w:sz w:val="20"/>
          <w:szCs w:val="20"/>
          <w:color w:val="auto"/>
        </w:rPr>
      </w:pPr>
      <w:r>
        <w:rPr>
          <w:rFonts w:ascii="Arial" w:cs="Arial" w:eastAsia="Arial" w:hAnsi="Arial"/>
          <w:sz w:val="21"/>
          <w:szCs w:val="21"/>
          <w:color w:val="auto"/>
        </w:rPr>
        <w:t>The Committee will be responsible for approving, in its discretion, what is classified as a Qualifying Termination.</w:t>
      </w:r>
    </w:p>
    <w:p>
      <w:pPr>
        <w:spacing w:after="0" w:line="1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3"/>
          <w:szCs w:val="23"/>
          <w:b w:val="1"/>
          <w:bCs w:val="1"/>
          <w:color w:val="auto"/>
        </w:rPr>
        <w:t>Section 9. Notices, Payments, and Electronic Delivery and Participation</w:t>
      </w:r>
    </w:p>
    <w:p>
      <w:pPr>
        <w:spacing w:after="0" w:line="75" w:lineRule="exact"/>
        <w:rPr>
          <w:sz w:val="20"/>
          <w:szCs w:val="20"/>
          <w:color w:val="auto"/>
        </w:rPr>
      </w:pPr>
    </w:p>
    <w:p>
      <w:pPr>
        <w:jc w:val="both"/>
        <w:ind w:left="420"/>
        <w:spacing w:after="0" w:line="251" w:lineRule="auto"/>
        <w:rPr>
          <w:sz w:val="20"/>
          <w:szCs w:val="20"/>
          <w:color w:val="auto"/>
        </w:rPr>
      </w:pPr>
      <w:r>
        <w:rPr>
          <w:rFonts w:ascii="Arial" w:cs="Arial" w:eastAsia="Arial" w:hAnsi="Arial"/>
          <w:sz w:val="22"/>
          <w:szCs w:val="22"/>
          <w:color w:val="auto"/>
        </w:rPr>
        <w:t>Any notice to be given by the Grantee or Successor Grantee shall be in writing, and any notice or payment shall be deemed to have been given or made only upon receipt thereof by the Treasurer of Lilly at Lilly Corporate Center, Indianapolis, Indiana 46285, U.S.A. Any notice or communication by Lilly in writing shall be deemed to have been given in the case of the Grantee if mailed or delivered to the Grantee at any address specified in writing to Lilly by the Grantee and, in the case of any Successor Grantee, at the address specified in writing to Lilly by the Successor Grantee. In addition, Lilly may, in its sole discretion, decide</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Page 5</w:t>
      </w:r>
    </w:p>
    <w:p>
      <w:pPr>
        <w:sectPr>
          <w:pgSz w:w="11900" w:h="16838" w:orient="portrait"/>
          <w:cols w:equalWidth="0" w:num="1">
            <w:col w:w="11420"/>
          </w:cols>
          <w:pgMar w:left="240" w:top="382" w:right="2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22"/>
          <w:szCs w:val="22"/>
          <w:color w:val="auto"/>
        </w:rPr>
        <w:t>Eli Lilly and Company Shareholder Value Award</w:t>
      </w:r>
    </w:p>
    <w:p>
      <w:pPr>
        <w:spacing w:after="0" w:line="200" w:lineRule="exact"/>
        <w:rPr>
          <w:sz w:val="20"/>
          <w:szCs w:val="20"/>
          <w:color w:val="auto"/>
        </w:rPr>
      </w:pPr>
    </w:p>
    <w:p>
      <w:pPr>
        <w:spacing w:after="0" w:line="296" w:lineRule="exact"/>
        <w:rPr>
          <w:sz w:val="20"/>
          <w:szCs w:val="20"/>
          <w:color w:val="auto"/>
        </w:rPr>
      </w:pPr>
    </w:p>
    <w:p>
      <w:pPr>
        <w:jc w:val="both"/>
        <w:ind w:left="420"/>
        <w:spacing w:after="0" w:line="253" w:lineRule="auto"/>
        <w:rPr>
          <w:sz w:val="20"/>
          <w:szCs w:val="20"/>
          <w:color w:val="auto"/>
        </w:rPr>
      </w:pPr>
      <w:r>
        <w:rPr>
          <w:rFonts w:ascii="Arial" w:cs="Arial" w:eastAsia="Arial" w:hAnsi="Arial"/>
          <w:sz w:val="22"/>
          <w:szCs w:val="22"/>
          <w:color w:val="auto"/>
        </w:rPr>
        <w:t>to deliver any documents related to the Shareholder Value Award and participation in the 2002 Plan by electronic means or request the Grantee’s consent to participate in the 2002 Plan by electronic means. By accepting this Shareholder Value Award, the Grantee hereby consents to receive such documents by electronic delivery and agrees to participate in the 2002 Plan through an on-line or electronic system established and maintained by Lilly or a third party designated by Lilly.</w:t>
      </w:r>
    </w:p>
    <w:p>
      <w:pPr>
        <w:spacing w:after="0" w:line="15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3"/>
          <w:szCs w:val="23"/>
          <w:b w:val="1"/>
          <w:bCs w:val="1"/>
          <w:color w:val="auto"/>
        </w:rPr>
        <w:t>Section 10. Waiver</w:t>
      </w:r>
    </w:p>
    <w:p>
      <w:pPr>
        <w:spacing w:after="0" w:line="75" w:lineRule="exact"/>
        <w:rPr>
          <w:sz w:val="20"/>
          <w:szCs w:val="20"/>
          <w:color w:val="auto"/>
        </w:rPr>
      </w:pPr>
    </w:p>
    <w:p>
      <w:pPr>
        <w:jc w:val="both"/>
        <w:ind w:left="420"/>
        <w:spacing w:after="0" w:line="262" w:lineRule="auto"/>
        <w:rPr>
          <w:sz w:val="20"/>
          <w:szCs w:val="20"/>
          <w:color w:val="auto"/>
        </w:rPr>
      </w:pPr>
      <w:r>
        <w:rPr>
          <w:rFonts w:ascii="Arial" w:cs="Arial" w:eastAsia="Arial" w:hAnsi="Arial"/>
          <w:sz w:val="22"/>
          <w:szCs w:val="22"/>
          <w:color w:val="auto"/>
        </w:rPr>
        <w:t>The waiver by Lilly of any provision of this instrument at any time or for any purpose shall not operate as or be construed to be a waiver of that provision or any other provision of this instrument at any subsequent time or for any other purpose.</w:t>
      </w:r>
    </w:p>
    <w:p>
      <w:pPr>
        <w:spacing w:after="0" w:line="14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3"/>
          <w:szCs w:val="23"/>
          <w:b w:val="1"/>
          <w:bCs w:val="1"/>
          <w:color w:val="auto"/>
        </w:rPr>
        <w:t>Section 11. Revocation or Modification</w:t>
      </w:r>
    </w:p>
    <w:p>
      <w:pPr>
        <w:spacing w:after="0" w:line="75" w:lineRule="exact"/>
        <w:rPr>
          <w:sz w:val="20"/>
          <w:szCs w:val="20"/>
          <w:color w:val="auto"/>
        </w:rPr>
      </w:pPr>
    </w:p>
    <w:p>
      <w:pPr>
        <w:jc w:val="both"/>
        <w:ind w:left="420" w:right="20"/>
        <w:spacing w:after="0" w:line="281" w:lineRule="auto"/>
        <w:rPr>
          <w:sz w:val="20"/>
          <w:szCs w:val="20"/>
          <w:color w:val="auto"/>
        </w:rPr>
      </w:pPr>
      <w:r>
        <w:rPr>
          <w:rFonts w:ascii="Arial" w:cs="Arial" w:eastAsia="Arial" w:hAnsi="Arial"/>
          <w:sz w:val="22"/>
          <w:szCs w:val="22"/>
          <w:color w:val="auto"/>
        </w:rPr>
        <w:t>This Shareholder Value Award shall be irrevocable except that Lilly shall have the right to revoke or modify this Shareholder Value Award under Sections 13(e) and/or 13(k) of the 2002 Plan or pursuant to Section 8(b) above.</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3"/>
          <w:szCs w:val="23"/>
          <w:b w:val="1"/>
          <w:bCs w:val="1"/>
          <w:color w:val="auto"/>
        </w:rPr>
        <w:t>Section 12. Responsibility for Taxes</w:t>
      </w:r>
    </w:p>
    <w:p>
      <w:pPr>
        <w:spacing w:after="0" w:line="75" w:lineRule="exact"/>
        <w:rPr>
          <w:sz w:val="20"/>
          <w:szCs w:val="20"/>
          <w:color w:val="auto"/>
        </w:rPr>
      </w:pPr>
    </w:p>
    <w:p>
      <w:pPr>
        <w:jc w:val="both"/>
        <w:ind w:left="400"/>
        <w:spacing w:after="0" w:line="246" w:lineRule="auto"/>
        <w:rPr>
          <w:sz w:val="20"/>
          <w:szCs w:val="20"/>
          <w:color w:val="auto"/>
        </w:rPr>
      </w:pPr>
      <w:r>
        <w:rPr>
          <w:rFonts w:ascii="Arial" w:cs="Arial" w:eastAsia="Arial" w:hAnsi="Arial"/>
          <w:sz w:val="22"/>
          <w:szCs w:val="22"/>
          <w:color w:val="auto"/>
        </w:rPr>
        <w:t>Regardless of any action Lilly and/or the Grantee’s employer (the “Employer”) takes with respect to any or all income tax (including federal, state, local and non-U.S. tax), social insurance, payroll tax, fringe benefits tax, payment on account or other tax-related items related to the Grantee’s participation in the 2002 Plan and legally applicable to the Grantee (“Tax Related Items”), the Grantee acknowledges that the ultimate liability for all Tax Related Items is and remains the Grantee’s responsibility and may exceed the amount actually withheld by Lilly or the Employer. The Grantee further acknowledges that Lilly and the Employer (a) make no representations or undertakings regarding the treatment of any Tax Related Items in connection with any aspect of the Shareholder Value Award, including the grant of the Shareholder Value Award, the expiration of the Award Period, the transfer and issuance of any Performance Shares or the receipt of any cash payment pursuant to this Shareholder Value Award, the receipt of any dividends and the sale of any Performance Shares acquired pursuant to this Shareholder Value Award; and (b) do not commit to and are under no obligation to structure the terms of the grant or any aspect of the Shareholder Value Award to reduce or eliminate the Grantee’s liability for Tax Related Items or achieve any particular tax result. Furthermore, if the Grantee has become subject to tax in more than one jurisdiction between the date of grant and the date of any relevant taxable or tax withholding event, the Grantee acknowledges that the Company and/or the Employer (or former employer, as applicable) may be required to withhold or account for Tax Related Items in more than one jurisdiction.</w:t>
      </w:r>
    </w:p>
    <w:p>
      <w:pPr>
        <w:spacing w:after="0" w:line="173" w:lineRule="exact"/>
        <w:rPr>
          <w:sz w:val="20"/>
          <w:szCs w:val="20"/>
          <w:color w:val="auto"/>
        </w:rPr>
      </w:pPr>
    </w:p>
    <w:p>
      <w:pPr>
        <w:jc w:val="both"/>
        <w:ind w:left="420"/>
        <w:spacing w:after="0" w:line="281" w:lineRule="auto"/>
        <w:rPr>
          <w:sz w:val="20"/>
          <w:szCs w:val="20"/>
          <w:color w:val="auto"/>
        </w:rPr>
      </w:pPr>
      <w:r>
        <w:rPr>
          <w:rFonts w:ascii="Arial" w:cs="Arial" w:eastAsia="Arial" w:hAnsi="Arial"/>
          <w:sz w:val="22"/>
          <w:szCs w:val="22"/>
          <w:color w:val="auto"/>
        </w:rPr>
        <w:t>Prior to the applicable taxable or tax withholding event, as applicable, the Grantee shall pay, or make adequate arrangements satisfactory to Lilly and/or the Employer to satisfy all Tax Related Items.</w:t>
      </w:r>
    </w:p>
    <w:p>
      <w:pPr>
        <w:spacing w:after="0" w:line="177" w:lineRule="exact"/>
        <w:rPr>
          <w:sz w:val="20"/>
          <w:szCs w:val="20"/>
          <w:color w:val="auto"/>
        </w:rPr>
      </w:pPr>
    </w:p>
    <w:p>
      <w:pPr>
        <w:jc w:val="both"/>
        <w:ind w:left="720" w:hanging="334"/>
        <w:spacing w:after="0" w:line="253" w:lineRule="auto"/>
        <w:tabs>
          <w:tab w:leader="none" w:pos="720" w:val="left"/>
        </w:tabs>
        <w:numPr>
          <w:ilvl w:val="0"/>
          <w:numId w:val="75"/>
        </w:numPr>
        <w:rPr>
          <w:rFonts w:ascii="Arial" w:cs="Arial" w:eastAsia="Arial" w:hAnsi="Arial"/>
          <w:sz w:val="22"/>
          <w:szCs w:val="22"/>
          <w:color w:val="auto"/>
        </w:rPr>
      </w:pPr>
      <w:r>
        <w:rPr>
          <w:rFonts w:ascii="Arial" w:cs="Arial" w:eastAsia="Arial" w:hAnsi="Arial"/>
          <w:sz w:val="22"/>
          <w:szCs w:val="22"/>
          <w:color w:val="auto"/>
        </w:rPr>
        <w:t>If the Shareholder Value Award is paid to the Grantee in cash in lieu of Performance Shares, the Grantee authorizes the Company and/or the Employer, or their respective agents, at their discretion, to satisfy any obligation for Tax-Related Items by withholding from the cash amount paid to the Grantee pursuant to the Shareholder Value Award or from the Grantee’s wages or other cash compensation paid to the Grantee by the Company and/or the Employer.</w:t>
      </w:r>
    </w:p>
    <w:p>
      <w:pPr>
        <w:spacing w:after="0" w:line="165" w:lineRule="exact"/>
        <w:rPr>
          <w:rFonts w:ascii="Arial" w:cs="Arial" w:eastAsia="Arial" w:hAnsi="Arial"/>
          <w:sz w:val="22"/>
          <w:szCs w:val="22"/>
          <w:color w:val="auto"/>
        </w:rPr>
      </w:pPr>
    </w:p>
    <w:p>
      <w:pPr>
        <w:jc w:val="both"/>
        <w:ind w:left="720" w:hanging="334"/>
        <w:spacing w:after="0" w:line="253" w:lineRule="auto"/>
        <w:tabs>
          <w:tab w:leader="none" w:pos="720" w:val="left"/>
        </w:tabs>
        <w:numPr>
          <w:ilvl w:val="0"/>
          <w:numId w:val="75"/>
        </w:numPr>
        <w:rPr>
          <w:rFonts w:ascii="Arial" w:cs="Arial" w:eastAsia="Arial" w:hAnsi="Arial"/>
          <w:sz w:val="22"/>
          <w:szCs w:val="22"/>
          <w:color w:val="auto"/>
        </w:rPr>
      </w:pPr>
      <w:r>
        <w:rPr>
          <w:rFonts w:ascii="Arial" w:cs="Arial" w:eastAsia="Arial" w:hAnsi="Arial"/>
          <w:sz w:val="22"/>
          <w:szCs w:val="22"/>
          <w:color w:val="auto"/>
        </w:rPr>
        <w:t>If the Shareholder Value Award is paid to the Grantee in Performance Shares and the Grantee is not subject to the short-swing profit rules of Section 16(b) of the 1934 Act, the Grantee authorizes Lilly and/or the Employer, or their respective agents, at their discretion, to (i) withhold from the Grantee’s wages or other cash compensation paid to the Grantee by the Company and/or the Employer, (ii) arrange for the sale of Performance Shares to be issued upon the expiration of the</w:t>
      </w:r>
    </w:p>
    <w:p>
      <w:pPr>
        <w:sectPr>
          <w:pgSz w:w="11900" w:h="16838" w:orient="portrait"/>
          <w:cols w:equalWidth="0" w:num="1">
            <w:col w:w="11420"/>
          </w:cols>
          <w:pgMar w:left="240" w:top="382" w:right="239" w:bottom="1440" w:gutter="0" w:footer="0" w:header="0"/>
        </w:sect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Page 6</w:t>
      </w:r>
    </w:p>
    <w:p>
      <w:pPr>
        <w:sectPr>
          <w:pgSz w:w="11900" w:h="16838" w:orient="portrait"/>
          <w:cols w:equalWidth="0" w:num="1">
            <w:col w:w="11420"/>
          </w:cols>
          <w:pgMar w:left="240" w:top="382" w:right="239" w:bottom="1440" w:gutter="0" w:footer="0" w:header="0"/>
          <w:type w:val="continuous"/>
        </w:sectPr>
      </w:pPr>
    </w:p>
    <w:bookmarkStart w:id="124" w:name="page125"/>
    <w:bookmarkEnd w:id="124"/>
    <w:p>
      <w:pPr>
        <w:spacing w:after="0"/>
        <w:rPr>
          <w:sz w:val="20"/>
          <w:szCs w:val="20"/>
          <w:color w:val="auto"/>
        </w:rPr>
      </w:pPr>
      <w:r>
        <w:rPr>
          <w:rFonts w:ascii="Times New Roman" w:cs="Times New Roman" w:eastAsia="Times New Roman" w:hAnsi="Times New Roman"/>
          <w:sz w:val="22"/>
          <w:szCs w:val="22"/>
          <w:color w:val="auto"/>
        </w:rPr>
        <w:t>Eli Lilly and Company Shareholder Value Award</w:t>
      </w:r>
    </w:p>
    <w:p>
      <w:pPr>
        <w:spacing w:after="0" w:line="200" w:lineRule="exact"/>
        <w:rPr>
          <w:sz w:val="20"/>
          <w:szCs w:val="20"/>
          <w:color w:val="auto"/>
        </w:rPr>
      </w:pPr>
    </w:p>
    <w:p>
      <w:pPr>
        <w:spacing w:after="0" w:line="296" w:lineRule="exact"/>
        <w:rPr>
          <w:sz w:val="20"/>
          <w:szCs w:val="20"/>
          <w:color w:val="auto"/>
        </w:rPr>
      </w:pPr>
    </w:p>
    <w:p>
      <w:pPr>
        <w:jc w:val="both"/>
        <w:ind w:left="720"/>
        <w:spacing w:after="0" w:line="256" w:lineRule="auto"/>
        <w:rPr>
          <w:sz w:val="20"/>
          <w:szCs w:val="20"/>
          <w:color w:val="auto"/>
        </w:rPr>
      </w:pPr>
      <w:r>
        <w:rPr>
          <w:rFonts w:ascii="Arial" w:cs="Arial" w:eastAsia="Arial" w:hAnsi="Arial"/>
          <w:sz w:val="22"/>
          <w:szCs w:val="22"/>
          <w:color w:val="auto"/>
        </w:rPr>
        <w:t>Award Period (on the Grantee’s behalf and at the Grantee’s direction pursuant to this authorization or such other authorization as the Grantee may be required to provide to Lilly or its designated broker in order for such sale to be effectuated) and withhold from the proceeds of such sale, and/or (iii) withhold in Performance Shares otherwise issuable to the Grantee pursuant to this Shareholder Value Award.</w:t>
      </w:r>
    </w:p>
    <w:p>
      <w:pPr>
        <w:spacing w:after="0" w:line="163" w:lineRule="exact"/>
        <w:rPr>
          <w:sz w:val="20"/>
          <w:szCs w:val="20"/>
          <w:color w:val="auto"/>
        </w:rPr>
      </w:pPr>
    </w:p>
    <w:p>
      <w:pPr>
        <w:jc w:val="both"/>
        <w:ind w:left="720" w:hanging="334"/>
        <w:spacing w:after="0" w:line="251" w:lineRule="auto"/>
        <w:tabs>
          <w:tab w:leader="none" w:pos="720" w:val="left"/>
        </w:tabs>
        <w:numPr>
          <w:ilvl w:val="0"/>
          <w:numId w:val="76"/>
        </w:numPr>
        <w:rPr>
          <w:rFonts w:ascii="Arial" w:cs="Arial" w:eastAsia="Arial" w:hAnsi="Arial"/>
          <w:sz w:val="22"/>
          <w:szCs w:val="22"/>
          <w:b w:val="1"/>
          <w:bCs w:val="1"/>
          <w:color w:val="auto"/>
        </w:rPr>
      </w:pPr>
      <w:r>
        <w:rPr>
          <w:rFonts w:ascii="Arial" w:cs="Arial" w:eastAsia="Arial" w:hAnsi="Arial"/>
          <w:sz w:val="22"/>
          <w:szCs w:val="22"/>
          <w:color w:val="auto"/>
        </w:rPr>
        <w:t>If the Shareholder Value Award is paid to the Grantee in Performance Shares and the Grantee is subject to the short-swing profit rules of Section 16(b) of the 1934 Act, Lilly will withhold in Performance Shares otherwise issuable to the Grantee pursuant to this Shareholder Value Award, unless the use of such withholding method is prevented by applicable law or has materially adverse accounting or tax consequences, in which case the withholding obligation for Tax-Related Items may be satisfied by one or a combination of the methods set forth in Section 12(b)(i) and (ii) above.</w:t>
      </w:r>
    </w:p>
    <w:p>
      <w:pPr>
        <w:spacing w:after="0" w:line="168" w:lineRule="exact"/>
        <w:rPr>
          <w:sz w:val="20"/>
          <w:szCs w:val="20"/>
          <w:color w:val="auto"/>
        </w:rPr>
      </w:pPr>
    </w:p>
    <w:p>
      <w:pPr>
        <w:jc w:val="both"/>
        <w:ind w:left="420"/>
        <w:spacing w:after="0" w:line="259" w:lineRule="auto"/>
        <w:rPr>
          <w:sz w:val="20"/>
          <w:szCs w:val="20"/>
          <w:color w:val="auto"/>
        </w:rPr>
      </w:pPr>
      <w:r>
        <w:rPr>
          <w:rFonts w:ascii="Arial" w:cs="Arial" w:eastAsia="Arial" w:hAnsi="Arial"/>
          <w:sz w:val="21"/>
          <w:szCs w:val="21"/>
          <w:color w:val="auto"/>
        </w:rPr>
        <w:t>Depending on the withholding method, Lilly and/or the Employer may withhold or account for Tax Related Items by considering applicable minimum statutory withholding amounts or other applicable withholding rates, including maximum applicable rates, in which case the Grantee will receive a refund of any over-withheld amount in cash and will not be entitled to the equivalent amount in Performance Shares. If the obligation for Tax Related Items is satisfied by withholding Performance Shares as described in Section 12(b)(iii) or Section 12(c) above, for tax purposes, the Grantee will be deemed to have been issued the full number of Performance Shares to which he or she is entitled pursuant to this Shareholder Value Award, notwithstanding that a number of Performance Shares are withheld to satisfy the obligation for Tax Related Items. Lilly may require Grantee to pay Lilly and/or the Employer any amount of Tax Related Items that Lilly and/or the Employer may be required to withhold or account for as a result of any aspect of this Shareholder Value Award that cannot be satisfied by the means previously described. Lilly may refuse to deliver Performance Shares or any cash payment to the Grantee if the Grantee fails to comply with the Grantee’s obligation in connection with the Tax Related Items as described in this Section 12.</w:t>
      </w:r>
    </w:p>
    <w:p>
      <w:pPr>
        <w:spacing w:after="0" w:line="15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3"/>
          <w:szCs w:val="23"/>
          <w:b w:val="1"/>
          <w:bCs w:val="1"/>
          <w:color w:val="auto"/>
        </w:rPr>
        <w:t>Section 13. Section 409A Compliance</w:t>
      </w:r>
    </w:p>
    <w:p>
      <w:pPr>
        <w:spacing w:after="0" w:line="75" w:lineRule="exact"/>
        <w:rPr>
          <w:sz w:val="20"/>
          <w:szCs w:val="20"/>
          <w:color w:val="auto"/>
        </w:rPr>
      </w:pPr>
    </w:p>
    <w:p>
      <w:pPr>
        <w:jc w:val="both"/>
        <w:ind w:left="420"/>
        <w:spacing w:after="0" w:line="267" w:lineRule="auto"/>
        <w:rPr>
          <w:sz w:val="20"/>
          <w:szCs w:val="20"/>
          <w:color w:val="auto"/>
        </w:rPr>
      </w:pPr>
      <w:r>
        <w:rPr>
          <w:rFonts w:ascii="Arial" w:cs="Arial" w:eastAsia="Arial" w:hAnsi="Arial"/>
          <w:sz w:val="21"/>
          <w:szCs w:val="21"/>
          <w:color w:val="auto"/>
        </w:rPr>
        <w:t>To the extent applicable, it is intended that this Shareholder Value Award comply with the requirements of Section 409A of the U.S. Internal Revenue Code of 1986, as amended and the Treasury Regulations and other guidance issued thereunder (“Section 409A”), and this Shareholder Value Award shall be interpreted and applied by the Committee in a manner consistent with this intent in order to avoid the imposition of any additional tax under Section 409A. This Shareholder Value Award is subject to Section 13(k) of the 2002 Plan concerning Section 409A.</w:t>
      </w:r>
    </w:p>
    <w:p>
      <w:pPr>
        <w:spacing w:after="0" w:line="14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3"/>
          <w:szCs w:val="23"/>
          <w:b w:val="1"/>
          <w:bCs w:val="1"/>
          <w:color w:val="auto"/>
        </w:rPr>
        <w:t>Section 14. Prohibition Against Transfer</w:t>
      </w:r>
    </w:p>
    <w:p>
      <w:pPr>
        <w:spacing w:after="0" w:line="75" w:lineRule="exact"/>
        <w:rPr>
          <w:sz w:val="20"/>
          <w:szCs w:val="20"/>
          <w:color w:val="auto"/>
        </w:rPr>
      </w:pPr>
    </w:p>
    <w:p>
      <w:pPr>
        <w:jc w:val="both"/>
        <w:ind w:left="420"/>
        <w:spacing w:after="0" w:line="251" w:lineRule="auto"/>
        <w:rPr>
          <w:sz w:val="20"/>
          <w:szCs w:val="20"/>
          <w:color w:val="auto"/>
        </w:rPr>
      </w:pPr>
      <w:r>
        <w:rPr>
          <w:rFonts w:ascii="Arial" w:cs="Arial" w:eastAsia="Arial" w:hAnsi="Arial"/>
          <w:sz w:val="22"/>
          <w:szCs w:val="22"/>
          <w:color w:val="auto"/>
        </w:rPr>
        <w:t>The right of a Grantee to receive Performance Shares (or the payment of the cash equivalent) under this Shareholder Value Award may not be transferred except by operation of law to a duly appointed guardian of the estate of Grantee or to a Successor Grantee by will or the applicable laws of descent and distribution and then only subject to the provisions of Sections 7 and 8. A Grantee may not assign, sell, pledge or otherwise transfer Performance Shares or cash to which he or she may be entitled hereunder prior to transfer or payment thereof to the Grantee, and any such attempted assignment, sale, pledge or transfer shall be void.</w:t>
      </w:r>
    </w:p>
    <w:p>
      <w:pPr>
        <w:spacing w:after="0" w:line="15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3"/>
          <w:szCs w:val="23"/>
          <w:b w:val="1"/>
          <w:bCs w:val="1"/>
          <w:color w:val="auto"/>
        </w:rPr>
        <w:t>Section 15. Severability and Section Headings</w:t>
      </w:r>
    </w:p>
    <w:p>
      <w:pPr>
        <w:spacing w:after="0" w:line="75" w:lineRule="exact"/>
        <w:rPr>
          <w:sz w:val="20"/>
          <w:szCs w:val="20"/>
          <w:color w:val="auto"/>
        </w:rPr>
      </w:pPr>
    </w:p>
    <w:p>
      <w:pPr>
        <w:jc w:val="both"/>
        <w:ind w:left="400"/>
        <w:spacing w:after="0" w:line="262" w:lineRule="auto"/>
        <w:rPr>
          <w:sz w:val="20"/>
          <w:szCs w:val="20"/>
          <w:color w:val="auto"/>
        </w:rPr>
      </w:pPr>
      <w:r>
        <w:rPr>
          <w:rFonts w:ascii="Arial" w:cs="Arial" w:eastAsia="Arial" w:hAnsi="Arial"/>
          <w:sz w:val="22"/>
          <w:szCs w:val="22"/>
          <w:color w:val="auto"/>
        </w:rPr>
        <w:t>If one or more of the provisions of this instrument shall be held invalid, illegal or unenforceable in any respect, the validity, legality and enforceability of the remaining provisions shall not in any way be affected or impaired thereby and the invalid, illegal or unenforceable provisions shall be deemed null and void;</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Page 7</w:t>
      </w:r>
    </w:p>
    <w:p>
      <w:pPr>
        <w:sectPr>
          <w:pgSz w:w="11900" w:h="16838" w:orient="portrait"/>
          <w:cols w:equalWidth="0" w:num="1">
            <w:col w:w="11420"/>
          </w:cols>
          <w:pgMar w:left="240" w:top="382" w:right="2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22"/>
          <w:szCs w:val="22"/>
          <w:color w:val="auto"/>
        </w:rPr>
        <w:t>Eli Lilly and Company Shareholder Value Award</w:t>
      </w:r>
    </w:p>
    <w:p>
      <w:pPr>
        <w:spacing w:after="0" w:line="200" w:lineRule="exact"/>
        <w:rPr>
          <w:sz w:val="20"/>
          <w:szCs w:val="20"/>
          <w:color w:val="auto"/>
        </w:rPr>
      </w:pPr>
    </w:p>
    <w:p>
      <w:pPr>
        <w:spacing w:after="0" w:line="296" w:lineRule="exact"/>
        <w:rPr>
          <w:sz w:val="20"/>
          <w:szCs w:val="20"/>
          <w:color w:val="auto"/>
        </w:rPr>
      </w:pPr>
    </w:p>
    <w:p>
      <w:pPr>
        <w:jc w:val="both"/>
        <w:ind w:left="400"/>
        <w:spacing w:after="0" w:line="262" w:lineRule="auto"/>
        <w:rPr>
          <w:sz w:val="20"/>
          <w:szCs w:val="20"/>
          <w:color w:val="auto"/>
        </w:rPr>
      </w:pPr>
      <w:r>
        <w:rPr>
          <w:rFonts w:ascii="Arial" w:cs="Arial" w:eastAsia="Arial" w:hAnsi="Arial"/>
          <w:sz w:val="22"/>
          <w:szCs w:val="22"/>
          <w:color w:val="auto"/>
        </w:rPr>
        <w:t>however, to the extent permissible by law, any provisions which could be deemed null and void shall first be construed, interpreted or revised retroactively to permit this instrument to be construed so as to foster the intent of this Shareholder Value Award and the 2002 Plan.</w:t>
      </w:r>
    </w:p>
    <w:p>
      <w:pPr>
        <w:spacing w:after="0" w:line="157" w:lineRule="exact"/>
        <w:rPr>
          <w:sz w:val="20"/>
          <w:szCs w:val="20"/>
          <w:color w:val="auto"/>
        </w:rPr>
      </w:pPr>
    </w:p>
    <w:p>
      <w:pPr>
        <w:jc w:val="both"/>
        <w:ind w:left="420" w:right="20"/>
        <w:spacing w:after="0" w:line="281" w:lineRule="auto"/>
        <w:rPr>
          <w:sz w:val="20"/>
          <w:szCs w:val="20"/>
          <w:color w:val="auto"/>
        </w:rPr>
      </w:pPr>
      <w:r>
        <w:rPr>
          <w:rFonts w:ascii="Arial" w:cs="Arial" w:eastAsia="Arial" w:hAnsi="Arial"/>
          <w:sz w:val="22"/>
          <w:szCs w:val="22"/>
          <w:color w:val="auto"/>
        </w:rPr>
        <w:t>The section headings in this instrument are for convenience of reference only and shall not be deemed a part of, or germane to, the interpretation or construction of this instrument.</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3"/>
          <w:szCs w:val="23"/>
          <w:b w:val="1"/>
          <w:bCs w:val="1"/>
          <w:color w:val="auto"/>
        </w:rPr>
        <w:t>Section 16. Determinations by Committee</w:t>
      </w:r>
    </w:p>
    <w:p>
      <w:pPr>
        <w:spacing w:after="0" w:line="75" w:lineRule="exact"/>
        <w:rPr>
          <w:sz w:val="20"/>
          <w:szCs w:val="20"/>
          <w:color w:val="auto"/>
        </w:rPr>
      </w:pPr>
    </w:p>
    <w:p>
      <w:pPr>
        <w:jc w:val="both"/>
        <w:ind w:left="420"/>
        <w:spacing w:after="0" w:line="249" w:lineRule="auto"/>
        <w:rPr>
          <w:sz w:val="20"/>
          <w:szCs w:val="20"/>
          <w:color w:val="auto"/>
        </w:rPr>
      </w:pPr>
      <w:r>
        <w:rPr>
          <w:rFonts w:ascii="Arial" w:cs="Arial" w:eastAsia="Arial" w:hAnsi="Arial"/>
          <w:sz w:val="22"/>
          <w:szCs w:val="22"/>
          <w:color w:val="auto"/>
        </w:rPr>
        <w:t>Determinations by the Committee pursuant to any provision of the 2002 Plan, pursuant to rules, regulations and procedures adopted by the Committee or pursuant to this instrument, including without limitation (a) the determination of the amount and method of computation of the Final Stock Price of Lilly Stock or shares of the Peer Group, (b) the determination of the amount and method of computation of the TSR Modifier, (c) whether to make an exception to the rule of Section 7 or adjustments under Section 2 or Section 3, and (d) what constitutes “misconduct” for purposes of Section 26 below and any other determinations under Section 26, shall be final and binding on the Grantee and any Successor Grantee.</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3"/>
          <w:szCs w:val="23"/>
          <w:b w:val="1"/>
          <w:bCs w:val="1"/>
          <w:color w:val="auto"/>
        </w:rPr>
        <w:t>Section 17. Change in Control</w:t>
      </w:r>
    </w:p>
    <w:p>
      <w:pPr>
        <w:spacing w:after="0" w:line="75" w:lineRule="exact"/>
        <w:rPr>
          <w:sz w:val="20"/>
          <w:szCs w:val="20"/>
          <w:color w:val="auto"/>
        </w:rPr>
      </w:pPr>
    </w:p>
    <w:p>
      <w:pPr>
        <w:ind w:left="420" w:right="680"/>
        <w:spacing w:after="0" w:line="281" w:lineRule="auto"/>
        <w:rPr>
          <w:sz w:val="20"/>
          <w:szCs w:val="20"/>
          <w:color w:val="auto"/>
        </w:rPr>
      </w:pPr>
      <w:r>
        <w:rPr>
          <w:rFonts w:ascii="Arial" w:cs="Arial" w:eastAsia="Arial" w:hAnsi="Arial"/>
          <w:sz w:val="22"/>
          <w:szCs w:val="22"/>
          <w:color w:val="auto"/>
        </w:rPr>
        <w:t>The provisions of Section 12(a)(iii) of the 2002 Plan apply to this Shareholder Value Award with the following modifications:</w:t>
      </w:r>
    </w:p>
    <w:p>
      <w:pPr>
        <w:spacing w:after="0" w:line="137" w:lineRule="exact"/>
        <w:rPr>
          <w:sz w:val="20"/>
          <w:szCs w:val="20"/>
          <w:color w:val="auto"/>
        </w:rPr>
      </w:pPr>
    </w:p>
    <w:p>
      <w:pPr>
        <w:jc w:val="both"/>
        <w:ind w:left="740" w:hanging="256"/>
        <w:spacing w:after="0" w:line="262" w:lineRule="auto"/>
        <w:rPr>
          <w:sz w:val="20"/>
          <w:szCs w:val="20"/>
          <w:color w:val="auto"/>
        </w:rPr>
      </w:pPr>
      <w:r>
        <w:rPr>
          <w:rFonts w:ascii="Arial" w:cs="Arial" w:eastAsia="Arial" w:hAnsi="Arial"/>
          <w:sz w:val="22"/>
          <w:szCs w:val="22"/>
          <w:color w:val="auto"/>
        </w:rPr>
        <w:t>a. The only Change in Control event that shall result in a payment under Section 12(a)(iii) of the 2002 Plan shall be consummation of a change in ownership of the Company as defined in Section 12(b)(i) of the 2002 Plan (a “Transaction”).</w:t>
      </w:r>
    </w:p>
    <w:p>
      <w:pPr>
        <w:spacing w:after="0" w:line="157" w:lineRule="exact"/>
        <w:rPr>
          <w:sz w:val="20"/>
          <w:szCs w:val="20"/>
          <w:color w:val="auto"/>
        </w:rPr>
      </w:pPr>
    </w:p>
    <w:p>
      <w:pPr>
        <w:jc w:val="both"/>
        <w:ind w:left="740" w:hanging="256"/>
        <w:spacing w:after="0" w:line="248" w:lineRule="auto"/>
        <w:rPr>
          <w:sz w:val="20"/>
          <w:szCs w:val="20"/>
          <w:color w:val="auto"/>
        </w:rPr>
      </w:pPr>
      <w:r>
        <w:rPr>
          <w:rFonts w:ascii="Arial" w:cs="Arial" w:eastAsia="Arial" w:hAnsi="Arial"/>
          <w:sz w:val="22"/>
          <w:szCs w:val="22"/>
          <w:color w:val="auto"/>
        </w:rPr>
        <w:t>b. On the date of the consummation of such Transaction, the Grantee will be paid an amount equal to the product of (a) the Grantee's award opportunity for the Shareholder Value Award based on the value of Lilly Stock established for the consideration to be paid to holders of Lilly Stock in the Transaction, and (b) a fraction, the numerator of which is the number of days that have elapsed since the beginning of the Award Period to the date of the consummation of the Transaction and the denominator of which is the total number of days in the Award Period. The payment shall be made in the form of shares of Lilly Stock immediately prior to the consummation of the Transaction in order to allow the Lilly Stock to be outstanding and for the Grantee to be eligible to receive the consideration being paid to Lilly shareholders in connection with the Transaction.</w:t>
      </w:r>
    </w:p>
    <w:p>
      <w:pPr>
        <w:spacing w:after="0" w:line="16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3"/>
          <w:szCs w:val="23"/>
          <w:b w:val="1"/>
          <w:bCs w:val="1"/>
          <w:color w:val="auto"/>
        </w:rPr>
        <w:t>Section 18. Grantee’s Acknowledgements</w:t>
      </w:r>
    </w:p>
    <w:p>
      <w:pPr>
        <w:spacing w:after="0" w:line="75" w:lineRule="exact"/>
        <w:rPr>
          <w:sz w:val="20"/>
          <w:szCs w:val="20"/>
          <w:color w:val="auto"/>
        </w:rPr>
      </w:pPr>
    </w:p>
    <w:p>
      <w:pPr>
        <w:ind w:left="420"/>
        <w:spacing w:after="0"/>
        <w:rPr>
          <w:sz w:val="20"/>
          <w:szCs w:val="20"/>
          <w:color w:val="auto"/>
        </w:rPr>
      </w:pPr>
      <w:r>
        <w:rPr>
          <w:rFonts w:ascii="Arial" w:cs="Arial" w:eastAsia="Arial" w:hAnsi="Arial"/>
          <w:sz w:val="22"/>
          <w:szCs w:val="22"/>
          <w:color w:val="auto"/>
        </w:rPr>
        <w:t>In accepting this Shareholder Value Award, the Grantee acknowledges, understands and agrees that:</w:t>
      </w:r>
    </w:p>
    <w:p>
      <w:pPr>
        <w:spacing w:after="0" w:line="220" w:lineRule="exact"/>
        <w:rPr>
          <w:sz w:val="20"/>
          <w:szCs w:val="20"/>
          <w:color w:val="auto"/>
        </w:rPr>
      </w:pPr>
    </w:p>
    <w:p>
      <w:pPr>
        <w:jc w:val="both"/>
        <w:ind w:left="740" w:hanging="242"/>
        <w:spacing w:after="0" w:line="281" w:lineRule="auto"/>
        <w:rPr>
          <w:sz w:val="20"/>
          <w:szCs w:val="20"/>
          <w:color w:val="auto"/>
        </w:rPr>
      </w:pPr>
      <w:r>
        <w:rPr>
          <w:rFonts w:ascii="Arial" w:cs="Arial" w:eastAsia="Arial" w:hAnsi="Arial"/>
          <w:sz w:val="22"/>
          <w:szCs w:val="22"/>
          <w:color w:val="auto"/>
        </w:rPr>
        <w:t>a. the 2002 Plan is established voluntarily by Lilly, it is discretionary in nature and may be modified, amended, suspended or terminated by Lilly at any time, as provided in the 2002 Plan;</w:t>
      </w:r>
    </w:p>
    <w:p>
      <w:pPr>
        <w:spacing w:after="0" w:line="137" w:lineRule="exact"/>
        <w:rPr>
          <w:sz w:val="20"/>
          <w:szCs w:val="20"/>
          <w:color w:val="auto"/>
        </w:rPr>
      </w:pPr>
    </w:p>
    <w:p>
      <w:pPr>
        <w:jc w:val="both"/>
        <w:ind w:left="740" w:hanging="242"/>
        <w:spacing w:after="0" w:line="262" w:lineRule="auto"/>
        <w:rPr>
          <w:sz w:val="20"/>
          <w:szCs w:val="20"/>
          <w:color w:val="auto"/>
        </w:rPr>
      </w:pPr>
      <w:r>
        <w:rPr>
          <w:rFonts w:ascii="Arial" w:cs="Arial" w:eastAsia="Arial" w:hAnsi="Arial"/>
          <w:sz w:val="22"/>
          <w:szCs w:val="22"/>
          <w:color w:val="auto"/>
        </w:rPr>
        <w:t>b. the Shareholder Value Award is voluntary and occasional and does not create any contractual or other right to receive future Shareholder Value Awards, or benefits in lieu of Shareholder Value Awards , even if Shareholder Value Awards have been granted in the past;</w:t>
      </w:r>
    </w:p>
    <w:p>
      <w:pPr>
        <w:spacing w:after="0" w:line="157" w:lineRule="exact"/>
        <w:rPr>
          <w:sz w:val="20"/>
          <w:szCs w:val="20"/>
          <w:color w:val="auto"/>
        </w:rPr>
      </w:pPr>
    </w:p>
    <w:p>
      <w:pPr>
        <w:jc w:val="both"/>
        <w:ind w:left="740" w:right="20" w:hanging="242"/>
        <w:spacing w:after="0" w:line="281" w:lineRule="auto"/>
        <w:rPr>
          <w:sz w:val="20"/>
          <w:szCs w:val="20"/>
          <w:color w:val="auto"/>
        </w:rPr>
      </w:pPr>
      <w:r>
        <w:rPr>
          <w:rFonts w:ascii="Arial" w:cs="Arial" w:eastAsia="Arial" w:hAnsi="Arial"/>
          <w:sz w:val="22"/>
          <w:szCs w:val="22"/>
          <w:color w:val="auto"/>
        </w:rPr>
        <w:t>c. all decisions with respect to future grants of Shareholder Value Awards or other grants, if any, will be at the sole discretion of Lilly;</w:t>
      </w:r>
    </w:p>
    <w:p>
      <w:pPr>
        <w:spacing w:after="0" w:line="137" w:lineRule="exact"/>
        <w:rPr>
          <w:sz w:val="20"/>
          <w:szCs w:val="20"/>
          <w:color w:val="auto"/>
        </w:rPr>
      </w:pPr>
    </w:p>
    <w:p>
      <w:pPr>
        <w:ind w:left="500"/>
        <w:spacing w:after="0"/>
        <w:rPr>
          <w:sz w:val="20"/>
          <w:szCs w:val="20"/>
          <w:color w:val="auto"/>
        </w:rPr>
      </w:pPr>
      <w:r>
        <w:rPr>
          <w:rFonts w:ascii="Arial" w:cs="Arial" w:eastAsia="Arial" w:hAnsi="Arial"/>
          <w:sz w:val="22"/>
          <w:szCs w:val="22"/>
          <w:color w:val="auto"/>
        </w:rPr>
        <w:t>d. the Grantee’s participation in the 2002 Plan is voluntary;</w:t>
      </w:r>
    </w:p>
    <w:p>
      <w:pPr>
        <w:sectPr>
          <w:pgSz w:w="11900" w:h="16838" w:orient="portrait"/>
          <w:cols w:equalWidth="0" w:num="1">
            <w:col w:w="11420"/>
          </w:cols>
          <w:pgMar w:left="240" w:top="382" w:right="239" w:bottom="1440" w:gutter="0" w:footer="0" w:header="0"/>
        </w:sect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Page 8</w:t>
      </w:r>
    </w:p>
    <w:p>
      <w:pPr>
        <w:sectPr>
          <w:pgSz w:w="11900" w:h="16838" w:orient="portrait"/>
          <w:cols w:equalWidth="0" w:num="1">
            <w:col w:w="11420"/>
          </w:cols>
          <w:pgMar w:left="240" w:top="382" w:right="239" w:bottom="1440" w:gutter="0" w:footer="0" w:header="0"/>
          <w:type w:val="continuous"/>
        </w:sectPr>
      </w:pPr>
    </w:p>
    <w:bookmarkStart w:id="126" w:name="page127"/>
    <w:bookmarkEnd w:id="126"/>
    <w:p>
      <w:pPr>
        <w:spacing w:after="0"/>
        <w:rPr>
          <w:sz w:val="20"/>
          <w:szCs w:val="20"/>
          <w:color w:val="auto"/>
        </w:rPr>
      </w:pPr>
      <w:r>
        <w:rPr>
          <w:rFonts w:ascii="Times New Roman" w:cs="Times New Roman" w:eastAsia="Times New Roman" w:hAnsi="Times New Roman"/>
          <w:sz w:val="22"/>
          <w:szCs w:val="22"/>
          <w:color w:val="auto"/>
        </w:rPr>
        <w:t>Eli Lilly and Company Shareholder Value Award</w:t>
      </w:r>
    </w:p>
    <w:p>
      <w:pPr>
        <w:spacing w:after="0" w:line="200" w:lineRule="exact"/>
        <w:rPr>
          <w:sz w:val="20"/>
          <w:szCs w:val="20"/>
          <w:color w:val="auto"/>
        </w:rPr>
      </w:pPr>
    </w:p>
    <w:p>
      <w:pPr>
        <w:spacing w:after="0" w:line="296" w:lineRule="exact"/>
        <w:rPr>
          <w:sz w:val="20"/>
          <w:szCs w:val="20"/>
          <w:color w:val="auto"/>
        </w:rPr>
      </w:pPr>
    </w:p>
    <w:p>
      <w:pPr>
        <w:ind w:left="740" w:hanging="242"/>
        <w:spacing w:after="0" w:line="281" w:lineRule="auto"/>
        <w:rPr>
          <w:sz w:val="20"/>
          <w:szCs w:val="20"/>
          <w:color w:val="auto"/>
        </w:rPr>
      </w:pPr>
      <w:r>
        <w:rPr>
          <w:rFonts w:ascii="Arial" w:cs="Arial" w:eastAsia="Arial" w:hAnsi="Arial"/>
          <w:sz w:val="22"/>
          <w:szCs w:val="22"/>
          <w:color w:val="auto"/>
        </w:rPr>
        <w:t>e. the Shareholder Value Award and any Performance Shares are not intended to replace any pension rights or compensation;</w:t>
      </w:r>
    </w:p>
    <w:p>
      <w:pPr>
        <w:spacing w:after="0" w:line="137" w:lineRule="exact"/>
        <w:rPr>
          <w:sz w:val="20"/>
          <w:szCs w:val="20"/>
          <w:color w:val="auto"/>
        </w:rPr>
      </w:pPr>
    </w:p>
    <w:p>
      <w:pPr>
        <w:jc w:val="both"/>
        <w:ind w:left="740" w:hanging="246"/>
        <w:spacing w:after="0" w:line="256" w:lineRule="auto"/>
        <w:tabs>
          <w:tab w:leader="none" w:pos="740" w:val="left"/>
        </w:tabs>
        <w:numPr>
          <w:ilvl w:val="0"/>
          <w:numId w:val="77"/>
        </w:numPr>
        <w:rPr>
          <w:rFonts w:ascii="Arial" w:cs="Arial" w:eastAsia="Arial" w:hAnsi="Arial"/>
          <w:sz w:val="22"/>
          <w:szCs w:val="22"/>
          <w:color w:val="auto"/>
        </w:rPr>
      </w:pPr>
      <w:r>
        <w:rPr>
          <w:rFonts w:ascii="Arial" w:cs="Arial" w:eastAsia="Arial" w:hAnsi="Arial"/>
          <w:sz w:val="22"/>
          <w:szCs w:val="22"/>
          <w:color w:val="auto"/>
        </w:rPr>
        <w:t>the Shareholder Value Award and any Performance Shares, and the income and value of same, are not part of normal or expected compensation or salary for purposes of calculating any severance, resignation, termination, redundancy, end of service payments, bonuses, long-service awards, pension or welfare or retirement benefits or similar payments;</w:t>
      </w:r>
    </w:p>
    <w:p>
      <w:pPr>
        <w:spacing w:after="0" w:line="163" w:lineRule="exact"/>
        <w:rPr>
          <w:rFonts w:ascii="Arial" w:cs="Arial" w:eastAsia="Arial" w:hAnsi="Arial"/>
          <w:sz w:val="22"/>
          <w:szCs w:val="22"/>
          <w:color w:val="auto"/>
        </w:rPr>
      </w:pPr>
    </w:p>
    <w:p>
      <w:pPr>
        <w:jc w:val="both"/>
        <w:ind w:left="740" w:hanging="246"/>
        <w:spacing w:after="0" w:line="253" w:lineRule="auto"/>
        <w:tabs>
          <w:tab w:leader="none" w:pos="740" w:val="left"/>
        </w:tabs>
        <w:numPr>
          <w:ilvl w:val="0"/>
          <w:numId w:val="77"/>
        </w:numPr>
        <w:rPr>
          <w:rFonts w:ascii="Arial" w:cs="Arial" w:eastAsia="Arial" w:hAnsi="Arial"/>
          <w:sz w:val="22"/>
          <w:szCs w:val="22"/>
          <w:color w:val="auto"/>
        </w:rPr>
      </w:pPr>
      <w:r>
        <w:rPr>
          <w:rFonts w:ascii="Arial" w:cs="Arial" w:eastAsia="Arial" w:hAnsi="Arial"/>
          <w:sz w:val="22"/>
          <w:szCs w:val="22"/>
          <w:color w:val="auto"/>
        </w:rPr>
        <w:t>neither the Shareholder Value Award nor any provision of this instrument, the 2002 Plan or the policies adopted pursuant to the 2002 Plan confer upon the Grantee any right with respect to employment or continuation of current employment, and in the event that the Grantee is not an employee of Lilly or any subsidiary of Lilly, the Shareholder Value Award shall not be interpreted to form an employment contract or relationship with Lilly or any subsidiary of Lilly;</w:t>
      </w:r>
    </w:p>
    <w:p>
      <w:pPr>
        <w:spacing w:after="0" w:line="165" w:lineRule="exact"/>
        <w:rPr>
          <w:rFonts w:ascii="Arial" w:cs="Arial" w:eastAsia="Arial" w:hAnsi="Arial"/>
          <w:sz w:val="22"/>
          <w:szCs w:val="22"/>
          <w:color w:val="auto"/>
        </w:rPr>
      </w:pPr>
    </w:p>
    <w:p>
      <w:pPr>
        <w:ind w:left="740" w:hanging="246"/>
        <w:spacing w:after="0" w:line="281" w:lineRule="auto"/>
        <w:tabs>
          <w:tab w:leader="none" w:pos="740" w:val="left"/>
        </w:tabs>
        <w:numPr>
          <w:ilvl w:val="0"/>
          <w:numId w:val="77"/>
        </w:numPr>
        <w:rPr>
          <w:rFonts w:ascii="Arial" w:cs="Arial" w:eastAsia="Arial" w:hAnsi="Arial"/>
          <w:sz w:val="22"/>
          <w:szCs w:val="22"/>
          <w:color w:val="auto"/>
        </w:rPr>
      </w:pPr>
      <w:r>
        <w:rPr>
          <w:rFonts w:ascii="Arial" w:cs="Arial" w:eastAsia="Arial" w:hAnsi="Arial"/>
          <w:sz w:val="22"/>
          <w:szCs w:val="22"/>
          <w:color w:val="auto"/>
        </w:rPr>
        <w:t>the future value of the underlying Performance Shares is unknown, indeterminable and cannot be predicted with certainty;</w:t>
      </w:r>
    </w:p>
    <w:p>
      <w:pPr>
        <w:spacing w:after="0" w:line="136" w:lineRule="exact"/>
        <w:rPr>
          <w:rFonts w:ascii="Arial" w:cs="Arial" w:eastAsia="Arial" w:hAnsi="Arial"/>
          <w:sz w:val="22"/>
          <w:szCs w:val="22"/>
          <w:color w:val="auto"/>
        </w:rPr>
      </w:pPr>
    </w:p>
    <w:p>
      <w:pPr>
        <w:ind w:left="740" w:hanging="246"/>
        <w:spacing w:after="0" w:line="281" w:lineRule="auto"/>
        <w:tabs>
          <w:tab w:leader="none" w:pos="740" w:val="left"/>
        </w:tabs>
        <w:numPr>
          <w:ilvl w:val="0"/>
          <w:numId w:val="77"/>
        </w:numPr>
        <w:rPr>
          <w:rFonts w:ascii="Arial" w:cs="Arial" w:eastAsia="Arial" w:hAnsi="Arial"/>
          <w:sz w:val="22"/>
          <w:szCs w:val="22"/>
          <w:color w:val="auto"/>
        </w:rPr>
      </w:pPr>
      <w:r>
        <w:rPr>
          <w:rFonts w:ascii="Arial" w:cs="Arial" w:eastAsia="Arial" w:hAnsi="Arial"/>
          <w:sz w:val="22"/>
          <w:szCs w:val="22"/>
          <w:color w:val="auto"/>
        </w:rPr>
        <w:t>the value of any Performance Shares acquired upon expiration of the Award Period may increase or decrease, even below the tax valuation price;</w:t>
      </w:r>
    </w:p>
    <w:p>
      <w:pPr>
        <w:spacing w:after="0" w:line="136" w:lineRule="exact"/>
        <w:rPr>
          <w:rFonts w:ascii="Arial" w:cs="Arial" w:eastAsia="Arial" w:hAnsi="Arial"/>
          <w:sz w:val="22"/>
          <w:szCs w:val="22"/>
          <w:color w:val="auto"/>
        </w:rPr>
      </w:pPr>
    </w:p>
    <w:p>
      <w:pPr>
        <w:jc w:val="both"/>
        <w:ind w:left="740" w:hanging="246"/>
        <w:spacing w:after="0" w:line="247" w:lineRule="auto"/>
        <w:tabs>
          <w:tab w:leader="none" w:pos="740" w:val="left"/>
        </w:tabs>
        <w:numPr>
          <w:ilvl w:val="0"/>
          <w:numId w:val="77"/>
        </w:numPr>
        <w:rPr>
          <w:rFonts w:ascii="Arial" w:cs="Arial" w:eastAsia="Arial" w:hAnsi="Arial"/>
          <w:sz w:val="22"/>
          <w:szCs w:val="22"/>
          <w:color w:val="auto"/>
        </w:rPr>
      </w:pPr>
      <w:r>
        <w:rPr>
          <w:rFonts w:ascii="Arial" w:cs="Arial" w:eastAsia="Arial" w:hAnsi="Arial"/>
          <w:sz w:val="22"/>
          <w:szCs w:val="22"/>
          <w:color w:val="auto"/>
        </w:rPr>
        <w:t>no claim or entitlement to compensation or damages shall arise from forfeiture of the Shareholder Value Award resulting from the Grantee ceasing to provide employment or other services to Lilly or the Employer (for any reason whatsoever and whether or not later found to be invalid or in breach of local labor laws in the jurisdiction where the Grantee is employed or the terms of the Grantee's employment agreement, if any) and, in consideration of the grant of the Shareholder Value Award to which the Grantee is otherwise not entitled, the Grantee agrees never to institute any claim against the Company, any subsidiary of Lilly or the Employer, waives the ability, if any, to bring any such claim and releases the Company, its subsidiaries and the Employer from any such claim; if, notwithstanding the foregoing, any such claim is allowed by a court of competent jurisdiction, then, by participating in the 2002 Plan, the Grantee will be deemed irrevocably to have agreed not to pursue such claim and agrees to execute any and all documents necessary to request dismissal or withdrawal of such claim;</w:t>
      </w:r>
    </w:p>
    <w:p>
      <w:pPr>
        <w:spacing w:after="0" w:line="174" w:lineRule="exact"/>
        <w:rPr>
          <w:rFonts w:ascii="Arial" w:cs="Arial" w:eastAsia="Arial" w:hAnsi="Arial"/>
          <w:sz w:val="22"/>
          <w:szCs w:val="22"/>
          <w:color w:val="auto"/>
        </w:rPr>
      </w:pPr>
    </w:p>
    <w:p>
      <w:pPr>
        <w:jc w:val="both"/>
        <w:ind w:left="740" w:hanging="246"/>
        <w:spacing w:after="0" w:line="246" w:lineRule="auto"/>
        <w:tabs>
          <w:tab w:leader="none" w:pos="740" w:val="left"/>
        </w:tabs>
        <w:numPr>
          <w:ilvl w:val="0"/>
          <w:numId w:val="77"/>
        </w:numPr>
        <w:rPr>
          <w:rFonts w:ascii="Arial" w:cs="Arial" w:eastAsia="Arial" w:hAnsi="Arial"/>
          <w:sz w:val="22"/>
          <w:szCs w:val="22"/>
          <w:color w:val="auto"/>
        </w:rPr>
      </w:pPr>
      <w:r>
        <w:rPr>
          <w:rFonts w:ascii="Arial" w:cs="Arial" w:eastAsia="Arial" w:hAnsi="Arial"/>
          <w:sz w:val="22"/>
          <w:szCs w:val="22"/>
          <w:color w:val="auto"/>
        </w:rPr>
        <w:t>for purposes of the Shareholder Value Award, the Grantee’s employment will be considered terminated as of the date he or she is no longer actively providing services to Lilly or a subsidiary of Lilly and the Grantee’s right, if any, to earn and be paid any portion of the Shareholder Value Award after such termination of employment or services (regardless of the reason for such termination and whether or not such termination is later found to be invalid or in breach of employment laws in the jurisdiction where the Grantee is employed or the terms of the Grantee's employment agreement, if any) will be measured by the date the Grantee ceases to actively provide services and will not be extended by any notice period (e.g., active service would not include any contractual notice period or any period of “garden leave” or similar period mandated under employment laws in the jurisdiction where the Grantee is employed or the terms of the Grantee's employment agreement, if any); the Committee shall have the exclusive discretion to determine when the Grantee is no longer actively providing services for purposes of the Shareholder Value Award (including whether the Grantee may still be considered to be actively providing services while on a leave of absence);</w:t>
      </w:r>
    </w:p>
    <w:p>
      <w:pPr>
        <w:spacing w:after="0" w:line="183" w:lineRule="exact"/>
        <w:rPr>
          <w:rFonts w:ascii="Arial" w:cs="Arial" w:eastAsia="Arial" w:hAnsi="Arial"/>
          <w:sz w:val="22"/>
          <w:szCs w:val="22"/>
          <w:color w:val="auto"/>
        </w:rPr>
      </w:pPr>
    </w:p>
    <w:p>
      <w:pPr>
        <w:ind w:left="740" w:hanging="246"/>
        <w:spacing w:after="0" w:line="281" w:lineRule="auto"/>
        <w:tabs>
          <w:tab w:leader="none" w:pos="740" w:val="left"/>
        </w:tabs>
        <w:numPr>
          <w:ilvl w:val="0"/>
          <w:numId w:val="77"/>
        </w:numPr>
        <w:rPr>
          <w:rFonts w:ascii="Arial" w:cs="Arial" w:eastAsia="Arial" w:hAnsi="Arial"/>
          <w:sz w:val="22"/>
          <w:szCs w:val="22"/>
          <w:color w:val="auto"/>
        </w:rPr>
      </w:pPr>
      <w:r>
        <w:rPr>
          <w:rFonts w:ascii="Arial" w:cs="Arial" w:eastAsia="Arial" w:hAnsi="Arial"/>
          <w:sz w:val="22"/>
          <w:szCs w:val="22"/>
          <w:color w:val="auto"/>
        </w:rPr>
        <w:t>the Grantee is solely responsible for investigating and complying with any laws applicable to him or her in connection with the Shareholder Value Award; and</w:t>
      </w:r>
    </w:p>
    <w:p>
      <w:pPr>
        <w:sectPr>
          <w:pgSz w:w="11900" w:h="16838" w:orient="portrait"/>
          <w:cols w:equalWidth="0" w:num="1">
            <w:col w:w="11420"/>
          </w:cols>
          <w:pgMar w:left="240" w:top="382" w:right="239" w:bottom="1440" w:gutter="0" w:footer="0" w:header="0"/>
        </w:sect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Page 9</w:t>
      </w:r>
    </w:p>
    <w:p>
      <w:pPr>
        <w:sectPr>
          <w:pgSz w:w="11900" w:h="16838" w:orient="portrait"/>
          <w:cols w:equalWidth="0" w:num="1">
            <w:col w:w="11420"/>
          </w:cols>
          <w:pgMar w:left="240" w:top="382" w:right="239" w:bottom="1440" w:gutter="0" w:footer="0" w:header="0"/>
          <w:type w:val="continuous"/>
        </w:sectPr>
      </w:pPr>
    </w:p>
    <w:bookmarkStart w:id="127" w:name="page128"/>
    <w:bookmarkEnd w:id="127"/>
    <w:p>
      <w:pPr>
        <w:spacing w:after="0"/>
        <w:rPr>
          <w:sz w:val="20"/>
          <w:szCs w:val="20"/>
          <w:color w:val="auto"/>
        </w:rPr>
      </w:pPr>
      <w:r>
        <w:rPr>
          <w:rFonts w:ascii="Times New Roman" w:cs="Times New Roman" w:eastAsia="Times New Roman" w:hAnsi="Times New Roman"/>
          <w:sz w:val="22"/>
          <w:szCs w:val="22"/>
          <w:color w:val="auto"/>
        </w:rPr>
        <w:t>Eli Lilly and Company Shareholder Value Award</w:t>
      </w:r>
    </w:p>
    <w:p>
      <w:pPr>
        <w:spacing w:after="0" w:line="200" w:lineRule="exact"/>
        <w:rPr>
          <w:sz w:val="20"/>
          <w:szCs w:val="20"/>
          <w:color w:val="auto"/>
        </w:rPr>
      </w:pPr>
    </w:p>
    <w:p>
      <w:pPr>
        <w:spacing w:after="0" w:line="296" w:lineRule="exact"/>
        <w:rPr>
          <w:sz w:val="20"/>
          <w:szCs w:val="20"/>
          <w:color w:val="auto"/>
        </w:rPr>
      </w:pPr>
    </w:p>
    <w:p>
      <w:pPr>
        <w:jc w:val="both"/>
        <w:ind w:left="740" w:hanging="242"/>
        <w:spacing w:after="0" w:line="262" w:lineRule="auto"/>
        <w:rPr>
          <w:sz w:val="20"/>
          <w:szCs w:val="20"/>
          <w:color w:val="auto"/>
        </w:rPr>
      </w:pPr>
      <w:r>
        <w:rPr>
          <w:rFonts w:ascii="Arial" w:cs="Arial" w:eastAsia="Arial" w:hAnsi="Arial"/>
          <w:sz w:val="22"/>
          <w:szCs w:val="22"/>
          <w:color w:val="auto"/>
        </w:rPr>
        <w:t>m.the Company has communicated share ownership guidelines that apply to the Grantee, and the Grantee understands and agrees that those guidelines may impact any Performance Shares subject to, or issued pursuant to, the Shareholder Value Award;</w:t>
      </w:r>
    </w:p>
    <w:p>
      <w:pPr>
        <w:spacing w:after="0" w:line="14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3"/>
          <w:szCs w:val="23"/>
          <w:b w:val="1"/>
          <w:bCs w:val="1"/>
          <w:color w:val="auto"/>
        </w:rPr>
        <w:t>Section 19. No Advice Regarding Grant</w:t>
      </w:r>
    </w:p>
    <w:p>
      <w:pPr>
        <w:spacing w:after="0" w:line="75" w:lineRule="exact"/>
        <w:rPr>
          <w:sz w:val="20"/>
          <w:szCs w:val="20"/>
          <w:color w:val="auto"/>
        </w:rPr>
      </w:pPr>
    </w:p>
    <w:p>
      <w:pPr>
        <w:jc w:val="both"/>
        <w:ind w:left="500"/>
        <w:spacing w:after="0" w:line="256" w:lineRule="auto"/>
        <w:rPr>
          <w:sz w:val="20"/>
          <w:szCs w:val="20"/>
          <w:color w:val="auto"/>
        </w:rPr>
      </w:pPr>
      <w:r>
        <w:rPr>
          <w:rFonts w:ascii="Arial" w:cs="Arial" w:eastAsia="Arial" w:hAnsi="Arial"/>
          <w:sz w:val="22"/>
          <w:szCs w:val="22"/>
          <w:color w:val="auto"/>
        </w:rPr>
        <w:t>Lilly is not providing any tax, legal or financial advice, nor is Lilly making any recommendations regarding the Grantee’s participation in the 2002 Plan, or the Grantee’s acquisition or sale of the underlying Performance Shares. The Grantee is hereby advised to consult with his or her own personal tax, legal and financial advisors regarding the Grantee’s participation in the 2002 Plan before taking any action related to the 2002 Plan.</w:t>
      </w:r>
    </w:p>
    <w:p>
      <w:pPr>
        <w:spacing w:after="0" w:line="1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3"/>
          <w:szCs w:val="23"/>
          <w:b w:val="1"/>
          <w:bCs w:val="1"/>
          <w:color w:val="auto"/>
        </w:rPr>
        <w:t>Section 20. Data Privacy</w:t>
      </w:r>
    </w:p>
    <w:p>
      <w:pPr>
        <w:spacing w:after="0" w:line="79" w:lineRule="exact"/>
        <w:rPr>
          <w:sz w:val="20"/>
          <w:szCs w:val="20"/>
          <w:color w:val="auto"/>
        </w:rPr>
      </w:pPr>
    </w:p>
    <w:p>
      <w:pPr>
        <w:jc w:val="both"/>
        <w:ind w:left="400"/>
        <w:spacing w:after="0" w:line="255" w:lineRule="auto"/>
        <w:rPr>
          <w:sz w:val="20"/>
          <w:szCs w:val="20"/>
          <w:color w:val="auto"/>
        </w:rPr>
      </w:pPr>
      <w:r>
        <w:rPr>
          <w:rFonts w:ascii="Arial" w:cs="Arial" w:eastAsia="Arial" w:hAnsi="Arial"/>
          <w:sz w:val="22"/>
          <w:szCs w:val="22"/>
          <w:i w:val="1"/>
          <w:iCs w:val="1"/>
          <w:color w:val="auto"/>
        </w:rPr>
        <w:t>The Grantee hereby explicitly and unambiguously consents to the collection, use and transfer, in electronic or other form, of the Grantee’s personal data as described in this Shareholder Value Award and any other Award materials by and among, as applicable, the Employer, Lilly, its subsidiaries and its affiliates for the exclusive purpose of implementing, administering and managing the Grantee’s participation in the 2002 Plan.</w:t>
      </w:r>
    </w:p>
    <w:p>
      <w:pPr>
        <w:spacing w:after="0" w:line="167" w:lineRule="exact"/>
        <w:rPr>
          <w:sz w:val="20"/>
          <w:szCs w:val="20"/>
          <w:color w:val="auto"/>
        </w:rPr>
      </w:pPr>
    </w:p>
    <w:p>
      <w:pPr>
        <w:jc w:val="both"/>
        <w:ind w:left="400"/>
        <w:spacing w:after="0" w:line="250" w:lineRule="auto"/>
        <w:rPr>
          <w:sz w:val="20"/>
          <w:szCs w:val="20"/>
          <w:color w:val="auto"/>
        </w:rPr>
      </w:pPr>
      <w:r>
        <w:rPr>
          <w:rFonts w:ascii="Arial" w:cs="Arial" w:eastAsia="Arial" w:hAnsi="Arial"/>
          <w:sz w:val="22"/>
          <w:szCs w:val="22"/>
          <w:i w:val="1"/>
          <w:iCs w:val="1"/>
          <w:color w:val="auto"/>
        </w:rPr>
        <w:t>The Grantee understands that Lilly and the Employer may hold certain personal information about the Grantee, including, but not limited to, the Grantee’s name, home address and telephone number, date of birth, social insurance number or other identification number, salary, nationality, job title, any shares of stock or directorships held in Lilly, details of all Shareholder Value Awards or any other entitlement to shares of stock awarded, canceled, vested, unvested or outstanding in the Grantee’s favor, for the purpose of implementing, administering and managing the 2002 Plan (“Data”).</w:t>
      </w:r>
    </w:p>
    <w:p>
      <w:pPr>
        <w:spacing w:after="0" w:line="175" w:lineRule="exact"/>
        <w:rPr>
          <w:sz w:val="20"/>
          <w:szCs w:val="20"/>
          <w:color w:val="auto"/>
        </w:rPr>
      </w:pPr>
    </w:p>
    <w:p>
      <w:pPr>
        <w:jc w:val="both"/>
        <w:ind w:left="400"/>
        <w:spacing w:after="0" w:line="245" w:lineRule="auto"/>
        <w:rPr>
          <w:sz w:val="20"/>
          <w:szCs w:val="20"/>
          <w:color w:val="auto"/>
        </w:rPr>
      </w:pPr>
      <w:r>
        <w:rPr>
          <w:rFonts w:ascii="Arial" w:cs="Arial" w:eastAsia="Arial" w:hAnsi="Arial"/>
          <w:sz w:val="22"/>
          <w:szCs w:val="22"/>
          <w:i w:val="1"/>
          <w:iCs w:val="1"/>
          <w:color w:val="auto"/>
        </w:rPr>
        <w:t>The Grantee understands that Data will be transferred to Merrill Lynch, KPMG and/or any other stock plan service provider or tax or legal advisor as may be selected by Lilly in the future, which is assisting in the implementation, administration and management of the 2002 Plan. The Grantee understands that these recipients may be located in the Grantee’s country, or elsewhere, and that the recipient’s country may have different data privacy laws and protections than the Grantee’s country. The Grantee authorizes the recipients to receive, possess, use, retain and transfer the Data, in electronic or other form, for the sole purpose of implementing, administering and managing the Grantee’s participation in the 2002 Plan, including any requisite transfer of such Data as may be required to a broker, escrow agent or other third party with whom any shares or cash received pursuant to the Award may be deposited. The Grantee understands that Data will be held only as long as is necessary to implement, administer and manage the Grantee’s participation in the 2002 Plan. The Grantee understands that the Grantee may, at any time, request an equity award transaction statement, request any necessary amendments to Data or refuse or withdraw the consents herein, in any case without cost, by contacting in writing the Grantee’s local human resources representative. Further, the Grantee understands that he or she is providing the consents herein on a purely voluntary basis. If the Grantee does not consent, or if the Grantee later seeks to revoke his or her consent, the Grantee’s employment status or service and career with the Employer will not be adversely affected; the only consequence of refusing or withdrawing the Grantee’s consent is that the Company would not be able to grant the Grantee the Shareholder Value Award or other equity awards or administer or maintain such awards. Therefore, the Grantee understands that refusal or withdrawal of consent may affect the Grantee’s ability to participate in the 2002 Plan. For more information on the consequences of the Grantee’s refusal to consent or withdrawal of consent, the Grantee understands that the Grantee may contact the Grantee’s local human resources representative.</w:t>
      </w:r>
    </w:p>
    <w:p>
      <w:pPr>
        <w:spacing w:after="0" w:line="16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3"/>
          <w:szCs w:val="23"/>
          <w:b w:val="1"/>
          <w:bCs w:val="1"/>
          <w:color w:val="auto"/>
        </w:rPr>
        <w:t>Section 21. Effective Date</w:t>
      </w:r>
    </w:p>
    <w:p>
      <w:pPr>
        <w:spacing w:after="0" w:line="75" w:lineRule="exact"/>
        <w:rPr>
          <w:sz w:val="20"/>
          <w:szCs w:val="20"/>
          <w:color w:val="auto"/>
        </w:rPr>
      </w:pPr>
    </w:p>
    <w:p>
      <w:pPr>
        <w:ind w:left="420"/>
        <w:spacing w:after="0"/>
        <w:rPr>
          <w:sz w:val="20"/>
          <w:szCs w:val="20"/>
          <w:color w:val="auto"/>
        </w:rPr>
      </w:pPr>
      <w:r>
        <w:rPr>
          <w:rFonts w:ascii="Arial" w:cs="Arial" w:eastAsia="Arial" w:hAnsi="Arial"/>
          <w:sz w:val="22"/>
          <w:szCs w:val="22"/>
          <w:color w:val="auto"/>
        </w:rPr>
        <w:t>The effective date of this instrument shall be the date of grant.</w:t>
      </w:r>
    </w:p>
    <w:p>
      <w:pPr>
        <w:sectPr>
          <w:pgSz w:w="11900" w:h="16838" w:orient="portrait"/>
          <w:cols w:equalWidth="0" w:num="1">
            <w:col w:w="11420"/>
          </w:cols>
          <w:pgMar w:left="240" w:top="382" w:right="239" w:bottom="1440" w:gutter="0" w:footer="0" w:header="0"/>
        </w:sect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Page 10</w:t>
      </w:r>
    </w:p>
    <w:p>
      <w:pPr>
        <w:sectPr>
          <w:pgSz w:w="11900" w:h="16838" w:orient="portrait"/>
          <w:cols w:equalWidth="0" w:num="1">
            <w:col w:w="11420"/>
          </w:cols>
          <w:pgMar w:left="240" w:top="382" w:right="239" w:bottom="1440" w:gutter="0" w:footer="0" w:header="0"/>
          <w:type w:val="continuous"/>
        </w:sectPr>
      </w:pPr>
    </w:p>
    <w:bookmarkStart w:id="128" w:name="page129"/>
    <w:bookmarkEnd w:id="128"/>
    <w:p>
      <w:pPr>
        <w:spacing w:after="0"/>
        <w:rPr>
          <w:sz w:val="20"/>
          <w:szCs w:val="20"/>
          <w:color w:val="auto"/>
        </w:rPr>
      </w:pPr>
      <w:r>
        <w:rPr>
          <w:rFonts w:ascii="Times New Roman" w:cs="Times New Roman" w:eastAsia="Times New Roman" w:hAnsi="Times New Roman"/>
          <w:sz w:val="22"/>
          <w:szCs w:val="22"/>
          <w:color w:val="auto"/>
        </w:rPr>
        <w:t>Eli Lilly and Company Shareholder Value Award</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3"/>
          <w:szCs w:val="23"/>
          <w:b w:val="1"/>
          <w:bCs w:val="1"/>
          <w:color w:val="auto"/>
        </w:rPr>
        <w:t>Section 22. Governing Law and Choice of Venue</w:t>
      </w:r>
    </w:p>
    <w:p>
      <w:pPr>
        <w:spacing w:after="0" w:line="75" w:lineRule="exact"/>
        <w:rPr>
          <w:sz w:val="20"/>
          <w:szCs w:val="20"/>
          <w:color w:val="auto"/>
        </w:rPr>
      </w:pPr>
    </w:p>
    <w:p>
      <w:pPr>
        <w:jc w:val="both"/>
        <w:ind w:left="420"/>
        <w:spacing w:after="0" w:line="251" w:lineRule="auto"/>
        <w:rPr>
          <w:sz w:val="20"/>
          <w:szCs w:val="20"/>
          <w:color w:val="auto"/>
        </w:rPr>
      </w:pPr>
      <w:r>
        <w:rPr>
          <w:rFonts w:ascii="Arial" w:cs="Arial" w:eastAsia="Arial" w:hAnsi="Arial"/>
          <w:sz w:val="22"/>
          <w:szCs w:val="22"/>
          <w:color w:val="auto"/>
        </w:rPr>
        <w:t>The validity and construction of this Shareholder Value Award shall be governed by the laws of the State of Indiana, U.S.A. without regard to laws that might cause other law to govern under applicable principles of conflict of laws. For purposes of litigating any dispute that arises under this Shareholder Value Award, the parties hereby submit to and consent to the jurisdiction of the State of Indiana, and agree that such litigation shall be conducted in the courts of Marion County, Indiana, or the federal courts for the United States for the Southern District of Indiana</w:t>
      </w:r>
      <w:r>
        <w:rPr>
          <w:rFonts w:ascii="Arial" w:cs="Arial" w:eastAsia="Arial" w:hAnsi="Arial"/>
          <w:sz w:val="22"/>
          <w:szCs w:val="22"/>
          <w:b w:val="1"/>
          <w:bCs w:val="1"/>
          <w:color w:val="auto"/>
        </w:rPr>
        <w:t>,</w:t>
      </w:r>
      <w:r>
        <w:rPr>
          <w:rFonts w:ascii="Arial" w:cs="Arial" w:eastAsia="Arial" w:hAnsi="Arial"/>
          <w:sz w:val="22"/>
          <w:szCs w:val="22"/>
          <w:color w:val="auto"/>
        </w:rPr>
        <w:t xml:space="preserve"> and no other courts, where this Shareholder Value Award is granted and/or to be performed.</w:t>
      </w:r>
    </w:p>
    <w:p>
      <w:pPr>
        <w:spacing w:after="0" w:line="15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3"/>
          <w:szCs w:val="23"/>
          <w:b w:val="1"/>
          <w:bCs w:val="1"/>
          <w:color w:val="auto"/>
        </w:rPr>
        <w:t>Section 23. Language</w:t>
      </w:r>
    </w:p>
    <w:p>
      <w:pPr>
        <w:spacing w:after="0" w:line="75" w:lineRule="exact"/>
        <w:rPr>
          <w:sz w:val="20"/>
          <w:szCs w:val="20"/>
          <w:color w:val="auto"/>
        </w:rPr>
      </w:pPr>
    </w:p>
    <w:p>
      <w:pPr>
        <w:jc w:val="both"/>
        <w:ind w:left="400"/>
        <w:spacing w:after="0" w:line="262" w:lineRule="auto"/>
        <w:rPr>
          <w:sz w:val="20"/>
          <w:szCs w:val="20"/>
          <w:color w:val="auto"/>
        </w:rPr>
      </w:pPr>
      <w:r>
        <w:rPr>
          <w:rFonts w:ascii="Arial" w:cs="Arial" w:eastAsia="Arial" w:hAnsi="Arial"/>
          <w:sz w:val="22"/>
          <w:szCs w:val="22"/>
          <w:color w:val="auto"/>
        </w:rPr>
        <w:t>If the Grantee has received this instrument or any other document related to the 2002 Plan translated into a language other than English and if the meaning of the translated version is different than the English version, the English version will control.</w:t>
      </w:r>
    </w:p>
    <w:p>
      <w:pPr>
        <w:spacing w:after="0" w:line="14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3"/>
          <w:szCs w:val="23"/>
          <w:b w:val="1"/>
          <w:bCs w:val="1"/>
          <w:color w:val="auto"/>
        </w:rPr>
        <w:t>Section 24. Imposition of Other Requirements</w:t>
      </w:r>
    </w:p>
    <w:p>
      <w:pPr>
        <w:spacing w:after="0" w:line="75" w:lineRule="exact"/>
        <w:rPr>
          <w:sz w:val="20"/>
          <w:szCs w:val="20"/>
          <w:color w:val="auto"/>
        </w:rPr>
      </w:pPr>
    </w:p>
    <w:p>
      <w:pPr>
        <w:jc w:val="both"/>
        <w:ind w:left="400"/>
        <w:spacing w:after="0" w:line="262" w:lineRule="auto"/>
        <w:rPr>
          <w:sz w:val="20"/>
          <w:szCs w:val="20"/>
          <w:color w:val="auto"/>
        </w:rPr>
      </w:pPr>
      <w:r>
        <w:rPr>
          <w:rFonts w:ascii="Arial" w:cs="Arial" w:eastAsia="Arial" w:hAnsi="Arial"/>
          <w:sz w:val="22"/>
          <w:szCs w:val="22"/>
          <w:color w:val="auto"/>
        </w:rPr>
        <w:t>If the Grantee relocates to another country, any special terms and conditions applicable to Shareholder Value Awards granted in such country will apply to the Grantee, to the extent the Company determines that the application of such terms and conditions is necessary or advisable for legal or administrative reasons.</w:t>
      </w:r>
    </w:p>
    <w:p>
      <w:pPr>
        <w:spacing w:after="0" w:line="157" w:lineRule="exact"/>
        <w:rPr>
          <w:sz w:val="20"/>
          <w:szCs w:val="20"/>
          <w:color w:val="auto"/>
        </w:rPr>
      </w:pPr>
    </w:p>
    <w:p>
      <w:pPr>
        <w:jc w:val="both"/>
        <w:ind w:left="400"/>
        <w:spacing w:after="0" w:line="256" w:lineRule="auto"/>
        <w:rPr>
          <w:sz w:val="20"/>
          <w:szCs w:val="20"/>
          <w:color w:val="auto"/>
        </w:rPr>
      </w:pPr>
      <w:r>
        <w:rPr>
          <w:rFonts w:ascii="Arial" w:cs="Arial" w:eastAsia="Arial" w:hAnsi="Arial"/>
          <w:sz w:val="22"/>
          <w:szCs w:val="22"/>
          <w:color w:val="auto"/>
        </w:rPr>
        <w:t>In addition, the Company reserves the right to impose other requirements on the Shareholder Value Award and any Performance Shares acquired under the 2002 Plan, to the extent the Company determines it is necessary or advisable for legal or administrative reasons, and to require the Grantee to execute any additional agreements or undertakings that may be necessary to accomplish the foregoing.</w:t>
      </w:r>
    </w:p>
    <w:p>
      <w:pPr>
        <w:spacing w:after="0" w:line="1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3"/>
          <w:szCs w:val="23"/>
          <w:b w:val="1"/>
          <w:bCs w:val="1"/>
          <w:color w:val="auto"/>
        </w:rPr>
        <w:t>Section 25. Award Subject to Acknowledgement of Acceptance</w:t>
      </w:r>
    </w:p>
    <w:p>
      <w:pPr>
        <w:spacing w:after="0" w:line="75" w:lineRule="exact"/>
        <w:rPr>
          <w:sz w:val="20"/>
          <w:szCs w:val="20"/>
          <w:color w:val="auto"/>
        </w:rPr>
      </w:pPr>
    </w:p>
    <w:p>
      <w:pPr>
        <w:jc w:val="both"/>
        <w:ind w:left="400"/>
        <w:spacing w:after="0" w:line="253" w:lineRule="auto"/>
        <w:rPr>
          <w:sz w:val="20"/>
          <w:szCs w:val="20"/>
          <w:color w:val="auto"/>
        </w:rPr>
      </w:pPr>
      <w:r>
        <w:rPr>
          <w:rFonts w:ascii="Arial" w:cs="Arial" w:eastAsia="Arial" w:hAnsi="Arial"/>
          <w:sz w:val="22"/>
          <w:szCs w:val="22"/>
          <w:color w:val="auto"/>
        </w:rPr>
        <w:t>Notwithstanding any provisions of this instrument, the Shareholder Value Award is subject to acknowledgement of acceptance by the Grantee prior to 4:00 PM (EDT) April 30, 2016, through the website of Merrill Lynch, the Company’s stock plan administrator. If the Grantee does not acknowledge acceptance of the Award prior to 4:00 PM (EDT) April 30, 2016, the Shareholder Value Award will be cancelled, subject to the Committee’s discretion for unforeseen circumstances.</w:t>
      </w:r>
    </w:p>
    <w:p>
      <w:pPr>
        <w:spacing w:after="0" w:line="15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3"/>
          <w:szCs w:val="23"/>
          <w:b w:val="1"/>
          <w:bCs w:val="1"/>
          <w:color w:val="auto"/>
        </w:rPr>
        <w:t>Section 26. Compensation Recovery</w:t>
      </w:r>
    </w:p>
    <w:p>
      <w:pPr>
        <w:spacing w:after="0" w:line="75" w:lineRule="exact"/>
        <w:rPr>
          <w:sz w:val="20"/>
          <w:szCs w:val="20"/>
          <w:color w:val="auto"/>
        </w:rPr>
      </w:pPr>
    </w:p>
    <w:p>
      <w:pPr>
        <w:jc w:val="both"/>
        <w:ind w:left="420"/>
        <w:spacing w:after="0" w:line="256" w:lineRule="auto"/>
        <w:rPr>
          <w:sz w:val="20"/>
          <w:szCs w:val="20"/>
          <w:color w:val="auto"/>
        </w:rPr>
      </w:pPr>
      <w:r>
        <w:rPr>
          <w:rFonts w:ascii="Arial" w:cs="Arial" w:eastAsia="Arial" w:hAnsi="Arial"/>
          <w:sz w:val="22"/>
          <w:szCs w:val="22"/>
          <w:color w:val="auto"/>
        </w:rPr>
        <w:t>At any time during the three years following the date on which the number of Performance Shares subject to the Shareholder Value Award has been determined under Section 4 above, the Company reserves the right to and, in appropriate cases, will seek restitution of all or part of any shares of Lilly stock that have been issued or cash that has been paid pursuant to this Shareholder Value Award if:</w:t>
      </w:r>
    </w:p>
    <w:p>
      <w:pPr>
        <w:spacing w:after="0" w:line="163" w:lineRule="exact"/>
        <w:rPr>
          <w:sz w:val="20"/>
          <w:szCs w:val="20"/>
          <w:color w:val="auto"/>
        </w:rPr>
      </w:pPr>
    </w:p>
    <w:p>
      <w:pPr>
        <w:jc w:val="both"/>
        <w:ind w:left="980" w:hanging="485"/>
        <w:spacing w:after="0" w:line="262" w:lineRule="auto"/>
        <w:rPr>
          <w:sz w:val="20"/>
          <w:szCs w:val="20"/>
          <w:color w:val="auto"/>
        </w:rPr>
      </w:pPr>
      <w:r>
        <w:rPr>
          <w:rFonts w:ascii="Arial" w:cs="Arial" w:eastAsia="Arial" w:hAnsi="Arial"/>
          <w:sz w:val="22"/>
          <w:szCs w:val="22"/>
          <w:color w:val="auto"/>
        </w:rPr>
        <w:t>a. (i) the number of Performance Shares or the amount of the cash payment was calculated based, directly or indirectly, upon the achievement of financial results that were subsequently the subject of restatement of all or a portion of the Company’s financial statements;</w:t>
      </w:r>
    </w:p>
    <w:p>
      <w:pPr>
        <w:spacing w:after="0" w:line="157" w:lineRule="exact"/>
        <w:rPr>
          <w:sz w:val="20"/>
          <w:szCs w:val="20"/>
          <w:color w:val="auto"/>
        </w:rPr>
      </w:pPr>
    </w:p>
    <w:p>
      <w:pPr>
        <w:ind w:left="1060" w:hanging="323"/>
        <w:spacing w:after="0" w:line="281" w:lineRule="auto"/>
        <w:tabs>
          <w:tab w:leader="none" w:pos="1060" w:val="left"/>
        </w:tabs>
        <w:numPr>
          <w:ilvl w:val="0"/>
          <w:numId w:val="78"/>
        </w:numPr>
        <w:rPr>
          <w:rFonts w:ascii="Arial" w:cs="Arial" w:eastAsia="Arial" w:hAnsi="Arial"/>
          <w:sz w:val="22"/>
          <w:szCs w:val="22"/>
          <w:color w:val="auto"/>
        </w:rPr>
      </w:pPr>
      <w:r>
        <w:rPr>
          <w:rFonts w:ascii="Arial" w:cs="Arial" w:eastAsia="Arial" w:hAnsi="Arial"/>
          <w:sz w:val="22"/>
          <w:szCs w:val="22"/>
          <w:color w:val="auto"/>
        </w:rPr>
        <w:t>the Grantee engaged in intentional misconduct that caused or partially caused the need for such a restatement; and</w:t>
      </w:r>
    </w:p>
    <w:p>
      <w:pPr>
        <w:spacing w:after="0" w:line="136" w:lineRule="exact"/>
        <w:rPr>
          <w:rFonts w:ascii="Arial" w:cs="Arial" w:eastAsia="Arial" w:hAnsi="Arial"/>
          <w:sz w:val="22"/>
          <w:szCs w:val="22"/>
          <w:color w:val="auto"/>
        </w:rPr>
      </w:pPr>
    </w:p>
    <w:p>
      <w:pPr>
        <w:ind w:left="1060" w:hanging="323"/>
        <w:spacing w:after="0" w:line="281" w:lineRule="auto"/>
        <w:tabs>
          <w:tab w:leader="none" w:pos="1060" w:val="left"/>
        </w:tabs>
        <w:numPr>
          <w:ilvl w:val="0"/>
          <w:numId w:val="78"/>
        </w:numPr>
        <w:rPr>
          <w:rFonts w:ascii="Arial" w:cs="Arial" w:eastAsia="Arial" w:hAnsi="Arial"/>
          <w:sz w:val="22"/>
          <w:szCs w:val="22"/>
          <w:color w:val="auto"/>
        </w:rPr>
      </w:pPr>
      <w:r>
        <w:rPr>
          <w:rFonts w:ascii="Arial" w:cs="Arial" w:eastAsia="Arial" w:hAnsi="Arial"/>
          <w:sz w:val="22"/>
          <w:szCs w:val="22"/>
          <w:color w:val="auto"/>
        </w:rPr>
        <w:t>the number of Performance Shares or the amount of cash payment that would have been issued or paid to the Grantee had the financial results been properly reported would have</w:t>
      </w:r>
    </w:p>
    <w:p>
      <w:pPr>
        <w:sectPr>
          <w:pgSz w:w="11900" w:h="16838" w:orient="portrait"/>
          <w:cols w:equalWidth="0" w:num="1">
            <w:col w:w="11420"/>
          </w:cols>
          <w:pgMar w:left="240" w:top="382" w:right="239" w:bottom="1440" w:gutter="0" w:footer="0" w:header="0"/>
        </w:sect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11</w:t>
      </w:r>
    </w:p>
    <w:p>
      <w:pPr>
        <w:sectPr>
          <w:pgSz w:w="11900" w:h="16838" w:orient="portrait"/>
          <w:cols w:equalWidth="0" w:num="1">
            <w:col w:w="11420"/>
          </w:cols>
          <w:pgMar w:left="240" w:top="382" w:right="239" w:bottom="1440" w:gutter="0" w:footer="0" w:header="0"/>
          <w:type w:val="continuous"/>
        </w:sectPr>
      </w:pPr>
    </w:p>
    <w:bookmarkStart w:id="129" w:name="page130"/>
    <w:bookmarkEnd w:id="129"/>
    <w:p>
      <w:pPr>
        <w:spacing w:after="0"/>
        <w:rPr>
          <w:sz w:val="20"/>
          <w:szCs w:val="20"/>
          <w:color w:val="auto"/>
        </w:rPr>
      </w:pPr>
      <w:r>
        <w:rPr>
          <w:rFonts w:ascii="Times New Roman" w:cs="Times New Roman" w:eastAsia="Times New Roman" w:hAnsi="Times New Roman"/>
          <w:sz w:val="22"/>
          <w:szCs w:val="22"/>
          <w:color w:val="auto"/>
        </w:rPr>
        <w:t>Eli Lilly and Company Shareholder Value Award</w:t>
      </w:r>
    </w:p>
    <w:p>
      <w:pPr>
        <w:spacing w:after="0" w:line="200" w:lineRule="exact"/>
        <w:rPr>
          <w:sz w:val="20"/>
          <w:szCs w:val="20"/>
          <w:color w:val="auto"/>
        </w:rPr>
      </w:pPr>
    </w:p>
    <w:p>
      <w:pPr>
        <w:spacing w:after="0" w:line="296" w:lineRule="exact"/>
        <w:rPr>
          <w:sz w:val="20"/>
          <w:szCs w:val="20"/>
          <w:color w:val="auto"/>
        </w:rPr>
      </w:pPr>
    </w:p>
    <w:p>
      <w:pPr>
        <w:ind w:left="1060"/>
        <w:spacing w:after="0"/>
        <w:rPr>
          <w:sz w:val="20"/>
          <w:szCs w:val="20"/>
          <w:color w:val="auto"/>
        </w:rPr>
      </w:pPr>
      <w:r>
        <w:rPr>
          <w:rFonts w:ascii="Arial" w:cs="Arial" w:eastAsia="Arial" w:hAnsi="Arial"/>
          <w:sz w:val="22"/>
          <w:szCs w:val="22"/>
          <w:color w:val="auto"/>
        </w:rPr>
        <w:t>been lower than the number of Performance Shares actually issued or the amount of cash actually paid.</w:t>
      </w:r>
    </w:p>
    <w:p>
      <w:pPr>
        <w:spacing w:after="0" w:line="220" w:lineRule="exact"/>
        <w:rPr>
          <w:sz w:val="20"/>
          <w:szCs w:val="20"/>
          <w:color w:val="auto"/>
        </w:rPr>
      </w:pPr>
    </w:p>
    <w:p>
      <w:pPr>
        <w:jc w:val="both"/>
        <w:ind w:left="740" w:hanging="242"/>
        <w:spacing w:after="0" w:line="262" w:lineRule="auto"/>
        <w:rPr>
          <w:sz w:val="20"/>
          <w:szCs w:val="20"/>
          <w:color w:val="auto"/>
        </w:rPr>
      </w:pPr>
      <w:r>
        <w:rPr>
          <w:rFonts w:ascii="Arial" w:cs="Arial" w:eastAsia="Arial" w:hAnsi="Arial"/>
          <w:sz w:val="22"/>
          <w:szCs w:val="22"/>
          <w:color w:val="auto"/>
        </w:rPr>
        <w:t>b. the Grantee has been determined to have committed a material violation of law or Company policy or to have failed to properly manage or monitor the conduct of an employee who has committed a material violation of law or Company policy whereby, in either case, such conduct causes significant harm to the company.</w:t>
      </w:r>
    </w:p>
    <w:p>
      <w:pPr>
        <w:spacing w:after="0" w:line="157" w:lineRule="exact"/>
        <w:rPr>
          <w:sz w:val="20"/>
          <w:szCs w:val="20"/>
          <w:color w:val="auto"/>
        </w:rPr>
      </w:pPr>
    </w:p>
    <w:p>
      <w:pPr>
        <w:jc w:val="both"/>
        <w:ind w:left="420"/>
        <w:spacing w:after="0" w:line="256" w:lineRule="auto"/>
        <w:rPr>
          <w:sz w:val="20"/>
          <w:szCs w:val="20"/>
          <w:color w:val="auto"/>
        </w:rPr>
      </w:pPr>
      <w:r>
        <w:rPr>
          <w:rFonts w:ascii="Arial" w:cs="Arial" w:eastAsia="Arial" w:hAnsi="Arial"/>
          <w:sz w:val="22"/>
          <w:szCs w:val="22"/>
          <w:color w:val="auto"/>
        </w:rPr>
        <w:t>Furthermore, in the event the number of Performance Shares issued or cash paid pursuant to this Shareholder Value Award is determined to have been based on materially inaccurate financial statements or other Company performance measures or on calculation errors (without any misconduct on the part of the Grantee), the Company reserves the right to and, in appropriate cases, will :</w:t>
      </w:r>
    </w:p>
    <w:p>
      <w:pPr>
        <w:spacing w:after="0" w:line="163" w:lineRule="exact"/>
        <w:rPr>
          <w:sz w:val="20"/>
          <w:szCs w:val="20"/>
          <w:color w:val="auto"/>
        </w:rPr>
      </w:pPr>
    </w:p>
    <w:p>
      <w:pPr>
        <w:jc w:val="both"/>
        <w:ind w:left="740" w:hanging="242"/>
        <w:spacing w:after="0" w:line="256" w:lineRule="auto"/>
        <w:rPr>
          <w:sz w:val="20"/>
          <w:szCs w:val="20"/>
          <w:color w:val="auto"/>
        </w:rPr>
      </w:pPr>
      <w:r>
        <w:rPr>
          <w:rFonts w:ascii="Arial" w:cs="Arial" w:eastAsia="Arial" w:hAnsi="Arial"/>
          <w:sz w:val="22"/>
          <w:szCs w:val="22"/>
          <w:color w:val="auto"/>
        </w:rPr>
        <w:t>a. seek restitution of the Performance Shares or cash paid pursuant to this Shareholder Value Award to the extent that the number of Performance Shares issued or the amount paid exceeded the number of Performance Shares that would have been issued or the amount that would have been paid had the inaccuracy or error not occurred, or</w:t>
      </w:r>
    </w:p>
    <w:p>
      <w:pPr>
        <w:spacing w:after="0" w:line="163" w:lineRule="exact"/>
        <w:rPr>
          <w:sz w:val="20"/>
          <w:szCs w:val="20"/>
          <w:color w:val="auto"/>
        </w:rPr>
      </w:pPr>
    </w:p>
    <w:p>
      <w:pPr>
        <w:jc w:val="both"/>
        <w:ind w:left="740" w:right="20" w:hanging="256"/>
        <w:spacing w:after="0" w:line="281" w:lineRule="auto"/>
        <w:rPr>
          <w:sz w:val="20"/>
          <w:szCs w:val="20"/>
          <w:color w:val="auto"/>
        </w:rPr>
      </w:pPr>
      <w:r>
        <w:rPr>
          <w:rFonts w:ascii="Arial" w:cs="Arial" w:eastAsia="Arial" w:hAnsi="Arial"/>
          <w:sz w:val="22"/>
          <w:szCs w:val="22"/>
          <w:color w:val="auto"/>
        </w:rPr>
        <w:t>b. issue additional Performance Shares or make additional payment to the extent that the number of Performance Shares issued or the amount paid was less than the correct amount,</w:t>
      </w:r>
    </w:p>
    <w:p>
      <w:pPr>
        <w:spacing w:after="0" w:line="137" w:lineRule="exact"/>
        <w:rPr>
          <w:sz w:val="20"/>
          <w:szCs w:val="20"/>
          <w:color w:val="auto"/>
        </w:rPr>
      </w:pPr>
    </w:p>
    <w:p>
      <w:pPr>
        <w:jc w:val="both"/>
        <w:ind w:left="420"/>
        <w:spacing w:after="0" w:line="262" w:lineRule="auto"/>
        <w:rPr>
          <w:sz w:val="20"/>
          <w:szCs w:val="20"/>
          <w:color w:val="auto"/>
        </w:rPr>
      </w:pPr>
      <w:r>
        <w:rPr>
          <w:rFonts w:ascii="Arial" w:cs="Arial" w:eastAsia="Arial" w:hAnsi="Arial"/>
          <w:sz w:val="22"/>
          <w:szCs w:val="22"/>
          <w:color w:val="auto"/>
        </w:rPr>
        <w:t>This Section 26 is not intended to limit the Company’s power to take such action as it deems necessary to remedy any misconduct, prevent its reoccurrence and, if appropriate, based on all relevant facts and circumstances, punish the wrongdoer in a manner it deems appropriate.</w:t>
      </w:r>
    </w:p>
    <w:p>
      <w:pPr>
        <w:spacing w:after="0" w:line="157" w:lineRule="exact"/>
        <w:rPr>
          <w:sz w:val="20"/>
          <w:szCs w:val="20"/>
          <w:color w:val="auto"/>
        </w:rPr>
      </w:pPr>
    </w:p>
    <w:p>
      <w:pPr>
        <w:ind w:left="340"/>
        <w:spacing w:after="0" w:line="281" w:lineRule="auto"/>
        <w:rPr>
          <w:sz w:val="20"/>
          <w:szCs w:val="20"/>
          <w:color w:val="auto"/>
        </w:rPr>
      </w:pPr>
      <w:r>
        <w:rPr>
          <w:rFonts w:ascii="Arial" w:cs="Arial" w:eastAsia="Arial" w:hAnsi="Arial"/>
          <w:sz w:val="22"/>
          <w:szCs w:val="22"/>
          <w:color w:val="auto"/>
        </w:rPr>
        <w:t>IN WITNESS WHEREOF, Lilly has caused this Shareholder Value Award to be executed and granted in Indianapolis, Indiana, by its proper officer.</w:t>
      </w:r>
    </w:p>
    <w:p>
      <w:pPr>
        <w:spacing w:after="0" w:line="18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2"/>
          <w:szCs w:val="22"/>
          <w:color w:val="auto"/>
        </w:rPr>
        <w:t>ELI LILLY AND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3298190</wp:posOffset>
            </wp:positionH>
            <wp:positionV relativeFrom="paragraph">
              <wp:posOffset>173990</wp:posOffset>
            </wp:positionV>
            <wp:extent cx="1646555" cy="44577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646555"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2"/>
          <w:szCs w:val="22"/>
          <w:color w:val="auto"/>
        </w:rPr>
        <w:t>By: ______________________</w:t>
      </w:r>
    </w:p>
    <w:p>
      <w:pPr>
        <w:spacing w:after="0" w:line="2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2"/>
          <w:szCs w:val="22"/>
          <w:color w:val="auto"/>
        </w:rPr>
        <w:t>John C. Lechleiter</w:t>
      </w:r>
    </w:p>
    <w:p>
      <w:pPr>
        <w:spacing w:after="0" w:line="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2"/>
          <w:szCs w:val="22"/>
          <w:color w:val="auto"/>
        </w:rPr>
        <w:t>Chairman of the Board, President and</w:t>
      </w:r>
    </w:p>
    <w:p>
      <w:pPr>
        <w:spacing w:after="0" w:line="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2"/>
          <w:szCs w:val="22"/>
          <w:color w:val="auto"/>
        </w:rPr>
        <w:t>Chief Executive Officer</w:t>
      </w: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Page 12</w:t>
      </w:r>
    </w:p>
    <w:p>
      <w:pPr>
        <w:sectPr>
          <w:pgSz w:w="11900" w:h="16838" w:orient="portrait"/>
          <w:cols w:equalWidth="0" w:num="1">
            <w:col w:w="11420"/>
          </w:cols>
          <w:pgMar w:left="240" w:top="382" w:right="239" w:bottom="1440" w:gutter="0" w:footer="0" w:header="0"/>
        </w:sectPr>
      </w:pPr>
    </w:p>
    <w:bookmarkStart w:id="130" w:name="page131"/>
    <w:bookmarkEnd w:id="130"/>
    <w:p>
      <w:pPr>
        <w:jc w:val="center"/>
        <w:ind w:right="-59"/>
        <w:spacing w:after="0"/>
        <w:rPr>
          <w:sz w:val="20"/>
          <w:szCs w:val="20"/>
          <w:color w:val="auto"/>
        </w:rPr>
      </w:pPr>
      <w:r>
        <w:rPr>
          <w:rFonts w:ascii="Arial" w:cs="Arial" w:eastAsia="Arial" w:hAnsi="Arial"/>
          <w:sz w:val="18"/>
          <w:szCs w:val="18"/>
          <w:color w:val="auto"/>
        </w:rPr>
        <w:t>EXHIBIT 12. Statement Re: Computation of Ratio of Earnings to Fixed Charges</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ELI LILLY AND COMPANY AND SUBSIDIARIES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2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5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Years Ended December 31,</w:t>
            </w:r>
          </w:p>
        </w:tc>
        <w:tc>
          <w:tcPr>
            <w:tcW w:w="86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r>
      <w:tr>
        <w:trPr>
          <w:trHeight w:val="264"/>
        </w:trPr>
        <w:tc>
          <w:tcPr>
            <w:tcW w:w="52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2015</w:t>
            </w:r>
          </w:p>
        </w:tc>
        <w:tc>
          <w:tcPr>
            <w:tcW w:w="3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2014</w:t>
            </w:r>
          </w:p>
        </w:tc>
        <w:tc>
          <w:tcPr>
            <w:tcW w:w="4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2013</w:t>
            </w:r>
          </w:p>
        </w:tc>
        <w:tc>
          <w:tcPr>
            <w:tcW w:w="3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2012</w:t>
            </w:r>
          </w:p>
        </w:tc>
        <w:tc>
          <w:tcPr>
            <w:tcW w:w="3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2011</w:t>
            </w:r>
          </w:p>
        </w:tc>
      </w:tr>
      <w:tr>
        <w:trPr>
          <w:trHeight w:val="247"/>
        </w:trPr>
        <w:tc>
          <w:tcPr>
            <w:tcW w:w="5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340" w:type="dxa"/>
            <w:vAlign w:val="bottom"/>
            <w:gridSpan w:val="2"/>
          </w:tcPr>
          <w:p>
            <w:pPr>
              <w:jc w:val="right"/>
              <w:spacing w:after="0"/>
              <w:rPr>
                <w:sz w:val="20"/>
                <w:szCs w:val="20"/>
                <w:color w:val="auto"/>
              </w:rPr>
            </w:pPr>
            <w:r>
              <w:rPr>
                <w:rFonts w:ascii="Arial" w:cs="Arial" w:eastAsia="Arial" w:hAnsi="Arial"/>
                <w:sz w:val="14"/>
                <w:szCs w:val="14"/>
                <w:color w:val="auto"/>
              </w:rPr>
              <w:t>(Dollars in millions)</w:t>
            </w:r>
          </w:p>
        </w:tc>
        <w:tc>
          <w:tcPr>
            <w:tcW w:w="3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4"/>
        </w:trPr>
        <w:tc>
          <w:tcPr>
            <w:tcW w:w="5200" w:type="dxa"/>
            <w:vAlign w:val="bottom"/>
            <w:shd w:val="clear" w:color="auto" w:fill="D8D8D8"/>
          </w:tcPr>
          <w:p>
            <w:pPr>
              <w:ind w:left="40"/>
              <w:spacing w:after="0"/>
              <w:rPr>
                <w:sz w:val="20"/>
                <w:szCs w:val="20"/>
                <w:color w:val="auto"/>
              </w:rPr>
            </w:pPr>
            <w:r>
              <w:rPr>
                <w:rFonts w:ascii="Arial" w:cs="Arial" w:eastAsia="Arial" w:hAnsi="Arial"/>
                <w:sz w:val="18"/>
                <w:szCs w:val="18"/>
                <w:color w:val="auto"/>
              </w:rPr>
              <w:t>Consolidated pretax income</w:t>
            </w:r>
          </w:p>
        </w:tc>
        <w:tc>
          <w:tcPr>
            <w:tcW w:w="260" w:type="dxa"/>
            <w:vAlign w:val="bottom"/>
            <w:shd w:val="clear" w:color="auto" w:fill="D8D8D8"/>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20" w:type="dxa"/>
            <w:vAlign w:val="bottom"/>
            <w:shd w:val="clear" w:color="auto" w:fill="D8D8D8"/>
          </w:tcPr>
          <w:p>
            <w:pPr>
              <w:jc w:val="right"/>
              <w:ind w:right="53"/>
              <w:spacing w:after="0"/>
              <w:rPr>
                <w:sz w:val="20"/>
                <w:szCs w:val="20"/>
                <w:color w:val="auto"/>
              </w:rPr>
            </w:pPr>
            <w:r>
              <w:rPr>
                <w:rFonts w:ascii="Arial" w:cs="Arial" w:eastAsia="Arial" w:hAnsi="Arial"/>
                <w:sz w:val="18"/>
                <w:szCs w:val="18"/>
                <w:b w:val="1"/>
                <w:bCs w:val="1"/>
                <w:color w:val="auto"/>
              </w:rPr>
              <w:t>2,790.0</w:t>
            </w:r>
          </w:p>
        </w:tc>
        <w:tc>
          <w:tcPr>
            <w:tcW w:w="340" w:type="dxa"/>
            <w:vAlign w:val="bottom"/>
            <w:shd w:val="clear" w:color="auto" w:fill="D8D8D8"/>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shd w:val="clear" w:color="auto" w:fill="D8D8D8"/>
          </w:tcPr>
          <w:p>
            <w:pPr>
              <w:jc w:val="right"/>
              <w:spacing w:after="0"/>
              <w:rPr>
                <w:sz w:val="20"/>
                <w:szCs w:val="20"/>
                <w:color w:val="auto"/>
              </w:rPr>
            </w:pPr>
            <w:r>
              <w:rPr>
                <w:rFonts w:ascii="Arial" w:cs="Arial" w:eastAsia="Arial" w:hAnsi="Arial"/>
                <w:sz w:val="18"/>
                <w:szCs w:val="18"/>
                <w:color w:val="auto"/>
              </w:rPr>
              <w:t>3,000.3</w:t>
            </w:r>
          </w:p>
        </w:tc>
        <w:tc>
          <w:tcPr>
            <w:tcW w:w="400" w:type="dxa"/>
            <w:vAlign w:val="bottom"/>
            <w:shd w:val="clear" w:color="auto" w:fill="D8D8D8"/>
          </w:tcPr>
          <w:p>
            <w:pPr>
              <w:jc w:val="right"/>
              <w:ind w:right="54"/>
              <w:spacing w:after="0"/>
              <w:rPr>
                <w:sz w:val="20"/>
                <w:szCs w:val="20"/>
                <w:color w:val="auto"/>
              </w:rPr>
            </w:pPr>
            <w:r>
              <w:rPr>
                <w:rFonts w:ascii="Arial" w:cs="Arial" w:eastAsia="Arial" w:hAnsi="Arial"/>
                <w:sz w:val="18"/>
                <w:szCs w:val="18"/>
                <w:color w:val="auto"/>
              </w:rPr>
              <w:t>$</w:t>
            </w:r>
          </w:p>
        </w:tc>
        <w:tc>
          <w:tcPr>
            <w:tcW w:w="940" w:type="dxa"/>
            <w:vAlign w:val="bottom"/>
            <w:shd w:val="clear" w:color="auto" w:fill="D8D8D8"/>
          </w:tcPr>
          <w:p>
            <w:pPr>
              <w:jc w:val="right"/>
              <w:ind w:right="93"/>
              <w:spacing w:after="0"/>
              <w:rPr>
                <w:sz w:val="20"/>
                <w:szCs w:val="20"/>
                <w:color w:val="auto"/>
              </w:rPr>
            </w:pPr>
            <w:r>
              <w:rPr>
                <w:rFonts w:ascii="Arial" w:cs="Arial" w:eastAsia="Arial" w:hAnsi="Arial"/>
                <w:sz w:val="18"/>
                <w:szCs w:val="18"/>
                <w:color w:val="auto"/>
              </w:rPr>
              <w:t>5,889.3</w:t>
            </w:r>
          </w:p>
        </w:tc>
        <w:tc>
          <w:tcPr>
            <w:tcW w:w="380" w:type="dxa"/>
            <w:vAlign w:val="bottom"/>
            <w:shd w:val="clear" w:color="auto" w:fill="D8D8D8"/>
          </w:tcPr>
          <w:p>
            <w:pPr>
              <w:jc w:val="right"/>
              <w:ind w:right="130"/>
              <w:spacing w:after="0"/>
              <w:rPr>
                <w:sz w:val="20"/>
                <w:szCs w:val="20"/>
                <w:color w:val="auto"/>
              </w:rPr>
            </w:pPr>
            <w:r>
              <w:rPr>
                <w:rFonts w:ascii="Arial" w:cs="Arial" w:eastAsia="Arial" w:hAnsi="Arial"/>
                <w:sz w:val="18"/>
                <w:szCs w:val="18"/>
                <w:color w:val="auto"/>
              </w:rPr>
              <w:t>$</w:t>
            </w:r>
          </w:p>
        </w:tc>
        <w:tc>
          <w:tcPr>
            <w:tcW w:w="860" w:type="dxa"/>
            <w:vAlign w:val="bottom"/>
            <w:shd w:val="clear" w:color="auto" w:fill="D8D8D8"/>
          </w:tcPr>
          <w:p>
            <w:pPr>
              <w:jc w:val="right"/>
              <w:ind w:right="73"/>
              <w:spacing w:after="0"/>
              <w:rPr>
                <w:sz w:val="20"/>
                <w:szCs w:val="20"/>
                <w:color w:val="auto"/>
              </w:rPr>
            </w:pPr>
            <w:r>
              <w:rPr>
                <w:rFonts w:ascii="Arial" w:cs="Arial" w:eastAsia="Arial" w:hAnsi="Arial"/>
                <w:sz w:val="18"/>
                <w:szCs w:val="18"/>
                <w:color w:val="auto"/>
              </w:rPr>
              <w:t>5,408.2</w:t>
            </w:r>
          </w:p>
        </w:tc>
        <w:tc>
          <w:tcPr>
            <w:tcW w:w="340" w:type="dxa"/>
            <w:vAlign w:val="bottom"/>
            <w:shd w:val="clear" w:color="auto" w:fill="D8D8D8"/>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shd w:val="clear" w:color="auto" w:fill="D8D8D8"/>
          </w:tcPr>
          <w:p>
            <w:pPr>
              <w:jc w:val="right"/>
              <w:ind w:right="13"/>
              <w:spacing w:after="0"/>
              <w:rPr>
                <w:sz w:val="20"/>
                <w:szCs w:val="20"/>
                <w:color w:val="auto"/>
              </w:rPr>
            </w:pPr>
            <w:r>
              <w:rPr>
                <w:rFonts w:ascii="Arial" w:cs="Arial" w:eastAsia="Arial" w:hAnsi="Arial"/>
                <w:sz w:val="18"/>
                <w:szCs w:val="18"/>
                <w:color w:val="auto"/>
              </w:rPr>
              <w:t>5,349.5</w:t>
            </w:r>
          </w:p>
        </w:tc>
      </w:tr>
      <w:tr>
        <w:trPr>
          <w:trHeight w:val="270"/>
        </w:trPr>
        <w:tc>
          <w:tcPr>
            <w:tcW w:w="5200" w:type="dxa"/>
            <w:vAlign w:val="bottom"/>
          </w:tcPr>
          <w:p>
            <w:pPr>
              <w:ind w:left="40"/>
              <w:spacing w:after="0"/>
              <w:rPr>
                <w:sz w:val="20"/>
                <w:szCs w:val="20"/>
                <w:color w:val="auto"/>
              </w:rPr>
            </w:pPr>
            <w:r>
              <w:rPr>
                <w:rFonts w:ascii="Arial" w:cs="Arial" w:eastAsia="Arial" w:hAnsi="Arial"/>
                <w:sz w:val="18"/>
                <w:szCs w:val="18"/>
                <w:color w:val="auto"/>
              </w:rPr>
              <w:t>Interest</w:t>
            </w:r>
            <w:r>
              <w:rPr>
                <w:rFonts w:ascii="Arial" w:cs="Arial" w:eastAsia="Arial" w:hAnsi="Arial"/>
                <w:sz w:val="21"/>
                <w:szCs w:val="21"/>
                <w:color w:val="auto"/>
                <w:vertAlign w:val="superscript"/>
              </w:rPr>
              <w:t>(1)</w:t>
            </w:r>
          </w:p>
        </w:tc>
        <w:tc>
          <w:tcPr>
            <w:tcW w:w="260" w:type="dxa"/>
            <w:vAlign w:val="bottom"/>
          </w:tcPr>
          <w:p>
            <w:pPr>
              <w:spacing w:after="0"/>
              <w:rPr>
                <w:sz w:val="23"/>
                <w:szCs w:val="23"/>
                <w:color w:val="auto"/>
              </w:rPr>
            </w:pPr>
          </w:p>
        </w:tc>
        <w:tc>
          <w:tcPr>
            <w:tcW w:w="920" w:type="dxa"/>
            <w:vAlign w:val="bottom"/>
          </w:tcPr>
          <w:p>
            <w:pPr>
              <w:jc w:val="right"/>
              <w:ind w:right="53"/>
              <w:spacing w:after="0"/>
              <w:rPr>
                <w:sz w:val="20"/>
                <w:szCs w:val="20"/>
                <w:color w:val="auto"/>
              </w:rPr>
            </w:pPr>
            <w:r>
              <w:rPr>
                <w:rFonts w:ascii="Arial" w:cs="Arial" w:eastAsia="Arial" w:hAnsi="Arial"/>
                <w:sz w:val="18"/>
                <w:szCs w:val="18"/>
                <w:b w:val="1"/>
                <w:bCs w:val="1"/>
                <w:color w:val="auto"/>
              </w:rPr>
              <w:t>216.0</w:t>
            </w:r>
          </w:p>
        </w:tc>
        <w:tc>
          <w:tcPr>
            <w:tcW w:w="3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187.1</w:t>
            </w:r>
          </w:p>
        </w:tc>
        <w:tc>
          <w:tcPr>
            <w:tcW w:w="400" w:type="dxa"/>
            <w:vAlign w:val="bottom"/>
          </w:tcPr>
          <w:p>
            <w:pPr>
              <w:spacing w:after="0"/>
              <w:rPr>
                <w:sz w:val="23"/>
                <w:szCs w:val="23"/>
                <w:color w:val="auto"/>
              </w:rPr>
            </w:pPr>
          </w:p>
        </w:tc>
        <w:tc>
          <w:tcPr>
            <w:tcW w:w="940" w:type="dxa"/>
            <w:vAlign w:val="bottom"/>
          </w:tcPr>
          <w:p>
            <w:pPr>
              <w:jc w:val="right"/>
              <w:ind w:right="93"/>
              <w:spacing w:after="0"/>
              <w:rPr>
                <w:sz w:val="20"/>
                <w:szCs w:val="20"/>
                <w:color w:val="auto"/>
              </w:rPr>
            </w:pPr>
            <w:r>
              <w:rPr>
                <w:rFonts w:ascii="Arial" w:cs="Arial" w:eastAsia="Arial" w:hAnsi="Arial"/>
                <w:sz w:val="18"/>
                <w:szCs w:val="18"/>
                <w:color w:val="auto"/>
              </w:rPr>
              <w:t>184.2</w:t>
            </w:r>
          </w:p>
        </w:tc>
        <w:tc>
          <w:tcPr>
            <w:tcW w:w="380" w:type="dxa"/>
            <w:vAlign w:val="bottom"/>
          </w:tcPr>
          <w:p>
            <w:pPr>
              <w:spacing w:after="0"/>
              <w:rPr>
                <w:sz w:val="23"/>
                <w:szCs w:val="23"/>
                <w:color w:val="auto"/>
              </w:rPr>
            </w:pPr>
          </w:p>
        </w:tc>
        <w:tc>
          <w:tcPr>
            <w:tcW w:w="860" w:type="dxa"/>
            <w:vAlign w:val="bottom"/>
          </w:tcPr>
          <w:p>
            <w:pPr>
              <w:jc w:val="right"/>
              <w:ind w:right="73"/>
              <w:spacing w:after="0"/>
              <w:rPr>
                <w:sz w:val="20"/>
                <w:szCs w:val="20"/>
                <w:color w:val="auto"/>
              </w:rPr>
            </w:pPr>
            <w:r>
              <w:rPr>
                <w:rFonts w:ascii="Arial" w:cs="Arial" w:eastAsia="Arial" w:hAnsi="Arial"/>
                <w:sz w:val="18"/>
                <w:szCs w:val="18"/>
                <w:color w:val="auto"/>
              </w:rPr>
              <w:t>198.8</w:t>
            </w:r>
          </w:p>
        </w:tc>
        <w:tc>
          <w:tcPr>
            <w:tcW w:w="340" w:type="dxa"/>
            <w:vAlign w:val="bottom"/>
          </w:tcPr>
          <w:p>
            <w:pPr>
              <w:spacing w:after="0"/>
              <w:rPr>
                <w:sz w:val="23"/>
                <w:szCs w:val="23"/>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211.7</w:t>
            </w:r>
          </w:p>
        </w:tc>
      </w:tr>
      <w:tr>
        <w:trPr>
          <w:trHeight w:val="270"/>
        </w:trPr>
        <w:tc>
          <w:tcPr>
            <w:tcW w:w="5200" w:type="dxa"/>
            <w:vAlign w:val="bottom"/>
            <w:shd w:val="clear" w:color="auto" w:fill="D8D8D8"/>
          </w:tcPr>
          <w:p>
            <w:pPr>
              <w:ind w:left="40"/>
              <w:spacing w:after="0"/>
              <w:rPr>
                <w:sz w:val="20"/>
                <w:szCs w:val="20"/>
                <w:color w:val="auto"/>
              </w:rPr>
            </w:pPr>
            <w:r>
              <w:rPr>
                <w:rFonts w:ascii="Arial" w:cs="Arial" w:eastAsia="Arial" w:hAnsi="Arial"/>
                <w:sz w:val="18"/>
                <w:szCs w:val="18"/>
                <w:color w:val="auto"/>
              </w:rPr>
              <w:t>Less interest capitalized during the period</w:t>
            </w:r>
          </w:p>
        </w:tc>
        <w:tc>
          <w:tcPr>
            <w:tcW w:w="260" w:type="dxa"/>
            <w:vAlign w:val="bottom"/>
            <w:tcBorders>
              <w:bottom w:val="single" w:sz="8" w:color="auto"/>
            </w:tcBorders>
            <w:shd w:val="clear" w:color="auto" w:fill="D8D8D8"/>
          </w:tcPr>
          <w:p>
            <w:pPr>
              <w:spacing w:after="0"/>
              <w:rPr>
                <w:sz w:val="23"/>
                <w:szCs w:val="23"/>
                <w:color w:val="auto"/>
              </w:rPr>
            </w:pPr>
          </w:p>
        </w:tc>
        <w:tc>
          <w:tcPr>
            <w:tcW w:w="92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b w:val="1"/>
                <w:bCs w:val="1"/>
                <w:color w:val="auto"/>
              </w:rPr>
              <w:t>(54.8)</w:t>
            </w:r>
          </w:p>
        </w:tc>
        <w:tc>
          <w:tcPr>
            <w:tcW w:w="340" w:type="dxa"/>
            <w:vAlign w:val="bottom"/>
            <w:tcBorders>
              <w:bottom w:val="single" w:sz="8" w:color="auto"/>
            </w:tcBorders>
            <w:shd w:val="clear" w:color="auto" w:fill="D8D8D8"/>
          </w:tcPr>
          <w:p>
            <w:pPr>
              <w:spacing w:after="0"/>
              <w:rPr>
                <w:sz w:val="23"/>
                <w:szCs w:val="23"/>
                <w:color w:val="auto"/>
              </w:rPr>
            </w:pPr>
          </w:p>
        </w:tc>
        <w:tc>
          <w:tcPr>
            <w:tcW w:w="86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(38.3)</w:t>
            </w:r>
          </w:p>
        </w:tc>
        <w:tc>
          <w:tcPr>
            <w:tcW w:w="400" w:type="dxa"/>
            <w:vAlign w:val="bottom"/>
            <w:tcBorders>
              <w:bottom w:val="single" w:sz="8" w:color="auto"/>
            </w:tcBorders>
            <w:shd w:val="clear" w:color="auto" w:fill="D8D8D8"/>
          </w:tcPr>
          <w:p>
            <w:pPr>
              <w:spacing w:after="0"/>
              <w:rPr>
                <w:sz w:val="23"/>
                <w:szCs w:val="23"/>
                <w:color w:val="auto"/>
              </w:rPr>
            </w:pPr>
          </w:p>
        </w:tc>
        <w:tc>
          <w:tcPr>
            <w:tcW w:w="940" w:type="dxa"/>
            <w:vAlign w:val="bottom"/>
            <w:tcBorders>
              <w:bottom w:val="single" w:sz="8" w:color="auto"/>
            </w:tcBorders>
            <w:shd w:val="clear" w:color="auto" w:fill="D8D8D8"/>
          </w:tcPr>
          <w:p>
            <w:pPr>
              <w:jc w:val="right"/>
              <w:ind w:right="33"/>
              <w:spacing w:after="0"/>
              <w:rPr>
                <w:sz w:val="20"/>
                <w:szCs w:val="20"/>
                <w:color w:val="auto"/>
              </w:rPr>
            </w:pPr>
            <w:r>
              <w:rPr>
                <w:rFonts w:ascii="Arial" w:cs="Arial" w:eastAsia="Arial" w:hAnsi="Arial"/>
                <w:sz w:val="18"/>
                <w:szCs w:val="18"/>
                <w:color w:val="auto"/>
              </w:rPr>
              <w:t>(24.1)</w:t>
            </w:r>
          </w:p>
        </w:tc>
        <w:tc>
          <w:tcPr>
            <w:tcW w:w="380" w:type="dxa"/>
            <w:vAlign w:val="bottom"/>
            <w:tcBorders>
              <w:bottom w:val="single" w:sz="8" w:color="auto"/>
            </w:tcBorders>
            <w:shd w:val="clear" w:color="auto" w:fill="D8D8D8"/>
          </w:tcPr>
          <w:p>
            <w:pPr>
              <w:spacing w:after="0"/>
              <w:rPr>
                <w:sz w:val="23"/>
                <w:szCs w:val="23"/>
                <w:color w:val="auto"/>
              </w:rPr>
            </w:pPr>
          </w:p>
        </w:tc>
        <w:tc>
          <w:tcPr>
            <w:tcW w:w="860" w:type="dxa"/>
            <w:vAlign w:val="bottom"/>
            <w:tcBorders>
              <w:bottom w:val="single" w:sz="8" w:color="auto"/>
            </w:tcBorders>
            <w:shd w:val="clear" w:color="auto" w:fill="D8D8D8"/>
          </w:tcPr>
          <w:p>
            <w:pPr>
              <w:jc w:val="right"/>
              <w:ind w:right="13"/>
              <w:spacing w:after="0"/>
              <w:rPr>
                <w:sz w:val="20"/>
                <w:szCs w:val="20"/>
                <w:color w:val="auto"/>
              </w:rPr>
            </w:pPr>
            <w:r>
              <w:rPr>
                <w:rFonts w:ascii="Arial" w:cs="Arial" w:eastAsia="Arial" w:hAnsi="Arial"/>
                <w:sz w:val="18"/>
                <w:szCs w:val="18"/>
                <w:color w:val="auto"/>
              </w:rPr>
              <w:t>(21.0)</w:t>
            </w:r>
          </w:p>
        </w:tc>
        <w:tc>
          <w:tcPr>
            <w:tcW w:w="340" w:type="dxa"/>
            <w:vAlign w:val="bottom"/>
            <w:tcBorders>
              <w:bottom w:val="single" w:sz="8" w:color="auto"/>
            </w:tcBorders>
            <w:shd w:val="clear" w:color="auto" w:fill="D8D8D8"/>
          </w:tcPr>
          <w:p>
            <w:pPr>
              <w:spacing w:after="0"/>
              <w:rPr>
                <w:sz w:val="23"/>
                <w:szCs w:val="23"/>
                <w:color w:val="auto"/>
              </w:rPr>
            </w:pPr>
          </w:p>
        </w:tc>
        <w:tc>
          <w:tcPr>
            <w:tcW w:w="86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(25.7)</w:t>
            </w:r>
          </w:p>
        </w:tc>
      </w:tr>
      <w:tr>
        <w:trPr>
          <w:trHeight w:val="271"/>
        </w:trPr>
        <w:tc>
          <w:tcPr>
            <w:tcW w:w="5200" w:type="dxa"/>
            <w:vAlign w:val="bottom"/>
            <w:tcBorders>
              <w:bottom w:val="single" w:sz="8" w:color="D8D8D8"/>
            </w:tcBorders>
          </w:tcPr>
          <w:p>
            <w:pPr>
              <w:ind w:left="40"/>
              <w:spacing w:after="0"/>
              <w:rPr>
                <w:sz w:val="20"/>
                <w:szCs w:val="20"/>
                <w:color w:val="auto"/>
              </w:rPr>
            </w:pPr>
            <w:r>
              <w:rPr>
                <w:rFonts w:ascii="Arial" w:cs="Arial" w:eastAsia="Arial" w:hAnsi="Arial"/>
                <w:sz w:val="18"/>
                <w:szCs w:val="18"/>
                <w:color w:val="auto"/>
              </w:rPr>
              <w:t>Earnings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rPr>
              <w:t>2,951.2</w:t>
            </w:r>
          </w:p>
        </w:tc>
        <w:tc>
          <w:tcPr>
            <w:tcW w:w="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3,149.1</w:t>
            </w:r>
          </w:p>
        </w:tc>
        <w:tc>
          <w:tcPr>
            <w:tcW w:w="40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6,049.4</w:t>
            </w:r>
          </w:p>
        </w:tc>
        <w:tc>
          <w:tcPr>
            <w:tcW w:w="3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5,586.0</w:t>
            </w:r>
          </w:p>
        </w:tc>
        <w:tc>
          <w:tcPr>
            <w:tcW w:w="3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5,535.5</w:t>
            </w:r>
          </w:p>
        </w:tc>
      </w:tr>
      <w:tr>
        <w:trPr>
          <w:trHeight w:val="289"/>
        </w:trPr>
        <w:tc>
          <w:tcPr>
            <w:tcW w:w="5200" w:type="dxa"/>
            <w:vAlign w:val="bottom"/>
            <w:tcBorders>
              <w:bottom w:val="single" w:sz="8" w:color="D8D8D8"/>
            </w:tcBorders>
            <w:shd w:val="clear" w:color="auto" w:fill="D8D8D8"/>
          </w:tcPr>
          <w:p>
            <w:pPr>
              <w:ind w:left="40"/>
              <w:spacing w:after="0"/>
              <w:rPr>
                <w:sz w:val="20"/>
                <w:szCs w:val="20"/>
                <w:color w:val="auto"/>
              </w:rPr>
            </w:pPr>
            <w:r>
              <w:rPr>
                <w:rFonts w:ascii="Arial" w:cs="Arial" w:eastAsia="Arial" w:hAnsi="Arial"/>
                <w:sz w:val="18"/>
                <w:szCs w:val="18"/>
                <w:color w:val="auto"/>
              </w:rPr>
              <w:t>Fixed charges</w:t>
            </w:r>
          </w:p>
        </w:tc>
        <w:tc>
          <w:tcPr>
            <w:tcW w:w="260" w:type="dxa"/>
            <w:vAlign w:val="bottom"/>
            <w:tcBorders>
              <w:bottom w:val="single" w:sz="8" w:color="auto"/>
            </w:tcBorders>
            <w:shd w:val="clear" w:color="auto" w:fill="D8D8D8"/>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auto"/>
            </w:tcBorders>
            <w:shd w:val="clear" w:color="auto" w:fill="D8D8D8"/>
          </w:tcPr>
          <w:p>
            <w:pPr>
              <w:jc w:val="right"/>
              <w:ind w:right="53"/>
              <w:spacing w:after="0"/>
              <w:rPr>
                <w:sz w:val="20"/>
                <w:szCs w:val="20"/>
                <w:color w:val="auto"/>
              </w:rPr>
            </w:pPr>
            <w:r>
              <w:rPr>
                <w:rFonts w:ascii="Arial" w:cs="Arial" w:eastAsia="Arial" w:hAnsi="Arial"/>
                <w:sz w:val="18"/>
                <w:szCs w:val="18"/>
                <w:b w:val="1"/>
                <w:bCs w:val="1"/>
                <w:color w:val="auto"/>
              </w:rPr>
              <w:t>216.0</w:t>
            </w:r>
          </w:p>
        </w:tc>
        <w:tc>
          <w:tcPr>
            <w:tcW w:w="340" w:type="dxa"/>
            <w:vAlign w:val="bottom"/>
            <w:tcBorders>
              <w:bottom w:val="single" w:sz="8" w:color="auto"/>
            </w:tcBorders>
            <w:shd w:val="clear" w:color="auto" w:fill="D8D8D8"/>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187.1</w:t>
            </w:r>
          </w:p>
        </w:tc>
        <w:tc>
          <w:tcPr>
            <w:tcW w:w="400" w:type="dxa"/>
            <w:vAlign w:val="bottom"/>
            <w:tcBorders>
              <w:bottom w:val="single" w:sz="8" w:color="auto"/>
            </w:tcBorders>
            <w:shd w:val="clear" w:color="auto" w:fill="D8D8D8"/>
          </w:tcPr>
          <w:p>
            <w:pPr>
              <w:jc w:val="right"/>
              <w:ind w:right="54"/>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D8D8D8"/>
          </w:tcPr>
          <w:p>
            <w:pPr>
              <w:jc w:val="right"/>
              <w:ind w:right="93"/>
              <w:spacing w:after="0"/>
              <w:rPr>
                <w:sz w:val="20"/>
                <w:szCs w:val="20"/>
                <w:color w:val="auto"/>
              </w:rPr>
            </w:pPr>
            <w:r>
              <w:rPr>
                <w:rFonts w:ascii="Arial" w:cs="Arial" w:eastAsia="Arial" w:hAnsi="Arial"/>
                <w:sz w:val="18"/>
                <w:szCs w:val="18"/>
                <w:color w:val="auto"/>
              </w:rPr>
              <w:t>184.2</w:t>
            </w:r>
          </w:p>
        </w:tc>
        <w:tc>
          <w:tcPr>
            <w:tcW w:w="380" w:type="dxa"/>
            <w:vAlign w:val="bottom"/>
            <w:tcBorders>
              <w:bottom w:val="single" w:sz="8" w:color="auto"/>
            </w:tcBorders>
            <w:shd w:val="clear" w:color="auto" w:fill="D8D8D8"/>
          </w:tcPr>
          <w:p>
            <w:pPr>
              <w:jc w:val="right"/>
              <w:ind w:right="13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D8D8D8"/>
          </w:tcPr>
          <w:p>
            <w:pPr>
              <w:jc w:val="right"/>
              <w:ind w:right="73"/>
              <w:spacing w:after="0"/>
              <w:rPr>
                <w:sz w:val="20"/>
                <w:szCs w:val="20"/>
                <w:color w:val="auto"/>
              </w:rPr>
            </w:pPr>
            <w:r>
              <w:rPr>
                <w:rFonts w:ascii="Arial" w:cs="Arial" w:eastAsia="Arial" w:hAnsi="Arial"/>
                <w:sz w:val="18"/>
                <w:szCs w:val="18"/>
                <w:color w:val="auto"/>
              </w:rPr>
              <w:t>198.8</w:t>
            </w:r>
          </w:p>
        </w:tc>
        <w:tc>
          <w:tcPr>
            <w:tcW w:w="340" w:type="dxa"/>
            <w:vAlign w:val="bottom"/>
            <w:tcBorders>
              <w:bottom w:val="single" w:sz="8" w:color="auto"/>
            </w:tcBorders>
            <w:shd w:val="clear" w:color="auto" w:fill="D8D8D8"/>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D8D8D8"/>
          </w:tcPr>
          <w:p>
            <w:pPr>
              <w:jc w:val="right"/>
              <w:ind w:right="13"/>
              <w:spacing w:after="0"/>
              <w:rPr>
                <w:sz w:val="20"/>
                <w:szCs w:val="20"/>
                <w:color w:val="auto"/>
              </w:rPr>
            </w:pPr>
            <w:r>
              <w:rPr>
                <w:rFonts w:ascii="Arial" w:cs="Arial" w:eastAsia="Arial" w:hAnsi="Arial"/>
                <w:sz w:val="18"/>
                <w:szCs w:val="18"/>
                <w:color w:val="auto"/>
              </w:rPr>
              <w:t>211.7</w:t>
            </w:r>
          </w:p>
        </w:tc>
      </w:tr>
      <w:tr>
        <w:trPr>
          <w:trHeight w:val="265"/>
        </w:trPr>
        <w:tc>
          <w:tcPr>
            <w:tcW w:w="5200" w:type="dxa"/>
            <w:vAlign w:val="bottom"/>
          </w:tcPr>
          <w:p>
            <w:pPr>
              <w:ind w:left="40"/>
              <w:spacing w:after="0"/>
              <w:rPr>
                <w:sz w:val="20"/>
                <w:szCs w:val="20"/>
                <w:color w:val="auto"/>
              </w:rPr>
            </w:pPr>
            <w:r>
              <w:rPr>
                <w:rFonts w:ascii="Arial" w:cs="Arial" w:eastAsia="Arial" w:hAnsi="Arial"/>
                <w:sz w:val="18"/>
                <w:szCs w:val="18"/>
                <w:color w:val="auto"/>
              </w:rPr>
              <w:t>Ratio of earnings to fixed charges</w:t>
            </w:r>
          </w:p>
        </w:tc>
        <w:tc>
          <w:tcPr>
            <w:tcW w:w="2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rPr>
              <w:t>13.7</w:t>
            </w:r>
          </w:p>
        </w:tc>
        <w:tc>
          <w:tcPr>
            <w:tcW w:w="3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w:t>
            </w:r>
          </w:p>
        </w:tc>
        <w:tc>
          <w:tcPr>
            <w:tcW w:w="4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32.8</w:t>
            </w:r>
          </w:p>
        </w:tc>
        <w:tc>
          <w:tcPr>
            <w:tcW w:w="38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28.1</w:t>
            </w:r>
          </w:p>
        </w:tc>
        <w:tc>
          <w:tcPr>
            <w:tcW w:w="3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26.1</w:t>
            </w:r>
          </w:p>
        </w:tc>
      </w:tr>
    </w:tbl>
    <w:p>
      <w:pPr>
        <w:spacing w:after="0" w:line="95" w:lineRule="exact"/>
        <w:rPr>
          <w:sz w:val="20"/>
          <w:szCs w:val="20"/>
          <w:color w:val="auto"/>
        </w:rPr>
      </w:pPr>
    </w:p>
    <w:p>
      <w:pPr>
        <w:ind w:left="180" w:right="220" w:hanging="172"/>
        <w:spacing w:after="0" w:line="239" w:lineRule="auto"/>
        <w:tabs>
          <w:tab w:leader="none" w:pos="153" w:val="left"/>
        </w:tabs>
        <w:numPr>
          <w:ilvl w:val="0"/>
          <w:numId w:val="79"/>
        </w:numPr>
        <w:rPr>
          <w:rFonts w:ascii="Arial" w:cs="Arial" w:eastAsia="Arial" w:hAnsi="Arial"/>
          <w:sz w:val="17"/>
          <w:szCs w:val="17"/>
          <w:color w:val="auto"/>
          <w:vertAlign w:val="superscript"/>
        </w:rPr>
      </w:pPr>
      <w:r>
        <w:rPr>
          <w:rFonts w:ascii="Arial" w:cs="Arial" w:eastAsia="Arial" w:hAnsi="Arial"/>
          <w:sz w:val="14"/>
          <w:szCs w:val="14"/>
          <w:color w:val="auto"/>
        </w:rPr>
        <w:t>Interest is based upon interest expense reported as such in the consolidated statements of operations and does not include any interest related to unrecognized tax benefits, which is included in income tax expense.</w:t>
      </w:r>
    </w:p>
    <w:p>
      <w:pPr>
        <w:sectPr>
          <w:pgSz w:w="11900" w:h="16838" w:orient="portrait"/>
          <w:cols w:equalWidth="0" w:num="1">
            <w:col w:w="11360"/>
          </w:cols>
          <w:pgMar w:left="240" w:top="576" w:right="299" w:bottom="1440" w:gutter="0" w:footer="0" w:header="0"/>
        </w:sectPr>
      </w:pPr>
    </w:p>
    <w:bookmarkStart w:id="131" w:name="page132"/>
    <w:bookmarkEnd w:id="131"/>
    <w:p>
      <w:pPr>
        <w:ind w:left="3780"/>
        <w:spacing w:after="0"/>
        <w:rPr>
          <w:sz w:val="20"/>
          <w:szCs w:val="20"/>
          <w:color w:val="auto"/>
        </w:rPr>
      </w:pPr>
      <w:r>
        <w:rPr>
          <w:rFonts w:ascii="Arial" w:cs="Arial" w:eastAsia="Arial" w:hAnsi="Arial"/>
          <w:sz w:val="18"/>
          <w:szCs w:val="18"/>
          <w:b w:val="1"/>
          <w:bCs w:val="1"/>
          <w:color w:val="auto"/>
        </w:rPr>
        <w:t>Exhibit 21 — List of Subsidiaries &amp; Affiliates</w:t>
      </w:r>
    </w:p>
    <w:p>
      <w:pPr>
        <w:spacing w:after="0" w:line="117"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The following are subsidiaries and affiliated corporations of the company at December 31, 2015.</w:t>
      </w:r>
    </w:p>
    <w:p>
      <w:pPr>
        <w:spacing w:after="0" w:line="3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Certain subsidiaries have been omitted as they are not significant in the aggregate.</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140" w:type="dxa"/>
            <w:vAlign w:val="bottom"/>
          </w:tcPr>
          <w:p>
            <w:pPr>
              <w:spacing w:after="0"/>
              <w:rPr>
                <w:sz w:val="14"/>
                <w:szCs w:val="14"/>
                <w:color w:val="auto"/>
              </w:rPr>
            </w:pPr>
          </w:p>
        </w:tc>
        <w:tc>
          <w:tcPr>
            <w:tcW w:w="5240" w:type="dxa"/>
            <w:vAlign w:val="bottom"/>
          </w:tcPr>
          <w:p>
            <w:pPr>
              <w:jc w:val="center"/>
              <w:spacing w:after="0"/>
              <w:rPr>
                <w:sz w:val="20"/>
                <w:szCs w:val="20"/>
                <w:color w:val="auto"/>
              </w:rPr>
            </w:pPr>
            <w:r>
              <w:rPr>
                <w:rFonts w:ascii="Arial" w:cs="Arial" w:eastAsia="Arial" w:hAnsi="Arial"/>
                <w:sz w:val="14"/>
                <w:szCs w:val="14"/>
                <w:b w:val="1"/>
                <w:bCs w:val="1"/>
                <w:color w:val="auto"/>
              </w:rPr>
              <w:t>State or Jurisdiction</w:t>
            </w:r>
          </w:p>
        </w:tc>
      </w:tr>
      <w:tr>
        <w:trPr>
          <w:trHeight w:val="162"/>
        </w:trPr>
        <w:tc>
          <w:tcPr>
            <w:tcW w:w="6140" w:type="dxa"/>
            <w:vAlign w:val="bottom"/>
          </w:tcPr>
          <w:p>
            <w:pPr>
              <w:spacing w:after="0"/>
              <w:rPr>
                <w:sz w:val="14"/>
                <w:szCs w:val="14"/>
                <w:color w:val="auto"/>
              </w:rPr>
            </w:pPr>
          </w:p>
        </w:tc>
        <w:tc>
          <w:tcPr>
            <w:tcW w:w="5240" w:type="dxa"/>
            <w:vAlign w:val="bottom"/>
          </w:tcPr>
          <w:p>
            <w:pPr>
              <w:jc w:val="center"/>
              <w:spacing w:after="0"/>
              <w:rPr>
                <w:sz w:val="20"/>
                <w:szCs w:val="20"/>
                <w:color w:val="auto"/>
              </w:rPr>
            </w:pPr>
            <w:r>
              <w:rPr>
                <w:rFonts w:ascii="Arial" w:cs="Arial" w:eastAsia="Arial" w:hAnsi="Arial"/>
                <w:sz w:val="14"/>
                <w:szCs w:val="14"/>
                <w:b w:val="1"/>
                <w:bCs w:val="1"/>
                <w:color w:val="auto"/>
              </w:rPr>
              <w:t>of Incorporation</w:t>
            </w:r>
          </w:p>
        </w:tc>
      </w:tr>
      <w:tr>
        <w:trPr>
          <w:trHeight w:val="203"/>
        </w:trPr>
        <w:tc>
          <w:tcPr>
            <w:tcW w:w="6140" w:type="dxa"/>
            <w:vAlign w:val="bottom"/>
          </w:tcPr>
          <w:p>
            <w:pPr>
              <w:spacing w:after="0"/>
              <w:rPr>
                <w:sz w:val="17"/>
                <w:szCs w:val="17"/>
                <w:color w:val="auto"/>
              </w:rPr>
            </w:pPr>
          </w:p>
        </w:tc>
        <w:tc>
          <w:tcPr>
            <w:tcW w:w="5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or Organization</w:t>
            </w:r>
          </w:p>
        </w:tc>
      </w:tr>
      <w:tr>
        <w:trPr>
          <w:trHeight w:val="350"/>
        </w:trPr>
        <w:tc>
          <w:tcPr>
            <w:tcW w:w="6140" w:type="dxa"/>
            <w:vAlign w:val="bottom"/>
          </w:tcPr>
          <w:p>
            <w:pPr>
              <w:spacing w:after="0"/>
              <w:rPr>
                <w:sz w:val="20"/>
                <w:szCs w:val="20"/>
                <w:color w:val="auto"/>
              </w:rPr>
            </w:pPr>
            <w:r>
              <w:rPr>
                <w:rFonts w:ascii="Arial" w:cs="Arial" w:eastAsia="Arial" w:hAnsi="Arial"/>
                <w:sz w:val="18"/>
                <w:szCs w:val="18"/>
                <w:color w:val="auto"/>
              </w:rPr>
              <w:t>Agri Stats Brasil Servicos Informacoes Gerenciais Ltda.</w:t>
            </w:r>
          </w:p>
        </w:tc>
        <w:tc>
          <w:tcPr>
            <w:tcW w:w="5240" w:type="dxa"/>
            <w:vAlign w:val="bottom"/>
          </w:tcPr>
          <w:p>
            <w:pPr>
              <w:jc w:val="center"/>
              <w:spacing w:after="0"/>
              <w:rPr>
                <w:sz w:val="20"/>
                <w:szCs w:val="20"/>
                <w:color w:val="auto"/>
              </w:rPr>
            </w:pPr>
            <w:r>
              <w:rPr>
                <w:rFonts w:ascii="Arial" w:cs="Arial" w:eastAsia="Arial" w:hAnsi="Arial"/>
                <w:sz w:val="18"/>
                <w:szCs w:val="18"/>
                <w:color w:val="auto"/>
                <w:w w:val="97"/>
              </w:rPr>
              <w:t>Brazil</w:t>
            </w:r>
          </w:p>
        </w:tc>
      </w:tr>
      <w:tr>
        <w:trPr>
          <w:trHeight w:val="270"/>
        </w:trPr>
        <w:tc>
          <w:tcPr>
            <w:tcW w:w="6140" w:type="dxa"/>
            <w:vAlign w:val="bottom"/>
          </w:tcPr>
          <w:p>
            <w:pPr>
              <w:spacing w:after="0"/>
              <w:rPr>
                <w:sz w:val="20"/>
                <w:szCs w:val="20"/>
                <w:color w:val="auto"/>
              </w:rPr>
            </w:pPr>
            <w:r>
              <w:rPr>
                <w:rFonts w:ascii="Arial" w:cs="Arial" w:eastAsia="Arial" w:hAnsi="Arial"/>
                <w:sz w:val="18"/>
                <w:szCs w:val="18"/>
                <w:color w:val="auto"/>
              </w:rPr>
              <w:t>Agri Stats, Inc.</w:t>
            </w:r>
          </w:p>
        </w:tc>
        <w:tc>
          <w:tcPr>
            <w:tcW w:w="5240" w:type="dxa"/>
            <w:vAlign w:val="bottom"/>
          </w:tcPr>
          <w:p>
            <w:pPr>
              <w:jc w:val="center"/>
              <w:spacing w:after="0"/>
              <w:rPr>
                <w:sz w:val="20"/>
                <w:szCs w:val="20"/>
                <w:color w:val="auto"/>
              </w:rPr>
            </w:pPr>
            <w:r>
              <w:rPr>
                <w:rFonts w:ascii="Arial" w:cs="Arial" w:eastAsia="Arial" w:hAnsi="Arial"/>
                <w:sz w:val="18"/>
                <w:szCs w:val="18"/>
                <w:color w:val="auto"/>
              </w:rPr>
              <w:t>Indiana</w:t>
            </w:r>
          </w:p>
        </w:tc>
      </w:tr>
      <w:tr>
        <w:trPr>
          <w:trHeight w:val="270"/>
        </w:trPr>
        <w:tc>
          <w:tcPr>
            <w:tcW w:w="6140" w:type="dxa"/>
            <w:vAlign w:val="bottom"/>
          </w:tcPr>
          <w:p>
            <w:pPr>
              <w:spacing w:after="0"/>
              <w:rPr>
                <w:sz w:val="20"/>
                <w:szCs w:val="20"/>
                <w:color w:val="auto"/>
              </w:rPr>
            </w:pPr>
            <w:r>
              <w:rPr>
                <w:rFonts w:ascii="Arial" w:cs="Arial" w:eastAsia="Arial" w:hAnsi="Arial"/>
                <w:sz w:val="18"/>
                <w:szCs w:val="18"/>
                <w:color w:val="auto"/>
              </w:rPr>
              <w:t>Alnara Pharmaceuticals, Inc.</w:t>
            </w:r>
          </w:p>
        </w:tc>
        <w:tc>
          <w:tcPr>
            <w:tcW w:w="5240" w:type="dxa"/>
            <w:vAlign w:val="bottom"/>
          </w:tcPr>
          <w:p>
            <w:pPr>
              <w:jc w:val="center"/>
              <w:spacing w:after="0"/>
              <w:rPr>
                <w:sz w:val="20"/>
                <w:szCs w:val="20"/>
                <w:color w:val="auto"/>
              </w:rPr>
            </w:pPr>
            <w:r>
              <w:rPr>
                <w:rFonts w:ascii="Arial" w:cs="Arial" w:eastAsia="Arial" w:hAnsi="Arial"/>
                <w:sz w:val="18"/>
                <w:szCs w:val="18"/>
                <w:color w:val="auto"/>
                <w:w w:val="99"/>
              </w:rPr>
              <w:t>Massachusetts</w:t>
            </w:r>
          </w:p>
        </w:tc>
      </w:tr>
      <w:tr>
        <w:trPr>
          <w:trHeight w:val="270"/>
        </w:trPr>
        <w:tc>
          <w:tcPr>
            <w:tcW w:w="6140" w:type="dxa"/>
            <w:vAlign w:val="bottom"/>
          </w:tcPr>
          <w:p>
            <w:pPr>
              <w:spacing w:after="0"/>
              <w:rPr>
                <w:sz w:val="20"/>
                <w:szCs w:val="20"/>
                <w:color w:val="auto"/>
              </w:rPr>
            </w:pPr>
            <w:r>
              <w:rPr>
                <w:rFonts w:ascii="Arial" w:cs="Arial" w:eastAsia="Arial" w:hAnsi="Arial"/>
                <w:sz w:val="18"/>
                <w:szCs w:val="18"/>
                <w:color w:val="auto"/>
              </w:rPr>
              <w:t>Andean Technical Operations Center</w:t>
            </w:r>
          </w:p>
        </w:tc>
        <w:tc>
          <w:tcPr>
            <w:tcW w:w="5240" w:type="dxa"/>
            <w:vAlign w:val="bottom"/>
          </w:tcPr>
          <w:p>
            <w:pPr>
              <w:jc w:val="center"/>
              <w:spacing w:after="0"/>
              <w:rPr>
                <w:sz w:val="20"/>
                <w:szCs w:val="20"/>
                <w:color w:val="auto"/>
              </w:rPr>
            </w:pPr>
            <w:r>
              <w:rPr>
                <w:rFonts w:ascii="Arial" w:cs="Arial" w:eastAsia="Arial" w:hAnsi="Arial"/>
                <w:sz w:val="18"/>
                <w:szCs w:val="18"/>
                <w:color w:val="auto"/>
              </w:rPr>
              <w:t>Peru</w:t>
            </w:r>
          </w:p>
        </w:tc>
      </w:tr>
      <w:tr>
        <w:trPr>
          <w:trHeight w:val="270"/>
        </w:trPr>
        <w:tc>
          <w:tcPr>
            <w:tcW w:w="6140" w:type="dxa"/>
            <w:vAlign w:val="bottom"/>
          </w:tcPr>
          <w:p>
            <w:pPr>
              <w:spacing w:after="0"/>
              <w:rPr>
                <w:sz w:val="20"/>
                <w:szCs w:val="20"/>
                <w:color w:val="auto"/>
              </w:rPr>
            </w:pPr>
            <w:r>
              <w:rPr>
                <w:rFonts w:ascii="Arial" w:cs="Arial" w:eastAsia="Arial" w:hAnsi="Arial"/>
                <w:sz w:val="18"/>
                <w:szCs w:val="18"/>
                <w:color w:val="auto"/>
              </w:rPr>
              <w:t>Avian Holding Group, Inc.</w:t>
            </w:r>
          </w:p>
        </w:tc>
        <w:tc>
          <w:tcPr>
            <w:tcW w:w="5240" w:type="dxa"/>
            <w:vAlign w:val="bottom"/>
          </w:tcPr>
          <w:p>
            <w:pPr>
              <w:jc w:val="center"/>
              <w:spacing w:after="0"/>
              <w:rPr>
                <w:sz w:val="20"/>
                <w:szCs w:val="20"/>
                <w:color w:val="auto"/>
              </w:rPr>
            </w:pPr>
            <w:r>
              <w:rPr>
                <w:rFonts w:ascii="Arial" w:cs="Arial" w:eastAsia="Arial" w:hAnsi="Arial"/>
                <w:sz w:val="18"/>
                <w:szCs w:val="18"/>
                <w:color w:val="auto"/>
                <w:w w:val="97"/>
              </w:rPr>
              <w:t>New York</w:t>
            </w:r>
          </w:p>
        </w:tc>
      </w:tr>
      <w:tr>
        <w:trPr>
          <w:trHeight w:val="270"/>
        </w:trPr>
        <w:tc>
          <w:tcPr>
            <w:tcW w:w="6140" w:type="dxa"/>
            <w:vAlign w:val="bottom"/>
          </w:tcPr>
          <w:p>
            <w:pPr>
              <w:spacing w:after="0"/>
              <w:rPr>
                <w:sz w:val="20"/>
                <w:szCs w:val="20"/>
                <w:color w:val="auto"/>
              </w:rPr>
            </w:pPr>
            <w:r>
              <w:rPr>
                <w:rFonts w:ascii="Arial" w:cs="Arial" w:eastAsia="Arial" w:hAnsi="Arial"/>
                <w:sz w:val="18"/>
                <w:szCs w:val="18"/>
                <w:color w:val="auto"/>
              </w:rPr>
              <w:t>Avid Radiopharmaceuticals, Inc.</w:t>
            </w:r>
          </w:p>
        </w:tc>
        <w:tc>
          <w:tcPr>
            <w:tcW w:w="5240" w:type="dxa"/>
            <w:vAlign w:val="bottom"/>
          </w:tcPr>
          <w:p>
            <w:pPr>
              <w:jc w:val="center"/>
              <w:spacing w:after="0"/>
              <w:rPr>
                <w:sz w:val="20"/>
                <w:szCs w:val="20"/>
                <w:color w:val="auto"/>
              </w:rPr>
            </w:pPr>
            <w:r>
              <w:rPr>
                <w:rFonts w:ascii="Arial" w:cs="Arial" w:eastAsia="Arial" w:hAnsi="Arial"/>
                <w:sz w:val="18"/>
                <w:szCs w:val="18"/>
                <w:color w:val="auto"/>
              </w:rPr>
              <w:t>Pennsylvania</w:t>
            </w:r>
          </w:p>
        </w:tc>
      </w:tr>
      <w:tr>
        <w:trPr>
          <w:trHeight w:val="270"/>
        </w:trPr>
        <w:tc>
          <w:tcPr>
            <w:tcW w:w="6140" w:type="dxa"/>
            <w:vAlign w:val="bottom"/>
          </w:tcPr>
          <w:p>
            <w:pPr>
              <w:spacing w:after="0"/>
              <w:rPr>
                <w:sz w:val="20"/>
                <w:szCs w:val="20"/>
                <w:color w:val="auto"/>
              </w:rPr>
            </w:pPr>
            <w:r>
              <w:rPr>
                <w:rFonts w:ascii="Arial" w:cs="Arial" w:eastAsia="Arial" w:hAnsi="Arial"/>
                <w:sz w:val="18"/>
                <w:szCs w:val="18"/>
                <w:color w:val="auto"/>
              </w:rPr>
              <w:t>ChemGen Corporation</w:t>
            </w:r>
          </w:p>
        </w:tc>
        <w:tc>
          <w:tcPr>
            <w:tcW w:w="5240" w:type="dxa"/>
            <w:vAlign w:val="bottom"/>
          </w:tcPr>
          <w:p>
            <w:pPr>
              <w:jc w:val="center"/>
              <w:spacing w:after="0"/>
              <w:rPr>
                <w:sz w:val="20"/>
                <w:szCs w:val="20"/>
                <w:color w:val="auto"/>
              </w:rPr>
            </w:pPr>
            <w:r>
              <w:rPr>
                <w:rFonts w:ascii="Arial" w:cs="Arial" w:eastAsia="Arial" w:hAnsi="Arial"/>
                <w:sz w:val="18"/>
                <w:szCs w:val="18"/>
                <w:color w:val="auto"/>
                <w:w w:val="99"/>
              </w:rPr>
              <w:t>Massachusetts</w:t>
            </w:r>
          </w:p>
        </w:tc>
      </w:tr>
      <w:tr>
        <w:trPr>
          <w:trHeight w:val="270"/>
        </w:trPr>
        <w:tc>
          <w:tcPr>
            <w:tcW w:w="6140" w:type="dxa"/>
            <w:vAlign w:val="bottom"/>
          </w:tcPr>
          <w:p>
            <w:pPr>
              <w:spacing w:after="0"/>
              <w:rPr>
                <w:sz w:val="20"/>
                <w:szCs w:val="20"/>
                <w:color w:val="auto"/>
              </w:rPr>
            </w:pPr>
            <w:r>
              <w:rPr>
                <w:rFonts w:ascii="Arial" w:cs="Arial" w:eastAsia="Arial" w:hAnsi="Arial"/>
                <w:sz w:val="18"/>
                <w:szCs w:val="18"/>
                <w:color w:val="auto"/>
              </w:rPr>
              <w:t>del Sol Financial Services, Inc.</w:t>
            </w:r>
          </w:p>
        </w:tc>
        <w:tc>
          <w:tcPr>
            <w:tcW w:w="5240" w:type="dxa"/>
            <w:vAlign w:val="bottom"/>
          </w:tcPr>
          <w:p>
            <w:pPr>
              <w:jc w:val="center"/>
              <w:spacing w:after="0"/>
              <w:rPr>
                <w:sz w:val="20"/>
                <w:szCs w:val="20"/>
                <w:color w:val="auto"/>
              </w:rPr>
            </w:pPr>
            <w:r>
              <w:rPr>
                <w:rFonts w:ascii="Arial" w:cs="Arial" w:eastAsia="Arial" w:hAnsi="Arial"/>
                <w:sz w:val="18"/>
                <w:szCs w:val="18"/>
                <w:color w:val="auto"/>
              </w:rPr>
              <w:t>British Virgin Islands</w:t>
            </w:r>
          </w:p>
        </w:tc>
      </w:tr>
      <w:tr>
        <w:trPr>
          <w:trHeight w:val="270"/>
        </w:trPr>
        <w:tc>
          <w:tcPr>
            <w:tcW w:w="6140" w:type="dxa"/>
            <w:vAlign w:val="bottom"/>
          </w:tcPr>
          <w:p>
            <w:pPr>
              <w:spacing w:after="0"/>
              <w:rPr>
                <w:sz w:val="20"/>
                <w:szCs w:val="20"/>
                <w:color w:val="auto"/>
              </w:rPr>
            </w:pPr>
            <w:r>
              <w:rPr>
                <w:rFonts w:ascii="Arial" w:cs="Arial" w:eastAsia="Arial" w:hAnsi="Arial"/>
                <w:sz w:val="18"/>
                <w:szCs w:val="18"/>
                <w:color w:val="auto"/>
              </w:rPr>
              <w:t>Dista Ilac Ticaret Ltd. Sti.</w:t>
            </w:r>
          </w:p>
        </w:tc>
        <w:tc>
          <w:tcPr>
            <w:tcW w:w="5240" w:type="dxa"/>
            <w:vAlign w:val="bottom"/>
          </w:tcPr>
          <w:p>
            <w:pPr>
              <w:jc w:val="center"/>
              <w:spacing w:after="0"/>
              <w:rPr>
                <w:sz w:val="20"/>
                <w:szCs w:val="20"/>
                <w:color w:val="auto"/>
              </w:rPr>
            </w:pPr>
            <w:r>
              <w:rPr>
                <w:rFonts w:ascii="Arial" w:cs="Arial" w:eastAsia="Arial" w:hAnsi="Arial"/>
                <w:sz w:val="18"/>
                <w:szCs w:val="18"/>
                <w:color w:val="auto"/>
              </w:rPr>
              <w:t>Turkey</w:t>
            </w:r>
          </w:p>
        </w:tc>
      </w:tr>
      <w:tr>
        <w:trPr>
          <w:trHeight w:val="270"/>
        </w:trPr>
        <w:tc>
          <w:tcPr>
            <w:tcW w:w="6140" w:type="dxa"/>
            <w:vAlign w:val="bottom"/>
          </w:tcPr>
          <w:p>
            <w:pPr>
              <w:spacing w:after="0"/>
              <w:rPr>
                <w:sz w:val="20"/>
                <w:szCs w:val="20"/>
                <w:color w:val="auto"/>
              </w:rPr>
            </w:pPr>
            <w:r>
              <w:rPr>
                <w:rFonts w:ascii="Arial" w:cs="Arial" w:eastAsia="Arial" w:hAnsi="Arial"/>
                <w:sz w:val="18"/>
                <w:szCs w:val="18"/>
                <w:color w:val="auto"/>
              </w:rPr>
              <w:t>Dista, S.A.</w:t>
            </w:r>
          </w:p>
        </w:tc>
        <w:tc>
          <w:tcPr>
            <w:tcW w:w="5240" w:type="dxa"/>
            <w:vAlign w:val="bottom"/>
          </w:tcPr>
          <w:p>
            <w:pPr>
              <w:jc w:val="center"/>
              <w:spacing w:after="0"/>
              <w:rPr>
                <w:sz w:val="20"/>
                <w:szCs w:val="20"/>
                <w:color w:val="auto"/>
              </w:rPr>
            </w:pPr>
            <w:r>
              <w:rPr>
                <w:rFonts w:ascii="Arial" w:cs="Arial" w:eastAsia="Arial" w:hAnsi="Arial"/>
                <w:sz w:val="18"/>
                <w:szCs w:val="18"/>
                <w:color w:val="auto"/>
              </w:rPr>
              <w:t>Spain</w:t>
            </w:r>
          </w:p>
        </w:tc>
      </w:tr>
      <w:tr>
        <w:trPr>
          <w:trHeight w:val="270"/>
        </w:trPr>
        <w:tc>
          <w:tcPr>
            <w:tcW w:w="6140" w:type="dxa"/>
            <w:vAlign w:val="bottom"/>
          </w:tcPr>
          <w:p>
            <w:pPr>
              <w:spacing w:after="0"/>
              <w:rPr>
                <w:sz w:val="20"/>
                <w:szCs w:val="20"/>
                <w:color w:val="auto"/>
              </w:rPr>
            </w:pPr>
            <w:r>
              <w:rPr>
                <w:rFonts w:ascii="Arial" w:cs="Arial" w:eastAsia="Arial" w:hAnsi="Arial"/>
                <w:sz w:val="18"/>
                <w:szCs w:val="18"/>
                <w:color w:val="auto"/>
              </w:rPr>
              <w:t>Dista-Produtos Quimicos &amp; Farmaceuticos, LDA</w:t>
            </w:r>
          </w:p>
        </w:tc>
        <w:tc>
          <w:tcPr>
            <w:tcW w:w="5240" w:type="dxa"/>
            <w:vAlign w:val="bottom"/>
          </w:tcPr>
          <w:p>
            <w:pPr>
              <w:jc w:val="center"/>
              <w:spacing w:after="0"/>
              <w:rPr>
                <w:sz w:val="20"/>
                <w:szCs w:val="20"/>
                <w:color w:val="auto"/>
              </w:rPr>
            </w:pPr>
            <w:r>
              <w:rPr>
                <w:rFonts w:ascii="Arial" w:cs="Arial" w:eastAsia="Arial" w:hAnsi="Arial"/>
                <w:sz w:val="18"/>
                <w:szCs w:val="18"/>
                <w:color w:val="auto"/>
              </w:rPr>
              <w:t>Portugal</w:t>
            </w:r>
          </w:p>
        </w:tc>
      </w:tr>
      <w:tr>
        <w:trPr>
          <w:trHeight w:val="270"/>
        </w:trPr>
        <w:tc>
          <w:tcPr>
            <w:tcW w:w="6140" w:type="dxa"/>
            <w:vAlign w:val="bottom"/>
          </w:tcPr>
          <w:p>
            <w:pPr>
              <w:spacing w:after="0"/>
              <w:rPr>
                <w:sz w:val="20"/>
                <w:szCs w:val="20"/>
                <w:color w:val="auto"/>
              </w:rPr>
            </w:pPr>
            <w:r>
              <w:rPr>
                <w:rFonts w:ascii="Arial" w:cs="Arial" w:eastAsia="Arial" w:hAnsi="Arial"/>
                <w:sz w:val="18"/>
                <w:szCs w:val="18"/>
                <w:color w:val="auto"/>
              </w:rPr>
              <w:t>Elanco (Shanghai) Animal Health Co., Ltd.</w:t>
            </w:r>
          </w:p>
        </w:tc>
        <w:tc>
          <w:tcPr>
            <w:tcW w:w="5240" w:type="dxa"/>
            <w:vAlign w:val="bottom"/>
          </w:tcPr>
          <w:p>
            <w:pPr>
              <w:jc w:val="center"/>
              <w:spacing w:after="0"/>
              <w:rPr>
                <w:sz w:val="20"/>
                <w:szCs w:val="20"/>
                <w:color w:val="auto"/>
              </w:rPr>
            </w:pPr>
            <w:r>
              <w:rPr>
                <w:rFonts w:ascii="Arial" w:cs="Arial" w:eastAsia="Arial" w:hAnsi="Arial"/>
                <w:sz w:val="18"/>
                <w:szCs w:val="18"/>
                <w:color w:val="auto"/>
              </w:rPr>
              <w:t>China</w:t>
            </w:r>
          </w:p>
        </w:tc>
      </w:tr>
      <w:tr>
        <w:trPr>
          <w:trHeight w:val="284"/>
        </w:trPr>
        <w:tc>
          <w:tcPr>
            <w:tcW w:w="6140" w:type="dxa"/>
            <w:vAlign w:val="bottom"/>
          </w:tcPr>
          <w:p>
            <w:pPr>
              <w:spacing w:after="0"/>
              <w:rPr>
                <w:sz w:val="20"/>
                <w:szCs w:val="20"/>
                <w:color w:val="auto"/>
              </w:rPr>
            </w:pPr>
            <w:r>
              <w:rPr>
                <w:rFonts w:ascii="Arial" w:cs="Arial" w:eastAsia="Arial" w:hAnsi="Arial"/>
                <w:sz w:val="18"/>
                <w:szCs w:val="18"/>
                <w:color w:val="auto"/>
              </w:rPr>
              <w:t>Elanco (Taiwan) Animal Health Co. Ltd.</w:t>
            </w:r>
          </w:p>
        </w:tc>
        <w:tc>
          <w:tcPr>
            <w:tcW w:w="5240" w:type="dxa"/>
            <w:vAlign w:val="bottom"/>
          </w:tcPr>
          <w:p>
            <w:pPr>
              <w:jc w:val="center"/>
              <w:spacing w:after="0"/>
              <w:rPr>
                <w:sz w:val="20"/>
                <w:szCs w:val="20"/>
                <w:color w:val="auto"/>
              </w:rPr>
            </w:pPr>
            <w:r>
              <w:rPr>
                <w:rFonts w:ascii="Arial" w:cs="Arial" w:eastAsia="Arial" w:hAnsi="Arial"/>
                <w:sz w:val="18"/>
                <w:szCs w:val="18"/>
                <w:color w:val="auto"/>
                <w:w w:val="96"/>
              </w:rPr>
              <w:t>Taiwan</w:t>
            </w:r>
          </w:p>
        </w:tc>
      </w:tr>
      <w:tr>
        <w:trPr>
          <w:trHeight w:val="257"/>
        </w:trPr>
        <w:tc>
          <w:tcPr>
            <w:tcW w:w="6140" w:type="dxa"/>
            <w:vAlign w:val="bottom"/>
          </w:tcPr>
          <w:p>
            <w:pPr>
              <w:spacing w:after="0"/>
              <w:rPr>
                <w:sz w:val="20"/>
                <w:szCs w:val="20"/>
                <w:color w:val="auto"/>
              </w:rPr>
            </w:pPr>
            <w:r>
              <w:rPr>
                <w:rFonts w:ascii="Arial" w:cs="Arial" w:eastAsia="Arial" w:hAnsi="Arial"/>
                <w:sz w:val="18"/>
                <w:szCs w:val="18"/>
                <w:color w:val="auto"/>
              </w:rPr>
              <w:t>Elanco Animal Health Ireland Limited</w:t>
            </w:r>
          </w:p>
        </w:tc>
        <w:tc>
          <w:tcPr>
            <w:tcW w:w="5240" w:type="dxa"/>
            <w:vAlign w:val="bottom"/>
          </w:tcPr>
          <w:p>
            <w:pPr>
              <w:jc w:val="center"/>
              <w:spacing w:after="0"/>
              <w:rPr>
                <w:sz w:val="20"/>
                <w:szCs w:val="20"/>
                <w:color w:val="auto"/>
              </w:rPr>
            </w:pPr>
            <w:r>
              <w:rPr>
                <w:rFonts w:ascii="Arial" w:cs="Arial" w:eastAsia="Arial" w:hAnsi="Arial"/>
                <w:sz w:val="18"/>
                <w:szCs w:val="18"/>
                <w:color w:val="auto"/>
              </w:rPr>
              <w:t>Ireland</w:t>
            </w:r>
          </w:p>
        </w:tc>
      </w:tr>
      <w:tr>
        <w:trPr>
          <w:trHeight w:val="284"/>
        </w:trPr>
        <w:tc>
          <w:tcPr>
            <w:tcW w:w="6140" w:type="dxa"/>
            <w:vAlign w:val="bottom"/>
          </w:tcPr>
          <w:p>
            <w:pPr>
              <w:spacing w:after="0"/>
              <w:rPr>
                <w:sz w:val="20"/>
                <w:szCs w:val="20"/>
                <w:color w:val="auto"/>
              </w:rPr>
            </w:pPr>
            <w:r>
              <w:rPr>
                <w:rFonts w:ascii="Arial" w:cs="Arial" w:eastAsia="Arial" w:hAnsi="Arial"/>
                <w:sz w:val="18"/>
                <w:szCs w:val="18"/>
                <w:color w:val="auto"/>
              </w:rPr>
              <w:t>Elanco Animal Health, Korea, Ltd.</w:t>
            </w:r>
          </w:p>
        </w:tc>
        <w:tc>
          <w:tcPr>
            <w:tcW w:w="5240" w:type="dxa"/>
            <w:vAlign w:val="bottom"/>
          </w:tcPr>
          <w:p>
            <w:pPr>
              <w:jc w:val="center"/>
              <w:spacing w:after="0"/>
              <w:rPr>
                <w:sz w:val="20"/>
                <w:szCs w:val="20"/>
                <w:color w:val="auto"/>
              </w:rPr>
            </w:pPr>
            <w:r>
              <w:rPr>
                <w:rFonts w:ascii="Arial" w:cs="Arial" w:eastAsia="Arial" w:hAnsi="Arial"/>
                <w:sz w:val="18"/>
                <w:szCs w:val="18"/>
                <w:color w:val="auto"/>
                <w:w w:val="99"/>
              </w:rPr>
              <w:t>Korea</w:t>
            </w:r>
          </w:p>
        </w:tc>
      </w:tr>
      <w:tr>
        <w:trPr>
          <w:trHeight w:val="257"/>
        </w:trPr>
        <w:tc>
          <w:tcPr>
            <w:tcW w:w="6140" w:type="dxa"/>
            <w:vAlign w:val="bottom"/>
          </w:tcPr>
          <w:p>
            <w:pPr>
              <w:spacing w:after="0"/>
              <w:rPr>
                <w:sz w:val="20"/>
                <w:szCs w:val="20"/>
                <w:color w:val="auto"/>
              </w:rPr>
            </w:pPr>
            <w:r>
              <w:rPr>
                <w:rFonts w:ascii="Arial" w:cs="Arial" w:eastAsia="Arial" w:hAnsi="Arial"/>
                <w:sz w:val="18"/>
                <w:szCs w:val="18"/>
                <w:color w:val="auto"/>
              </w:rPr>
              <w:t>Elanco Australasia Pty. Ltd.</w:t>
            </w:r>
          </w:p>
        </w:tc>
        <w:tc>
          <w:tcPr>
            <w:tcW w:w="5240" w:type="dxa"/>
            <w:vAlign w:val="bottom"/>
          </w:tcPr>
          <w:p>
            <w:pPr>
              <w:jc w:val="center"/>
              <w:spacing w:after="0"/>
              <w:rPr>
                <w:sz w:val="20"/>
                <w:szCs w:val="20"/>
                <w:color w:val="auto"/>
              </w:rPr>
            </w:pPr>
            <w:r>
              <w:rPr>
                <w:rFonts w:ascii="Arial" w:cs="Arial" w:eastAsia="Arial" w:hAnsi="Arial"/>
                <w:sz w:val="18"/>
                <w:szCs w:val="18"/>
                <w:color w:val="auto"/>
              </w:rPr>
              <w:t>Australia</w:t>
            </w:r>
          </w:p>
        </w:tc>
      </w:tr>
      <w:tr>
        <w:trPr>
          <w:trHeight w:val="270"/>
        </w:trPr>
        <w:tc>
          <w:tcPr>
            <w:tcW w:w="6140" w:type="dxa"/>
            <w:vAlign w:val="bottom"/>
          </w:tcPr>
          <w:p>
            <w:pPr>
              <w:spacing w:after="0"/>
              <w:rPr>
                <w:sz w:val="20"/>
                <w:szCs w:val="20"/>
                <w:color w:val="auto"/>
              </w:rPr>
            </w:pPr>
            <w:r>
              <w:rPr>
                <w:rFonts w:ascii="Arial" w:cs="Arial" w:eastAsia="Arial" w:hAnsi="Arial"/>
                <w:sz w:val="18"/>
                <w:szCs w:val="18"/>
                <w:color w:val="auto"/>
              </w:rPr>
              <w:t>Elanco Bangladesh Limited</w:t>
            </w:r>
          </w:p>
        </w:tc>
        <w:tc>
          <w:tcPr>
            <w:tcW w:w="5240" w:type="dxa"/>
            <w:vAlign w:val="bottom"/>
          </w:tcPr>
          <w:p>
            <w:pPr>
              <w:jc w:val="center"/>
              <w:spacing w:after="0"/>
              <w:rPr>
                <w:sz w:val="20"/>
                <w:szCs w:val="20"/>
                <w:color w:val="auto"/>
              </w:rPr>
            </w:pPr>
            <w:r>
              <w:rPr>
                <w:rFonts w:ascii="Arial" w:cs="Arial" w:eastAsia="Arial" w:hAnsi="Arial"/>
                <w:sz w:val="18"/>
                <w:szCs w:val="18"/>
                <w:color w:val="auto"/>
              </w:rPr>
              <w:t>Bangladesh</w:t>
            </w:r>
          </w:p>
        </w:tc>
      </w:tr>
      <w:tr>
        <w:trPr>
          <w:trHeight w:val="284"/>
        </w:trPr>
        <w:tc>
          <w:tcPr>
            <w:tcW w:w="6140" w:type="dxa"/>
            <w:vAlign w:val="bottom"/>
          </w:tcPr>
          <w:p>
            <w:pPr>
              <w:spacing w:after="0"/>
              <w:rPr>
                <w:sz w:val="20"/>
                <w:szCs w:val="20"/>
                <w:color w:val="auto"/>
              </w:rPr>
            </w:pPr>
            <w:r>
              <w:rPr>
                <w:rFonts w:ascii="Arial" w:cs="Arial" w:eastAsia="Arial" w:hAnsi="Arial"/>
                <w:sz w:val="18"/>
                <w:szCs w:val="18"/>
                <w:color w:val="auto"/>
              </w:rPr>
              <w:t>Elanco Canada Limited</w:t>
            </w:r>
          </w:p>
        </w:tc>
        <w:tc>
          <w:tcPr>
            <w:tcW w:w="5240" w:type="dxa"/>
            <w:vAlign w:val="bottom"/>
          </w:tcPr>
          <w:p>
            <w:pPr>
              <w:jc w:val="center"/>
              <w:spacing w:after="0"/>
              <w:rPr>
                <w:sz w:val="20"/>
                <w:szCs w:val="20"/>
                <w:color w:val="auto"/>
              </w:rPr>
            </w:pPr>
            <w:r>
              <w:rPr>
                <w:rFonts w:ascii="Arial" w:cs="Arial" w:eastAsia="Arial" w:hAnsi="Arial"/>
                <w:sz w:val="18"/>
                <w:szCs w:val="18"/>
                <w:color w:val="auto"/>
              </w:rPr>
              <w:t>Canada</w:t>
            </w:r>
          </w:p>
        </w:tc>
      </w:tr>
      <w:tr>
        <w:trPr>
          <w:trHeight w:val="257"/>
        </w:trPr>
        <w:tc>
          <w:tcPr>
            <w:tcW w:w="6140" w:type="dxa"/>
            <w:vAlign w:val="bottom"/>
          </w:tcPr>
          <w:p>
            <w:pPr>
              <w:spacing w:after="0"/>
              <w:rPr>
                <w:sz w:val="20"/>
                <w:szCs w:val="20"/>
                <w:color w:val="auto"/>
              </w:rPr>
            </w:pPr>
            <w:r>
              <w:rPr>
                <w:rFonts w:ascii="Arial" w:cs="Arial" w:eastAsia="Arial" w:hAnsi="Arial"/>
                <w:sz w:val="18"/>
                <w:szCs w:val="18"/>
                <w:color w:val="auto"/>
              </w:rPr>
              <w:t>Elanco Centre de Recherche Sante Animale SA</w:t>
            </w:r>
          </w:p>
        </w:tc>
        <w:tc>
          <w:tcPr>
            <w:tcW w:w="5240" w:type="dxa"/>
            <w:vAlign w:val="bottom"/>
          </w:tcPr>
          <w:p>
            <w:pPr>
              <w:jc w:val="center"/>
              <w:spacing w:after="0"/>
              <w:rPr>
                <w:sz w:val="20"/>
                <w:szCs w:val="20"/>
                <w:color w:val="auto"/>
              </w:rPr>
            </w:pPr>
            <w:r>
              <w:rPr>
                <w:rFonts w:ascii="Arial" w:cs="Arial" w:eastAsia="Arial" w:hAnsi="Arial"/>
                <w:sz w:val="18"/>
                <w:szCs w:val="18"/>
                <w:color w:val="auto"/>
                <w:w w:val="98"/>
              </w:rPr>
              <w:t>Switzerland</w:t>
            </w:r>
          </w:p>
        </w:tc>
      </w:tr>
      <w:tr>
        <w:trPr>
          <w:trHeight w:val="284"/>
        </w:trPr>
        <w:tc>
          <w:tcPr>
            <w:tcW w:w="6140" w:type="dxa"/>
            <w:vAlign w:val="bottom"/>
          </w:tcPr>
          <w:p>
            <w:pPr>
              <w:spacing w:after="0"/>
              <w:rPr>
                <w:sz w:val="20"/>
                <w:szCs w:val="20"/>
                <w:color w:val="auto"/>
              </w:rPr>
            </w:pPr>
            <w:r>
              <w:rPr>
                <w:rFonts w:ascii="Arial" w:cs="Arial" w:eastAsia="Arial" w:hAnsi="Arial"/>
                <w:sz w:val="18"/>
                <w:szCs w:val="18"/>
                <w:color w:val="auto"/>
              </w:rPr>
              <w:t>Elanco Deutschland GmbH</w:t>
            </w:r>
          </w:p>
        </w:tc>
        <w:tc>
          <w:tcPr>
            <w:tcW w:w="5240" w:type="dxa"/>
            <w:vAlign w:val="bottom"/>
          </w:tcPr>
          <w:p>
            <w:pPr>
              <w:jc w:val="center"/>
              <w:spacing w:after="0"/>
              <w:rPr>
                <w:sz w:val="20"/>
                <w:szCs w:val="20"/>
                <w:color w:val="auto"/>
              </w:rPr>
            </w:pPr>
            <w:r>
              <w:rPr>
                <w:rFonts w:ascii="Arial" w:cs="Arial" w:eastAsia="Arial" w:hAnsi="Arial"/>
                <w:sz w:val="18"/>
                <w:szCs w:val="18"/>
                <w:color w:val="auto"/>
              </w:rPr>
              <w:t>Germany</w:t>
            </w:r>
          </w:p>
        </w:tc>
      </w:tr>
      <w:tr>
        <w:trPr>
          <w:trHeight w:val="270"/>
        </w:trPr>
        <w:tc>
          <w:tcPr>
            <w:tcW w:w="6140" w:type="dxa"/>
            <w:vAlign w:val="bottom"/>
          </w:tcPr>
          <w:p>
            <w:pPr>
              <w:spacing w:after="0"/>
              <w:rPr>
                <w:sz w:val="20"/>
                <w:szCs w:val="20"/>
                <w:color w:val="auto"/>
              </w:rPr>
            </w:pPr>
            <w:r>
              <w:rPr>
                <w:rFonts w:ascii="Arial" w:cs="Arial" w:eastAsia="Arial" w:hAnsi="Arial"/>
                <w:sz w:val="18"/>
                <w:szCs w:val="18"/>
                <w:color w:val="auto"/>
              </w:rPr>
              <w:t>Elanco India Private Limited</w:t>
            </w:r>
          </w:p>
        </w:tc>
        <w:tc>
          <w:tcPr>
            <w:tcW w:w="5240" w:type="dxa"/>
            <w:vAlign w:val="bottom"/>
          </w:tcPr>
          <w:p>
            <w:pPr>
              <w:jc w:val="center"/>
              <w:spacing w:after="0"/>
              <w:rPr>
                <w:sz w:val="20"/>
                <w:szCs w:val="20"/>
                <w:color w:val="auto"/>
              </w:rPr>
            </w:pPr>
            <w:r>
              <w:rPr>
                <w:rFonts w:ascii="Arial" w:cs="Arial" w:eastAsia="Arial" w:hAnsi="Arial"/>
                <w:sz w:val="18"/>
                <w:szCs w:val="18"/>
                <w:color w:val="auto"/>
              </w:rPr>
              <w:t>India</w:t>
            </w:r>
          </w:p>
        </w:tc>
      </w:tr>
      <w:tr>
        <w:trPr>
          <w:trHeight w:val="257"/>
        </w:trPr>
        <w:tc>
          <w:tcPr>
            <w:tcW w:w="6140" w:type="dxa"/>
            <w:vAlign w:val="bottom"/>
          </w:tcPr>
          <w:p>
            <w:pPr>
              <w:spacing w:after="0"/>
              <w:rPr>
                <w:sz w:val="20"/>
                <w:szCs w:val="20"/>
                <w:color w:val="auto"/>
              </w:rPr>
            </w:pPr>
            <w:r>
              <w:rPr>
                <w:rFonts w:ascii="Arial" w:cs="Arial" w:eastAsia="Arial" w:hAnsi="Arial"/>
                <w:sz w:val="18"/>
                <w:szCs w:val="18"/>
                <w:color w:val="auto"/>
              </w:rPr>
              <w:t>Elanco Japan KK</w:t>
            </w:r>
          </w:p>
        </w:tc>
        <w:tc>
          <w:tcPr>
            <w:tcW w:w="5240" w:type="dxa"/>
            <w:vAlign w:val="bottom"/>
          </w:tcPr>
          <w:p>
            <w:pPr>
              <w:jc w:val="center"/>
              <w:spacing w:after="0"/>
              <w:rPr>
                <w:sz w:val="20"/>
                <w:szCs w:val="20"/>
                <w:color w:val="auto"/>
              </w:rPr>
            </w:pPr>
            <w:r>
              <w:rPr>
                <w:rFonts w:ascii="Arial" w:cs="Arial" w:eastAsia="Arial" w:hAnsi="Arial"/>
                <w:sz w:val="18"/>
                <w:szCs w:val="18"/>
                <w:color w:val="auto"/>
                <w:w w:val="97"/>
              </w:rPr>
              <w:t>Japan</w:t>
            </w:r>
          </w:p>
        </w:tc>
      </w:tr>
      <w:tr>
        <w:trPr>
          <w:trHeight w:val="270"/>
        </w:trPr>
        <w:tc>
          <w:tcPr>
            <w:tcW w:w="6140" w:type="dxa"/>
            <w:vAlign w:val="bottom"/>
          </w:tcPr>
          <w:p>
            <w:pPr>
              <w:spacing w:after="0"/>
              <w:rPr>
                <w:sz w:val="20"/>
                <w:szCs w:val="20"/>
                <w:color w:val="auto"/>
              </w:rPr>
            </w:pPr>
            <w:r>
              <w:rPr>
                <w:rFonts w:ascii="Arial" w:cs="Arial" w:eastAsia="Arial" w:hAnsi="Arial"/>
                <w:sz w:val="18"/>
                <w:szCs w:val="18"/>
                <w:color w:val="auto"/>
              </w:rPr>
              <w:t>Elanco Netherlands Holding B.V.</w:t>
            </w:r>
          </w:p>
        </w:tc>
        <w:tc>
          <w:tcPr>
            <w:tcW w:w="5240" w:type="dxa"/>
            <w:vAlign w:val="bottom"/>
          </w:tcPr>
          <w:p>
            <w:pPr>
              <w:jc w:val="center"/>
              <w:spacing w:after="0"/>
              <w:rPr>
                <w:sz w:val="20"/>
                <w:szCs w:val="20"/>
                <w:color w:val="auto"/>
              </w:rPr>
            </w:pPr>
            <w:r>
              <w:rPr>
                <w:rFonts w:ascii="Arial" w:cs="Arial" w:eastAsia="Arial" w:hAnsi="Arial"/>
                <w:sz w:val="18"/>
                <w:szCs w:val="18"/>
                <w:color w:val="auto"/>
                <w:w w:val="98"/>
              </w:rPr>
              <w:t>Netherlands</w:t>
            </w:r>
          </w:p>
        </w:tc>
      </w:tr>
      <w:tr>
        <w:trPr>
          <w:trHeight w:val="284"/>
        </w:trPr>
        <w:tc>
          <w:tcPr>
            <w:tcW w:w="6140" w:type="dxa"/>
            <w:vAlign w:val="bottom"/>
          </w:tcPr>
          <w:p>
            <w:pPr>
              <w:spacing w:after="0"/>
              <w:rPr>
                <w:sz w:val="20"/>
                <w:szCs w:val="20"/>
                <w:color w:val="auto"/>
              </w:rPr>
            </w:pPr>
            <w:r>
              <w:rPr>
                <w:rFonts w:ascii="Arial" w:cs="Arial" w:eastAsia="Arial" w:hAnsi="Arial"/>
                <w:sz w:val="18"/>
                <w:szCs w:val="18"/>
                <w:color w:val="auto"/>
              </w:rPr>
              <w:t>Elanco Rus Ltd.</w:t>
            </w:r>
          </w:p>
        </w:tc>
        <w:tc>
          <w:tcPr>
            <w:tcW w:w="5240" w:type="dxa"/>
            <w:vAlign w:val="bottom"/>
          </w:tcPr>
          <w:p>
            <w:pPr>
              <w:jc w:val="center"/>
              <w:spacing w:after="0"/>
              <w:rPr>
                <w:sz w:val="20"/>
                <w:szCs w:val="20"/>
                <w:color w:val="auto"/>
              </w:rPr>
            </w:pPr>
            <w:r>
              <w:rPr>
                <w:rFonts w:ascii="Arial" w:cs="Arial" w:eastAsia="Arial" w:hAnsi="Arial"/>
                <w:sz w:val="18"/>
                <w:szCs w:val="18"/>
                <w:color w:val="auto"/>
              </w:rPr>
              <w:t>Russia</w:t>
            </w:r>
          </w:p>
        </w:tc>
      </w:tr>
      <w:tr>
        <w:trPr>
          <w:trHeight w:val="257"/>
        </w:trPr>
        <w:tc>
          <w:tcPr>
            <w:tcW w:w="6140" w:type="dxa"/>
            <w:vAlign w:val="bottom"/>
          </w:tcPr>
          <w:p>
            <w:pPr>
              <w:spacing w:after="0"/>
              <w:rPr>
                <w:sz w:val="20"/>
                <w:szCs w:val="20"/>
                <w:color w:val="auto"/>
              </w:rPr>
            </w:pPr>
            <w:r>
              <w:rPr>
                <w:rFonts w:ascii="Arial" w:cs="Arial" w:eastAsia="Arial" w:hAnsi="Arial"/>
                <w:sz w:val="18"/>
                <w:szCs w:val="18"/>
                <w:color w:val="auto"/>
              </w:rPr>
              <w:t>Elanco Salud Animal SA de CV</w:t>
            </w:r>
          </w:p>
        </w:tc>
        <w:tc>
          <w:tcPr>
            <w:tcW w:w="5240" w:type="dxa"/>
            <w:vAlign w:val="bottom"/>
          </w:tcPr>
          <w:p>
            <w:pPr>
              <w:jc w:val="center"/>
              <w:spacing w:after="0"/>
              <w:rPr>
                <w:sz w:val="20"/>
                <w:szCs w:val="20"/>
                <w:color w:val="auto"/>
              </w:rPr>
            </w:pPr>
            <w:r>
              <w:rPr>
                <w:rFonts w:ascii="Arial" w:cs="Arial" w:eastAsia="Arial" w:hAnsi="Arial"/>
                <w:sz w:val="18"/>
                <w:szCs w:val="18"/>
                <w:color w:val="auto"/>
                <w:w w:val="98"/>
              </w:rPr>
              <w:t>Mexico</w:t>
            </w:r>
          </w:p>
        </w:tc>
      </w:tr>
      <w:tr>
        <w:trPr>
          <w:trHeight w:val="284"/>
        </w:trPr>
        <w:tc>
          <w:tcPr>
            <w:tcW w:w="6140" w:type="dxa"/>
            <w:vAlign w:val="bottom"/>
          </w:tcPr>
          <w:p>
            <w:pPr>
              <w:spacing w:after="0"/>
              <w:rPr>
                <w:sz w:val="20"/>
                <w:szCs w:val="20"/>
                <w:color w:val="auto"/>
              </w:rPr>
            </w:pPr>
            <w:r>
              <w:rPr>
                <w:rFonts w:ascii="Arial" w:cs="Arial" w:eastAsia="Arial" w:hAnsi="Arial"/>
                <w:sz w:val="18"/>
                <w:szCs w:val="18"/>
                <w:color w:val="auto"/>
              </w:rPr>
              <w:t>Elanco Switzerland Holding GmbH</w:t>
            </w:r>
          </w:p>
        </w:tc>
        <w:tc>
          <w:tcPr>
            <w:tcW w:w="5240" w:type="dxa"/>
            <w:vAlign w:val="bottom"/>
          </w:tcPr>
          <w:p>
            <w:pPr>
              <w:jc w:val="center"/>
              <w:spacing w:after="0"/>
              <w:rPr>
                <w:sz w:val="20"/>
                <w:szCs w:val="20"/>
                <w:color w:val="auto"/>
              </w:rPr>
            </w:pPr>
            <w:r>
              <w:rPr>
                <w:rFonts w:ascii="Arial" w:cs="Arial" w:eastAsia="Arial" w:hAnsi="Arial"/>
                <w:sz w:val="18"/>
                <w:szCs w:val="18"/>
                <w:color w:val="auto"/>
                <w:w w:val="98"/>
              </w:rPr>
              <w:t>Switzerland</w:t>
            </w:r>
          </w:p>
        </w:tc>
      </w:tr>
      <w:tr>
        <w:trPr>
          <w:trHeight w:val="257"/>
        </w:trPr>
        <w:tc>
          <w:tcPr>
            <w:tcW w:w="6140" w:type="dxa"/>
            <w:vAlign w:val="bottom"/>
          </w:tcPr>
          <w:p>
            <w:pPr>
              <w:spacing w:after="0"/>
              <w:rPr>
                <w:sz w:val="20"/>
                <w:szCs w:val="20"/>
                <w:color w:val="auto"/>
              </w:rPr>
            </w:pPr>
            <w:r>
              <w:rPr>
                <w:rFonts w:ascii="Arial" w:cs="Arial" w:eastAsia="Arial" w:hAnsi="Arial"/>
                <w:sz w:val="18"/>
                <w:szCs w:val="18"/>
                <w:color w:val="auto"/>
              </w:rPr>
              <w:t>Elanco US, Inc.</w:t>
            </w:r>
          </w:p>
        </w:tc>
        <w:tc>
          <w:tcPr>
            <w:tcW w:w="524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84"/>
        </w:trPr>
        <w:tc>
          <w:tcPr>
            <w:tcW w:w="6140" w:type="dxa"/>
            <w:vAlign w:val="bottom"/>
          </w:tcPr>
          <w:p>
            <w:pPr>
              <w:spacing w:after="0"/>
              <w:rPr>
                <w:sz w:val="20"/>
                <w:szCs w:val="20"/>
                <w:color w:val="auto"/>
              </w:rPr>
            </w:pPr>
            <w:r>
              <w:rPr>
                <w:rFonts w:ascii="Arial" w:cs="Arial" w:eastAsia="Arial" w:hAnsi="Arial"/>
                <w:sz w:val="18"/>
                <w:szCs w:val="18"/>
                <w:color w:val="auto"/>
              </w:rPr>
              <w:t>Elanco-Valquimica, S.A.</w:t>
            </w:r>
          </w:p>
        </w:tc>
        <w:tc>
          <w:tcPr>
            <w:tcW w:w="5240" w:type="dxa"/>
            <w:vAlign w:val="bottom"/>
          </w:tcPr>
          <w:p>
            <w:pPr>
              <w:jc w:val="center"/>
              <w:spacing w:after="0"/>
              <w:rPr>
                <w:sz w:val="20"/>
                <w:szCs w:val="20"/>
                <w:color w:val="auto"/>
              </w:rPr>
            </w:pPr>
            <w:r>
              <w:rPr>
                <w:rFonts w:ascii="Arial" w:cs="Arial" w:eastAsia="Arial" w:hAnsi="Arial"/>
                <w:sz w:val="18"/>
                <w:szCs w:val="18"/>
                <w:color w:val="auto"/>
              </w:rPr>
              <w:t>Spain</w:t>
            </w:r>
          </w:p>
        </w:tc>
      </w:tr>
      <w:tr>
        <w:trPr>
          <w:trHeight w:val="257"/>
        </w:trPr>
        <w:tc>
          <w:tcPr>
            <w:tcW w:w="6140" w:type="dxa"/>
            <w:vAlign w:val="bottom"/>
          </w:tcPr>
          <w:p>
            <w:pPr>
              <w:spacing w:after="0"/>
              <w:rPr>
                <w:sz w:val="20"/>
                <w:szCs w:val="20"/>
                <w:color w:val="auto"/>
              </w:rPr>
            </w:pPr>
            <w:r>
              <w:rPr>
                <w:rFonts w:ascii="Arial" w:cs="Arial" w:eastAsia="Arial" w:hAnsi="Arial"/>
                <w:sz w:val="18"/>
                <w:szCs w:val="18"/>
                <w:color w:val="auto"/>
              </w:rPr>
              <w:t>ELCO Dominicana SRL</w:t>
            </w:r>
          </w:p>
        </w:tc>
        <w:tc>
          <w:tcPr>
            <w:tcW w:w="5240" w:type="dxa"/>
            <w:vAlign w:val="bottom"/>
          </w:tcPr>
          <w:p>
            <w:pPr>
              <w:jc w:val="center"/>
              <w:spacing w:after="0"/>
              <w:rPr>
                <w:sz w:val="20"/>
                <w:szCs w:val="20"/>
                <w:color w:val="auto"/>
              </w:rPr>
            </w:pPr>
            <w:r>
              <w:rPr>
                <w:rFonts w:ascii="Arial" w:cs="Arial" w:eastAsia="Arial" w:hAnsi="Arial"/>
                <w:sz w:val="18"/>
                <w:szCs w:val="18"/>
                <w:color w:val="auto"/>
                <w:w w:val="99"/>
              </w:rPr>
              <w:t>Dominican Republic</w:t>
            </w:r>
          </w:p>
        </w:tc>
      </w:tr>
      <w:tr>
        <w:trPr>
          <w:trHeight w:val="284"/>
        </w:trPr>
        <w:tc>
          <w:tcPr>
            <w:tcW w:w="6140" w:type="dxa"/>
            <w:vAlign w:val="bottom"/>
          </w:tcPr>
          <w:p>
            <w:pPr>
              <w:spacing w:after="0"/>
              <w:rPr>
                <w:sz w:val="20"/>
                <w:szCs w:val="20"/>
                <w:color w:val="auto"/>
              </w:rPr>
            </w:pPr>
            <w:r>
              <w:rPr>
                <w:rFonts w:ascii="Arial" w:cs="Arial" w:eastAsia="Arial" w:hAnsi="Arial"/>
                <w:sz w:val="18"/>
                <w:szCs w:val="18"/>
                <w:color w:val="auto"/>
              </w:rPr>
              <w:t>ELCO for Trade and Marketing, S.A.E.</w:t>
            </w:r>
          </w:p>
        </w:tc>
        <w:tc>
          <w:tcPr>
            <w:tcW w:w="5240" w:type="dxa"/>
            <w:vAlign w:val="bottom"/>
          </w:tcPr>
          <w:p>
            <w:pPr>
              <w:jc w:val="center"/>
              <w:spacing w:after="0"/>
              <w:rPr>
                <w:sz w:val="20"/>
                <w:szCs w:val="20"/>
                <w:color w:val="auto"/>
              </w:rPr>
            </w:pPr>
            <w:r>
              <w:rPr>
                <w:rFonts w:ascii="Arial" w:cs="Arial" w:eastAsia="Arial" w:hAnsi="Arial"/>
                <w:sz w:val="18"/>
                <w:szCs w:val="18"/>
                <w:color w:val="auto"/>
              </w:rPr>
              <w:t>Egypt</w:t>
            </w:r>
          </w:p>
        </w:tc>
      </w:tr>
      <w:tr>
        <w:trPr>
          <w:trHeight w:val="257"/>
        </w:trPr>
        <w:tc>
          <w:tcPr>
            <w:tcW w:w="6140" w:type="dxa"/>
            <w:vAlign w:val="bottom"/>
          </w:tcPr>
          <w:p>
            <w:pPr>
              <w:spacing w:after="0"/>
              <w:rPr>
                <w:sz w:val="20"/>
                <w:szCs w:val="20"/>
                <w:color w:val="auto"/>
              </w:rPr>
            </w:pPr>
            <w:r>
              <w:rPr>
                <w:rFonts w:ascii="Arial" w:cs="Arial" w:eastAsia="Arial" w:hAnsi="Arial"/>
                <w:sz w:val="18"/>
                <w:szCs w:val="18"/>
                <w:color w:val="auto"/>
              </w:rPr>
              <w:t>ELCO Holdings B.V.</w:t>
            </w:r>
          </w:p>
        </w:tc>
        <w:tc>
          <w:tcPr>
            <w:tcW w:w="5240" w:type="dxa"/>
            <w:vAlign w:val="bottom"/>
          </w:tcPr>
          <w:p>
            <w:pPr>
              <w:jc w:val="center"/>
              <w:spacing w:after="0"/>
              <w:rPr>
                <w:sz w:val="20"/>
                <w:szCs w:val="20"/>
                <w:color w:val="auto"/>
              </w:rPr>
            </w:pPr>
            <w:r>
              <w:rPr>
                <w:rFonts w:ascii="Arial" w:cs="Arial" w:eastAsia="Arial" w:hAnsi="Arial"/>
                <w:sz w:val="18"/>
                <w:szCs w:val="18"/>
                <w:color w:val="auto"/>
                <w:w w:val="98"/>
              </w:rPr>
              <w:t>Netherlands</w:t>
            </w:r>
          </w:p>
        </w:tc>
      </w:tr>
      <w:tr>
        <w:trPr>
          <w:trHeight w:val="284"/>
        </w:trPr>
        <w:tc>
          <w:tcPr>
            <w:tcW w:w="6140" w:type="dxa"/>
            <w:vAlign w:val="bottom"/>
          </w:tcPr>
          <w:p>
            <w:pPr>
              <w:spacing w:after="0"/>
              <w:rPr>
                <w:sz w:val="20"/>
                <w:szCs w:val="20"/>
                <w:color w:val="auto"/>
              </w:rPr>
            </w:pPr>
            <w:r>
              <w:rPr>
                <w:rFonts w:ascii="Arial" w:cs="Arial" w:eastAsia="Arial" w:hAnsi="Arial"/>
                <w:sz w:val="18"/>
                <w:szCs w:val="18"/>
                <w:color w:val="auto"/>
              </w:rPr>
              <w:t>ELCO Insurance Company Limited</w:t>
            </w:r>
          </w:p>
        </w:tc>
        <w:tc>
          <w:tcPr>
            <w:tcW w:w="5240" w:type="dxa"/>
            <w:vAlign w:val="bottom"/>
          </w:tcPr>
          <w:p>
            <w:pPr>
              <w:jc w:val="center"/>
              <w:spacing w:after="0"/>
              <w:rPr>
                <w:sz w:val="20"/>
                <w:szCs w:val="20"/>
                <w:color w:val="auto"/>
              </w:rPr>
            </w:pPr>
            <w:r>
              <w:rPr>
                <w:rFonts w:ascii="Arial" w:cs="Arial" w:eastAsia="Arial" w:hAnsi="Arial"/>
                <w:sz w:val="18"/>
                <w:szCs w:val="18"/>
                <w:color w:val="auto"/>
                <w:w w:val="98"/>
              </w:rPr>
              <w:t>Bermuda</w:t>
            </w:r>
          </w:p>
        </w:tc>
      </w:tr>
      <w:tr>
        <w:trPr>
          <w:trHeight w:val="257"/>
        </w:trPr>
        <w:tc>
          <w:tcPr>
            <w:tcW w:w="6140" w:type="dxa"/>
            <w:vAlign w:val="bottom"/>
          </w:tcPr>
          <w:p>
            <w:pPr>
              <w:spacing w:after="0"/>
              <w:rPr>
                <w:sz w:val="20"/>
                <w:szCs w:val="20"/>
                <w:color w:val="auto"/>
              </w:rPr>
            </w:pPr>
            <w:r>
              <w:rPr>
                <w:rFonts w:ascii="Arial" w:cs="Arial" w:eastAsia="Arial" w:hAnsi="Arial"/>
                <w:sz w:val="18"/>
                <w:szCs w:val="18"/>
                <w:color w:val="auto"/>
              </w:rPr>
              <w:t>ELCO Management, Inc.</w:t>
            </w:r>
          </w:p>
        </w:tc>
        <w:tc>
          <w:tcPr>
            <w:tcW w:w="524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84"/>
        </w:trPr>
        <w:tc>
          <w:tcPr>
            <w:tcW w:w="6140" w:type="dxa"/>
            <w:vAlign w:val="bottom"/>
          </w:tcPr>
          <w:p>
            <w:pPr>
              <w:spacing w:after="0"/>
              <w:rPr>
                <w:sz w:val="20"/>
                <w:szCs w:val="20"/>
                <w:color w:val="auto"/>
              </w:rPr>
            </w:pPr>
            <w:r>
              <w:rPr>
                <w:rFonts w:ascii="Arial" w:cs="Arial" w:eastAsia="Arial" w:hAnsi="Arial"/>
                <w:sz w:val="18"/>
                <w:szCs w:val="18"/>
                <w:color w:val="auto"/>
              </w:rPr>
              <w:t>ELGO Insurance Company Limited</w:t>
            </w:r>
          </w:p>
        </w:tc>
        <w:tc>
          <w:tcPr>
            <w:tcW w:w="5240" w:type="dxa"/>
            <w:vAlign w:val="bottom"/>
          </w:tcPr>
          <w:p>
            <w:pPr>
              <w:jc w:val="center"/>
              <w:spacing w:after="0"/>
              <w:rPr>
                <w:sz w:val="20"/>
                <w:szCs w:val="20"/>
                <w:color w:val="auto"/>
              </w:rPr>
            </w:pPr>
            <w:r>
              <w:rPr>
                <w:rFonts w:ascii="Arial" w:cs="Arial" w:eastAsia="Arial" w:hAnsi="Arial"/>
                <w:sz w:val="18"/>
                <w:szCs w:val="18"/>
                <w:color w:val="auto"/>
                <w:w w:val="98"/>
              </w:rPr>
              <w:t>Bermuda</w:t>
            </w:r>
          </w:p>
        </w:tc>
      </w:tr>
      <w:tr>
        <w:trPr>
          <w:trHeight w:val="257"/>
        </w:trPr>
        <w:tc>
          <w:tcPr>
            <w:tcW w:w="6140" w:type="dxa"/>
            <w:vAlign w:val="bottom"/>
          </w:tcPr>
          <w:p>
            <w:pPr>
              <w:spacing w:after="0"/>
              <w:rPr>
                <w:sz w:val="20"/>
                <w:szCs w:val="20"/>
                <w:color w:val="auto"/>
              </w:rPr>
            </w:pPr>
            <w:r>
              <w:rPr>
                <w:rFonts w:ascii="Arial" w:cs="Arial" w:eastAsia="Arial" w:hAnsi="Arial"/>
                <w:sz w:val="18"/>
                <w:szCs w:val="18"/>
                <w:color w:val="auto"/>
              </w:rPr>
              <w:t>Eli Lilly (Malaysia) Sdn. Bhd.</w:t>
            </w:r>
          </w:p>
        </w:tc>
        <w:tc>
          <w:tcPr>
            <w:tcW w:w="5240" w:type="dxa"/>
            <w:vAlign w:val="bottom"/>
          </w:tcPr>
          <w:p>
            <w:pPr>
              <w:jc w:val="center"/>
              <w:spacing w:after="0"/>
              <w:rPr>
                <w:sz w:val="20"/>
                <w:szCs w:val="20"/>
                <w:color w:val="auto"/>
              </w:rPr>
            </w:pPr>
            <w:r>
              <w:rPr>
                <w:rFonts w:ascii="Arial" w:cs="Arial" w:eastAsia="Arial" w:hAnsi="Arial"/>
                <w:sz w:val="18"/>
                <w:szCs w:val="18"/>
                <w:color w:val="auto"/>
              </w:rPr>
              <w:t>Malaysia</w:t>
            </w:r>
          </w:p>
        </w:tc>
      </w:tr>
      <w:tr>
        <w:trPr>
          <w:trHeight w:val="284"/>
        </w:trPr>
        <w:tc>
          <w:tcPr>
            <w:tcW w:w="6140" w:type="dxa"/>
            <w:vAlign w:val="bottom"/>
          </w:tcPr>
          <w:p>
            <w:pPr>
              <w:spacing w:after="0"/>
              <w:rPr>
                <w:sz w:val="20"/>
                <w:szCs w:val="20"/>
                <w:color w:val="auto"/>
              </w:rPr>
            </w:pPr>
            <w:r>
              <w:rPr>
                <w:rFonts w:ascii="Arial" w:cs="Arial" w:eastAsia="Arial" w:hAnsi="Arial"/>
                <w:sz w:val="18"/>
                <w:szCs w:val="18"/>
                <w:color w:val="auto"/>
              </w:rPr>
              <w:t>Eli Lilly (Philippines), Incorporated</w:t>
            </w:r>
          </w:p>
        </w:tc>
        <w:tc>
          <w:tcPr>
            <w:tcW w:w="5240" w:type="dxa"/>
            <w:vAlign w:val="bottom"/>
          </w:tcPr>
          <w:p>
            <w:pPr>
              <w:jc w:val="center"/>
              <w:spacing w:after="0"/>
              <w:rPr>
                <w:sz w:val="20"/>
                <w:szCs w:val="20"/>
                <w:color w:val="auto"/>
              </w:rPr>
            </w:pPr>
            <w:r>
              <w:rPr>
                <w:rFonts w:ascii="Arial" w:cs="Arial" w:eastAsia="Arial" w:hAnsi="Arial"/>
                <w:sz w:val="18"/>
                <w:szCs w:val="18"/>
                <w:color w:val="auto"/>
              </w:rPr>
              <w:t>Philippines</w:t>
            </w:r>
          </w:p>
        </w:tc>
      </w:tr>
      <w:tr>
        <w:trPr>
          <w:trHeight w:val="257"/>
        </w:trPr>
        <w:tc>
          <w:tcPr>
            <w:tcW w:w="6140" w:type="dxa"/>
            <w:vAlign w:val="bottom"/>
          </w:tcPr>
          <w:p>
            <w:pPr>
              <w:spacing w:after="0"/>
              <w:rPr>
                <w:sz w:val="20"/>
                <w:szCs w:val="20"/>
                <w:color w:val="auto"/>
              </w:rPr>
            </w:pPr>
            <w:r>
              <w:rPr>
                <w:rFonts w:ascii="Arial" w:cs="Arial" w:eastAsia="Arial" w:hAnsi="Arial"/>
                <w:sz w:val="18"/>
                <w:szCs w:val="18"/>
                <w:color w:val="auto"/>
              </w:rPr>
              <w:t>Eli Lilly (S.A.) (Proprietary) Limited</w:t>
            </w:r>
          </w:p>
        </w:tc>
        <w:tc>
          <w:tcPr>
            <w:tcW w:w="5240" w:type="dxa"/>
            <w:vAlign w:val="bottom"/>
          </w:tcPr>
          <w:p>
            <w:pPr>
              <w:jc w:val="center"/>
              <w:spacing w:after="0"/>
              <w:rPr>
                <w:sz w:val="20"/>
                <w:szCs w:val="20"/>
                <w:color w:val="auto"/>
              </w:rPr>
            </w:pPr>
            <w:r>
              <w:rPr>
                <w:rFonts w:ascii="Arial" w:cs="Arial" w:eastAsia="Arial" w:hAnsi="Arial"/>
                <w:sz w:val="18"/>
                <w:szCs w:val="18"/>
                <w:color w:val="auto"/>
              </w:rPr>
              <w:t>South Africa</w:t>
            </w:r>
          </w:p>
        </w:tc>
      </w:tr>
      <w:tr>
        <w:trPr>
          <w:trHeight w:val="270"/>
        </w:trPr>
        <w:tc>
          <w:tcPr>
            <w:tcW w:w="6140" w:type="dxa"/>
            <w:vAlign w:val="bottom"/>
          </w:tcPr>
          <w:p>
            <w:pPr>
              <w:spacing w:after="0"/>
              <w:rPr>
                <w:sz w:val="20"/>
                <w:szCs w:val="20"/>
                <w:color w:val="auto"/>
              </w:rPr>
            </w:pPr>
            <w:r>
              <w:rPr>
                <w:rFonts w:ascii="Arial" w:cs="Arial" w:eastAsia="Arial" w:hAnsi="Arial"/>
                <w:sz w:val="18"/>
                <w:szCs w:val="18"/>
                <w:color w:val="auto"/>
              </w:rPr>
              <w:t>Eli Lilly (Singapore) Pte. Ltd.</w:t>
            </w:r>
          </w:p>
        </w:tc>
        <w:tc>
          <w:tcPr>
            <w:tcW w:w="5240" w:type="dxa"/>
            <w:vAlign w:val="bottom"/>
          </w:tcPr>
          <w:p>
            <w:pPr>
              <w:jc w:val="center"/>
              <w:spacing w:after="0"/>
              <w:rPr>
                <w:sz w:val="20"/>
                <w:szCs w:val="20"/>
                <w:color w:val="auto"/>
              </w:rPr>
            </w:pPr>
            <w:r>
              <w:rPr>
                <w:rFonts w:ascii="Arial" w:cs="Arial" w:eastAsia="Arial" w:hAnsi="Arial"/>
                <w:sz w:val="18"/>
                <w:szCs w:val="18"/>
                <w:color w:val="auto"/>
              </w:rPr>
              <w:t>Singapore</w:t>
            </w:r>
          </w:p>
        </w:tc>
      </w:tr>
    </w:tbl>
    <w:p>
      <w:pPr>
        <w:sectPr>
          <w:pgSz w:w="11900" w:h="16838" w:orient="portrait"/>
          <w:cols w:equalWidth="0" w:num="1">
            <w:col w:w="11380"/>
          </w:cols>
          <w:pgMar w:left="280" w:top="574" w:right="239" w:bottom="1440" w:gutter="0" w:footer="0" w:header="0"/>
        </w:sectPr>
      </w:pPr>
    </w:p>
    <w:bookmarkStart w:id="132" w:name="page133"/>
    <w:bookmarkEnd w:id="13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140" w:type="dxa"/>
            <w:vAlign w:val="bottom"/>
          </w:tcPr>
          <w:p>
            <w:pPr>
              <w:spacing w:after="0"/>
              <w:rPr>
                <w:sz w:val="14"/>
                <w:szCs w:val="14"/>
                <w:color w:val="auto"/>
              </w:rPr>
            </w:pPr>
          </w:p>
        </w:tc>
        <w:tc>
          <w:tcPr>
            <w:tcW w:w="5240" w:type="dxa"/>
            <w:vAlign w:val="bottom"/>
          </w:tcPr>
          <w:p>
            <w:pPr>
              <w:jc w:val="center"/>
              <w:spacing w:after="0"/>
              <w:rPr>
                <w:sz w:val="20"/>
                <w:szCs w:val="20"/>
                <w:color w:val="auto"/>
              </w:rPr>
            </w:pPr>
            <w:r>
              <w:rPr>
                <w:rFonts w:ascii="Arial" w:cs="Arial" w:eastAsia="Arial" w:hAnsi="Arial"/>
                <w:sz w:val="14"/>
                <w:szCs w:val="14"/>
                <w:b w:val="1"/>
                <w:bCs w:val="1"/>
                <w:color w:val="auto"/>
              </w:rPr>
              <w:t>State or Jurisdiction</w:t>
            </w:r>
          </w:p>
        </w:tc>
      </w:tr>
      <w:tr>
        <w:trPr>
          <w:trHeight w:val="162"/>
        </w:trPr>
        <w:tc>
          <w:tcPr>
            <w:tcW w:w="6140" w:type="dxa"/>
            <w:vAlign w:val="bottom"/>
          </w:tcPr>
          <w:p>
            <w:pPr>
              <w:spacing w:after="0"/>
              <w:rPr>
                <w:sz w:val="14"/>
                <w:szCs w:val="14"/>
                <w:color w:val="auto"/>
              </w:rPr>
            </w:pPr>
          </w:p>
        </w:tc>
        <w:tc>
          <w:tcPr>
            <w:tcW w:w="5240" w:type="dxa"/>
            <w:vAlign w:val="bottom"/>
          </w:tcPr>
          <w:p>
            <w:pPr>
              <w:jc w:val="center"/>
              <w:spacing w:after="0"/>
              <w:rPr>
                <w:sz w:val="20"/>
                <w:szCs w:val="20"/>
                <w:color w:val="auto"/>
              </w:rPr>
            </w:pPr>
            <w:r>
              <w:rPr>
                <w:rFonts w:ascii="Arial" w:cs="Arial" w:eastAsia="Arial" w:hAnsi="Arial"/>
                <w:sz w:val="14"/>
                <w:szCs w:val="14"/>
                <w:b w:val="1"/>
                <w:bCs w:val="1"/>
                <w:color w:val="auto"/>
              </w:rPr>
              <w:t>of Incorporation</w:t>
            </w:r>
          </w:p>
        </w:tc>
      </w:tr>
      <w:tr>
        <w:trPr>
          <w:trHeight w:val="203"/>
        </w:trPr>
        <w:tc>
          <w:tcPr>
            <w:tcW w:w="6140" w:type="dxa"/>
            <w:vAlign w:val="bottom"/>
          </w:tcPr>
          <w:p>
            <w:pPr>
              <w:spacing w:after="0"/>
              <w:rPr>
                <w:sz w:val="17"/>
                <w:szCs w:val="17"/>
                <w:color w:val="auto"/>
              </w:rPr>
            </w:pPr>
          </w:p>
        </w:tc>
        <w:tc>
          <w:tcPr>
            <w:tcW w:w="5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or Organization</w:t>
            </w:r>
          </w:p>
        </w:tc>
      </w:tr>
      <w:tr>
        <w:trPr>
          <w:trHeight w:val="363"/>
        </w:trPr>
        <w:tc>
          <w:tcPr>
            <w:tcW w:w="6140" w:type="dxa"/>
            <w:vAlign w:val="bottom"/>
          </w:tcPr>
          <w:p>
            <w:pPr>
              <w:spacing w:after="0"/>
              <w:rPr>
                <w:sz w:val="20"/>
                <w:szCs w:val="20"/>
                <w:color w:val="auto"/>
              </w:rPr>
            </w:pPr>
            <w:r>
              <w:rPr>
                <w:rFonts w:ascii="Arial" w:cs="Arial" w:eastAsia="Arial" w:hAnsi="Arial"/>
                <w:sz w:val="18"/>
                <w:szCs w:val="18"/>
                <w:color w:val="auto"/>
              </w:rPr>
              <w:t>Eli Lilly (Suisse) S.A.</w:t>
            </w:r>
          </w:p>
        </w:tc>
        <w:tc>
          <w:tcPr>
            <w:tcW w:w="5240" w:type="dxa"/>
            <w:vAlign w:val="bottom"/>
          </w:tcPr>
          <w:p>
            <w:pPr>
              <w:jc w:val="center"/>
              <w:spacing w:after="0"/>
              <w:rPr>
                <w:sz w:val="20"/>
                <w:szCs w:val="20"/>
                <w:color w:val="auto"/>
              </w:rPr>
            </w:pPr>
            <w:r>
              <w:rPr>
                <w:rFonts w:ascii="Arial" w:cs="Arial" w:eastAsia="Arial" w:hAnsi="Arial"/>
                <w:sz w:val="18"/>
                <w:szCs w:val="18"/>
                <w:color w:val="auto"/>
                <w:w w:val="98"/>
              </w:rPr>
              <w:t>Switzerland</w:t>
            </w:r>
          </w:p>
        </w:tc>
      </w:tr>
      <w:tr>
        <w:trPr>
          <w:trHeight w:val="257"/>
        </w:trPr>
        <w:tc>
          <w:tcPr>
            <w:tcW w:w="6140" w:type="dxa"/>
            <w:vAlign w:val="bottom"/>
          </w:tcPr>
          <w:p>
            <w:pPr>
              <w:spacing w:after="0"/>
              <w:rPr>
                <w:sz w:val="20"/>
                <w:szCs w:val="20"/>
                <w:color w:val="auto"/>
              </w:rPr>
            </w:pPr>
            <w:r>
              <w:rPr>
                <w:rFonts w:ascii="Arial" w:cs="Arial" w:eastAsia="Arial" w:hAnsi="Arial"/>
                <w:sz w:val="18"/>
                <w:szCs w:val="18"/>
                <w:color w:val="auto"/>
              </w:rPr>
              <w:t>Eli Lilly and Company</w:t>
            </w:r>
          </w:p>
        </w:tc>
        <w:tc>
          <w:tcPr>
            <w:tcW w:w="5240" w:type="dxa"/>
            <w:vAlign w:val="bottom"/>
          </w:tcPr>
          <w:p>
            <w:pPr>
              <w:jc w:val="center"/>
              <w:spacing w:after="0"/>
              <w:rPr>
                <w:sz w:val="20"/>
                <w:szCs w:val="20"/>
                <w:color w:val="auto"/>
              </w:rPr>
            </w:pPr>
            <w:r>
              <w:rPr>
                <w:rFonts w:ascii="Arial" w:cs="Arial" w:eastAsia="Arial" w:hAnsi="Arial"/>
                <w:sz w:val="18"/>
                <w:szCs w:val="18"/>
                <w:color w:val="auto"/>
              </w:rPr>
              <w:t>Indiana</w:t>
            </w:r>
          </w:p>
        </w:tc>
      </w:tr>
      <w:tr>
        <w:trPr>
          <w:trHeight w:val="284"/>
        </w:trPr>
        <w:tc>
          <w:tcPr>
            <w:tcW w:w="6140" w:type="dxa"/>
            <w:vAlign w:val="bottom"/>
          </w:tcPr>
          <w:p>
            <w:pPr>
              <w:spacing w:after="0"/>
              <w:rPr>
                <w:sz w:val="20"/>
                <w:szCs w:val="20"/>
                <w:color w:val="auto"/>
              </w:rPr>
            </w:pPr>
            <w:r>
              <w:rPr>
                <w:rFonts w:ascii="Arial" w:cs="Arial" w:eastAsia="Arial" w:hAnsi="Arial"/>
                <w:sz w:val="18"/>
                <w:szCs w:val="18"/>
                <w:color w:val="auto"/>
              </w:rPr>
              <w:t>Eli Lilly and Company (India) Pvt. Ltd.</w:t>
            </w:r>
          </w:p>
        </w:tc>
        <w:tc>
          <w:tcPr>
            <w:tcW w:w="5240" w:type="dxa"/>
            <w:vAlign w:val="bottom"/>
          </w:tcPr>
          <w:p>
            <w:pPr>
              <w:jc w:val="center"/>
              <w:spacing w:after="0"/>
              <w:rPr>
                <w:sz w:val="20"/>
                <w:szCs w:val="20"/>
                <w:color w:val="auto"/>
              </w:rPr>
            </w:pPr>
            <w:r>
              <w:rPr>
                <w:rFonts w:ascii="Arial" w:cs="Arial" w:eastAsia="Arial" w:hAnsi="Arial"/>
                <w:sz w:val="18"/>
                <w:szCs w:val="18"/>
                <w:color w:val="auto"/>
              </w:rPr>
              <w:t>India</w:t>
            </w:r>
          </w:p>
        </w:tc>
      </w:tr>
      <w:tr>
        <w:trPr>
          <w:trHeight w:val="257"/>
        </w:trPr>
        <w:tc>
          <w:tcPr>
            <w:tcW w:w="6140" w:type="dxa"/>
            <w:vAlign w:val="bottom"/>
          </w:tcPr>
          <w:p>
            <w:pPr>
              <w:spacing w:after="0"/>
              <w:rPr>
                <w:sz w:val="20"/>
                <w:szCs w:val="20"/>
                <w:color w:val="auto"/>
              </w:rPr>
            </w:pPr>
            <w:r>
              <w:rPr>
                <w:rFonts w:ascii="Arial" w:cs="Arial" w:eastAsia="Arial" w:hAnsi="Arial"/>
                <w:sz w:val="18"/>
                <w:szCs w:val="18"/>
                <w:color w:val="auto"/>
              </w:rPr>
              <w:t>Eli Lilly and Company (Ireland) Limited</w:t>
            </w:r>
          </w:p>
        </w:tc>
        <w:tc>
          <w:tcPr>
            <w:tcW w:w="5240" w:type="dxa"/>
            <w:vAlign w:val="bottom"/>
          </w:tcPr>
          <w:p>
            <w:pPr>
              <w:jc w:val="center"/>
              <w:spacing w:after="0"/>
              <w:rPr>
                <w:sz w:val="20"/>
                <w:szCs w:val="20"/>
                <w:color w:val="auto"/>
              </w:rPr>
            </w:pPr>
            <w:r>
              <w:rPr>
                <w:rFonts w:ascii="Arial" w:cs="Arial" w:eastAsia="Arial" w:hAnsi="Arial"/>
                <w:sz w:val="18"/>
                <w:szCs w:val="18"/>
                <w:color w:val="auto"/>
              </w:rPr>
              <w:t>Ireland</w:t>
            </w:r>
          </w:p>
        </w:tc>
      </w:tr>
      <w:tr>
        <w:trPr>
          <w:trHeight w:val="284"/>
        </w:trPr>
        <w:tc>
          <w:tcPr>
            <w:tcW w:w="6140" w:type="dxa"/>
            <w:vAlign w:val="bottom"/>
          </w:tcPr>
          <w:p>
            <w:pPr>
              <w:spacing w:after="0"/>
              <w:rPr>
                <w:sz w:val="20"/>
                <w:szCs w:val="20"/>
                <w:color w:val="auto"/>
              </w:rPr>
            </w:pPr>
            <w:r>
              <w:rPr>
                <w:rFonts w:ascii="Arial" w:cs="Arial" w:eastAsia="Arial" w:hAnsi="Arial"/>
                <w:sz w:val="18"/>
                <w:szCs w:val="18"/>
                <w:color w:val="auto"/>
              </w:rPr>
              <w:t>Eli Lilly and Company (N.Z.) Limited</w:t>
            </w:r>
          </w:p>
        </w:tc>
        <w:tc>
          <w:tcPr>
            <w:tcW w:w="5240" w:type="dxa"/>
            <w:vAlign w:val="bottom"/>
          </w:tcPr>
          <w:p>
            <w:pPr>
              <w:jc w:val="center"/>
              <w:spacing w:after="0"/>
              <w:rPr>
                <w:sz w:val="20"/>
                <w:szCs w:val="20"/>
                <w:color w:val="auto"/>
              </w:rPr>
            </w:pPr>
            <w:r>
              <w:rPr>
                <w:rFonts w:ascii="Arial" w:cs="Arial" w:eastAsia="Arial" w:hAnsi="Arial"/>
                <w:sz w:val="18"/>
                <w:szCs w:val="18"/>
                <w:color w:val="auto"/>
              </w:rPr>
              <w:t>New Zealand</w:t>
            </w:r>
          </w:p>
        </w:tc>
      </w:tr>
      <w:tr>
        <w:trPr>
          <w:trHeight w:val="257"/>
        </w:trPr>
        <w:tc>
          <w:tcPr>
            <w:tcW w:w="6140" w:type="dxa"/>
            <w:vAlign w:val="bottom"/>
          </w:tcPr>
          <w:p>
            <w:pPr>
              <w:spacing w:after="0"/>
              <w:rPr>
                <w:sz w:val="20"/>
                <w:szCs w:val="20"/>
                <w:color w:val="auto"/>
              </w:rPr>
            </w:pPr>
            <w:r>
              <w:rPr>
                <w:rFonts w:ascii="Arial" w:cs="Arial" w:eastAsia="Arial" w:hAnsi="Arial"/>
                <w:sz w:val="18"/>
                <w:szCs w:val="18"/>
                <w:color w:val="auto"/>
              </w:rPr>
              <w:t>Eli Lilly and Company (Taiwan), Inc.</w:t>
            </w:r>
          </w:p>
        </w:tc>
        <w:tc>
          <w:tcPr>
            <w:tcW w:w="5240" w:type="dxa"/>
            <w:vAlign w:val="bottom"/>
          </w:tcPr>
          <w:p>
            <w:pPr>
              <w:jc w:val="center"/>
              <w:spacing w:after="0"/>
              <w:rPr>
                <w:sz w:val="20"/>
                <w:szCs w:val="20"/>
                <w:color w:val="auto"/>
              </w:rPr>
            </w:pPr>
            <w:r>
              <w:rPr>
                <w:rFonts w:ascii="Arial" w:cs="Arial" w:eastAsia="Arial" w:hAnsi="Arial"/>
                <w:sz w:val="18"/>
                <w:szCs w:val="18"/>
                <w:color w:val="auto"/>
                <w:w w:val="96"/>
              </w:rPr>
              <w:t>Taiwan</w:t>
            </w:r>
          </w:p>
        </w:tc>
      </w:tr>
      <w:tr>
        <w:trPr>
          <w:trHeight w:val="284"/>
        </w:trPr>
        <w:tc>
          <w:tcPr>
            <w:tcW w:w="6140" w:type="dxa"/>
            <w:vAlign w:val="bottom"/>
          </w:tcPr>
          <w:p>
            <w:pPr>
              <w:spacing w:after="0"/>
              <w:rPr>
                <w:sz w:val="20"/>
                <w:szCs w:val="20"/>
                <w:color w:val="auto"/>
              </w:rPr>
            </w:pPr>
            <w:r>
              <w:rPr>
                <w:rFonts w:ascii="Arial" w:cs="Arial" w:eastAsia="Arial" w:hAnsi="Arial"/>
                <w:sz w:val="18"/>
                <w:szCs w:val="18"/>
                <w:color w:val="auto"/>
              </w:rPr>
              <w:t>Eli Lilly and Company Limited</w:t>
            </w:r>
          </w:p>
        </w:tc>
        <w:tc>
          <w:tcPr>
            <w:tcW w:w="5240" w:type="dxa"/>
            <w:vAlign w:val="bottom"/>
          </w:tcPr>
          <w:p>
            <w:pPr>
              <w:jc w:val="center"/>
              <w:spacing w:after="0"/>
              <w:rPr>
                <w:sz w:val="20"/>
                <w:szCs w:val="20"/>
                <w:color w:val="auto"/>
              </w:rPr>
            </w:pPr>
            <w:r>
              <w:rPr>
                <w:rFonts w:ascii="Arial" w:cs="Arial" w:eastAsia="Arial" w:hAnsi="Arial"/>
                <w:sz w:val="18"/>
                <w:szCs w:val="18"/>
                <w:color w:val="auto"/>
                <w:w w:val="99"/>
              </w:rPr>
              <w:t>United Kingdom</w:t>
            </w:r>
          </w:p>
        </w:tc>
      </w:tr>
      <w:tr>
        <w:trPr>
          <w:trHeight w:val="257"/>
        </w:trPr>
        <w:tc>
          <w:tcPr>
            <w:tcW w:w="6140" w:type="dxa"/>
            <w:vAlign w:val="bottom"/>
          </w:tcPr>
          <w:p>
            <w:pPr>
              <w:spacing w:after="0"/>
              <w:rPr>
                <w:sz w:val="20"/>
                <w:szCs w:val="20"/>
                <w:color w:val="auto"/>
              </w:rPr>
            </w:pPr>
            <w:r>
              <w:rPr>
                <w:rFonts w:ascii="Arial" w:cs="Arial" w:eastAsia="Arial" w:hAnsi="Arial"/>
                <w:sz w:val="18"/>
                <w:szCs w:val="18"/>
                <w:color w:val="auto"/>
              </w:rPr>
              <w:t>Eli Lilly Asia Pacific SSC Sdn Bhd</w:t>
            </w:r>
          </w:p>
        </w:tc>
        <w:tc>
          <w:tcPr>
            <w:tcW w:w="5240" w:type="dxa"/>
            <w:vAlign w:val="bottom"/>
          </w:tcPr>
          <w:p>
            <w:pPr>
              <w:jc w:val="center"/>
              <w:spacing w:after="0"/>
              <w:rPr>
                <w:sz w:val="20"/>
                <w:szCs w:val="20"/>
                <w:color w:val="auto"/>
              </w:rPr>
            </w:pPr>
            <w:r>
              <w:rPr>
                <w:rFonts w:ascii="Arial" w:cs="Arial" w:eastAsia="Arial" w:hAnsi="Arial"/>
                <w:sz w:val="18"/>
                <w:szCs w:val="18"/>
                <w:color w:val="auto"/>
              </w:rPr>
              <w:t>Malaysia</w:t>
            </w:r>
          </w:p>
        </w:tc>
      </w:tr>
      <w:tr>
        <w:trPr>
          <w:trHeight w:val="284"/>
        </w:trPr>
        <w:tc>
          <w:tcPr>
            <w:tcW w:w="6140" w:type="dxa"/>
            <w:vAlign w:val="bottom"/>
          </w:tcPr>
          <w:p>
            <w:pPr>
              <w:spacing w:after="0"/>
              <w:rPr>
                <w:sz w:val="20"/>
                <w:szCs w:val="20"/>
                <w:color w:val="auto"/>
              </w:rPr>
            </w:pPr>
            <w:r>
              <w:rPr>
                <w:rFonts w:ascii="Arial" w:cs="Arial" w:eastAsia="Arial" w:hAnsi="Arial"/>
                <w:sz w:val="18"/>
                <w:szCs w:val="18"/>
                <w:color w:val="auto"/>
              </w:rPr>
              <w:t>Eli Lilly Asia, Inc.</w:t>
            </w:r>
          </w:p>
        </w:tc>
        <w:tc>
          <w:tcPr>
            <w:tcW w:w="524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57"/>
        </w:trPr>
        <w:tc>
          <w:tcPr>
            <w:tcW w:w="6140" w:type="dxa"/>
            <w:vAlign w:val="bottom"/>
          </w:tcPr>
          <w:p>
            <w:pPr>
              <w:spacing w:after="0"/>
              <w:rPr>
                <w:sz w:val="20"/>
                <w:szCs w:val="20"/>
                <w:color w:val="auto"/>
              </w:rPr>
            </w:pPr>
            <w:r>
              <w:rPr>
                <w:rFonts w:ascii="Arial" w:cs="Arial" w:eastAsia="Arial" w:hAnsi="Arial"/>
                <w:sz w:val="18"/>
                <w:szCs w:val="18"/>
                <w:color w:val="auto"/>
              </w:rPr>
              <w:t>Eli Lilly Australia Pty. Limited</w:t>
            </w:r>
          </w:p>
        </w:tc>
        <w:tc>
          <w:tcPr>
            <w:tcW w:w="5240" w:type="dxa"/>
            <w:vAlign w:val="bottom"/>
          </w:tcPr>
          <w:p>
            <w:pPr>
              <w:jc w:val="center"/>
              <w:spacing w:after="0"/>
              <w:rPr>
                <w:sz w:val="20"/>
                <w:szCs w:val="20"/>
                <w:color w:val="auto"/>
              </w:rPr>
            </w:pPr>
            <w:r>
              <w:rPr>
                <w:rFonts w:ascii="Arial" w:cs="Arial" w:eastAsia="Arial" w:hAnsi="Arial"/>
                <w:sz w:val="18"/>
                <w:szCs w:val="18"/>
                <w:color w:val="auto"/>
              </w:rPr>
              <w:t>Australia</w:t>
            </w:r>
          </w:p>
        </w:tc>
      </w:tr>
      <w:tr>
        <w:trPr>
          <w:trHeight w:val="284"/>
        </w:trPr>
        <w:tc>
          <w:tcPr>
            <w:tcW w:w="6140" w:type="dxa"/>
            <w:vAlign w:val="bottom"/>
          </w:tcPr>
          <w:p>
            <w:pPr>
              <w:spacing w:after="0"/>
              <w:rPr>
                <w:sz w:val="20"/>
                <w:szCs w:val="20"/>
                <w:color w:val="auto"/>
              </w:rPr>
            </w:pPr>
            <w:r>
              <w:rPr>
                <w:rFonts w:ascii="Arial" w:cs="Arial" w:eastAsia="Arial" w:hAnsi="Arial"/>
                <w:sz w:val="18"/>
                <w:szCs w:val="18"/>
                <w:color w:val="auto"/>
              </w:rPr>
              <w:t>Eli Lilly Benelux S.A.</w:t>
            </w:r>
          </w:p>
        </w:tc>
        <w:tc>
          <w:tcPr>
            <w:tcW w:w="5240" w:type="dxa"/>
            <w:vAlign w:val="bottom"/>
          </w:tcPr>
          <w:p>
            <w:pPr>
              <w:jc w:val="center"/>
              <w:spacing w:after="0"/>
              <w:rPr>
                <w:sz w:val="20"/>
                <w:szCs w:val="20"/>
                <w:color w:val="auto"/>
              </w:rPr>
            </w:pPr>
            <w:r>
              <w:rPr>
                <w:rFonts w:ascii="Arial" w:cs="Arial" w:eastAsia="Arial" w:hAnsi="Arial"/>
                <w:sz w:val="18"/>
                <w:szCs w:val="18"/>
                <w:color w:val="auto"/>
                <w:w w:val="98"/>
              </w:rPr>
              <w:t>Belgium</w:t>
            </w:r>
          </w:p>
        </w:tc>
      </w:tr>
      <w:tr>
        <w:trPr>
          <w:trHeight w:val="257"/>
        </w:trPr>
        <w:tc>
          <w:tcPr>
            <w:tcW w:w="6140" w:type="dxa"/>
            <w:vAlign w:val="bottom"/>
          </w:tcPr>
          <w:p>
            <w:pPr>
              <w:spacing w:after="0"/>
              <w:rPr>
                <w:sz w:val="20"/>
                <w:szCs w:val="20"/>
                <w:color w:val="auto"/>
              </w:rPr>
            </w:pPr>
            <w:r>
              <w:rPr>
                <w:rFonts w:ascii="Arial" w:cs="Arial" w:eastAsia="Arial" w:hAnsi="Arial"/>
                <w:sz w:val="18"/>
                <w:szCs w:val="18"/>
                <w:color w:val="auto"/>
              </w:rPr>
              <w:t>Eli Lilly B-H d.o.o.</w:t>
            </w:r>
          </w:p>
        </w:tc>
        <w:tc>
          <w:tcPr>
            <w:tcW w:w="5240" w:type="dxa"/>
            <w:vAlign w:val="bottom"/>
          </w:tcPr>
          <w:p>
            <w:pPr>
              <w:jc w:val="center"/>
              <w:spacing w:after="0"/>
              <w:rPr>
                <w:sz w:val="20"/>
                <w:szCs w:val="20"/>
                <w:color w:val="auto"/>
              </w:rPr>
            </w:pPr>
            <w:r>
              <w:rPr>
                <w:rFonts w:ascii="Arial" w:cs="Arial" w:eastAsia="Arial" w:hAnsi="Arial"/>
                <w:sz w:val="18"/>
                <w:szCs w:val="18"/>
                <w:color w:val="auto"/>
              </w:rPr>
              <w:t>Bosnia</w:t>
            </w:r>
          </w:p>
        </w:tc>
      </w:tr>
      <w:tr>
        <w:trPr>
          <w:trHeight w:val="284"/>
        </w:trPr>
        <w:tc>
          <w:tcPr>
            <w:tcW w:w="6140" w:type="dxa"/>
            <w:vAlign w:val="bottom"/>
          </w:tcPr>
          <w:p>
            <w:pPr>
              <w:spacing w:after="0"/>
              <w:rPr>
                <w:sz w:val="20"/>
                <w:szCs w:val="20"/>
                <w:color w:val="auto"/>
              </w:rPr>
            </w:pPr>
            <w:r>
              <w:rPr>
                <w:rFonts w:ascii="Arial" w:cs="Arial" w:eastAsia="Arial" w:hAnsi="Arial"/>
                <w:sz w:val="18"/>
                <w:szCs w:val="18"/>
                <w:color w:val="auto"/>
              </w:rPr>
              <w:t>Eli Lilly Bienes y Servicios S de RL de CV</w:t>
            </w:r>
          </w:p>
        </w:tc>
        <w:tc>
          <w:tcPr>
            <w:tcW w:w="5240" w:type="dxa"/>
            <w:vAlign w:val="bottom"/>
          </w:tcPr>
          <w:p>
            <w:pPr>
              <w:jc w:val="center"/>
              <w:spacing w:after="0"/>
              <w:rPr>
                <w:sz w:val="20"/>
                <w:szCs w:val="20"/>
                <w:color w:val="auto"/>
              </w:rPr>
            </w:pPr>
            <w:r>
              <w:rPr>
                <w:rFonts w:ascii="Arial" w:cs="Arial" w:eastAsia="Arial" w:hAnsi="Arial"/>
                <w:sz w:val="18"/>
                <w:szCs w:val="18"/>
                <w:color w:val="auto"/>
                <w:w w:val="98"/>
              </w:rPr>
              <w:t>Mexico</w:t>
            </w:r>
          </w:p>
        </w:tc>
      </w:tr>
      <w:tr>
        <w:trPr>
          <w:trHeight w:val="257"/>
        </w:trPr>
        <w:tc>
          <w:tcPr>
            <w:tcW w:w="6140" w:type="dxa"/>
            <w:vAlign w:val="bottom"/>
          </w:tcPr>
          <w:p>
            <w:pPr>
              <w:spacing w:after="0"/>
              <w:rPr>
                <w:sz w:val="20"/>
                <w:szCs w:val="20"/>
                <w:color w:val="auto"/>
              </w:rPr>
            </w:pPr>
            <w:r>
              <w:rPr>
                <w:rFonts w:ascii="Arial" w:cs="Arial" w:eastAsia="Arial" w:hAnsi="Arial"/>
                <w:sz w:val="18"/>
                <w:szCs w:val="18"/>
                <w:color w:val="auto"/>
              </w:rPr>
              <w:t>Eli Lilly Canada Inc.</w:t>
            </w:r>
          </w:p>
        </w:tc>
        <w:tc>
          <w:tcPr>
            <w:tcW w:w="5240" w:type="dxa"/>
            <w:vAlign w:val="bottom"/>
          </w:tcPr>
          <w:p>
            <w:pPr>
              <w:jc w:val="center"/>
              <w:spacing w:after="0"/>
              <w:rPr>
                <w:sz w:val="20"/>
                <w:szCs w:val="20"/>
                <w:color w:val="auto"/>
              </w:rPr>
            </w:pPr>
            <w:r>
              <w:rPr>
                <w:rFonts w:ascii="Arial" w:cs="Arial" w:eastAsia="Arial" w:hAnsi="Arial"/>
                <w:sz w:val="18"/>
                <w:szCs w:val="18"/>
                <w:color w:val="auto"/>
              </w:rPr>
              <w:t>Canada</w:t>
            </w:r>
          </w:p>
        </w:tc>
      </w:tr>
      <w:tr>
        <w:trPr>
          <w:trHeight w:val="284"/>
        </w:trPr>
        <w:tc>
          <w:tcPr>
            <w:tcW w:w="6140" w:type="dxa"/>
            <w:vAlign w:val="bottom"/>
          </w:tcPr>
          <w:p>
            <w:pPr>
              <w:spacing w:after="0"/>
              <w:rPr>
                <w:sz w:val="20"/>
                <w:szCs w:val="20"/>
                <w:color w:val="auto"/>
              </w:rPr>
            </w:pPr>
            <w:r>
              <w:rPr>
                <w:rFonts w:ascii="Arial" w:cs="Arial" w:eastAsia="Arial" w:hAnsi="Arial"/>
                <w:sz w:val="18"/>
                <w:szCs w:val="18"/>
                <w:color w:val="auto"/>
              </w:rPr>
              <w:t>Eli Lilly CR s.r.o.</w:t>
            </w:r>
          </w:p>
        </w:tc>
        <w:tc>
          <w:tcPr>
            <w:tcW w:w="5240" w:type="dxa"/>
            <w:vAlign w:val="bottom"/>
          </w:tcPr>
          <w:p>
            <w:pPr>
              <w:jc w:val="center"/>
              <w:spacing w:after="0"/>
              <w:rPr>
                <w:sz w:val="20"/>
                <w:szCs w:val="20"/>
                <w:color w:val="auto"/>
              </w:rPr>
            </w:pPr>
            <w:r>
              <w:rPr>
                <w:rFonts w:ascii="Arial" w:cs="Arial" w:eastAsia="Arial" w:hAnsi="Arial"/>
                <w:sz w:val="18"/>
                <w:szCs w:val="18"/>
                <w:color w:val="auto"/>
              </w:rPr>
              <w:t>Czech Republic</w:t>
            </w:r>
          </w:p>
        </w:tc>
      </w:tr>
      <w:tr>
        <w:trPr>
          <w:trHeight w:val="257"/>
        </w:trPr>
        <w:tc>
          <w:tcPr>
            <w:tcW w:w="6140" w:type="dxa"/>
            <w:vAlign w:val="bottom"/>
          </w:tcPr>
          <w:p>
            <w:pPr>
              <w:spacing w:after="0"/>
              <w:rPr>
                <w:sz w:val="20"/>
                <w:szCs w:val="20"/>
                <w:color w:val="auto"/>
              </w:rPr>
            </w:pPr>
            <w:r>
              <w:rPr>
                <w:rFonts w:ascii="Arial" w:cs="Arial" w:eastAsia="Arial" w:hAnsi="Arial"/>
                <w:sz w:val="18"/>
                <w:szCs w:val="18"/>
                <w:color w:val="auto"/>
              </w:rPr>
              <w:t>Eli Lilly Danmark A/S</w:t>
            </w:r>
          </w:p>
        </w:tc>
        <w:tc>
          <w:tcPr>
            <w:tcW w:w="5240" w:type="dxa"/>
            <w:vAlign w:val="bottom"/>
          </w:tcPr>
          <w:p>
            <w:pPr>
              <w:jc w:val="center"/>
              <w:spacing w:after="0"/>
              <w:rPr>
                <w:sz w:val="20"/>
                <w:szCs w:val="20"/>
                <w:color w:val="auto"/>
              </w:rPr>
            </w:pPr>
            <w:r>
              <w:rPr>
                <w:rFonts w:ascii="Arial" w:cs="Arial" w:eastAsia="Arial" w:hAnsi="Arial"/>
                <w:sz w:val="18"/>
                <w:szCs w:val="18"/>
                <w:color w:val="auto"/>
                <w:w w:val="98"/>
              </w:rPr>
              <w:t>Denmark</w:t>
            </w:r>
          </w:p>
        </w:tc>
      </w:tr>
      <w:tr>
        <w:trPr>
          <w:trHeight w:val="284"/>
        </w:trPr>
        <w:tc>
          <w:tcPr>
            <w:tcW w:w="6140" w:type="dxa"/>
            <w:vAlign w:val="bottom"/>
          </w:tcPr>
          <w:p>
            <w:pPr>
              <w:spacing w:after="0"/>
              <w:rPr>
                <w:sz w:val="20"/>
                <w:szCs w:val="20"/>
                <w:color w:val="auto"/>
              </w:rPr>
            </w:pPr>
            <w:r>
              <w:rPr>
                <w:rFonts w:ascii="Arial" w:cs="Arial" w:eastAsia="Arial" w:hAnsi="Arial"/>
                <w:sz w:val="18"/>
                <w:szCs w:val="18"/>
                <w:color w:val="auto"/>
              </w:rPr>
              <w:t>Eli Lilly de Centro America, S.A.</w:t>
            </w:r>
          </w:p>
        </w:tc>
        <w:tc>
          <w:tcPr>
            <w:tcW w:w="5240" w:type="dxa"/>
            <w:vAlign w:val="bottom"/>
          </w:tcPr>
          <w:p>
            <w:pPr>
              <w:jc w:val="center"/>
              <w:spacing w:after="0"/>
              <w:rPr>
                <w:sz w:val="20"/>
                <w:szCs w:val="20"/>
                <w:color w:val="auto"/>
              </w:rPr>
            </w:pPr>
            <w:r>
              <w:rPr>
                <w:rFonts w:ascii="Arial" w:cs="Arial" w:eastAsia="Arial" w:hAnsi="Arial"/>
                <w:sz w:val="18"/>
                <w:szCs w:val="18"/>
                <w:color w:val="auto"/>
                <w:w w:val="99"/>
              </w:rPr>
              <w:t>Guatemala</w:t>
            </w:r>
          </w:p>
        </w:tc>
      </w:tr>
      <w:tr>
        <w:trPr>
          <w:trHeight w:val="257"/>
        </w:trPr>
        <w:tc>
          <w:tcPr>
            <w:tcW w:w="6140" w:type="dxa"/>
            <w:vAlign w:val="bottom"/>
          </w:tcPr>
          <w:p>
            <w:pPr>
              <w:spacing w:after="0"/>
              <w:rPr>
                <w:sz w:val="20"/>
                <w:szCs w:val="20"/>
                <w:color w:val="auto"/>
              </w:rPr>
            </w:pPr>
            <w:r>
              <w:rPr>
                <w:rFonts w:ascii="Arial" w:cs="Arial" w:eastAsia="Arial" w:hAnsi="Arial"/>
                <w:sz w:val="18"/>
                <w:szCs w:val="18"/>
                <w:color w:val="auto"/>
              </w:rPr>
              <w:t>Eli Lilly do Brasil Limitada</w:t>
            </w:r>
          </w:p>
        </w:tc>
        <w:tc>
          <w:tcPr>
            <w:tcW w:w="5240" w:type="dxa"/>
            <w:vAlign w:val="bottom"/>
          </w:tcPr>
          <w:p>
            <w:pPr>
              <w:jc w:val="center"/>
              <w:spacing w:after="0"/>
              <w:rPr>
                <w:sz w:val="20"/>
                <w:szCs w:val="20"/>
                <w:color w:val="auto"/>
              </w:rPr>
            </w:pPr>
            <w:r>
              <w:rPr>
                <w:rFonts w:ascii="Arial" w:cs="Arial" w:eastAsia="Arial" w:hAnsi="Arial"/>
                <w:sz w:val="18"/>
                <w:szCs w:val="18"/>
                <w:color w:val="auto"/>
                <w:w w:val="97"/>
              </w:rPr>
              <w:t>Brazil</w:t>
            </w:r>
          </w:p>
        </w:tc>
      </w:tr>
      <w:tr>
        <w:trPr>
          <w:trHeight w:val="284"/>
        </w:trPr>
        <w:tc>
          <w:tcPr>
            <w:tcW w:w="6140" w:type="dxa"/>
            <w:vAlign w:val="bottom"/>
          </w:tcPr>
          <w:p>
            <w:pPr>
              <w:spacing w:after="0"/>
              <w:rPr>
                <w:sz w:val="20"/>
                <w:szCs w:val="20"/>
                <w:color w:val="auto"/>
              </w:rPr>
            </w:pPr>
            <w:r>
              <w:rPr>
                <w:rFonts w:ascii="Arial" w:cs="Arial" w:eastAsia="Arial" w:hAnsi="Arial"/>
                <w:sz w:val="18"/>
                <w:szCs w:val="18"/>
                <w:color w:val="auto"/>
              </w:rPr>
              <w:t>Eli Lilly Egypt, S.A.E.</w:t>
            </w:r>
          </w:p>
        </w:tc>
        <w:tc>
          <w:tcPr>
            <w:tcW w:w="5240" w:type="dxa"/>
            <w:vAlign w:val="bottom"/>
          </w:tcPr>
          <w:p>
            <w:pPr>
              <w:jc w:val="center"/>
              <w:spacing w:after="0"/>
              <w:rPr>
                <w:sz w:val="20"/>
                <w:szCs w:val="20"/>
                <w:color w:val="auto"/>
              </w:rPr>
            </w:pPr>
            <w:r>
              <w:rPr>
                <w:rFonts w:ascii="Arial" w:cs="Arial" w:eastAsia="Arial" w:hAnsi="Arial"/>
                <w:sz w:val="18"/>
                <w:szCs w:val="18"/>
                <w:color w:val="auto"/>
              </w:rPr>
              <w:t>Egypt</w:t>
            </w:r>
          </w:p>
        </w:tc>
      </w:tr>
      <w:tr>
        <w:trPr>
          <w:trHeight w:val="257"/>
        </w:trPr>
        <w:tc>
          <w:tcPr>
            <w:tcW w:w="6140" w:type="dxa"/>
            <w:vAlign w:val="bottom"/>
          </w:tcPr>
          <w:p>
            <w:pPr>
              <w:spacing w:after="0"/>
              <w:rPr>
                <w:sz w:val="20"/>
                <w:szCs w:val="20"/>
                <w:color w:val="auto"/>
              </w:rPr>
            </w:pPr>
            <w:r>
              <w:rPr>
                <w:rFonts w:ascii="Arial" w:cs="Arial" w:eastAsia="Arial" w:hAnsi="Arial"/>
                <w:sz w:val="18"/>
                <w:szCs w:val="18"/>
                <w:color w:val="auto"/>
              </w:rPr>
              <w:t>Eli Lilly European Clinical Trial Services SA</w:t>
            </w:r>
          </w:p>
        </w:tc>
        <w:tc>
          <w:tcPr>
            <w:tcW w:w="5240" w:type="dxa"/>
            <w:vAlign w:val="bottom"/>
          </w:tcPr>
          <w:p>
            <w:pPr>
              <w:jc w:val="center"/>
              <w:spacing w:after="0"/>
              <w:rPr>
                <w:sz w:val="20"/>
                <w:szCs w:val="20"/>
                <w:color w:val="auto"/>
              </w:rPr>
            </w:pPr>
            <w:r>
              <w:rPr>
                <w:rFonts w:ascii="Arial" w:cs="Arial" w:eastAsia="Arial" w:hAnsi="Arial"/>
                <w:sz w:val="18"/>
                <w:szCs w:val="18"/>
                <w:color w:val="auto"/>
                <w:w w:val="98"/>
              </w:rPr>
              <w:t>Belgium</w:t>
            </w:r>
          </w:p>
        </w:tc>
      </w:tr>
      <w:tr>
        <w:trPr>
          <w:trHeight w:val="284"/>
        </w:trPr>
        <w:tc>
          <w:tcPr>
            <w:tcW w:w="6140" w:type="dxa"/>
            <w:vAlign w:val="bottom"/>
          </w:tcPr>
          <w:p>
            <w:pPr>
              <w:spacing w:after="0"/>
              <w:rPr>
                <w:sz w:val="20"/>
                <w:szCs w:val="20"/>
                <w:color w:val="auto"/>
              </w:rPr>
            </w:pPr>
            <w:r>
              <w:rPr>
                <w:rFonts w:ascii="Arial" w:cs="Arial" w:eastAsia="Arial" w:hAnsi="Arial"/>
                <w:sz w:val="18"/>
                <w:szCs w:val="18"/>
                <w:color w:val="auto"/>
              </w:rPr>
              <w:t>Eli Lilly Export S.A.</w:t>
            </w:r>
          </w:p>
        </w:tc>
        <w:tc>
          <w:tcPr>
            <w:tcW w:w="5240" w:type="dxa"/>
            <w:vAlign w:val="bottom"/>
          </w:tcPr>
          <w:p>
            <w:pPr>
              <w:jc w:val="center"/>
              <w:spacing w:after="0"/>
              <w:rPr>
                <w:sz w:val="20"/>
                <w:szCs w:val="20"/>
                <w:color w:val="auto"/>
              </w:rPr>
            </w:pPr>
            <w:r>
              <w:rPr>
                <w:rFonts w:ascii="Arial" w:cs="Arial" w:eastAsia="Arial" w:hAnsi="Arial"/>
                <w:sz w:val="18"/>
                <w:szCs w:val="18"/>
                <w:color w:val="auto"/>
                <w:w w:val="98"/>
              </w:rPr>
              <w:t>Switzerland</w:t>
            </w:r>
          </w:p>
        </w:tc>
      </w:tr>
      <w:tr>
        <w:trPr>
          <w:trHeight w:val="257"/>
        </w:trPr>
        <w:tc>
          <w:tcPr>
            <w:tcW w:w="6140" w:type="dxa"/>
            <w:vAlign w:val="bottom"/>
          </w:tcPr>
          <w:p>
            <w:pPr>
              <w:spacing w:after="0"/>
              <w:rPr>
                <w:sz w:val="20"/>
                <w:szCs w:val="20"/>
                <w:color w:val="auto"/>
              </w:rPr>
            </w:pPr>
            <w:r>
              <w:rPr>
                <w:rFonts w:ascii="Arial" w:cs="Arial" w:eastAsia="Arial" w:hAnsi="Arial"/>
                <w:sz w:val="18"/>
                <w:szCs w:val="18"/>
                <w:color w:val="auto"/>
              </w:rPr>
              <w:t>Eli Lilly farmacevtska druzba, d.o.o.</w:t>
            </w:r>
          </w:p>
        </w:tc>
        <w:tc>
          <w:tcPr>
            <w:tcW w:w="5240" w:type="dxa"/>
            <w:vAlign w:val="bottom"/>
          </w:tcPr>
          <w:p>
            <w:pPr>
              <w:jc w:val="center"/>
              <w:spacing w:after="0"/>
              <w:rPr>
                <w:sz w:val="20"/>
                <w:szCs w:val="20"/>
                <w:color w:val="auto"/>
              </w:rPr>
            </w:pPr>
            <w:r>
              <w:rPr>
                <w:rFonts w:ascii="Arial" w:cs="Arial" w:eastAsia="Arial" w:hAnsi="Arial"/>
                <w:sz w:val="18"/>
                <w:szCs w:val="18"/>
                <w:color w:val="auto"/>
                <w:w w:val="98"/>
              </w:rPr>
              <w:t>Slovenia</w:t>
            </w:r>
          </w:p>
        </w:tc>
      </w:tr>
      <w:tr>
        <w:trPr>
          <w:trHeight w:val="270"/>
        </w:trPr>
        <w:tc>
          <w:tcPr>
            <w:tcW w:w="6140" w:type="dxa"/>
            <w:vAlign w:val="bottom"/>
          </w:tcPr>
          <w:p>
            <w:pPr>
              <w:spacing w:after="0"/>
              <w:rPr>
                <w:sz w:val="20"/>
                <w:szCs w:val="20"/>
                <w:color w:val="auto"/>
              </w:rPr>
            </w:pPr>
            <w:r>
              <w:rPr>
                <w:rFonts w:ascii="Arial" w:cs="Arial" w:eastAsia="Arial" w:hAnsi="Arial"/>
                <w:sz w:val="18"/>
                <w:szCs w:val="18"/>
                <w:color w:val="auto"/>
              </w:rPr>
              <w:t>Eli Lilly Finance, S.A.</w:t>
            </w:r>
          </w:p>
        </w:tc>
        <w:tc>
          <w:tcPr>
            <w:tcW w:w="5240" w:type="dxa"/>
            <w:vAlign w:val="bottom"/>
          </w:tcPr>
          <w:p>
            <w:pPr>
              <w:jc w:val="center"/>
              <w:spacing w:after="0"/>
              <w:rPr>
                <w:sz w:val="20"/>
                <w:szCs w:val="20"/>
                <w:color w:val="auto"/>
              </w:rPr>
            </w:pPr>
            <w:r>
              <w:rPr>
                <w:rFonts w:ascii="Arial" w:cs="Arial" w:eastAsia="Arial" w:hAnsi="Arial"/>
                <w:sz w:val="18"/>
                <w:szCs w:val="18"/>
                <w:color w:val="auto"/>
                <w:w w:val="98"/>
              </w:rPr>
              <w:t>Switzerland</w:t>
            </w:r>
          </w:p>
        </w:tc>
      </w:tr>
      <w:tr>
        <w:trPr>
          <w:trHeight w:val="284"/>
        </w:trPr>
        <w:tc>
          <w:tcPr>
            <w:tcW w:w="6140" w:type="dxa"/>
            <w:vAlign w:val="bottom"/>
          </w:tcPr>
          <w:p>
            <w:pPr>
              <w:spacing w:after="0"/>
              <w:rPr>
                <w:sz w:val="20"/>
                <w:szCs w:val="20"/>
                <w:color w:val="auto"/>
              </w:rPr>
            </w:pPr>
            <w:r>
              <w:rPr>
                <w:rFonts w:ascii="Arial" w:cs="Arial" w:eastAsia="Arial" w:hAnsi="Arial"/>
                <w:sz w:val="18"/>
                <w:szCs w:val="18"/>
                <w:color w:val="auto"/>
              </w:rPr>
              <w:t>Eli Lilly Ges.m.b.H.</w:t>
            </w:r>
          </w:p>
        </w:tc>
        <w:tc>
          <w:tcPr>
            <w:tcW w:w="5240" w:type="dxa"/>
            <w:vAlign w:val="bottom"/>
          </w:tcPr>
          <w:p>
            <w:pPr>
              <w:jc w:val="center"/>
              <w:spacing w:after="0"/>
              <w:rPr>
                <w:sz w:val="20"/>
                <w:szCs w:val="20"/>
                <w:color w:val="auto"/>
              </w:rPr>
            </w:pPr>
            <w:r>
              <w:rPr>
                <w:rFonts w:ascii="Arial" w:cs="Arial" w:eastAsia="Arial" w:hAnsi="Arial"/>
                <w:sz w:val="18"/>
                <w:szCs w:val="18"/>
                <w:color w:val="auto"/>
                <w:w w:val="99"/>
              </w:rPr>
              <w:t>Austria</w:t>
            </w:r>
          </w:p>
        </w:tc>
      </w:tr>
      <w:tr>
        <w:trPr>
          <w:trHeight w:val="257"/>
        </w:trPr>
        <w:tc>
          <w:tcPr>
            <w:tcW w:w="6140" w:type="dxa"/>
            <w:vAlign w:val="bottom"/>
          </w:tcPr>
          <w:p>
            <w:pPr>
              <w:spacing w:after="0"/>
              <w:rPr>
                <w:sz w:val="20"/>
                <w:szCs w:val="20"/>
                <w:color w:val="auto"/>
              </w:rPr>
            </w:pPr>
            <w:r>
              <w:rPr>
                <w:rFonts w:ascii="Arial" w:cs="Arial" w:eastAsia="Arial" w:hAnsi="Arial"/>
                <w:sz w:val="18"/>
                <w:szCs w:val="18"/>
                <w:color w:val="auto"/>
              </w:rPr>
              <w:t>Eli Lilly Group Limited</w:t>
            </w:r>
          </w:p>
        </w:tc>
        <w:tc>
          <w:tcPr>
            <w:tcW w:w="5240" w:type="dxa"/>
            <w:vAlign w:val="bottom"/>
          </w:tcPr>
          <w:p>
            <w:pPr>
              <w:jc w:val="center"/>
              <w:spacing w:after="0"/>
              <w:rPr>
                <w:sz w:val="20"/>
                <w:szCs w:val="20"/>
                <w:color w:val="auto"/>
              </w:rPr>
            </w:pPr>
            <w:r>
              <w:rPr>
                <w:rFonts w:ascii="Arial" w:cs="Arial" w:eastAsia="Arial" w:hAnsi="Arial"/>
                <w:sz w:val="18"/>
                <w:szCs w:val="18"/>
                <w:color w:val="auto"/>
                <w:w w:val="99"/>
              </w:rPr>
              <w:t>United Kingdom</w:t>
            </w:r>
          </w:p>
        </w:tc>
      </w:tr>
      <w:tr>
        <w:trPr>
          <w:trHeight w:val="284"/>
        </w:trPr>
        <w:tc>
          <w:tcPr>
            <w:tcW w:w="6140" w:type="dxa"/>
            <w:vAlign w:val="bottom"/>
          </w:tcPr>
          <w:p>
            <w:pPr>
              <w:spacing w:after="0"/>
              <w:rPr>
                <w:sz w:val="20"/>
                <w:szCs w:val="20"/>
                <w:color w:val="auto"/>
              </w:rPr>
            </w:pPr>
            <w:r>
              <w:rPr>
                <w:rFonts w:ascii="Arial" w:cs="Arial" w:eastAsia="Arial" w:hAnsi="Arial"/>
                <w:sz w:val="18"/>
                <w:szCs w:val="18"/>
                <w:color w:val="auto"/>
              </w:rPr>
              <w:t>Eli Lilly Holdings Ltd.</w:t>
            </w:r>
          </w:p>
        </w:tc>
        <w:tc>
          <w:tcPr>
            <w:tcW w:w="5240" w:type="dxa"/>
            <w:vAlign w:val="bottom"/>
          </w:tcPr>
          <w:p>
            <w:pPr>
              <w:jc w:val="center"/>
              <w:spacing w:after="0"/>
              <w:rPr>
                <w:sz w:val="20"/>
                <w:szCs w:val="20"/>
                <w:color w:val="auto"/>
              </w:rPr>
            </w:pPr>
            <w:r>
              <w:rPr>
                <w:rFonts w:ascii="Arial" w:cs="Arial" w:eastAsia="Arial" w:hAnsi="Arial"/>
                <w:sz w:val="18"/>
                <w:szCs w:val="18"/>
                <w:color w:val="auto"/>
                <w:w w:val="99"/>
              </w:rPr>
              <w:t>United Kingdom</w:t>
            </w:r>
          </w:p>
        </w:tc>
      </w:tr>
      <w:tr>
        <w:trPr>
          <w:trHeight w:val="257"/>
        </w:trPr>
        <w:tc>
          <w:tcPr>
            <w:tcW w:w="6140" w:type="dxa"/>
            <w:vAlign w:val="bottom"/>
          </w:tcPr>
          <w:p>
            <w:pPr>
              <w:spacing w:after="0"/>
              <w:rPr>
                <w:sz w:val="20"/>
                <w:szCs w:val="20"/>
                <w:color w:val="auto"/>
              </w:rPr>
            </w:pPr>
            <w:r>
              <w:rPr>
                <w:rFonts w:ascii="Arial" w:cs="Arial" w:eastAsia="Arial" w:hAnsi="Arial"/>
                <w:sz w:val="18"/>
                <w:szCs w:val="18"/>
                <w:color w:val="auto"/>
              </w:rPr>
              <w:t>Eli Lilly Hrvatska d.o.o.</w:t>
            </w:r>
          </w:p>
        </w:tc>
        <w:tc>
          <w:tcPr>
            <w:tcW w:w="5240" w:type="dxa"/>
            <w:vAlign w:val="bottom"/>
          </w:tcPr>
          <w:p>
            <w:pPr>
              <w:jc w:val="center"/>
              <w:spacing w:after="0"/>
              <w:rPr>
                <w:sz w:val="20"/>
                <w:szCs w:val="20"/>
                <w:color w:val="auto"/>
              </w:rPr>
            </w:pPr>
            <w:r>
              <w:rPr>
                <w:rFonts w:ascii="Arial" w:cs="Arial" w:eastAsia="Arial" w:hAnsi="Arial"/>
                <w:sz w:val="18"/>
                <w:szCs w:val="18"/>
                <w:color w:val="auto"/>
              </w:rPr>
              <w:t>Croatia</w:t>
            </w:r>
          </w:p>
        </w:tc>
      </w:tr>
      <w:tr>
        <w:trPr>
          <w:trHeight w:val="284"/>
        </w:trPr>
        <w:tc>
          <w:tcPr>
            <w:tcW w:w="6140" w:type="dxa"/>
            <w:vAlign w:val="bottom"/>
          </w:tcPr>
          <w:p>
            <w:pPr>
              <w:spacing w:after="0"/>
              <w:rPr>
                <w:sz w:val="20"/>
                <w:szCs w:val="20"/>
                <w:color w:val="auto"/>
              </w:rPr>
            </w:pPr>
            <w:r>
              <w:rPr>
                <w:rFonts w:ascii="Arial" w:cs="Arial" w:eastAsia="Arial" w:hAnsi="Arial"/>
                <w:sz w:val="18"/>
                <w:szCs w:val="18"/>
                <w:color w:val="auto"/>
              </w:rPr>
              <w:t>Eli Lilly Industries, Inc.</w:t>
            </w:r>
          </w:p>
        </w:tc>
        <w:tc>
          <w:tcPr>
            <w:tcW w:w="524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57"/>
        </w:trPr>
        <w:tc>
          <w:tcPr>
            <w:tcW w:w="6140" w:type="dxa"/>
            <w:vAlign w:val="bottom"/>
          </w:tcPr>
          <w:p>
            <w:pPr>
              <w:spacing w:after="0"/>
              <w:rPr>
                <w:sz w:val="20"/>
                <w:szCs w:val="20"/>
                <w:color w:val="auto"/>
              </w:rPr>
            </w:pPr>
            <w:r>
              <w:rPr>
                <w:rFonts w:ascii="Arial" w:cs="Arial" w:eastAsia="Arial" w:hAnsi="Arial"/>
                <w:sz w:val="18"/>
                <w:szCs w:val="18"/>
                <w:color w:val="auto"/>
              </w:rPr>
              <w:t>Eli Lilly Interamerica Inc., y Compania Limitada</w:t>
            </w:r>
          </w:p>
        </w:tc>
        <w:tc>
          <w:tcPr>
            <w:tcW w:w="5240" w:type="dxa"/>
            <w:vAlign w:val="bottom"/>
          </w:tcPr>
          <w:p>
            <w:pPr>
              <w:jc w:val="center"/>
              <w:spacing w:after="0"/>
              <w:rPr>
                <w:sz w:val="20"/>
                <w:szCs w:val="20"/>
                <w:color w:val="auto"/>
              </w:rPr>
            </w:pPr>
            <w:r>
              <w:rPr>
                <w:rFonts w:ascii="Arial" w:cs="Arial" w:eastAsia="Arial" w:hAnsi="Arial"/>
                <w:sz w:val="18"/>
                <w:szCs w:val="18"/>
                <w:color w:val="auto"/>
                <w:w w:val="97"/>
              </w:rPr>
              <w:t>Chile</w:t>
            </w:r>
          </w:p>
        </w:tc>
      </w:tr>
      <w:tr>
        <w:trPr>
          <w:trHeight w:val="284"/>
        </w:trPr>
        <w:tc>
          <w:tcPr>
            <w:tcW w:w="6140" w:type="dxa"/>
            <w:vAlign w:val="bottom"/>
          </w:tcPr>
          <w:p>
            <w:pPr>
              <w:spacing w:after="0"/>
              <w:rPr>
                <w:sz w:val="20"/>
                <w:szCs w:val="20"/>
                <w:color w:val="auto"/>
              </w:rPr>
            </w:pPr>
            <w:r>
              <w:rPr>
                <w:rFonts w:ascii="Arial" w:cs="Arial" w:eastAsia="Arial" w:hAnsi="Arial"/>
                <w:sz w:val="18"/>
                <w:szCs w:val="18"/>
                <w:color w:val="auto"/>
              </w:rPr>
              <w:t>Eli Lilly Interamerica, Inc.</w:t>
            </w:r>
          </w:p>
        </w:tc>
        <w:tc>
          <w:tcPr>
            <w:tcW w:w="5240" w:type="dxa"/>
            <w:vAlign w:val="bottom"/>
          </w:tcPr>
          <w:p>
            <w:pPr>
              <w:jc w:val="center"/>
              <w:spacing w:after="0"/>
              <w:rPr>
                <w:sz w:val="20"/>
                <w:szCs w:val="20"/>
                <w:color w:val="auto"/>
              </w:rPr>
            </w:pPr>
            <w:r>
              <w:rPr>
                <w:rFonts w:ascii="Arial" w:cs="Arial" w:eastAsia="Arial" w:hAnsi="Arial"/>
                <w:sz w:val="18"/>
                <w:szCs w:val="18"/>
                <w:color w:val="auto"/>
              </w:rPr>
              <w:t>Indiana</w:t>
            </w:r>
          </w:p>
        </w:tc>
      </w:tr>
      <w:tr>
        <w:trPr>
          <w:trHeight w:val="257"/>
        </w:trPr>
        <w:tc>
          <w:tcPr>
            <w:tcW w:w="6140" w:type="dxa"/>
            <w:vAlign w:val="bottom"/>
          </w:tcPr>
          <w:p>
            <w:pPr>
              <w:spacing w:after="0"/>
              <w:rPr>
                <w:sz w:val="20"/>
                <w:szCs w:val="20"/>
                <w:color w:val="auto"/>
              </w:rPr>
            </w:pPr>
            <w:r>
              <w:rPr>
                <w:rFonts w:ascii="Arial" w:cs="Arial" w:eastAsia="Arial" w:hAnsi="Arial"/>
                <w:sz w:val="18"/>
                <w:szCs w:val="18"/>
                <w:color w:val="auto"/>
              </w:rPr>
              <w:t>Eli Lilly International Corporation</w:t>
            </w:r>
          </w:p>
        </w:tc>
        <w:tc>
          <w:tcPr>
            <w:tcW w:w="5240" w:type="dxa"/>
            <w:vAlign w:val="bottom"/>
          </w:tcPr>
          <w:p>
            <w:pPr>
              <w:jc w:val="center"/>
              <w:spacing w:after="0"/>
              <w:rPr>
                <w:sz w:val="20"/>
                <w:szCs w:val="20"/>
                <w:color w:val="auto"/>
              </w:rPr>
            </w:pPr>
            <w:r>
              <w:rPr>
                <w:rFonts w:ascii="Arial" w:cs="Arial" w:eastAsia="Arial" w:hAnsi="Arial"/>
                <w:sz w:val="18"/>
                <w:szCs w:val="18"/>
                <w:color w:val="auto"/>
              </w:rPr>
              <w:t>Indiana</w:t>
            </w:r>
          </w:p>
        </w:tc>
      </w:tr>
      <w:tr>
        <w:trPr>
          <w:trHeight w:val="284"/>
        </w:trPr>
        <w:tc>
          <w:tcPr>
            <w:tcW w:w="6140" w:type="dxa"/>
            <w:vAlign w:val="bottom"/>
          </w:tcPr>
          <w:p>
            <w:pPr>
              <w:spacing w:after="0"/>
              <w:rPr>
                <w:sz w:val="20"/>
                <w:szCs w:val="20"/>
                <w:color w:val="auto"/>
              </w:rPr>
            </w:pPr>
            <w:r>
              <w:rPr>
                <w:rFonts w:ascii="Arial" w:cs="Arial" w:eastAsia="Arial" w:hAnsi="Arial"/>
                <w:sz w:val="18"/>
                <w:szCs w:val="18"/>
                <w:color w:val="auto"/>
              </w:rPr>
              <w:t>Eli Lilly Israel Ltd.</w:t>
            </w:r>
          </w:p>
        </w:tc>
        <w:tc>
          <w:tcPr>
            <w:tcW w:w="5240" w:type="dxa"/>
            <w:vAlign w:val="bottom"/>
          </w:tcPr>
          <w:p>
            <w:pPr>
              <w:jc w:val="center"/>
              <w:spacing w:after="0"/>
              <w:rPr>
                <w:sz w:val="20"/>
                <w:szCs w:val="20"/>
                <w:color w:val="auto"/>
              </w:rPr>
            </w:pPr>
            <w:r>
              <w:rPr>
                <w:rFonts w:ascii="Arial" w:cs="Arial" w:eastAsia="Arial" w:hAnsi="Arial"/>
                <w:sz w:val="18"/>
                <w:szCs w:val="18"/>
                <w:color w:val="auto"/>
                <w:w w:val="99"/>
              </w:rPr>
              <w:t>Israel</w:t>
            </w:r>
          </w:p>
        </w:tc>
      </w:tr>
      <w:tr>
        <w:trPr>
          <w:trHeight w:val="257"/>
        </w:trPr>
        <w:tc>
          <w:tcPr>
            <w:tcW w:w="6140" w:type="dxa"/>
            <w:vAlign w:val="bottom"/>
          </w:tcPr>
          <w:p>
            <w:pPr>
              <w:spacing w:after="0"/>
              <w:rPr>
                <w:sz w:val="20"/>
                <w:szCs w:val="20"/>
                <w:color w:val="auto"/>
              </w:rPr>
            </w:pPr>
            <w:r>
              <w:rPr>
                <w:rFonts w:ascii="Arial" w:cs="Arial" w:eastAsia="Arial" w:hAnsi="Arial"/>
                <w:sz w:val="18"/>
                <w:szCs w:val="18"/>
                <w:color w:val="auto"/>
              </w:rPr>
              <w:t>Eli Lilly Italia S.p.A.</w:t>
            </w:r>
          </w:p>
        </w:tc>
        <w:tc>
          <w:tcPr>
            <w:tcW w:w="5240" w:type="dxa"/>
            <w:vAlign w:val="bottom"/>
          </w:tcPr>
          <w:p>
            <w:pPr>
              <w:jc w:val="center"/>
              <w:spacing w:after="0"/>
              <w:rPr>
                <w:sz w:val="20"/>
                <w:szCs w:val="20"/>
                <w:color w:val="auto"/>
              </w:rPr>
            </w:pPr>
            <w:r>
              <w:rPr>
                <w:rFonts w:ascii="Arial" w:cs="Arial" w:eastAsia="Arial" w:hAnsi="Arial"/>
                <w:sz w:val="18"/>
                <w:szCs w:val="18"/>
                <w:color w:val="auto"/>
                <w:w w:val="96"/>
              </w:rPr>
              <w:t>Italy</w:t>
            </w:r>
          </w:p>
        </w:tc>
      </w:tr>
      <w:tr>
        <w:trPr>
          <w:trHeight w:val="284"/>
        </w:trPr>
        <w:tc>
          <w:tcPr>
            <w:tcW w:w="6140" w:type="dxa"/>
            <w:vAlign w:val="bottom"/>
          </w:tcPr>
          <w:p>
            <w:pPr>
              <w:spacing w:after="0"/>
              <w:rPr>
                <w:sz w:val="20"/>
                <w:szCs w:val="20"/>
                <w:color w:val="auto"/>
              </w:rPr>
            </w:pPr>
            <w:r>
              <w:rPr>
                <w:rFonts w:ascii="Arial" w:cs="Arial" w:eastAsia="Arial" w:hAnsi="Arial"/>
                <w:sz w:val="18"/>
                <w:szCs w:val="18"/>
                <w:color w:val="auto"/>
              </w:rPr>
              <w:t>Eli Lilly Japan K.K.</w:t>
            </w:r>
          </w:p>
        </w:tc>
        <w:tc>
          <w:tcPr>
            <w:tcW w:w="5240" w:type="dxa"/>
            <w:vAlign w:val="bottom"/>
          </w:tcPr>
          <w:p>
            <w:pPr>
              <w:jc w:val="center"/>
              <w:spacing w:after="0"/>
              <w:rPr>
                <w:sz w:val="20"/>
                <w:szCs w:val="20"/>
                <w:color w:val="auto"/>
              </w:rPr>
            </w:pPr>
            <w:r>
              <w:rPr>
                <w:rFonts w:ascii="Arial" w:cs="Arial" w:eastAsia="Arial" w:hAnsi="Arial"/>
                <w:sz w:val="18"/>
                <w:szCs w:val="18"/>
                <w:color w:val="auto"/>
                <w:w w:val="97"/>
              </w:rPr>
              <w:t>Japan</w:t>
            </w:r>
          </w:p>
        </w:tc>
      </w:tr>
      <w:tr>
        <w:trPr>
          <w:trHeight w:val="257"/>
        </w:trPr>
        <w:tc>
          <w:tcPr>
            <w:tcW w:w="6140" w:type="dxa"/>
            <w:vAlign w:val="bottom"/>
          </w:tcPr>
          <w:p>
            <w:pPr>
              <w:spacing w:after="0"/>
              <w:rPr>
                <w:sz w:val="20"/>
                <w:szCs w:val="20"/>
                <w:color w:val="auto"/>
              </w:rPr>
            </w:pPr>
            <w:r>
              <w:rPr>
                <w:rFonts w:ascii="Arial" w:cs="Arial" w:eastAsia="Arial" w:hAnsi="Arial"/>
                <w:sz w:val="18"/>
                <w:szCs w:val="18"/>
                <w:color w:val="auto"/>
              </w:rPr>
              <w:t>Eli Lilly Nederland B.V.</w:t>
            </w:r>
          </w:p>
        </w:tc>
        <w:tc>
          <w:tcPr>
            <w:tcW w:w="5240" w:type="dxa"/>
            <w:vAlign w:val="bottom"/>
          </w:tcPr>
          <w:p>
            <w:pPr>
              <w:jc w:val="center"/>
              <w:spacing w:after="0"/>
              <w:rPr>
                <w:sz w:val="20"/>
                <w:szCs w:val="20"/>
                <w:color w:val="auto"/>
              </w:rPr>
            </w:pPr>
            <w:r>
              <w:rPr>
                <w:rFonts w:ascii="Arial" w:cs="Arial" w:eastAsia="Arial" w:hAnsi="Arial"/>
                <w:sz w:val="18"/>
                <w:szCs w:val="18"/>
                <w:color w:val="auto"/>
                <w:w w:val="98"/>
              </w:rPr>
              <w:t>Netherlands</w:t>
            </w:r>
          </w:p>
        </w:tc>
      </w:tr>
      <w:tr>
        <w:trPr>
          <w:trHeight w:val="284"/>
        </w:trPr>
        <w:tc>
          <w:tcPr>
            <w:tcW w:w="6140" w:type="dxa"/>
            <w:vAlign w:val="bottom"/>
          </w:tcPr>
          <w:p>
            <w:pPr>
              <w:spacing w:after="0"/>
              <w:rPr>
                <w:sz w:val="20"/>
                <w:szCs w:val="20"/>
                <w:color w:val="auto"/>
              </w:rPr>
            </w:pPr>
            <w:r>
              <w:rPr>
                <w:rFonts w:ascii="Arial" w:cs="Arial" w:eastAsia="Arial" w:hAnsi="Arial"/>
                <w:sz w:val="18"/>
                <w:szCs w:val="18"/>
                <w:color w:val="auto"/>
              </w:rPr>
              <w:t>Eli Lilly Nigeria Ltd.</w:t>
            </w:r>
          </w:p>
        </w:tc>
        <w:tc>
          <w:tcPr>
            <w:tcW w:w="5240" w:type="dxa"/>
            <w:vAlign w:val="bottom"/>
          </w:tcPr>
          <w:p>
            <w:pPr>
              <w:jc w:val="center"/>
              <w:spacing w:after="0"/>
              <w:rPr>
                <w:sz w:val="20"/>
                <w:szCs w:val="20"/>
                <w:color w:val="auto"/>
              </w:rPr>
            </w:pPr>
            <w:r>
              <w:rPr>
                <w:rFonts w:ascii="Arial" w:cs="Arial" w:eastAsia="Arial" w:hAnsi="Arial"/>
                <w:sz w:val="18"/>
                <w:szCs w:val="18"/>
                <w:color w:val="auto"/>
                <w:w w:val="98"/>
              </w:rPr>
              <w:t>Nigeria</w:t>
            </w:r>
          </w:p>
        </w:tc>
      </w:tr>
      <w:tr>
        <w:trPr>
          <w:trHeight w:val="270"/>
        </w:trPr>
        <w:tc>
          <w:tcPr>
            <w:tcW w:w="6140" w:type="dxa"/>
            <w:vAlign w:val="bottom"/>
          </w:tcPr>
          <w:p>
            <w:pPr>
              <w:spacing w:after="0"/>
              <w:rPr>
                <w:sz w:val="20"/>
                <w:szCs w:val="20"/>
                <w:color w:val="auto"/>
              </w:rPr>
            </w:pPr>
            <w:r>
              <w:rPr>
                <w:rFonts w:ascii="Arial" w:cs="Arial" w:eastAsia="Arial" w:hAnsi="Arial"/>
                <w:sz w:val="18"/>
                <w:szCs w:val="18"/>
                <w:color w:val="auto"/>
              </w:rPr>
              <w:t>Eli Lilly Norge A.S.</w:t>
            </w:r>
          </w:p>
        </w:tc>
        <w:tc>
          <w:tcPr>
            <w:tcW w:w="5240" w:type="dxa"/>
            <w:vAlign w:val="bottom"/>
          </w:tcPr>
          <w:p>
            <w:pPr>
              <w:jc w:val="center"/>
              <w:spacing w:after="0"/>
              <w:rPr>
                <w:sz w:val="20"/>
                <w:szCs w:val="20"/>
                <w:color w:val="auto"/>
              </w:rPr>
            </w:pPr>
            <w:r>
              <w:rPr>
                <w:rFonts w:ascii="Arial" w:cs="Arial" w:eastAsia="Arial" w:hAnsi="Arial"/>
                <w:sz w:val="18"/>
                <w:szCs w:val="18"/>
                <w:color w:val="auto"/>
                <w:w w:val="98"/>
              </w:rPr>
              <w:t>Norway</w:t>
            </w:r>
          </w:p>
        </w:tc>
      </w:tr>
      <w:tr>
        <w:trPr>
          <w:trHeight w:val="257"/>
        </w:trPr>
        <w:tc>
          <w:tcPr>
            <w:tcW w:w="6140" w:type="dxa"/>
            <w:vAlign w:val="bottom"/>
          </w:tcPr>
          <w:p>
            <w:pPr>
              <w:spacing w:after="0"/>
              <w:rPr>
                <w:sz w:val="20"/>
                <w:szCs w:val="20"/>
                <w:color w:val="auto"/>
              </w:rPr>
            </w:pPr>
            <w:r>
              <w:rPr>
                <w:rFonts w:ascii="Arial" w:cs="Arial" w:eastAsia="Arial" w:hAnsi="Arial"/>
                <w:sz w:val="18"/>
                <w:szCs w:val="18"/>
                <w:color w:val="auto"/>
              </w:rPr>
              <w:t>Eli Lilly Pakistan (Pvt.) Ltd.</w:t>
            </w:r>
          </w:p>
        </w:tc>
        <w:tc>
          <w:tcPr>
            <w:tcW w:w="5240" w:type="dxa"/>
            <w:vAlign w:val="bottom"/>
          </w:tcPr>
          <w:p>
            <w:pPr>
              <w:jc w:val="center"/>
              <w:spacing w:after="0"/>
              <w:rPr>
                <w:sz w:val="20"/>
                <w:szCs w:val="20"/>
                <w:color w:val="auto"/>
              </w:rPr>
            </w:pPr>
            <w:r>
              <w:rPr>
                <w:rFonts w:ascii="Arial" w:cs="Arial" w:eastAsia="Arial" w:hAnsi="Arial"/>
                <w:sz w:val="18"/>
                <w:szCs w:val="18"/>
                <w:color w:val="auto"/>
                <w:w w:val="98"/>
              </w:rPr>
              <w:t>Pakistan</w:t>
            </w:r>
          </w:p>
        </w:tc>
      </w:tr>
      <w:tr>
        <w:trPr>
          <w:trHeight w:val="284"/>
        </w:trPr>
        <w:tc>
          <w:tcPr>
            <w:tcW w:w="6140" w:type="dxa"/>
            <w:vAlign w:val="bottom"/>
          </w:tcPr>
          <w:p>
            <w:pPr>
              <w:spacing w:after="0"/>
              <w:rPr>
                <w:sz w:val="20"/>
                <w:szCs w:val="20"/>
                <w:color w:val="auto"/>
              </w:rPr>
            </w:pPr>
            <w:r>
              <w:rPr>
                <w:rFonts w:ascii="Arial" w:cs="Arial" w:eastAsia="Arial" w:hAnsi="Arial"/>
                <w:sz w:val="18"/>
                <w:szCs w:val="18"/>
                <w:color w:val="auto"/>
              </w:rPr>
              <w:t>Eli Lilly Polska Sp.z.o.o. (Ltd.)</w:t>
            </w:r>
          </w:p>
        </w:tc>
        <w:tc>
          <w:tcPr>
            <w:tcW w:w="5240" w:type="dxa"/>
            <w:vAlign w:val="bottom"/>
          </w:tcPr>
          <w:p>
            <w:pPr>
              <w:jc w:val="center"/>
              <w:spacing w:after="0"/>
              <w:rPr>
                <w:sz w:val="20"/>
                <w:szCs w:val="20"/>
                <w:color w:val="auto"/>
              </w:rPr>
            </w:pPr>
            <w:r>
              <w:rPr>
                <w:rFonts w:ascii="Arial" w:cs="Arial" w:eastAsia="Arial" w:hAnsi="Arial"/>
                <w:sz w:val="18"/>
                <w:szCs w:val="18"/>
                <w:color w:val="auto"/>
                <w:w w:val="99"/>
              </w:rPr>
              <w:t>Poland</w:t>
            </w:r>
          </w:p>
        </w:tc>
      </w:tr>
      <w:tr>
        <w:trPr>
          <w:trHeight w:val="257"/>
        </w:trPr>
        <w:tc>
          <w:tcPr>
            <w:tcW w:w="6140" w:type="dxa"/>
            <w:vAlign w:val="bottom"/>
          </w:tcPr>
          <w:p>
            <w:pPr>
              <w:spacing w:after="0"/>
              <w:rPr>
                <w:sz w:val="20"/>
                <w:szCs w:val="20"/>
                <w:color w:val="auto"/>
              </w:rPr>
            </w:pPr>
            <w:r>
              <w:rPr>
                <w:rFonts w:ascii="Arial" w:cs="Arial" w:eastAsia="Arial" w:hAnsi="Arial"/>
                <w:sz w:val="18"/>
                <w:szCs w:val="18"/>
                <w:color w:val="auto"/>
              </w:rPr>
              <w:t>Eli Lilly Regional Operations GmbH</w:t>
            </w:r>
          </w:p>
        </w:tc>
        <w:tc>
          <w:tcPr>
            <w:tcW w:w="5240" w:type="dxa"/>
            <w:vAlign w:val="bottom"/>
          </w:tcPr>
          <w:p>
            <w:pPr>
              <w:jc w:val="center"/>
              <w:spacing w:after="0"/>
              <w:rPr>
                <w:sz w:val="20"/>
                <w:szCs w:val="20"/>
                <w:color w:val="auto"/>
              </w:rPr>
            </w:pPr>
            <w:r>
              <w:rPr>
                <w:rFonts w:ascii="Arial" w:cs="Arial" w:eastAsia="Arial" w:hAnsi="Arial"/>
                <w:sz w:val="18"/>
                <w:szCs w:val="18"/>
                <w:color w:val="auto"/>
                <w:w w:val="99"/>
              </w:rPr>
              <w:t>Austria</w:t>
            </w:r>
          </w:p>
        </w:tc>
      </w:tr>
      <w:tr>
        <w:trPr>
          <w:trHeight w:val="270"/>
        </w:trPr>
        <w:tc>
          <w:tcPr>
            <w:tcW w:w="6140" w:type="dxa"/>
            <w:vAlign w:val="bottom"/>
          </w:tcPr>
          <w:p>
            <w:pPr>
              <w:spacing w:after="0"/>
              <w:rPr>
                <w:sz w:val="20"/>
                <w:szCs w:val="20"/>
                <w:color w:val="auto"/>
              </w:rPr>
            </w:pPr>
            <w:r>
              <w:rPr>
                <w:rFonts w:ascii="Arial" w:cs="Arial" w:eastAsia="Arial" w:hAnsi="Arial"/>
                <w:sz w:val="18"/>
                <w:szCs w:val="18"/>
                <w:color w:val="auto"/>
              </w:rPr>
              <w:t>Eli Lilly Romania SRL</w:t>
            </w:r>
          </w:p>
        </w:tc>
        <w:tc>
          <w:tcPr>
            <w:tcW w:w="5240" w:type="dxa"/>
            <w:vAlign w:val="bottom"/>
          </w:tcPr>
          <w:p>
            <w:pPr>
              <w:jc w:val="center"/>
              <w:spacing w:after="0"/>
              <w:rPr>
                <w:sz w:val="20"/>
                <w:szCs w:val="20"/>
                <w:color w:val="auto"/>
              </w:rPr>
            </w:pPr>
            <w:r>
              <w:rPr>
                <w:rFonts w:ascii="Arial" w:cs="Arial" w:eastAsia="Arial" w:hAnsi="Arial"/>
                <w:sz w:val="18"/>
                <w:szCs w:val="18"/>
                <w:color w:val="auto"/>
                <w:w w:val="99"/>
              </w:rPr>
              <w:t>Romania</w:t>
            </w:r>
          </w:p>
        </w:tc>
      </w:tr>
      <w:tr>
        <w:trPr>
          <w:trHeight w:val="284"/>
        </w:trPr>
        <w:tc>
          <w:tcPr>
            <w:tcW w:w="6140" w:type="dxa"/>
            <w:vAlign w:val="bottom"/>
          </w:tcPr>
          <w:p>
            <w:pPr>
              <w:spacing w:after="0"/>
              <w:rPr>
                <w:sz w:val="20"/>
                <w:szCs w:val="20"/>
                <w:color w:val="auto"/>
              </w:rPr>
            </w:pPr>
            <w:r>
              <w:rPr>
                <w:rFonts w:ascii="Arial" w:cs="Arial" w:eastAsia="Arial" w:hAnsi="Arial"/>
                <w:sz w:val="18"/>
                <w:szCs w:val="18"/>
                <w:color w:val="auto"/>
              </w:rPr>
              <w:t>Eli Lilly S.A.</w:t>
            </w:r>
          </w:p>
        </w:tc>
        <w:tc>
          <w:tcPr>
            <w:tcW w:w="5240" w:type="dxa"/>
            <w:vAlign w:val="bottom"/>
          </w:tcPr>
          <w:p>
            <w:pPr>
              <w:jc w:val="center"/>
              <w:spacing w:after="0"/>
              <w:rPr>
                <w:sz w:val="20"/>
                <w:szCs w:val="20"/>
                <w:color w:val="auto"/>
              </w:rPr>
            </w:pPr>
            <w:r>
              <w:rPr>
                <w:rFonts w:ascii="Arial" w:cs="Arial" w:eastAsia="Arial" w:hAnsi="Arial"/>
                <w:sz w:val="18"/>
                <w:szCs w:val="18"/>
                <w:color w:val="auto"/>
                <w:w w:val="98"/>
              </w:rPr>
              <w:t>Switzerland</w:t>
            </w:r>
          </w:p>
        </w:tc>
      </w:tr>
      <w:tr>
        <w:trPr>
          <w:trHeight w:val="257"/>
        </w:trPr>
        <w:tc>
          <w:tcPr>
            <w:tcW w:w="6140" w:type="dxa"/>
            <w:vAlign w:val="bottom"/>
          </w:tcPr>
          <w:p>
            <w:pPr>
              <w:spacing w:after="0"/>
              <w:rPr>
                <w:sz w:val="20"/>
                <w:szCs w:val="20"/>
                <w:color w:val="auto"/>
              </w:rPr>
            </w:pPr>
            <w:r>
              <w:rPr>
                <w:rFonts w:ascii="Arial" w:cs="Arial" w:eastAsia="Arial" w:hAnsi="Arial"/>
                <w:sz w:val="18"/>
                <w:szCs w:val="18"/>
                <w:color w:val="auto"/>
              </w:rPr>
              <w:t>Eli Lilly S.A. -- Ireland Branch</w:t>
            </w:r>
          </w:p>
        </w:tc>
        <w:tc>
          <w:tcPr>
            <w:tcW w:w="5240" w:type="dxa"/>
            <w:vAlign w:val="bottom"/>
          </w:tcPr>
          <w:p>
            <w:pPr>
              <w:jc w:val="center"/>
              <w:spacing w:after="0"/>
              <w:rPr>
                <w:sz w:val="20"/>
                <w:szCs w:val="20"/>
                <w:color w:val="auto"/>
              </w:rPr>
            </w:pPr>
            <w:r>
              <w:rPr>
                <w:rFonts w:ascii="Arial" w:cs="Arial" w:eastAsia="Arial" w:hAnsi="Arial"/>
                <w:sz w:val="18"/>
                <w:szCs w:val="18"/>
                <w:color w:val="auto"/>
              </w:rPr>
              <w:t>Ireland</w:t>
            </w:r>
          </w:p>
        </w:tc>
      </w:tr>
      <w:tr>
        <w:trPr>
          <w:trHeight w:val="270"/>
        </w:trPr>
        <w:tc>
          <w:tcPr>
            <w:tcW w:w="6140" w:type="dxa"/>
            <w:vAlign w:val="bottom"/>
          </w:tcPr>
          <w:p>
            <w:pPr>
              <w:spacing w:after="0"/>
              <w:rPr>
                <w:sz w:val="20"/>
                <w:szCs w:val="20"/>
                <w:color w:val="auto"/>
              </w:rPr>
            </w:pPr>
            <w:r>
              <w:rPr>
                <w:rFonts w:ascii="Arial" w:cs="Arial" w:eastAsia="Arial" w:hAnsi="Arial"/>
                <w:sz w:val="18"/>
                <w:szCs w:val="18"/>
                <w:color w:val="auto"/>
              </w:rPr>
              <w:t>Eli Lilly Services, Inc.</w:t>
            </w:r>
          </w:p>
        </w:tc>
        <w:tc>
          <w:tcPr>
            <w:tcW w:w="5240" w:type="dxa"/>
            <w:vAlign w:val="bottom"/>
          </w:tcPr>
          <w:p>
            <w:pPr>
              <w:jc w:val="center"/>
              <w:spacing w:after="0"/>
              <w:rPr>
                <w:sz w:val="20"/>
                <w:szCs w:val="20"/>
                <w:color w:val="auto"/>
              </w:rPr>
            </w:pPr>
            <w:r>
              <w:rPr>
                <w:rFonts w:ascii="Arial" w:cs="Arial" w:eastAsia="Arial" w:hAnsi="Arial"/>
                <w:sz w:val="18"/>
                <w:szCs w:val="18"/>
                <w:color w:val="auto"/>
              </w:rPr>
              <w:t>British Virgin Islands</w:t>
            </w:r>
          </w:p>
        </w:tc>
      </w:tr>
    </w:tbl>
    <w:p>
      <w:pPr>
        <w:sectPr>
          <w:pgSz w:w="11900" w:h="16838" w:orient="portrait"/>
          <w:cols w:equalWidth="0" w:num="1">
            <w:col w:w="11380"/>
          </w:cols>
          <w:pgMar w:left="280" w:top="745" w:right="239" w:bottom="1440" w:gutter="0" w:footer="0" w:header="0"/>
        </w:sectPr>
      </w:pPr>
    </w:p>
    <w:bookmarkStart w:id="133" w:name="page134"/>
    <w:bookmarkEnd w:id="13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140" w:type="dxa"/>
            <w:vAlign w:val="bottom"/>
          </w:tcPr>
          <w:p>
            <w:pPr>
              <w:spacing w:after="0"/>
              <w:rPr>
                <w:sz w:val="14"/>
                <w:szCs w:val="14"/>
                <w:color w:val="auto"/>
              </w:rPr>
            </w:pPr>
          </w:p>
        </w:tc>
        <w:tc>
          <w:tcPr>
            <w:tcW w:w="5240" w:type="dxa"/>
            <w:vAlign w:val="bottom"/>
          </w:tcPr>
          <w:p>
            <w:pPr>
              <w:jc w:val="center"/>
              <w:spacing w:after="0"/>
              <w:rPr>
                <w:sz w:val="20"/>
                <w:szCs w:val="20"/>
                <w:color w:val="auto"/>
              </w:rPr>
            </w:pPr>
            <w:r>
              <w:rPr>
                <w:rFonts w:ascii="Arial" w:cs="Arial" w:eastAsia="Arial" w:hAnsi="Arial"/>
                <w:sz w:val="14"/>
                <w:szCs w:val="14"/>
                <w:b w:val="1"/>
                <w:bCs w:val="1"/>
                <w:color w:val="auto"/>
              </w:rPr>
              <w:t>State or Jurisdiction</w:t>
            </w:r>
          </w:p>
        </w:tc>
      </w:tr>
      <w:tr>
        <w:trPr>
          <w:trHeight w:val="162"/>
        </w:trPr>
        <w:tc>
          <w:tcPr>
            <w:tcW w:w="6140" w:type="dxa"/>
            <w:vAlign w:val="bottom"/>
          </w:tcPr>
          <w:p>
            <w:pPr>
              <w:spacing w:after="0"/>
              <w:rPr>
                <w:sz w:val="14"/>
                <w:szCs w:val="14"/>
                <w:color w:val="auto"/>
              </w:rPr>
            </w:pPr>
          </w:p>
        </w:tc>
        <w:tc>
          <w:tcPr>
            <w:tcW w:w="5240" w:type="dxa"/>
            <w:vAlign w:val="bottom"/>
          </w:tcPr>
          <w:p>
            <w:pPr>
              <w:jc w:val="center"/>
              <w:spacing w:after="0"/>
              <w:rPr>
                <w:sz w:val="20"/>
                <w:szCs w:val="20"/>
                <w:color w:val="auto"/>
              </w:rPr>
            </w:pPr>
            <w:r>
              <w:rPr>
                <w:rFonts w:ascii="Arial" w:cs="Arial" w:eastAsia="Arial" w:hAnsi="Arial"/>
                <w:sz w:val="14"/>
                <w:szCs w:val="14"/>
                <w:b w:val="1"/>
                <w:bCs w:val="1"/>
                <w:color w:val="auto"/>
              </w:rPr>
              <w:t>of Incorporation</w:t>
            </w:r>
          </w:p>
        </w:tc>
      </w:tr>
      <w:tr>
        <w:trPr>
          <w:trHeight w:val="203"/>
        </w:trPr>
        <w:tc>
          <w:tcPr>
            <w:tcW w:w="6140" w:type="dxa"/>
            <w:vAlign w:val="bottom"/>
          </w:tcPr>
          <w:p>
            <w:pPr>
              <w:spacing w:after="0"/>
              <w:rPr>
                <w:sz w:val="17"/>
                <w:szCs w:val="17"/>
                <w:color w:val="auto"/>
              </w:rPr>
            </w:pPr>
          </w:p>
        </w:tc>
        <w:tc>
          <w:tcPr>
            <w:tcW w:w="5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or Organization</w:t>
            </w:r>
          </w:p>
        </w:tc>
      </w:tr>
      <w:tr>
        <w:trPr>
          <w:trHeight w:val="363"/>
        </w:trPr>
        <w:tc>
          <w:tcPr>
            <w:tcW w:w="6140" w:type="dxa"/>
            <w:vAlign w:val="bottom"/>
          </w:tcPr>
          <w:p>
            <w:pPr>
              <w:spacing w:after="0"/>
              <w:rPr>
                <w:sz w:val="20"/>
                <w:szCs w:val="20"/>
                <w:color w:val="auto"/>
              </w:rPr>
            </w:pPr>
            <w:r>
              <w:rPr>
                <w:rFonts w:ascii="Arial" w:cs="Arial" w:eastAsia="Arial" w:hAnsi="Arial"/>
                <w:sz w:val="18"/>
                <w:szCs w:val="18"/>
                <w:color w:val="auto"/>
              </w:rPr>
              <w:t>Eli Lilly Services India Private Limited</w:t>
            </w:r>
          </w:p>
        </w:tc>
        <w:tc>
          <w:tcPr>
            <w:tcW w:w="5240" w:type="dxa"/>
            <w:vAlign w:val="bottom"/>
          </w:tcPr>
          <w:p>
            <w:pPr>
              <w:jc w:val="center"/>
              <w:spacing w:after="0"/>
              <w:rPr>
                <w:sz w:val="20"/>
                <w:szCs w:val="20"/>
                <w:color w:val="auto"/>
              </w:rPr>
            </w:pPr>
            <w:r>
              <w:rPr>
                <w:rFonts w:ascii="Arial" w:cs="Arial" w:eastAsia="Arial" w:hAnsi="Arial"/>
                <w:sz w:val="18"/>
                <w:szCs w:val="18"/>
                <w:color w:val="auto"/>
              </w:rPr>
              <w:t>India</w:t>
            </w:r>
          </w:p>
        </w:tc>
      </w:tr>
      <w:tr>
        <w:trPr>
          <w:trHeight w:val="257"/>
        </w:trPr>
        <w:tc>
          <w:tcPr>
            <w:tcW w:w="6140" w:type="dxa"/>
            <w:vAlign w:val="bottom"/>
          </w:tcPr>
          <w:p>
            <w:pPr>
              <w:spacing w:after="0"/>
              <w:rPr>
                <w:sz w:val="20"/>
                <w:szCs w:val="20"/>
                <w:color w:val="auto"/>
              </w:rPr>
            </w:pPr>
            <w:r>
              <w:rPr>
                <w:rFonts w:ascii="Arial" w:cs="Arial" w:eastAsia="Arial" w:hAnsi="Arial"/>
                <w:sz w:val="18"/>
                <w:szCs w:val="18"/>
                <w:color w:val="auto"/>
              </w:rPr>
              <w:t>Eli Lilly Slovakia s.r.o.</w:t>
            </w:r>
          </w:p>
        </w:tc>
        <w:tc>
          <w:tcPr>
            <w:tcW w:w="5240" w:type="dxa"/>
            <w:vAlign w:val="bottom"/>
          </w:tcPr>
          <w:p>
            <w:pPr>
              <w:jc w:val="center"/>
              <w:spacing w:after="0"/>
              <w:rPr>
                <w:sz w:val="20"/>
                <w:szCs w:val="20"/>
                <w:color w:val="auto"/>
              </w:rPr>
            </w:pPr>
            <w:r>
              <w:rPr>
                <w:rFonts w:ascii="Arial" w:cs="Arial" w:eastAsia="Arial" w:hAnsi="Arial"/>
                <w:sz w:val="18"/>
                <w:szCs w:val="18"/>
                <w:color w:val="auto"/>
                <w:w w:val="99"/>
              </w:rPr>
              <w:t>Slovakia</w:t>
            </w:r>
          </w:p>
        </w:tc>
      </w:tr>
      <w:tr>
        <w:trPr>
          <w:trHeight w:val="284"/>
        </w:trPr>
        <w:tc>
          <w:tcPr>
            <w:tcW w:w="6140" w:type="dxa"/>
            <w:vAlign w:val="bottom"/>
          </w:tcPr>
          <w:p>
            <w:pPr>
              <w:spacing w:after="0"/>
              <w:rPr>
                <w:sz w:val="20"/>
                <w:szCs w:val="20"/>
                <w:color w:val="auto"/>
              </w:rPr>
            </w:pPr>
            <w:r>
              <w:rPr>
                <w:rFonts w:ascii="Arial" w:cs="Arial" w:eastAsia="Arial" w:hAnsi="Arial"/>
                <w:sz w:val="18"/>
                <w:szCs w:val="18"/>
                <w:color w:val="auto"/>
              </w:rPr>
              <w:t>Eli Lilly Spain Holding ETVE, S.L.</w:t>
            </w:r>
          </w:p>
        </w:tc>
        <w:tc>
          <w:tcPr>
            <w:tcW w:w="5240" w:type="dxa"/>
            <w:vAlign w:val="bottom"/>
          </w:tcPr>
          <w:p>
            <w:pPr>
              <w:jc w:val="center"/>
              <w:spacing w:after="0"/>
              <w:rPr>
                <w:sz w:val="20"/>
                <w:szCs w:val="20"/>
                <w:color w:val="auto"/>
              </w:rPr>
            </w:pPr>
            <w:r>
              <w:rPr>
                <w:rFonts w:ascii="Arial" w:cs="Arial" w:eastAsia="Arial" w:hAnsi="Arial"/>
                <w:sz w:val="18"/>
                <w:szCs w:val="18"/>
                <w:color w:val="auto"/>
              </w:rPr>
              <w:t>Spain</w:t>
            </w:r>
          </w:p>
        </w:tc>
      </w:tr>
      <w:tr>
        <w:trPr>
          <w:trHeight w:val="257"/>
        </w:trPr>
        <w:tc>
          <w:tcPr>
            <w:tcW w:w="6140" w:type="dxa"/>
            <w:vAlign w:val="bottom"/>
          </w:tcPr>
          <w:p>
            <w:pPr>
              <w:spacing w:after="0"/>
              <w:rPr>
                <w:sz w:val="20"/>
                <w:szCs w:val="20"/>
                <w:color w:val="auto"/>
              </w:rPr>
            </w:pPr>
            <w:r>
              <w:rPr>
                <w:rFonts w:ascii="Arial" w:cs="Arial" w:eastAsia="Arial" w:hAnsi="Arial"/>
                <w:sz w:val="18"/>
                <w:szCs w:val="18"/>
                <w:color w:val="auto"/>
              </w:rPr>
              <w:t>Eli Lilly Sweden AB</w:t>
            </w:r>
          </w:p>
        </w:tc>
        <w:tc>
          <w:tcPr>
            <w:tcW w:w="5240" w:type="dxa"/>
            <w:vAlign w:val="bottom"/>
          </w:tcPr>
          <w:p>
            <w:pPr>
              <w:jc w:val="center"/>
              <w:spacing w:after="0"/>
              <w:rPr>
                <w:sz w:val="20"/>
                <w:szCs w:val="20"/>
                <w:color w:val="auto"/>
              </w:rPr>
            </w:pPr>
            <w:r>
              <w:rPr>
                <w:rFonts w:ascii="Arial" w:cs="Arial" w:eastAsia="Arial" w:hAnsi="Arial"/>
                <w:sz w:val="18"/>
                <w:szCs w:val="18"/>
                <w:color w:val="auto"/>
                <w:w w:val="98"/>
              </w:rPr>
              <w:t>Sweden</w:t>
            </w:r>
          </w:p>
        </w:tc>
      </w:tr>
      <w:tr>
        <w:trPr>
          <w:trHeight w:val="284"/>
        </w:trPr>
        <w:tc>
          <w:tcPr>
            <w:tcW w:w="6140" w:type="dxa"/>
            <w:vAlign w:val="bottom"/>
          </w:tcPr>
          <w:p>
            <w:pPr>
              <w:spacing w:after="0"/>
              <w:rPr>
                <w:sz w:val="20"/>
                <w:szCs w:val="20"/>
                <w:color w:val="auto"/>
              </w:rPr>
            </w:pPr>
            <w:r>
              <w:rPr>
                <w:rFonts w:ascii="Arial" w:cs="Arial" w:eastAsia="Arial" w:hAnsi="Arial"/>
                <w:sz w:val="18"/>
                <w:szCs w:val="18"/>
                <w:color w:val="auto"/>
              </w:rPr>
              <w:t>Eli Lilly Trading (Shanghai) Company Limited</w:t>
            </w:r>
          </w:p>
        </w:tc>
        <w:tc>
          <w:tcPr>
            <w:tcW w:w="5240" w:type="dxa"/>
            <w:vAlign w:val="bottom"/>
          </w:tcPr>
          <w:p>
            <w:pPr>
              <w:jc w:val="center"/>
              <w:spacing w:after="0"/>
              <w:rPr>
                <w:sz w:val="20"/>
                <w:szCs w:val="20"/>
                <w:color w:val="auto"/>
              </w:rPr>
            </w:pPr>
            <w:r>
              <w:rPr>
                <w:rFonts w:ascii="Arial" w:cs="Arial" w:eastAsia="Arial" w:hAnsi="Arial"/>
                <w:sz w:val="18"/>
                <w:szCs w:val="18"/>
                <w:color w:val="auto"/>
              </w:rPr>
              <w:t>China</w:t>
            </w:r>
          </w:p>
        </w:tc>
      </w:tr>
      <w:tr>
        <w:trPr>
          <w:trHeight w:val="257"/>
        </w:trPr>
        <w:tc>
          <w:tcPr>
            <w:tcW w:w="6140" w:type="dxa"/>
            <w:vAlign w:val="bottom"/>
          </w:tcPr>
          <w:p>
            <w:pPr>
              <w:spacing w:after="0"/>
              <w:rPr>
                <w:sz w:val="20"/>
                <w:szCs w:val="20"/>
                <w:color w:val="auto"/>
              </w:rPr>
            </w:pPr>
            <w:r>
              <w:rPr>
                <w:rFonts w:ascii="Arial" w:cs="Arial" w:eastAsia="Arial" w:hAnsi="Arial"/>
                <w:sz w:val="18"/>
                <w:szCs w:val="18"/>
                <w:color w:val="auto"/>
              </w:rPr>
              <w:t>Eli Lilly Trading S.A.</w:t>
            </w:r>
          </w:p>
        </w:tc>
        <w:tc>
          <w:tcPr>
            <w:tcW w:w="5240" w:type="dxa"/>
            <w:vAlign w:val="bottom"/>
          </w:tcPr>
          <w:p>
            <w:pPr>
              <w:jc w:val="center"/>
              <w:spacing w:after="0"/>
              <w:rPr>
                <w:sz w:val="20"/>
                <w:szCs w:val="20"/>
                <w:color w:val="auto"/>
              </w:rPr>
            </w:pPr>
            <w:r>
              <w:rPr>
                <w:rFonts w:ascii="Arial" w:cs="Arial" w:eastAsia="Arial" w:hAnsi="Arial"/>
                <w:sz w:val="18"/>
                <w:szCs w:val="18"/>
                <w:color w:val="auto"/>
                <w:w w:val="98"/>
              </w:rPr>
              <w:t>Switzerland</w:t>
            </w:r>
          </w:p>
        </w:tc>
      </w:tr>
      <w:tr>
        <w:trPr>
          <w:trHeight w:val="284"/>
        </w:trPr>
        <w:tc>
          <w:tcPr>
            <w:tcW w:w="6140" w:type="dxa"/>
            <w:vAlign w:val="bottom"/>
          </w:tcPr>
          <w:p>
            <w:pPr>
              <w:spacing w:after="0"/>
              <w:rPr>
                <w:sz w:val="20"/>
                <w:szCs w:val="20"/>
                <w:color w:val="auto"/>
              </w:rPr>
            </w:pPr>
            <w:r>
              <w:rPr>
                <w:rFonts w:ascii="Arial" w:cs="Arial" w:eastAsia="Arial" w:hAnsi="Arial"/>
                <w:sz w:val="18"/>
                <w:szCs w:val="18"/>
                <w:color w:val="auto"/>
              </w:rPr>
              <w:t>Eli Lilly Vostok S.A., Geneva</w:t>
            </w:r>
          </w:p>
        </w:tc>
        <w:tc>
          <w:tcPr>
            <w:tcW w:w="5240" w:type="dxa"/>
            <w:vAlign w:val="bottom"/>
          </w:tcPr>
          <w:p>
            <w:pPr>
              <w:jc w:val="center"/>
              <w:spacing w:after="0"/>
              <w:rPr>
                <w:sz w:val="20"/>
                <w:szCs w:val="20"/>
                <w:color w:val="auto"/>
              </w:rPr>
            </w:pPr>
            <w:r>
              <w:rPr>
                <w:rFonts w:ascii="Arial" w:cs="Arial" w:eastAsia="Arial" w:hAnsi="Arial"/>
                <w:sz w:val="18"/>
                <w:szCs w:val="18"/>
                <w:color w:val="auto"/>
                <w:w w:val="98"/>
              </w:rPr>
              <w:t>Switzerland</w:t>
            </w:r>
          </w:p>
        </w:tc>
      </w:tr>
      <w:tr>
        <w:trPr>
          <w:trHeight w:val="257"/>
        </w:trPr>
        <w:tc>
          <w:tcPr>
            <w:tcW w:w="6140" w:type="dxa"/>
            <w:vAlign w:val="bottom"/>
          </w:tcPr>
          <w:p>
            <w:pPr>
              <w:spacing w:after="0"/>
              <w:rPr>
                <w:sz w:val="20"/>
                <w:szCs w:val="20"/>
                <w:color w:val="auto"/>
              </w:rPr>
            </w:pPr>
            <w:r>
              <w:rPr>
                <w:rFonts w:ascii="Arial" w:cs="Arial" w:eastAsia="Arial" w:hAnsi="Arial"/>
                <w:sz w:val="18"/>
                <w:szCs w:val="18"/>
                <w:color w:val="auto"/>
              </w:rPr>
              <w:t>Eli Lilly y Compania de Mexico, S.A. de C.V.</w:t>
            </w:r>
          </w:p>
        </w:tc>
        <w:tc>
          <w:tcPr>
            <w:tcW w:w="5240" w:type="dxa"/>
            <w:vAlign w:val="bottom"/>
          </w:tcPr>
          <w:p>
            <w:pPr>
              <w:jc w:val="center"/>
              <w:spacing w:after="0"/>
              <w:rPr>
                <w:sz w:val="20"/>
                <w:szCs w:val="20"/>
                <w:color w:val="auto"/>
              </w:rPr>
            </w:pPr>
            <w:r>
              <w:rPr>
                <w:rFonts w:ascii="Arial" w:cs="Arial" w:eastAsia="Arial" w:hAnsi="Arial"/>
                <w:sz w:val="18"/>
                <w:szCs w:val="18"/>
                <w:color w:val="auto"/>
                <w:w w:val="98"/>
              </w:rPr>
              <w:t>Mexico</w:t>
            </w:r>
          </w:p>
        </w:tc>
      </w:tr>
      <w:tr>
        <w:trPr>
          <w:trHeight w:val="284"/>
        </w:trPr>
        <w:tc>
          <w:tcPr>
            <w:tcW w:w="6140" w:type="dxa"/>
            <w:vAlign w:val="bottom"/>
          </w:tcPr>
          <w:p>
            <w:pPr>
              <w:spacing w:after="0"/>
              <w:rPr>
                <w:sz w:val="20"/>
                <w:szCs w:val="20"/>
                <w:color w:val="auto"/>
              </w:rPr>
            </w:pPr>
            <w:r>
              <w:rPr>
                <w:rFonts w:ascii="Arial" w:cs="Arial" w:eastAsia="Arial" w:hAnsi="Arial"/>
                <w:sz w:val="18"/>
                <w:szCs w:val="18"/>
                <w:color w:val="auto"/>
              </w:rPr>
              <w:t>Eli Lilly y Compania de Venezuela, S.A.</w:t>
            </w:r>
          </w:p>
        </w:tc>
        <w:tc>
          <w:tcPr>
            <w:tcW w:w="5240" w:type="dxa"/>
            <w:vAlign w:val="bottom"/>
          </w:tcPr>
          <w:p>
            <w:pPr>
              <w:jc w:val="center"/>
              <w:spacing w:after="0"/>
              <w:rPr>
                <w:sz w:val="20"/>
                <w:szCs w:val="20"/>
                <w:color w:val="auto"/>
              </w:rPr>
            </w:pPr>
            <w:r>
              <w:rPr>
                <w:rFonts w:ascii="Arial" w:cs="Arial" w:eastAsia="Arial" w:hAnsi="Arial"/>
                <w:sz w:val="18"/>
                <w:szCs w:val="18"/>
                <w:color w:val="auto"/>
                <w:w w:val="98"/>
              </w:rPr>
              <w:t>Venezuela</w:t>
            </w:r>
          </w:p>
        </w:tc>
      </w:tr>
      <w:tr>
        <w:trPr>
          <w:trHeight w:val="257"/>
        </w:trPr>
        <w:tc>
          <w:tcPr>
            <w:tcW w:w="6140" w:type="dxa"/>
            <w:vAlign w:val="bottom"/>
          </w:tcPr>
          <w:p>
            <w:pPr>
              <w:spacing w:after="0"/>
              <w:rPr>
                <w:sz w:val="20"/>
                <w:szCs w:val="20"/>
                <w:color w:val="auto"/>
              </w:rPr>
            </w:pPr>
            <w:r>
              <w:rPr>
                <w:rFonts w:ascii="Arial" w:cs="Arial" w:eastAsia="Arial" w:hAnsi="Arial"/>
                <w:sz w:val="18"/>
                <w:szCs w:val="18"/>
                <w:color w:val="auto"/>
              </w:rPr>
              <w:t>Express Markets, Inc.</w:t>
            </w:r>
          </w:p>
        </w:tc>
        <w:tc>
          <w:tcPr>
            <w:tcW w:w="5240" w:type="dxa"/>
            <w:vAlign w:val="bottom"/>
          </w:tcPr>
          <w:p>
            <w:pPr>
              <w:jc w:val="center"/>
              <w:spacing w:after="0"/>
              <w:rPr>
                <w:sz w:val="20"/>
                <w:szCs w:val="20"/>
                <w:color w:val="auto"/>
              </w:rPr>
            </w:pPr>
            <w:r>
              <w:rPr>
                <w:rFonts w:ascii="Arial" w:cs="Arial" w:eastAsia="Arial" w:hAnsi="Arial"/>
                <w:sz w:val="18"/>
                <w:szCs w:val="18"/>
                <w:color w:val="auto"/>
              </w:rPr>
              <w:t>Indiana</w:t>
            </w:r>
          </w:p>
        </w:tc>
      </w:tr>
      <w:tr>
        <w:trPr>
          <w:trHeight w:val="284"/>
        </w:trPr>
        <w:tc>
          <w:tcPr>
            <w:tcW w:w="6140" w:type="dxa"/>
            <w:vAlign w:val="bottom"/>
          </w:tcPr>
          <w:p>
            <w:pPr>
              <w:spacing w:after="0"/>
              <w:rPr>
                <w:sz w:val="20"/>
                <w:szCs w:val="20"/>
                <w:color w:val="auto"/>
              </w:rPr>
            </w:pPr>
            <w:r>
              <w:rPr>
                <w:rFonts w:ascii="Arial" w:cs="Arial" w:eastAsia="Arial" w:hAnsi="Arial"/>
                <w:sz w:val="18"/>
                <w:szCs w:val="18"/>
                <w:color w:val="auto"/>
              </w:rPr>
              <w:t>GEMS Services S.A.</w:t>
            </w:r>
          </w:p>
        </w:tc>
        <w:tc>
          <w:tcPr>
            <w:tcW w:w="5240" w:type="dxa"/>
            <w:vAlign w:val="bottom"/>
          </w:tcPr>
          <w:p>
            <w:pPr>
              <w:jc w:val="center"/>
              <w:spacing w:after="0"/>
              <w:rPr>
                <w:sz w:val="20"/>
                <w:szCs w:val="20"/>
                <w:color w:val="auto"/>
              </w:rPr>
            </w:pPr>
            <w:r>
              <w:rPr>
                <w:rFonts w:ascii="Arial" w:cs="Arial" w:eastAsia="Arial" w:hAnsi="Arial"/>
                <w:sz w:val="18"/>
                <w:szCs w:val="18"/>
                <w:color w:val="auto"/>
                <w:w w:val="98"/>
              </w:rPr>
              <w:t>Belgium</w:t>
            </w:r>
          </w:p>
        </w:tc>
      </w:tr>
      <w:tr>
        <w:trPr>
          <w:trHeight w:val="257"/>
        </w:trPr>
        <w:tc>
          <w:tcPr>
            <w:tcW w:w="6140" w:type="dxa"/>
            <w:vAlign w:val="bottom"/>
          </w:tcPr>
          <w:p>
            <w:pPr>
              <w:spacing w:after="0"/>
              <w:rPr>
                <w:sz w:val="20"/>
                <w:szCs w:val="20"/>
                <w:color w:val="auto"/>
              </w:rPr>
            </w:pPr>
            <w:r>
              <w:rPr>
                <w:rFonts w:ascii="Arial" w:cs="Arial" w:eastAsia="Arial" w:hAnsi="Arial"/>
                <w:sz w:val="18"/>
                <w:szCs w:val="18"/>
                <w:color w:val="auto"/>
              </w:rPr>
              <w:t>GEMS Services S.A. -- CC Branch</w:t>
            </w:r>
          </w:p>
        </w:tc>
        <w:tc>
          <w:tcPr>
            <w:tcW w:w="5240" w:type="dxa"/>
            <w:vAlign w:val="bottom"/>
          </w:tcPr>
          <w:p>
            <w:pPr>
              <w:jc w:val="center"/>
              <w:spacing w:after="0"/>
              <w:rPr>
                <w:sz w:val="20"/>
                <w:szCs w:val="20"/>
                <w:color w:val="auto"/>
              </w:rPr>
            </w:pPr>
            <w:r>
              <w:rPr>
                <w:rFonts w:ascii="Arial" w:cs="Arial" w:eastAsia="Arial" w:hAnsi="Arial"/>
                <w:sz w:val="18"/>
                <w:szCs w:val="18"/>
                <w:color w:val="auto"/>
                <w:w w:val="98"/>
              </w:rPr>
              <w:t>Belgium</w:t>
            </w:r>
          </w:p>
        </w:tc>
      </w:tr>
      <w:tr>
        <w:trPr>
          <w:trHeight w:val="270"/>
        </w:trPr>
        <w:tc>
          <w:tcPr>
            <w:tcW w:w="6140" w:type="dxa"/>
            <w:vAlign w:val="bottom"/>
          </w:tcPr>
          <w:p>
            <w:pPr>
              <w:spacing w:after="0"/>
              <w:rPr>
                <w:sz w:val="20"/>
                <w:szCs w:val="20"/>
                <w:color w:val="auto"/>
              </w:rPr>
            </w:pPr>
            <w:r>
              <w:rPr>
                <w:rFonts w:ascii="Arial" w:cs="Arial" w:eastAsia="Arial" w:hAnsi="Arial"/>
                <w:sz w:val="18"/>
                <w:szCs w:val="18"/>
                <w:color w:val="auto"/>
              </w:rPr>
              <w:t>Glycostasis, Inc.</w:t>
            </w:r>
          </w:p>
        </w:tc>
        <w:tc>
          <w:tcPr>
            <w:tcW w:w="5240" w:type="dxa"/>
            <w:vAlign w:val="bottom"/>
          </w:tcPr>
          <w:p>
            <w:pPr>
              <w:jc w:val="center"/>
              <w:spacing w:after="0"/>
              <w:rPr>
                <w:sz w:val="20"/>
                <w:szCs w:val="20"/>
                <w:color w:val="auto"/>
              </w:rPr>
            </w:pPr>
            <w:r>
              <w:rPr>
                <w:rFonts w:ascii="Arial" w:cs="Arial" w:eastAsia="Arial" w:hAnsi="Arial"/>
                <w:sz w:val="18"/>
                <w:szCs w:val="18"/>
                <w:color w:val="auto"/>
              </w:rPr>
              <w:t>Washington</w:t>
            </w:r>
          </w:p>
        </w:tc>
      </w:tr>
      <w:tr>
        <w:trPr>
          <w:trHeight w:val="284"/>
        </w:trPr>
        <w:tc>
          <w:tcPr>
            <w:tcW w:w="6140" w:type="dxa"/>
            <w:vAlign w:val="bottom"/>
          </w:tcPr>
          <w:p>
            <w:pPr>
              <w:spacing w:after="0"/>
              <w:rPr>
                <w:sz w:val="20"/>
                <w:szCs w:val="20"/>
                <w:color w:val="auto"/>
              </w:rPr>
            </w:pPr>
            <w:r>
              <w:rPr>
                <w:rFonts w:ascii="Arial" w:cs="Arial" w:eastAsia="Arial" w:hAnsi="Arial"/>
                <w:sz w:val="18"/>
                <w:szCs w:val="18"/>
                <w:color w:val="auto"/>
              </w:rPr>
              <w:t>Greenfield-Produtos Farmaceuticos, Lda.</w:t>
            </w:r>
          </w:p>
        </w:tc>
        <w:tc>
          <w:tcPr>
            <w:tcW w:w="5240" w:type="dxa"/>
            <w:vAlign w:val="bottom"/>
          </w:tcPr>
          <w:p>
            <w:pPr>
              <w:jc w:val="center"/>
              <w:spacing w:after="0"/>
              <w:rPr>
                <w:sz w:val="20"/>
                <w:szCs w:val="20"/>
                <w:color w:val="auto"/>
              </w:rPr>
            </w:pPr>
            <w:r>
              <w:rPr>
                <w:rFonts w:ascii="Arial" w:cs="Arial" w:eastAsia="Arial" w:hAnsi="Arial"/>
                <w:sz w:val="18"/>
                <w:szCs w:val="18"/>
                <w:color w:val="auto"/>
              </w:rPr>
              <w:t>Portugal</w:t>
            </w:r>
          </w:p>
        </w:tc>
      </w:tr>
      <w:tr>
        <w:trPr>
          <w:trHeight w:val="257"/>
        </w:trPr>
        <w:tc>
          <w:tcPr>
            <w:tcW w:w="6140" w:type="dxa"/>
            <w:vAlign w:val="bottom"/>
          </w:tcPr>
          <w:p>
            <w:pPr>
              <w:spacing w:after="0"/>
              <w:rPr>
                <w:sz w:val="20"/>
                <w:szCs w:val="20"/>
                <w:color w:val="auto"/>
              </w:rPr>
            </w:pPr>
            <w:r>
              <w:rPr>
                <w:rFonts w:ascii="Arial" w:cs="Arial" w:eastAsia="Arial" w:hAnsi="Arial"/>
                <w:sz w:val="18"/>
                <w:szCs w:val="18"/>
                <w:color w:val="auto"/>
              </w:rPr>
              <w:t>ICOS Corporation</w:t>
            </w:r>
          </w:p>
        </w:tc>
        <w:tc>
          <w:tcPr>
            <w:tcW w:w="5240" w:type="dxa"/>
            <w:vAlign w:val="bottom"/>
          </w:tcPr>
          <w:p>
            <w:pPr>
              <w:jc w:val="center"/>
              <w:spacing w:after="0"/>
              <w:rPr>
                <w:sz w:val="20"/>
                <w:szCs w:val="20"/>
                <w:color w:val="auto"/>
              </w:rPr>
            </w:pPr>
            <w:r>
              <w:rPr>
                <w:rFonts w:ascii="Arial" w:cs="Arial" w:eastAsia="Arial" w:hAnsi="Arial"/>
                <w:sz w:val="18"/>
                <w:szCs w:val="18"/>
                <w:color w:val="auto"/>
              </w:rPr>
              <w:t>Washington</w:t>
            </w:r>
          </w:p>
        </w:tc>
      </w:tr>
      <w:tr>
        <w:trPr>
          <w:trHeight w:val="270"/>
        </w:trPr>
        <w:tc>
          <w:tcPr>
            <w:tcW w:w="6140" w:type="dxa"/>
            <w:vAlign w:val="bottom"/>
          </w:tcPr>
          <w:p>
            <w:pPr>
              <w:spacing w:after="0"/>
              <w:rPr>
                <w:sz w:val="20"/>
                <w:szCs w:val="20"/>
                <w:color w:val="auto"/>
              </w:rPr>
            </w:pPr>
            <w:r>
              <w:rPr>
                <w:rFonts w:ascii="Arial" w:cs="Arial" w:eastAsia="Arial" w:hAnsi="Arial"/>
                <w:sz w:val="18"/>
                <w:szCs w:val="18"/>
                <w:color w:val="auto"/>
              </w:rPr>
              <w:t>ImClone GmbH</w:t>
            </w:r>
          </w:p>
        </w:tc>
        <w:tc>
          <w:tcPr>
            <w:tcW w:w="5240" w:type="dxa"/>
            <w:vAlign w:val="bottom"/>
          </w:tcPr>
          <w:p>
            <w:pPr>
              <w:jc w:val="center"/>
              <w:spacing w:after="0"/>
              <w:rPr>
                <w:sz w:val="20"/>
                <w:szCs w:val="20"/>
                <w:color w:val="auto"/>
              </w:rPr>
            </w:pPr>
            <w:r>
              <w:rPr>
                <w:rFonts w:ascii="Arial" w:cs="Arial" w:eastAsia="Arial" w:hAnsi="Arial"/>
                <w:sz w:val="18"/>
                <w:szCs w:val="18"/>
                <w:color w:val="auto"/>
                <w:w w:val="98"/>
              </w:rPr>
              <w:t>Switzerland</w:t>
            </w:r>
          </w:p>
        </w:tc>
      </w:tr>
      <w:tr>
        <w:trPr>
          <w:trHeight w:val="284"/>
        </w:trPr>
        <w:tc>
          <w:tcPr>
            <w:tcW w:w="6140" w:type="dxa"/>
            <w:vAlign w:val="bottom"/>
          </w:tcPr>
          <w:p>
            <w:pPr>
              <w:spacing w:after="0"/>
              <w:rPr>
                <w:sz w:val="20"/>
                <w:szCs w:val="20"/>
                <w:color w:val="auto"/>
              </w:rPr>
            </w:pPr>
            <w:r>
              <w:rPr>
                <w:rFonts w:ascii="Arial" w:cs="Arial" w:eastAsia="Arial" w:hAnsi="Arial"/>
                <w:sz w:val="18"/>
                <w:szCs w:val="18"/>
                <w:color w:val="auto"/>
              </w:rPr>
              <w:t>ImClone LLC</w:t>
            </w:r>
          </w:p>
        </w:tc>
        <w:tc>
          <w:tcPr>
            <w:tcW w:w="524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57"/>
        </w:trPr>
        <w:tc>
          <w:tcPr>
            <w:tcW w:w="6140" w:type="dxa"/>
            <w:vAlign w:val="bottom"/>
          </w:tcPr>
          <w:p>
            <w:pPr>
              <w:spacing w:after="0"/>
              <w:rPr>
                <w:sz w:val="20"/>
                <w:szCs w:val="20"/>
                <w:color w:val="auto"/>
              </w:rPr>
            </w:pPr>
            <w:r>
              <w:rPr>
                <w:rFonts w:ascii="Arial" w:cs="Arial" w:eastAsia="Arial" w:hAnsi="Arial"/>
                <w:sz w:val="18"/>
                <w:szCs w:val="18"/>
                <w:color w:val="auto"/>
              </w:rPr>
              <w:t>ImClone Systems International GmbH</w:t>
            </w:r>
          </w:p>
        </w:tc>
        <w:tc>
          <w:tcPr>
            <w:tcW w:w="5240" w:type="dxa"/>
            <w:vAlign w:val="bottom"/>
          </w:tcPr>
          <w:p>
            <w:pPr>
              <w:jc w:val="center"/>
              <w:spacing w:after="0"/>
              <w:rPr>
                <w:sz w:val="20"/>
                <w:szCs w:val="20"/>
                <w:color w:val="auto"/>
              </w:rPr>
            </w:pPr>
            <w:r>
              <w:rPr>
                <w:rFonts w:ascii="Arial" w:cs="Arial" w:eastAsia="Arial" w:hAnsi="Arial"/>
                <w:sz w:val="18"/>
                <w:szCs w:val="18"/>
                <w:color w:val="auto"/>
              </w:rPr>
              <w:t>Germany</w:t>
            </w:r>
          </w:p>
        </w:tc>
      </w:tr>
      <w:tr>
        <w:trPr>
          <w:trHeight w:val="284"/>
        </w:trPr>
        <w:tc>
          <w:tcPr>
            <w:tcW w:w="6140" w:type="dxa"/>
            <w:vAlign w:val="bottom"/>
          </w:tcPr>
          <w:p>
            <w:pPr>
              <w:spacing w:after="0"/>
              <w:rPr>
                <w:sz w:val="20"/>
                <w:szCs w:val="20"/>
                <w:color w:val="auto"/>
              </w:rPr>
            </w:pPr>
            <w:r>
              <w:rPr>
                <w:rFonts w:ascii="Arial" w:cs="Arial" w:eastAsia="Arial" w:hAnsi="Arial"/>
                <w:sz w:val="18"/>
                <w:szCs w:val="18"/>
                <w:color w:val="auto"/>
              </w:rPr>
              <w:t>ImClone Systems LLC</w:t>
            </w:r>
          </w:p>
        </w:tc>
        <w:tc>
          <w:tcPr>
            <w:tcW w:w="524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57"/>
        </w:trPr>
        <w:tc>
          <w:tcPr>
            <w:tcW w:w="6140" w:type="dxa"/>
            <w:vAlign w:val="bottom"/>
          </w:tcPr>
          <w:p>
            <w:pPr>
              <w:spacing w:after="0"/>
              <w:rPr>
                <w:sz w:val="20"/>
                <w:szCs w:val="20"/>
                <w:color w:val="auto"/>
              </w:rPr>
            </w:pPr>
            <w:r>
              <w:rPr>
                <w:rFonts w:ascii="Arial" w:cs="Arial" w:eastAsia="Arial" w:hAnsi="Arial"/>
                <w:sz w:val="18"/>
                <w:szCs w:val="18"/>
                <w:color w:val="auto"/>
              </w:rPr>
              <w:t>Immuno-Vet Services (Pty) Ltd. South Africa</w:t>
            </w:r>
          </w:p>
        </w:tc>
        <w:tc>
          <w:tcPr>
            <w:tcW w:w="5240" w:type="dxa"/>
            <w:vAlign w:val="bottom"/>
          </w:tcPr>
          <w:p>
            <w:pPr>
              <w:jc w:val="center"/>
              <w:spacing w:after="0"/>
              <w:rPr>
                <w:sz w:val="20"/>
                <w:szCs w:val="20"/>
                <w:color w:val="auto"/>
              </w:rPr>
            </w:pPr>
            <w:r>
              <w:rPr>
                <w:rFonts w:ascii="Arial" w:cs="Arial" w:eastAsia="Arial" w:hAnsi="Arial"/>
                <w:sz w:val="18"/>
                <w:szCs w:val="18"/>
                <w:color w:val="auto"/>
              </w:rPr>
              <w:t>South Africa</w:t>
            </w:r>
          </w:p>
        </w:tc>
      </w:tr>
      <w:tr>
        <w:trPr>
          <w:trHeight w:val="284"/>
        </w:trPr>
        <w:tc>
          <w:tcPr>
            <w:tcW w:w="6140" w:type="dxa"/>
            <w:vAlign w:val="bottom"/>
          </w:tcPr>
          <w:p>
            <w:pPr>
              <w:spacing w:after="0"/>
              <w:rPr>
                <w:sz w:val="20"/>
                <w:szCs w:val="20"/>
                <w:color w:val="auto"/>
              </w:rPr>
            </w:pPr>
            <w:r>
              <w:rPr>
                <w:rFonts w:ascii="Arial" w:cs="Arial" w:eastAsia="Arial" w:hAnsi="Arial"/>
                <w:sz w:val="18"/>
                <w:szCs w:val="18"/>
                <w:color w:val="auto"/>
              </w:rPr>
              <w:t>IMMUNOVET Services Zambia Ltd.</w:t>
            </w:r>
          </w:p>
        </w:tc>
        <w:tc>
          <w:tcPr>
            <w:tcW w:w="5240" w:type="dxa"/>
            <w:vAlign w:val="bottom"/>
          </w:tcPr>
          <w:p>
            <w:pPr>
              <w:jc w:val="center"/>
              <w:spacing w:after="0"/>
              <w:rPr>
                <w:sz w:val="20"/>
                <w:szCs w:val="20"/>
                <w:color w:val="auto"/>
              </w:rPr>
            </w:pPr>
            <w:r>
              <w:rPr>
                <w:rFonts w:ascii="Arial" w:cs="Arial" w:eastAsia="Arial" w:hAnsi="Arial"/>
                <w:sz w:val="18"/>
                <w:szCs w:val="18"/>
                <w:color w:val="auto"/>
              </w:rPr>
              <w:t>South Africa</w:t>
            </w:r>
          </w:p>
        </w:tc>
      </w:tr>
      <w:tr>
        <w:trPr>
          <w:trHeight w:val="257"/>
        </w:trPr>
        <w:tc>
          <w:tcPr>
            <w:tcW w:w="6140" w:type="dxa"/>
            <w:vAlign w:val="bottom"/>
          </w:tcPr>
          <w:p>
            <w:pPr>
              <w:spacing w:after="0"/>
              <w:rPr>
                <w:sz w:val="20"/>
                <w:szCs w:val="20"/>
                <w:color w:val="auto"/>
              </w:rPr>
            </w:pPr>
            <w:r>
              <w:rPr>
                <w:rFonts w:ascii="Arial" w:cs="Arial" w:eastAsia="Arial" w:hAnsi="Arial"/>
                <w:sz w:val="18"/>
                <w:szCs w:val="18"/>
                <w:color w:val="auto"/>
              </w:rPr>
              <w:t>Irisfarma S.A.</w:t>
            </w:r>
          </w:p>
        </w:tc>
        <w:tc>
          <w:tcPr>
            <w:tcW w:w="5240" w:type="dxa"/>
            <w:vAlign w:val="bottom"/>
          </w:tcPr>
          <w:p>
            <w:pPr>
              <w:jc w:val="center"/>
              <w:spacing w:after="0"/>
              <w:rPr>
                <w:sz w:val="20"/>
                <w:szCs w:val="20"/>
                <w:color w:val="auto"/>
              </w:rPr>
            </w:pPr>
            <w:r>
              <w:rPr>
                <w:rFonts w:ascii="Arial" w:cs="Arial" w:eastAsia="Arial" w:hAnsi="Arial"/>
                <w:sz w:val="18"/>
                <w:szCs w:val="18"/>
                <w:color w:val="auto"/>
              </w:rPr>
              <w:t>Spain</w:t>
            </w:r>
          </w:p>
        </w:tc>
      </w:tr>
      <w:tr>
        <w:trPr>
          <w:trHeight w:val="284"/>
        </w:trPr>
        <w:tc>
          <w:tcPr>
            <w:tcW w:w="6140" w:type="dxa"/>
            <w:vAlign w:val="bottom"/>
          </w:tcPr>
          <w:p>
            <w:pPr>
              <w:spacing w:after="0"/>
              <w:rPr>
                <w:sz w:val="20"/>
                <w:szCs w:val="20"/>
                <w:color w:val="auto"/>
              </w:rPr>
            </w:pPr>
            <w:r>
              <w:rPr>
                <w:rFonts w:ascii="Arial" w:cs="Arial" w:eastAsia="Arial" w:hAnsi="Arial"/>
                <w:sz w:val="18"/>
                <w:szCs w:val="18"/>
                <w:color w:val="auto"/>
              </w:rPr>
              <w:t>Ivy Animal Health, Inc.</w:t>
            </w:r>
          </w:p>
        </w:tc>
        <w:tc>
          <w:tcPr>
            <w:tcW w:w="524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57"/>
        </w:trPr>
        <w:tc>
          <w:tcPr>
            <w:tcW w:w="6140" w:type="dxa"/>
            <w:vAlign w:val="bottom"/>
          </w:tcPr>
          <w:p>
            <w:pPr>
              <w:spacing w:after="0"/>
              <w:rPr>
                <w:sz w:val="20"/>
                <w:szCs w:val="20"/>
                <w:color w:val="auto"/>
              </w:rPr>
            </w:pPr>
            <w:r>
              <w:rPr>
                <w:rFonts w:ascii="Arial" w:cs="Arial" w:eastAsia="Arial" w:hAnsi="Arial"/>
                <w:sz w:val="18"/>
                <w:szCs w:val="18"/>
                <w:color w:val="auto"/>
              </w:rPr>
              <w:t>Kinsale Financial Services</w:t>
            </w:r>
          </w:p>
        </w:tc>
        <w:tc>
          <w:tcPr>
            <w:tcW w:w="5240" w:type="dxa"/>
            <w:vAlign w:val="bottom"/>
          </w:tcPr>
          <w:p>
            <w:pPr>
              <w:jc w:val="center"/>
              <w:spacing w:after="0"/>
              <w:rPr>
                <w:sz w:val="20"/>
                <w:szCs w:val="20"/>
                <w:color w:val="auto"/>
              </w:rPr>
            </w:pPr>
            <w:r>
              <w:rPr>
                <w:rFonts w:ascii="Arial" w:cs="Arial" w:eastAsia="Arial" w:hAnsi="Arial"/>
                <w:sz w:val="18"/>
                <w:szCs w:val="18"/>
                <w:color w:val="auto"/>
              </w:rPr>
              <w:t>Ireland</w:t>
            </w:r>
          </w:p>
        </w:tc>
      </w:tr>
      <w:tr>
        <w:trPr>
          <w:trHeight w:val="284"/>
        </w:trPr>
        <w:tc>
          <w:tcPr>
            <w:tcW w:w="6140" w:type="dxa"/>
            <w:vAlign w:val="bottom"/>
          </w:tcPr>
          <w:p>
            <w:pPr>
              <w:spacing w:after="0"/>
              <w:rPr>
                <w:sz w:val="20"/>
                <w:szCs w:val="20"/>
                <w:color w:val="auto"/>
              </w:rPr>
            </w:pPr>
            <w:r>
              <w:rPr>
                <w:rFonts w:ascii="Arial" w:cs="Arial" w:eastAsia="Arial" w:hAnsi="Arial"/>
                <w:sz w:val="18"/>
                <w:szCs w:val="18"/>
                <w:color w:val="auto"/>
              </w:rPr>
              <w:t>Lilly Asia Ventures Fund I, L.P.</w:t>
            </w:r>
          </w:p>
        </w:tc>
        <w:tc>
          <w:tcPr>
            <w:tcW w:w="5240" w:type="dxa"/>
            <w:vAlign w:val="bottom"/>
          </w:tcPr>
          <w:p>
            <w:pPr>
              <w:jc w:val="center"/>
              <w:spacing w:after="0"/>
              <w:rPr>
                <w:sz w:val="20"/>
                <w:szCs w:val="20"/>
                <w:color w:val="auto"/>
              </w:rPr>
            </w:pPr>
            <w:r>
              <w:rPr>
                <w:rFonts w:ascii="Arial" w:cs="Arial" w:eastAsia="Arial" w:hAnsi="Arial"/>
                <w:sz w:val="18"/>
                <w:szCs w:val="18"/>
                <w:color w:val="auto"/>
                <w:w w:val="99"/>
              </w:rPr>
              <w:t>Cayman Islands</w:t>
            </w:r>
          </w:p>
        </w:tc>
      </w:tr>
      <w:tr>
        <w:trPr>
          <w:trHeight w:val="257"/>
        </w:trPr>
        <w:tc>
          <w:tcPr>
            <w:tcW w:w="6140" w:type="dxa"/>
            <w:vAlign w:val="bottom"/>
          </w:tcPr>
          <w:p>
            <w:pPr>
              <w:spacing w:after="0"/>
              <w:rPr>
                <w:sz w:val="20"/>
                <w:szCs w:val="20"/>
                <w:color w:val="auto"/>
              </w:rPr>
            </w:pPr>
            <w:r>
              <w:rPr>
                <w:rFonts w:ascii="Arial" w:cs="Arial" w:eastAsia="Arial" w:hAnsi="Arial"/>
                <w:sz w:val="18"/>
                <w:szCs w:val="18"/>
                <w:color w:val="auto"/>
              </w:rPr>
              <w:t>Lilly Asia Ventures Fund II, L.P.</w:t>
            </w:r>
          </w:p>
        </w:tc>
        <w:tc>
          <w:tcPr>
            <w:tcW w:w="5240" w:type="dxa"/>
            <w:vAlign w:val="bottom"/>
          </w:tcPr>
          <w:p>
            <w:pPr>
              <w:jc w:val="center"/>
              <w:spacing w:after="0"/>
              <w:rPr>
                <w:sz w:val="20"/>
                <w:szCs w:val="20"/>
                <w:color w:val="auto"/>
              </w:rPr>
            </w:pPr>
            <w:r>
              <w:rPr>
                <w:rFonts w:ascii="Arial" w:cs="Arial" w:eastAsia="Arial" w:hAnsi="Arial"/>
                <w:sz w:val="18"/>
                <w:szCs w:val="18"/>
                <w:color w:val="auto"/>
                <w:w w:val="99"/>
              </w:rPr>
              <w:t>Cayman Islands</w:t>
            </w:r>
          </w:p>
        </w:tc>
      </w:tr>
      <w:tr>
        <w:trPr>
          <w:trHeight w:val="270"/>
        </w:trPr>
        <w:tc>
          <w:tcPr>
            <w:tcW w:w="6140" w:type="dxa"/>
            <w:vAlign w:val="bottom"/>
          </w:tcPr>
          <w:p>
            <w:pPr>
              <w:spacing w:after="0"/>
              <w:rPr>
                <w:sz w:val="20"/>
                <w:szCs w:val="20"/>
                <w:color w:val="auto"/>
              </w:rPr>
            </w:pPr>
            <w:r>
              <w:rPr>
                <w:rFonts w:ascii="Arial" w:cs="Arial" w:eastAsia="Arial" w:hAnsi="Arial"/>
                <w:sz w:val="18"/>
                <w:szCs w:val="18"/>
                <w:color w:val="auto"/>
              </w:rPr>
              <w:t>Lilly Asian Ventures Fund III, L.P.</w:t>
            </w:r>
          </w:p>
        </w:tc>
        <w:tc>
          <w:tcPr>
            <w:tcW w:w="5240" w:type="dxa"/>
            <w:vAlign w:val="bottom"/>
          </w:tcPr>
          <w:p>
            <w:pPr>
              <w:jc w:val="center"/>
              <w:spacing w:after="0"/>
              <w:rPr>
                <w:sz w:val="20"/>
                <w:szCs w:val="20"/>
                <w:color w:val="auto"/>
              </w:rPr>
            </w:pPr>
            <w:r>
              <w:rPr>
                <w:rFonts w:ascii="Arial" w:cs="Arial" w:eastAsia="Arial" w:hAnsi="Arial"/>
                <w:sz w:val="18"/>
                <w:szCs w:val="18"/>
                <w:color w:val="auto"/>
                <w:w w:val="99"/>
              </w:rPr>
              <w:t>Cayman Islands</w:t>
            </w:r>
          </w:p>
        </w:tc>
      </w:tr>
      <w:tr>
        <w:trPr>
          <w:trHeight w:val="284"/>
        </w:trPr>
        <w:tc>
          <w:tcPr>
            <w:tcW w:w="6140" w:type="dxa"/>
            <w:vAlign w:val="bottom"/>
          </w:tcPr>
          <w:p>
            <w:pPr>
              <w:spacing w:after="0"/>
              <w:rPr>
                <w:sz w:val="20"/>
                <w:szCs w:val="20"/>
                <w:color w:val="auto"/>
              </w:rPr>
            </w:pPr>
            <w:r>
              <w:rPr>
                <w:rFonts w:ascii="Arial" w:cs="Arial" w:eastAsia="Arial" w:hAnsi="Arial"/>
                <w:sz w:val="18"/>
                <w:szCs w:val="18"/>
                <w:color w:val="auto"/>
              </w:rPr>
              <w:t>Lilly Cayman Holdings</w:t>
            </w:r>
          </w:p>
        </w:tc>
        <w:tc>
          <w:tcPr>
            <w:tcW w:w="5240" w:type="dxa"/>
            <w:vAlign w:val="bottom"/>
          </w:tcPr>
          <w:p>
            <w:pPr>
              <w:jc w:val="center"/>
              <w:spacing w:after="0"/>
              <w:rPr>
                <w:sz w:val="20"/>
                <w:szCs w:val="20"/>
                <w:color w:val="auto"/>
              </w:rPr>
            </w:pPr>
            <w:r>
              <w:rPr>
                <w:rFonts w:ascii="Arial" w:cs="Arial" w:eastAsia="Arial" w:hAnsi="Arial"/>
                <w:sz w:val="18"/>
                <w:szCs w:val="18"/>
                <w:color w:val="auto"/>
                <w:w w:val="99"/>
              </w:rPr>
              <w:t>Cayman Islands</w:t>
            </w:r>
          </w:p>
        </w:tc>
      </w:tr>
      <w:tr>
        <w:trPr>
          <w:trHeight w:val="257"/>
        </w:trPr>
        <w:tc>
          <w:tcPr>
            <w:tcW w:w="6140" w:type="dxa"/>
            <w:vAlign w:val="bottom"/>
          </w:tcPr>
          <w:p>
            <w:pPr>
              <w:spacing w:after="0"/>
              <w:rPr>
                <w:sz w:val="20"/>
                <w:szCs w:val="20"/>
                <w:color w:val="auto"/>
              </w:rPr>
            </w:pPr>
            <w:r>
              <w:rPr>
                <w:rFonts w:ascii="Arial" w:cs="Arial" w:eastAsia="Arial" w:hAnsi="Arial"/>
                <w:sz w:val="18"/>
                <w:szCs w:val="18"/>
                <w:color w:val="auto"/>
              </w:rPr>
              <w:t>Lilly China Research and Development Co., Ltd.</w:t>
            </w:r>
          </w:p>
        </w:tc>
        <w:tc>
          <w:tcPr>
            <w:tcW w:w="5240" w:type="dxa"/>
            <w:vAlign w:val="bottom"/>
          </w:tcPr>
          <w:p>
            <w:pPr>
              <w:jc w:val="center"/>
              <w:spacing w:after="0"/>
              <w:rPr>
                <w:sz w:val="20"/>
                <w:szCs w:val="20"/>
                <w:color w:val="auto"/>
              </w:rPr>
            </w:pPr>
            <w:r>
              <w:rPr>
                <w:rFonts w:ascii="Arial" w:cs="Arial" w:eastAsia="Arial" w:hAnsi="Arial"/>
                <w:sz w:val="18"/>
                <w:szCs w:val="18"/>
                <w:color w:val="auto"/>
              </w:rPr>
              <w:t>China</w:t>
            </w:r>
          </w:p>
        </w:tc>
      </w:tr>
      <w:tr>
        <w:trPr>
          <w:trHeight w:val="284"/>
        </w:trPr>
        <w:tc>
          <w:tcPr>
            <w:tcW w:w="6140" w:type="dxa"/>
            <w:vAlign w:val="bottom"/>
          </w:tcPr>
          <w:p>
            <w:pPr>
              <w:spacing w:after="0"/>
              <w:rPr>
                <w:sz w:val="20"/>
                <w:szCs w:val="20"/>
                <w:color w:val="auto"/>
              </w:rPr>
            </w:pPr>
            <w:r>
              <w:rPr>
                <w:rFonts w:ascii="Arial" w:cs="Arial" w:eastAsia="Arial" w:hAnsi="Arial"/>
                <w:sz w:val="18"/>
                <w:szCs w:val="18"/>
                <w:color w:val="auto"/>
              </w:rPr>
              <w:t>Lilly del Caribe, Inc.</w:t>
            </w:r>
          </w:p>
        </w:tc>
        <w:tc>
          <w:tcPr>
            <w:tcW w:w="5240" w:type="dxa"/>
            <w:vAlign w:val="bottom"/>
          </w:tcPr>
          <w:p>
            <w:pPr>
              <w:jc w:val="center"/>
              <w:spacing w:after="0"/>
              <w:rPr>
                <w:sz w:val="20"/>
                <w:szCs w:val="20"/>
                <w:color w:val="auto"/>
              </w:rPr>
            </w:pPr>
            <w:r>
              <w:rPr>
                <w:rFonts w:ascii="Arial" w:cs="Arial" w:eastAsia="Arial" w:hAnsi="Arial"/>
                <w:sz w:val="18"/>
                <w:szCs w:val="18"/>
                <w:color w:val="auto"/>
                <w:w w:val="99"/>
              </w:rPr>
              <w:t>Cayman Islands</w:t>
            </w:r>
          </w:p>
        </w:tc>
      </w:tr>
      <w:tr>
        <w:trPr>
          <w:trHeight w:val="257"/>
        </w:trPr>
        <w:tc>
          <w:tcPr>
            <w:tcW w:w="6140" w:type="dxa"/>
            <w:vAlign w:val="bottom"/>
          </w:tcPr>
          <w:p>
            <w:pPr>
              <w:spacing w:after="0"/>
              <w:rPr>
                <w:sz w:val="20"/>
                <w:szCs w:val="20"/>
                <w:color w:val="auto"/>
              </w:rPr>
            </w:pPr>
            <w:r>
              <w:rPr>
                <w:rFonts w:ascii="Arial" w:cs="Arial" w:eastAsia="Arial" w:hAnsi="Arial"/>
                <w:sz w:val="18"/>
                <w:szCs w:val="18"/>
                <w:color w:val="auto"/>
              </w:rPr>
              <w:t>Lilly Deutschland GmbH</w:t>
            </w:r>
          </w:p>
        </w:tc>
        <w:tc>
          <w:tcPr>
            <w:tcW w:w="5240" w:type="dxa"/>
            <w:vAlign w:val="bottom"/>
          </w:tcPr>
          <w:p>
            <w:pPr>
              <w:jc w:val="center"/>
              <w:spacing w:after="0"/>
              <w:rPr>
                <w:sz w:val="20"/>
                <w:szCs w:val="20"/>
                <w:color w:val="auto"/>
              </w:rPr>
            </w:pPr>
            <w:r>
              <w:rPr>
                <w:rFonts w:ascii="Arial" w:cs="Arial" w:eastAsia="Arial" w:hAnsi="Arial"/>
                <w:sz w:val="18"/>
                <w:szCs w:val="18"/>
                <w:color w:val="auto"/>
              </w:rPr>
              <w:t>Germany</w:t>
            </w:r>
          </w:p>
        </w:tc>
      </w:tr>
      <w:tr>
        <w:trPr>
          <w:trHeight w:val="284"/>
        </w:trPr>
        <w:tc>
          <w:tcPr>
            <w:tcW w:w="6140" w:type="dxa"/>
            <w:vAlign w:val="bottom"/>
          </w:tcPr>
          <w:p>
            <w:pPr>
              <w:spacing w:after="0"/>
              <w:rPr>
                <w:sz w:val="20"/>
                <w:szCs w:val="20"/>
                <w:color w:val="auto"/>
              </w:rPr>
            </w:pPr>
            <w:r>
              <w:rPr>
                <w:rFonts w:ascii="Arial" w:cs="Arial" w:eastAsia="Arial" w:hAnsi="Arial"/>
                <w:sz w:val="18"/>
                <w:szCs w:val="18"/>
                <w:color w:val="auto"/>
              </w:rPr>
              <w:t>Lilly France S.A.S.</w:t>
            </w:r>
          </w:p>
        </w:tc>
        <w:tc>
          <w:tcPr>
            <w:tcW w:w="5240" w:type="dxa"/>
            <w:vAlign w:val="bottom"/>
          </w:tcPr>
          <w:p>
            <w:pPr>
              <w:jc w:val="center"/>
              <w:spacing w:after="0"/>
              <w:rPr>
                <w:sz w:val="20"/>
                <w:szCs w:val="20"/>
                <w:color w:val="auto"/>
              </w:rPr>
            </w:pPr>
            <w:r>
              <w:rPr>
                <w:rFonts w:ascii="Arial" w:cs="Arial" w:eastAsia="Arial" w:hAnsi="Arial"/>
                <w:sz w:val="18"/>
                <w:szCs w:val="18"/>
                <w:color w:val="auto"/>
                <w:w w:val="99"/>
              </w:rPr>
              <w:t>France</w:t>
            </w:r>
          </w:p>
        </w:tc>
      </w:tr>
      <w:tr>
        <w:trPr>
          <w:trHeight w:val="257"/>
        </w:trPr>
        <w:tc>
          <w:tcPr>
            <w:tcW w:w="6140" w:type="dxa"/>
            <w:vAlign w:val="bottom"/>
          </w:tcPr>
          <w:p>
            <w:pPr>
              <w:spacing w:after="0"/>
              <w:rPr>
                <w:sz w:val="20"/>
                <w:szCs w:val="20"/>
                <w:color w:val="auto"/>
              </w:rPr>
            </w:pPr>
            <w:r>
              <w:rPr>
                <w:rFonts w:ascii="Arial" w:cs="Arial" w:eastAsia="Arial" w:hAnsi="Arial"/>
                <w:sz w:val="18"/>
                <w:szCs w:val="18"/>
                <w:color w:val="auto"/>
              </w:rPr>
              <w:t>Lilly Global Holdings B.V.</w:t>
            </w:r>
          </w:p>
        </w:tc>
        <w:tc>
          <w:tcPr>
            <w:tcW w:w="5240" w:type="dxa"/>
            <w:vAlign w:val="bottom"/>
          </w:tcPr>
          <w:p>
            <w:pPr>
              <w:jc w:val="center"/>
              <w:spacing w:after="0"/>
              <w:rPr>
                <w:sz w:val="20"/>
                <w:szCs w:val="20"/>
                <w:color w:val="auto"/>
              </w:rPr>
            </w:pPr>
            <w:r>
              <w:rPr>
                <w:rFonts w:ascii="Arial" w:cs="Arial" w:eastAsia="Arial" w:hAnsi="Arial"/>
                <w:sz w:val="18"/>
                <w:szCs w:val="18"/>
                <w:color w:val="auto"/>
                <w:w w:val="98"/>
              </w:rPr>
              <w:t>Netherlands</w:t>
            </w:r>
          </w:p>
        </w:tc>
      </w:tr>
      <w:tr>
        <w:trPr>
          <w:trHeight w:val="284"/>
        </w:trPr>
        <w:tc>
          <w:tcPr>
            <w:tcW w:w="6140" w:type="dxa"/>
            <w:vAlign w:val="bottom"/>
          </w:tcPr>
          <w:p>
            <w:pPr>
              <w:spacing w:after="0"/>
              <w:rPr>
                <w:sz w:val="20"/>
                <w:szCs w:val="20"/>
                <w:color w:val="auto"/>
              </w:rPr>
            </w:pPr>
            <w:r>
              <w:rPr>
                <w:rFonts w:ascii="Arial" w:cs="Arial" w:eastAsia="Arial" w:hAnsi="Arial"/>
                <w:sz w:val="18"/>
                <w:szCs w:val="18"/>
                <w:color w:val="auto"/>
              </w:rPr>
              <w:t>Lilly Global Nederland Holdings B.V.</w:t>
            </w:r>
          </w:p>
        </w:tc>
        <w:tc>
          <w:tcPr>
            <w:tcW w:w="5240" w:type="dxa"/>
            <w:vAlign w:val="bottom"/>
          </w:tcPr>
          <w:p>
            <w:pPr>
              <w:jc w:val="center"/>
              <w:spacing w:after="0"/>
              <w:rPr>
                <w:sz w:val="20"/>
                <w:szCs w:val="20"/>
                <w:color w:val="auto"/>
              </w:rPr>
            </w:pPr>
            <w:r>
              <w:rPr>
                <w:rFonts w:ascii="Arial" w:cs="Arial" w:eastAsia="Arial" w:hAnsi="Arial"/>
                <w:sz w:val="18"/>
                <w:szCs w:val="18"/>
                <w:color w:val="auto"/>
                <w:w w:val="98"/>
              </w:rPr>
              <w:t>Netherlands</w:t>
            </w:r>
          </w:p>
        </w:tc>
      </w:tr>
      <w:tr>
        <w:trPr>
          <w:trHeight w:val="257"/>
        </w:trPr>
        <w:tc>
          <w:tcPr>
            <w:tcW w:w="6140" w:type="dxa"/>
            <w:vAlign w:val="bottom"/>
          </w:tcPr>
          <w:p>
            <w:pPr>
              <w:spacing w:after="0"/>
              <w:rPr>
                <w:sz w:val="20"/>
                <w:szCs w:val="20"/>
                <w:color w:val="auto"/>
              </w:rPr>
            </w:pPr>
            <w:r>
              <w:rPr>
                <w:rFonts w:ascii="Arial" w:cs="Arial" w:eastAsia="Arial" w:hAnsi="Arial"/>
                <w:sz w:val="18"/>
                <w:szCs w:val="18"/>
                <w:color w:val="auto"/>
              </w:rPr>
              <w:t>Lilly Global Services, Inc.</w:t>
            </w:r>
          </w:p>
        </w:tc>
        <w:tc>
          <w:tcPr>
            <w:tcW w:w="5240" w:type="dxa"/>
            <w:vAlign w:val="bottom"/>
          </w:tcPr>
          <w:p>
            <w:pPr>
              <w:jc w:val="center"/>
              <w:spacing w:after="0"/>
              <w:rPr>
                <w:sz w:val="20"/>
                <w:szCs w:val="20"/>
                <w:color w:val="auto"/>
              </w:rPr>
            </w:pPr>
            <w:r>
              <w:rPr>
                <w:rFonts w:ascii="Arial" w:cs="Arial" w:eastAsia="Arial" w:hAnsi="Arial"/>
                <w:sz w:val="18"/>
                <w:szCs w:val="18"/>
                <w:color w:val="auto"/>
              </w:rPr>
              <w:t>Indiana</w:t>
            </w:r>
          </w:p>
        </w:tc>
      </w:tr>
      <w:tr>
        <w:trPr>
          <w:trHeight w:val="284"/>
        </w:trPr>
        <w:tc>
          <w:tcPr>
            <w:tcW w:w="6140" w:type="dxa"/>
            <w:vAlign w:val="bottom"/>
          </w:tcPr>
          <w:p>
            <w:pPr>
              <w:spacing w:after="0"/>
              <w:rPr>
                <w:sz w:val="20"/>
                <w:szCs w:val="20"/>
                <w:color w:val="auto"/>
              </w:rPr>
            </w:pPr>
            <w:r>
              <w:rPr>
                <w:rFonts w:ascii="Arial" w:cs="Arial" w:eastAsia="Arial" w:hAnsi="Arial"/>
                <w:sz w:val="18"/>
                <w:szCs w:val="18"/>
                <w:color w:val="auto"/>
              </w:rPr>
              <w:t>Lilly GmbH</w:t>
            </w:r>
          </w:p>
        </w:tc>
        <w:tc>
          <w:tcPr>
            <w:tcW w:w="5240" w:type="dxa"/>
            <w:vAlign w:val="bottom"/>
          </w:tcPr>
          <w:p>
            <w:pPr>
              <w:jc w:val="center"/>
              <w:spacing w:after="0"/>
              <w:rPr>
                <w:sz w:val="20"/>
                <w:szCs w:val="20"/>
                <w:color w:val="auto"/>
              </w:rPr>
            </w:pPr>
            <w:r>
              <w:rPr>
                <w:rFonts w:ascii="Arial" w:cs="Arial" w:eastAsia="Arial" w:hAnsi="Arial"/>
                <w:sz w:val="18"/>
                <w:szCs w:val="18"/>
                <w:color w:val="auto"/>
              </w:rPr>
              <w:t>Germany</w:t>
            </w:r>
          </w:p>
        </w:tc>
      </w:tr>
      <w:tr>
        <w:trPr>
          <w:trHeight w:val="257"/>
        </w:trPr>
        <w:tc>
          <w:tcPr>
            <w:tcW w:w="6140" w:type="dxa"/>
            <w:vAlign w:val="bottom"/>
          </w:tcPr>
          <w:p>
            <w:pPr>
              <w:spacing w:after="0"/>
              <w:rPr>
                <w:sz w:val="20"/>
                <w:szCs w:val="20"/>
                <w:color w:val="auto"/>
              </w:rPr>
            </w:pPr>
            <w:r>
              <w:rPr>
                <w:rFonts w:ascii="Arial" w:cs="Arial" w:eastAsia="Arial" w:hAnsi="Arial"/>
                <w:sz w:val="18"/>
                <w:szCs w:val="18"/>
                <w:color w:val="auto"/>
              </w:rPr>
              <w:t>Lilly Holdings B.V.</w:t>
            </w:r>
          </w:p>
        </w:tc>
        <w:tc>
          <w:tcPr>
            <w:tcW w:w="5240" w:type="dxa"/>
            <w:vAlign w:val="bottom"/>
          </w:tcPr>
          <w:p>
            <w:pPr>
              <w:jc w:val="center"/>
              <w:spacing w:after="0"/>
              <w:rPr>
                <w:sz w:val="20"/>
                <w:szCs w:val="20"/>
                <w:color w:val="auto"/>
              </w:rPr>
            </w:pPr>
            <w:r>
              <w:rPr>
                <w:rFonts w:ascii="Arial" w:cs="Arial" w:eastAsia="Arial" w:hAnsi="Arial"/>
                <w:sz w:val="18"/>
                <w:szCs w:val="18"/>
                <w:color w:val="auto"/>
                <w:w w:val="98"/>
              </w:rPr>
              <w:t>Netherlands</w:t>
            </w:r>
          </w:p>
        </w:tc>
      </w:tr>
      <w:tr>
        <w:trPr>
          <w:trHeight w:val="284"/>
        </w:trPr>
        <w:tc>
          <w:tcPr>
            <w:tcW w:w="6140" w:type="dxa"/>
            <w:vAlign w:val="bottom"/>
          </w:tcPr>
          <w:p>
            <w:pPr>
              <w:spacing w:after="0"/>
              <w:rPr>
                <w:sz w:val="20"/>
                <w:szCs w:val="20"/>
                <w:color w:val="auto"/>
              </w:rPr>
            </w:pPr>
            <w:r>
              <w:rPr>
                <w:rFonts w:ascii="Arial" w:cs="Arial" w:eastAsia="Arial" w:hAnsi="Arial"/>
                <w:sz w:val="18"/>
                <w:szCs w:val="18"/>
                <w:color w:val="auto"/>
              </w:rPr>
              <w:t>Lilly Holdings GmbH</w:t>
            </w:r>
          </w:p>
        </w:tc>
        <w:tc>
          <w:tcPr>
            <w:tcW w:w="5240" w:type="dxa"/>
            <w:vAlign w:val="bottom"/>
          </w:tcPr>
          <w:p>
            <w:pPr>
              <w:jc w:val="center"/>
              <w:spacing w:after="0"/>
              <w:rPr>
                <w:sz w:val="20"/>
                <w:szCs w:val="20"/>
                <w:color w:val="auto"/>
              </w:rPr>
            </w:pPr>
            <w:r>
              <w:rPr>
                <w:rFonts w:ascii="Arial" w:cs="Arial" w:eastAsia="Arial" w:hAnsi="Arial"/>
                <w:sz w:val="18"/>
                <w:szCs w:val="18"/>
                <w:color w:val="auto"/>
                <w:w w:val="99"/>
              </w:rPr>
              <w:t>Austria</w:t>
            </w:r>
          </w:p>
        </w:tc>
      </w:tr>
      <w:tr>
        <w:trPr>
          <w:trHeight w:val="257"/>
        </w:trPr>
        <w:tc>
          <w:tcPr>
            <w:tcW w:w="6140" w:type="dxa"/>
            <w:vAlign w:val="bottom"/>
          </w:tcPr>
          <w:p>
            <w:pPr>
              <w:spacing w:after="0"/>
              <w:rPr>
                <w:sz w:val="20"/>
                <w:szCs w:val="20"/>
                <w:color w:val="auto"/>
              </w:rPr>
            </w:pPr>
            <w:r>
              <w:rPr>
                <w:rFonts w:ascii="Arial" w:cs="Arial" w:eastAsia="Arial" w:hAnsi="Arial"/>
                <w:sz w:val="18"/>
                <w:szCs w:val="18"/>
                <w:color w:val="auto"/>
              </w:rPr>
              <w:t>Lilly Hungaria KFT</w:t>
            </w:r>
          </w:p>
        </w:tc>
        <w:tc>
          <w:tcPr>
            <w:tcW w:w="5240" w:type="dxa"/>
            <w:vAlign w:val="bottom"/>
          </w:tcPr>
          <w:p>
            <w:pPr>
              <w:jc w:val="center"/>
              <w:spacing w:after="0"/>
              <w:rPr>
                <w:sz w:val="20"/>
                <w:szCs w:val="20"/>
                <w:color w:val="auto"/>
              </w:rPr>
            </w:pPr>
            <w:r>
              <w:rPr>
                <w:rFonts w:ascii="Arial" w:cs="Arial" w:eastAsia="Arial" w:hAnsi="Arial"/>
                <w:sz w:val="18"/>
                <w:szCs w:val="18"/>
                <w:color w:val="auto"/>
                <w:w w:val="99"/>
              </w:rPr>
              <w:t>Hungary</w:t>
            </w:r>
          </w:p>
        </w:tc>
      </w:tr>
      <w:tr>
        <w:trPr>
          <w:trHeight w:val="284"/>
        </w:trPr>
        <w:tc>
          <w:tcPr>
            <w:tcW w:w="6140" w:type="dxa"/>
            <w:vAlign w:val="bottom"/>
          </w:tcPr>
          <w:p>
            <w:pPr>
              <w:spacing w:after="0"/>
              <w:rPr>
                <w:sz w:val="20"/>
                <w:szCs w:val="20"/>
                <w:color w:val="auto"/>
              </w:rPr>
            </w:pPr>
            <w:r>
              <w:rPr>
                <w:rFonts w:ascii="Arial" w:cs="Arial" w:eastAsia="Arial" w:hAnsi="Arial"/>
                <w:sz w:val="18"/>
                <w:szCs w:val="18"/>
                <w:color w:val="auto"/>
              </w:rPr>
              <w:t>Lilly ilaç ticaret limited şirketi</w:t>
            </w:r>
          </w:p>
        </w:tc>
        <w:tc>
          <w:tcPr>
            <w:tcW w:w="5240" w:type="dxa"/>
            <w:vAlign w:val="bottom"/>
          </w:tcPr>
          <w:p>
            <w:pPr>
              <w:jc w:val="center"/>
              <w:spacing w:after="0"/>
              <w:rPr>
                <w:sz w:val="20"/>
                <w:szCs w:val="20"/>
                <w:color w:val="auto"/>
              </w:rPr>
            </w:pPr>
            <w:r>
              <w:rPr>
                <w:rFonts w:ascii="Arial" w:cs="Arial" w:eastAsia="Arial" w:hAnsi="Arial"/>
                <w:sz w:val="18"/>
                <w:szCs w:val="18"/>
                <w:color w:val="auto"/>
              </w:rPr>
              <w:t>Turkey</w:t>
            </w:r>
          </w:p>
        </w:tc>
      </w:tr>
      <w:tr>
        <w:trPr>
          <w:trHeight w:val="270"/>
        </w:trPr>
        <w:tc>
          <w:tcPr>
            <w:tcW w:w="6140" w:type="dxa"/>
            <w:vAlign w:val="bottom"/>
          </w:tcPr>
          <w:p>
            <w:pPr>
              <w:spacing w:after="0"/>
              <w:rPr>
                <w:sz w:val="20"/>
                <w:szCs w:val="20"/>
                <w:color w:val="auto"/>
              </w:rPr>
            </w:pPr>
            <w:r>
              <w:rPr>
                <w:rFonts w:ascii="Arial" w:cs="Arial" w:eastAsia="Arial" w:hAnsi="Arial"/>
                <w:sz w:val="18"/>
                <w:szCs w:val="18"/>
                <w:color w:val="auto"/>
              </w:rPr>
              <w:t>Lilly Industries Holdings B.V.</w:t>
            </w:r>
          </w:p>
        </w:tc>
        <w:tc>
          <w:tcPr>
            <w:tcW w:w="5240" w:type="dxa"/>
            <w:vAlign w:val="bottom"/>
          </w:tcPr>
          <w:p>
            <w:pPr>
              <w:jc w:val="center"/>
              <w:spacing w:after="0"/>
              <w:rPr>
                <w:sz w:val="20"/>
                <w:szCs w:val="20"/>
                <w:color w:val="auto"/>
              </w:rPr>
            </w:pPr>
            <w:r>
              <w:rPr>
                <w:rFonts w:ascii="Arial" w:cs="Arial" w:eastAsia="Arial" w:hAnsi="Arial"/>
                <w:sz w:val="18"/>
                <w:szCs w:val="18"/>
                <w:color w:val="auto"/>
                <w:w w:val="98"/>
              </w:rPr>
              <w:t>Netherlands</w:t>
            </w:r>
          </w:p>
        </w:tc>
      </w:tr>
      <w:tr>
        <w:trPr>
          <w:trHeight w:val="270"/>
        </w:trPr>
        <w:tc>
          <w:tcPr>
            <w:tcW w:w="6140" w:type="dxa"/>
            <w:vAlign w:val="bottom"/>
          </w:tcPr>
          <w:p>
            <w:pPr>
              <w:spacing w:after="0"/>
              <w:rPr>
                <w:sz w:val="20"/>
                <w:szCs w:val="20"/>
                <w:color w:val="auto"/>
              </w:rPr>
            </w:pPr>
            <w:r>
              <w:rPr>
                <w:rFonts w:ascii="Arial" w:cs="Arial" w:eastAsia="Arial" w:hAnsi="Arial"/>
                <w:sz w:val="18"/>
                <w:szCs w:val="18"/>
                <w:color w:val="auto"/>
              </w:rPr>
              <w:t>Lilly Korea Ltd.</w:t>
            </w:r>
          </w:p>
        </w:tc>
        <w:tc>
          <w:tcPr>
            <w:tcW w:w="5240" w:type="dxa"/>
            <w:vAlign w:val="bottom"/>
          </w:tcPr>
          <w:p>
            <w:pPr>
              <w:jc w:val="center"/>
              <w:spacing w:after="0"/>
              <w:rPr>
                <w:sz w:val="20"/>
                <w:szCs w:val="20"/>
                <w:color w:val="auto"/>
              </w:rPr>
            </w:pPr>
            <w:r>
              <w:rPr>
                <w:rFonts w:ascii="Arial" w:cs="Arial" w:eastAsia="Arial" w:hAnsi="Arial"/>
                <w:sz w:val="18"/>
                <w:szCs w:val="18"/>
                <w:color w:val="auto"/>
                <w:w w:val="99"/>
              </w:rPr>
              <w:t>Korea</w:t>
            </w:r>
          </w:p>
        </w:tc>
      </w:tr>
    </w:tbl>
    <w:p>
      <w:pPr>
        <w:sectPr>
          <w:pgSz w:w="11900" w:h="16838" w:orient="portrait"/>
          <w:cols w:equalWidth="0" w:num="1">
            <w:col w:w="11380"/>
          </w:cols>
          <w:pgMar w:left="280" w:top="745" w:right="239" w:bottom="1440" w:gutter="0" w:footer="0" w:header="0"/>
        </w:sectPr>
      </w:pPr>
    </w:p>
    <w:bookmarkStart w:id="134" w:name="page135"/>
    <w:bookmarkEnd w:id="13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120" w:type="dxa"/>
            <w:vAlign w:val="bottom"/>
          </w:tcPr>
          <w:p>
            <w:pPr>
              <w:spacing w:after="0"/>
              <w:rPr>
                <w:sz w:val="14"/>
                <w:szCs w:val="14"/>
                <w:color w:val="auto"/>
              </w:rPr>
            </w:pPr>
          </w:p>
        </w:tc>
        <w:tc>
          <w:tcPr>
            <w:tcW w:w="5220" w:type="dxa"/>
            <w:vAlign w:val="bottom"/>
          </w:tcPr>
          <w:p>
            <w:pPr>
              <w:jc w:val="center"/>
              <w:spacing w:after="0"/>
              <w:rPr>
                <w:sz w:val="20"/>
                <w:szCs w:val="20"/>
                <w:color w:val="auto"/>
              </w:rPr>
            </w:pPr>
            <w:r>
              <w:rPr>
                <w:rFonts w:ascii="Arial" w:cs="Arial" w:eastAsia="Arial" w:hAnsi="Arial"/>
                <w:sz w:val="14"/>
                <w:szCs w:val="14"/>
                <w:b w:val="1"/>
                <w:bCs w:val="1"/>
                <w:color w:val="auto"/>
              </w:rPr>
              <w:t>State or Jurisdiction</w:t>
            </w:r>
          </w:p>
        </w:tc>
      </w:tr>
      <w:tr>
        <w:trPr>
          <w:trHeight w:val="162"/>
        </w:trPr>
        <w:tc>
          <w:tcPr>
            <w:tcW w:w="6120" w:type="dxa"/>
            <w:vAlign w:val="bottom"/>
          </w:tcPr>
          <w:p>
            <w:pPr>
              <w:spacing w:after="0"/>
              <w:rPr>
                <w:sz w:val="14"/>
                <w:szCs w:val="14"/>
                <w:color w:val="auto"/>
              </w:rPr>
            </w:pPr>
          </w:p>
        </w:tc>
        <w:tc>
          <w:tcPr>
            <w:tcW w:w="5220" w:type="dxa"/>
            <w:vAlign w:val="bottom"/>
          </w:tcPr>
          <w:p>
            <w:pPr>
              <w:jc w:val="center"/>
              <w:spacing w:after="0"/>
              <w:rPr>
                <w:sz w:val="20"/>
                <w:szCs w:val="20"/>
                <w:color w:val="auto"/>
              </w:rPr>
            </w:pPr>
            <w:r>
              <w:rPr>
                <w:rFonts w:ascii="Arial" w:cs="Arial" w:eastAsia="Arial" w:hAnsi="Arial"/>
                <w:sz w:val="14"/>
                <w:szCs w:val="14"/>
                <w:b w:val="1"/>
                <w:bCs w:val="1"/>
                <w:color w:val="auto"/>
              </w:rPr>
              <w:t>of Incorporation</w:t>
            </w:r>
          </w:p>
        </w:tc>
      </w:tr>
      <w:tr>
        <w:trPr>
          <w:trHeight w:val="203"/>
        </w:trPr>
        <w:tc>
          <w:tcPr>
            <w:tcW w:w="6120" w:type="dxa"/>
            <w:vAlign w:val="bottom"/>
          </w:tcPr>
          <w:p>
            <w:pPr>
              <w:spacing w:after="0"/>
              <w:rPr>
                <w:sz w:val="17"/>
                <w:szCs w:val="17"/>
                <w:color w:val="auto"/>
              </w:rPr>
            </w:pPr>
          </w:p>
        </w:tc>
        <w:tc>
          <w:tcPr>
            <w:tcW w:w="5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or Organization</w:t>
            </w:r>
          </w:p>
        </w:tc>
      </w:tr>
      <w:tr>
        <w:trPr>
          <w:trHeight w:val="363"/>
        </w:trPr>
        <w:tc>
          <w:tcPr>
            <w:tcW w:w="6120" w:type="dxa"/>
            <w:vAlign w:val="bottom"/>
          </w:tcPr>
          <w:p>
            <w:pPr>
              <w:spacing w:after="0"/>
              <w:rPr>
                <w:sz w:val="20"/>
                <w:szCs w:val="20"/>
                <w:color w:val="auto"/>
              </w:rPr>
            </w:pPr>
            <w:r>
              <w:rPr>
                <w:rFonts w:ascii="Arial" w:cs="Arial" w:eastAsia="Arial" w:hAnsi="Arial"/>
                <w:sz w:val="18"/>
                <w:szCs w:val="18"/>
                <w:color w:val="auto"/>
              </w:rPr>
              <w:t>Lilly Nederland Holding B.V.</w:t>
            </w:r>
          </w:p>
        </w:tc>
        <w:tc>
          <w:tcPr>
            <w:tcW w:w="5220" w:type="dxa"/>
            <w:vAlign w:val="bottom"/>
          </w:tcPr>
          <w:p>
            <w:pPr>
              <w:jc w:val="center"/>
              <w:spacing w:after="0"/>
              <w:rPr>
                <w:sz w:val="20"/>
                <w:szCs w:val="20"/>
                <w:color w:val="auto"/>
              </w:rPr>
            </w:pPr>
            <w:r>
              <w:rPr>
                <w:rFonts w:ascii="Arial" w:cs="Arial" w:eastAsia="Arial" w:hAnsi="Arial"/>
                <w:sz w:val="18"/>
                <w:szCs w:val="18"/>
                <w:color w:val="auto"/>
              </w:rPr>
              <w:t>Netherlands</w:t>
            </w:r>
          </w:p>
        </w:tc>
      </w:tr>
      <w:tr>
        <w:trPr>
          <w:trHeight w:val="270"/>
        </w:trPr>
        <w:tc>
          <w:tcPr>
            <w:tcW w:w="6120" w:type="dxa"/>
            <w:vAlign w:val="bottom"/>
          </w:tcPr>
          <w:p>
            <w:pPr>
              <w:spacing w:after="0"/>
              <w:rPr>
                <w:sz w:val="20"/>
                <w:szCs w:val="20"/>
                <w:color w:val="auto"/>
              </w:rPr>
            </w:pPr>
            <w:r>
              <w:rPr>
                <w:rFonts w:ascii="Arial" w:cs="Arial" w:eastAsia="Arial" w:hAnsi="Arial"/>
                <w:sz w:val="18"/>
                <w:szCs w:val="18"/>
                <w:color w:val="auto"/>
              </w:rPr>
              <w:t>Lilly Pharma Fertigung &amp; Distribution GmbH</w:t>
            </w:r>
          </w:p>
        </w:tc>
        <w:tc>
          <w:tcPr>
            <w:tcW w:w="5220" w:type="dxa"/>
            <w:vAlign w:val="bottom"/>
          </w:tcPr>
          <w:p>
            <w:pPr>
              <w:jc w:val="center"/>
              <w:spacing w:after="0"/>
              <w:rPr>
                <w:sz w:val="20"/>
                <w:szCs w:val="20"/>
                <w:color w:val="auto"/>
              </w:rPr>
            </w:pPr>
            <w:r>
              <w:rPr>
                <w:rFonts w:ascii="Arial" w:cs="Arial" w:eastAsia="Arial" w:hAnsi="Arial"/>
                <w:sz w:val="18"/>
                <w:szCs w:val="18"/>
                <w:color w:val="auto"/>
                <w:w w:val="99"/>
              </w:rPr>
              <w:t>Germany</w:t>
            </w:r>
          </w:p>
        </w:tc>
      </w:tr>
      <w:tr>
        <w:trPr>
          <w:trHeight w:val="270"/>
        </w:trPr>
        <w:tc>
          <w:tcPr>
            <w:tcW w:w="6120" w:type="dxa"/>
            <w:vAlign w:val="bottom"/>
          </w:tcPr>
          <w:p>
            <w:pPr>
              <w:spacing w:after="0"/>
              <w:rPr>
                <w:sz w:val="20"/>
                <w:szCs w:val="20"/>
                <w:color w:val="auto"/>
              </w:rPr>
            </w:pPr>
            <w:r>
              <w:rPr>
                <w:rFonts w:ascii="Arial" w:cs="Arial" w:eastAsia="Arial" w:hAnsi="Arial"/>
                <w:sz w:val="18"/>
                <w:szCs w:val="18"/>
                <w:color w:val="auto"/>
              </w:rPr>
              <w:t>Lilly Pharma Holding GmbH</w:t>
            </w:r>
          </w:p>
        </w:tc>
        <w:tc>
          <w:tcPr>
            <w:tcW w:w="5220" w:type="dxa"/>
            <w:vAlign w:val="bottom"/>
          </w:tcPr>
          <w:p>
            <w:pPr>
              <w:jc w:val="center"/>
              <w:spacing w:after="0"/>
              <w:rPr>
                <w:sz w:val="20"/>
                <w:szCs w:val="20"/>
                <w:color w:val="auto"/>
              </w:rPr>
            </w:pPr>
            <w:r>
              <w:rPr>
                <w:rFonts w:ascii="Arial" w:cs="Arial" w:eastAsia="Arial" w:hAnsi="Arial"/>
                <w:sz w:val="18"/>
                <w:szCs w:val="18"/>
                <w:color w:val="auto"/>
                <w:w w:val="99"/>
              </w:rPr>
              <w:t>Germany</w:t>
            </w:r>
          </w:p>
        </w:tc>
      </w:tr>
      <w:tr>
        <w:trPr>
          <w:trHeight w:val="270"/>
        </w:trPr>
        <w:tc>
          <w:tcPr>
            <w:tcW w:w="6120" w:type="dxa"/>
            <w:vAlign w:val="bottom"/>
          </w:tcPr>
          <w:p>
            <w:pPr>
              <w:spacing w:after="0"/>
              <w:rPr>
                <w:sz w:val="20"/>
                <w:szCs w:val="20"/>
                <w:color w:val="auto"/>
              </w:rPr>
            </w:pPr>
            <w:r>
              <w:rPr>
                <w:rFonts w:ascii="Arial" w:cs="Arial" w:eastAsia="Arial" w:hAnsi="Arial"/>
                <w:sz w:val="18"/>
                <w:szCs w:val="18"/>
                <w:color w:val="auto"/>
              </w:rPr>
              <w:t>Lilly Pharma Ltd.</w:t>
            </w:r>
          </w:p>
        </w:tc>
        <w:tc>
          <w:tcPr>
            <w:tcW w:w="5220" w:type="dxa"/>
            <w:vAlign w:val="bottom"/>
          </w:tcPr>
          <w:p>
            <w:pPr>
              <w:jc w:val="center"/>
              <w:spacing w:after="0"/>
              <w:rPr>
                <w:sz w:val="20"/>
                <w:szCs w:val="20"/>
                <w:color w:val="auto"/>
              </w:rPr>
            </w:pPr>
            <w:r>
              <w:rPr>
                <w:rFonts w:ascii="Arial" w:cs="Arial" w:eastAsia="Arial" w:hAnsi="Arial"/>
                <w:sz w:val="18"/>
                <w:szCs w:val="18"/>
                <w:color w:val="auto"/>
                <w:w w:val="98"/>
              </w:rPr>
              <w:t>Russia</w:t>
            </w:r>
          </w:p>
        </w:tc>
      </w:tr>
      <w:tr>
        <w:trPr>
          <w:trHeight w:val="270"/>
        </w:trPr>
        <w:tc>
          <w:tcPr>
            <w:tcW w:w="6120" w:type="dxa"/>
            <w:vAlign w:val="bottom"/>
          </w:tcPr>
          <w:p>
            <w:pPr>
              <w:spacing w:after="0"/>
              <w:rPr>
                <w:sz w:val="20"/>
                <w:szCs w:val="20"/>
                <w:color w:val="auto"/>
              </w:rPr>
            </w:pPr>
            <w:r>
              <w:rPr>
                <w:rFonts w:ascii="Arial" w:cs="Arial" w:eastAsia="Arial" w:hAnsi="Arial"/>
                <w:sz w:val="18"/>
                <w:szCs w:val="18"/>
                <w:color w:val="auto"/>
              </w:rPr>
              <w:t>Lilly Pharma Produktion GmbH &amp; Co. KG</w:t>
            </w:r>
          </w:p>
        </w:tc>
        <w:tc>
          <w:tcPr>
            <w:tcW w:w="5220" w:type="dxa"/>
            <w:vAlign w:val="bottom"/>
          </w:tcPr>
          <w:p>
            <w:pPr>
              <w:jc w:val="center"/>
              <w:spacing w:after="0"/>
              <w:rPr>
                <w:sz w:val="20"/>
                <w:szCs w:val="20"/>
                <w:color w:val="auto"/>
              </w:rPr>
            </w:pPr>
            <w:r>
              <w:rPr>
                <w:rFonts w:ascii="Arial" w:cs="Arial" w:eastAsia="Arial" w:hAnsi="Arial"/>
                <w:sz w:val="18"/>
                <w:szCs w:val="18"/>
                <w:color w:val="auto"/>
                <w:w w:val="99"/>
              </w:rPr>
              <w:t>Germany</w:t>
            </w:r>
          </w:p>
        </w:tc>
      </w:tr>
      <w:tr>
        <w:trPr>
          <w:trHeight w:val="270"/>
        </w:trPr>
        <w:tc>
          <w:tcPr>
            <w:tcW w:w="6120" w:type="dxa"/>
            <w:vAlign w:val="bottom"/>
          </w:tcPr>
          <w:p>
            <w:pPr>
              <w:spacing w:after="0"/>
              <w:rPr>
                <w:sz w:val="20"/>
                <w:szCs w:val="20"/>
                <w:color w:val="auto"/>
              </w:rPr>
            </w:pPr>
            <w:r>
              <w:rPr>
                <w:rFonts w:ascii="Arial" w:cs="Arial" w:eastAsia="Arial" w:hAnsi="Arial"/>
                <w:sz w:val="18"/>
                <w:szCs w:val="18"/>
                <w:color w:val="auto"/>
              </w:rPr>
              <w:t>Lilly Portugal - Produtos Farmaceuticos, Lda.</w:t>
            </w:r>
          </w:p>
        </w:tc>
        <w:tc>
          <w:tcPr>
            <w:tcW w:w="5220" w:type="dxa"/>
            <w:vAlign w:val="bottom"/>
          </w:tcPr>
          <w:p>
            <w:pPr>
              <w:jc w:val="center"/>
              <w:spacing w:after="0"/>
              <w:rPr>
                <w:sz w:val="20"/>
                <w:szCs w:val="20"/>
                <w:color w:val="auto"/>
              </w:rPr>
            </w:pPr>
            <w:r>
              <w:rPr>
                <w:rFonts w:ascii="Arial" w:cs="Arial" w:eastAsia="Arial" w:hAnsi="Arial"/>
                <w:sz w:val="18"/>
                <w:szCs w:val="18"/>
                <w:color w:val="auto"/>
                <w:w w:val="98"/>
              </w:rPr>
              <w:t>Portugal</w:t>
            </w:r>
          </w:p>
        </w:tc>
      </w:tr>
      <w:tr>
        <w:trPr>
          <w:trHeight w:val="270"/>
        </w:trPr>
        <w:tc>
          <w:tcPr>
            <w:tcW w:w="6120" w:type="dxa"/>
            <w:vAlign w:val="bottom"/>
          </w:tcPr>
          <w:p>
            <w:pPr>
              <w:spacing w:after="0"/>
              <w:rPr>
                <w:sz w:val="20"/>
                <w:szCs w:val="20"/>
                <w:color w:val="auto"/>
              </w:rPr>
            </w:pPr>
            <w:r>
              <w:rPr>
                <w:rFonts w:ascii="Arial" w:cs="Arial" w:eastAsia="Arial" w:hAnsi="Arial"/>
                <w:sz w:val="18"/>
                <w:szCs w:val="18"/>
                <w:color w:val="auto"/>
              </w:rPr>
              <w:t>Lilly S.A.</w:t>
            </w:r>
          </w:p>
        </w:tc>
        <w:tc>
          <w:tcPr>
            <w:tcW w:w="5220" w:type="dxa"/>
            <w:vAlign w:val="bottom"/>
          </w:tcPr>
          <w:p>
            <w:pPr>
              <w:jc w:val="center"/>
              <w:spacing w:after="0"/>
              <w:rPr>
                <w:sz w:val="20"/>
                <w:szCs w:val="20"/>
                <w:color w:val="auto"/>
              </w:rPr>
            </w:pPr>
            <w:r>
              <w:rPr>
                <w:rFonts w:ascii="Arial" w:cs="Arial" w:eastAsia="Arial" w:hAnsi="Arial"/>
                <w:sz w:val="18"/>
                <w:szCs w:val="18"/>
                <w:color w:val="auto"/>
                <w:w w:val="99"/>
              </w:rPr>
              <w:t>Spain</w:t>
            </w:r>
          </w:p>
        </w:tc>
      </w:tr>
      <w:tr>
        <w:trPr>
          <w:trHeight w:val="270"/>
        </w:trPr>
        <w:tc>
          <w:tcPr>
            <w:tcW w:w="6120" w:type="dxa"/>
            <w:vAlign w:val="bottom"/>
          </w:tcPr>
          <w:p>
            <w:pPr>
              <w:spacing w:after="0"/>
              <w:rPr>
                <w:sz w:val="20"/>
                <w:szCs w:val="20"/>
                <w:color w:val="auto"/>
              </w:rPr>
            </w:pPr>
            <w:r>
              <w:rPr>
                <w:rFonts w:ascii="Arial" w:cs="Arial" w:eastAsia="Arial" w:hAnsi="Arial"/>
                <w:sz w:val="18"/>
                <w:szCs w:val="18"/>
                <w:color w:val="auto"/>
              </w:rPr>
              <w:t>Lilly Suzhou Pharmaceutical Co. Ltd.</w:t>
            </w:r>
          </w:p>
        </w:tc>
        <w:tc>
          <w:tcPr>
            <w:tcW w:w="5220" w:type="dxa"/>
            <w:vAlign w:val="bottom"/>
          </w:tcPr>
          <w:p>
            <w:pPr>
              <w:jc w:val="center"/>
              <w:spacing w:after="0"/>
              <w:rPr>
                <w:sz w:val="20"/>
                <w:szCs w:val="20"/>
                <w:color w:val="auto"/>
              </w:rPr>
            </w:pPr>
            <w:r>
              <w:rPr>
                <w:rFonts w:ascii="Arial" w:cs="Arial" w:eastAsia="Arial" w:hAnsi="Arial"/>
                <w:sz w:val="18"/>
                <w:szCs w:val="18"/>
                <w:color w:val="auto"/>
                <w:w w:val="97"/>
              </w:rPr>
              <w:t>China</w:t>
            </w:r>
          </w:p>
        </w:tc>
      </w:tr>
      <w:tr>
        <w:trPr>
          <w:trHeight w:val="270"/>
        </w:trPr>
        <w:tc>
          <w:tcPr>
            <w:tcW w:w="6120" w:type="dxa"/>
            <w:vAlign w:val="bottom"/>
          </w:tcPr>
          <w:p>
            <w:pPr>
              <w:spacing w:after="0"/>
              <w:rPr>
                <w:sz w:val="20"/>
                <w:szCs w:val="20"/>
                <w:color w:val="auto"/>
              </w:rPr>
            </w:pPr>
            <w:r>
              <w:rPr>
                <w:rFonts w:ascii="Arial" w:cs="Arial" w:eastAsia="Arial" w:hAnsi="Arial"/>
                <w:sz w:val="18"/>
                <w:szCs w:val="18"/>
                <w:color w:val="auto"/>
              </w:rPr>
              <w:t>Lilly Trading Co. LTD</w:t>
            </w:r>
          </w:p>
        </w:tc>
        <w:tc>
          <w:tcPr>
            <w:tcW w:w="5220" w:type="dxa"/>
            <w:vAlign w:val="bottom"/>
          </w:tcPr>
          <w:p>
            <w:pPr>
              <w:jc w:val="center"/>
              <w:spacing w:after="0"/>
              <w:rPr>
                <w:sz w:val="20"/>
                <w:szCs w:val="20"/>
                <w:color w:val="auto"/>
              </w:rPr>
            </w:pPr>
            <w:r>
              <w:rPr>
                <w:rFonts w:ascii="Arial" w:cs="Arial" w:eastAsia="Arial" w:hAnsi="Arial"/>
                <w:sz w:val="18"/>
                <w:szCs w:val="18"/>
                <w:color w:val="auto"/>
                <w:w w:val="97"/>
              </w:rPr>
              <w:t>China</w:t>
            </w:r>
          </w:p>
        </w:tc>
      </w:tr>
      <w:tr>
        <w:trPr>
          <w:trHeight w:val="270"/>
        </w:trPr>
        <w:tc>
          <w:tcPr>
            <w:tcW w:w="6120" w:type="dxa"/>
            <w:vAlign w:val="bottom"/>
          </w:tcPr>
          <w:p>
            <w:pPr>
              <w:spacing w:after="0"/>
              <w:rPr>
                <w:sz w:val="20"/>
                <w:szCs w:val="20"/>
                <w:color w:val="auto"/>
              </w:rPr>
            </w:pPr>
            <w:r>
              <w:rPr>
                <w:rFonts w:ascii="Arial" w:cs="Arial" w:eastAsia="Arial" w:hAnsi="Arial"/>
                <w:sz w:val="18"/>
                <w:szCs w:val="18"/>
                <w:color w:val="auto"/>
              </w:rPr>
              <w:t>Lilly USA, LLC</w:t>
            </w:r>
          </w:p>
        </w:tc>
        <w:tc>
          <w:tcPr>
            <w:tcW w:w="5220" w:type="dxa"/>
            <w:vAlign w:val="bottom"/>
          </w:tcPr>
          <w:p>
            <w:pPr>
              <w:jc w:val="center"/>
              <w:spacing w:after="0"/>
              <w:rPr>
                <w:sz w:val="20"/>
                <w:szCs w:val="20"/>
                <w:color w:val="auto"/>
              </w:rPr>
            </w:pPr>
            <w:r>
              <w:rPr>
                <w:rFonts w:ascii="Arial" w:cs="Arial" w:eastAsia="Arial" w:hAnsi="Arial"/>
                <w:sz w:val="18"/>
                <w:szCs w:val="18"/>
                <w:color w:val="auto"/>
                <w:w w:val="98"/>
              </w:rPr>
              <w:t>Indiana</w:t>
            </w:r>
          </w:p>
        </w:tc>
      </w:tr>
      <w:tr>
        <w:trPr>
          <w:trHeight w:val="270"/>
        </w:trPr>
        <w:tc>
          <w:tcPr>
            <w:tcW w:w="6120" w:type="dxa"/>
            <w:vAlign w:val="bottom"/>
          </w:tcPr>
          <w:p>
            <w:pPr>
              <w:spacing w:after="0"/>
              <w:rPr>
                <w:sz w:val="20"/>
                <w:szCs w:val="20"/>
                <w:color w:val="auto"/>
              </w:rPr>
            </w:pPr>
            <w:r>
              <w:rPr>
                <w:rFonts w:ascii="Arial" w:cs="Arial" w:eastAsia="Arial" w:hAnsi="Arial"/>
                <w:sz w:val="18"/>
                <w:szCs w:val="18"/>
                <w:color w:val="auto"/>
              </w:rPr>
              <w:t>Lilly Ventures Fund I LLC</w:t>
            </w:r>
          </w:p>
        </w:tc>
        <w:tc>
          <w:tcPr>
            <w:tcW w:w="522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70"/>
        </w:trPr>
        <w:tc>
          <w:tcPr>
            <w:tcW w:w="6120" w:type="dxa"/>
            <w:vAlign w:val="bottom"/>
          </w:tcPr>
          <w:p>
            <w:pPr>
              <w:spacing w:after="0"/>
              <w:rPr>
                <w:sz w:val="20"/>
                <w:szCs w:val="20"/>
                <w:color w:val="auto"/>
              </w:rPr>
            </w:pPr>
            <w:r>
              <w:rPr>
                <w:rFonts w:ascii="Arial" w:cs="Arial" w:eastAsia="Arial" w:hAnsi="Arial"/>
                <w:sz w:val="18"/>
                <w:szCs w:val="18"/>
                <w:color w:val="auto"/>
              </w:rPr>
              <w:t>Lilly-NUS Centre for Clinical Pharmacology</w:t>
            </w:r>
          </w:p>
        </w:tc>
        <w:tc>
          <w:tcPr>
            <w:tcW w:w="5220" w:type="dxa"/>
            <w:vAlign w:val="bottom"/>
          </w:tcPr>
          <w:p>
            <w:pPr>
              <w:jc w:val="center"/>
              <w:spacing w:after="0"/>
              <w:rPr>
                <w:sz w:val="20"/>
                <w:szCs w:val="20"/>
                <w:color w:val="auto"/>
              </w:rPr>
            </w:pPr>
            <w:r>
              <w:rPr>
                <w:rFonts w:ascii="Arial" w:cs="Arial" w:eastAsia="Arial" w:hAnsi="Arial"/>
                <w:sz w:val="18"/>
                <w:szCs w:val="18"/>
                <w:color w:val="auto"/>
                <w:w w:val="99"/>
              </w:rPr>
              <w:t>Singapore</w:t>
            </w:r>
          </w:p>
        </w:tc>
      </w:tr>
      <w:tr>
        <w:trPr>
          <w:trHeight w:val="270"/>
        </w:trPr>
        <w:tc>
          <w:tcPr>
            <w:tcW w:w="6120" w:type="dxa"/>
            <w:vAlign w:val="bottom"/>
          </w:tcPr>
          <w:p>
            <w:pPr>
              <w:spacing w:after="0"/>
              <w:rPr>
                <w:sz w:val="20"/>
                <w:szCs w:val="20"/>
                <w:color w:val="auto"/>
              </w:rPr>
            </w:pPr>
            <w:r>
              <w:rPr>
                <w:rFonts w:ascii="Arial" w:cs="Arial" w:eastAsia="Arial" w:hAnsi="Arial"/>
                <w:sz w:val="18"/>
                <w:szCs w:val="18"/>
                <w:color w:val="auto"/>
              </w:rPr>
              <w:t>lisagen GmbH</w:t>
            </w:r>
          </w:p>
        </w:tc>
        <w:tc>
          <w:tcPr>
            <w:tcW w:w="5220" w:type="dxa"/>
            <w:vAlign w:val="bottom"/>
          </w:tcPr>
          <w:p>
            <w:pPr>
              <w:jc w:val="center"/>
              <w:spacing w:after="0"/>
              <w:rPr>
                <w:sz w:val="20"/>
                <w:szCs w:val="20"/>
                <w:color w:val="auto"/>
              </w:rPr>
            </w:pPr>
            <w:r>
              <w:rPr>
                <w:rFonts w:ascii="Arial" w:cs="Arial" w:eastAsia="Arial" w:hAnsi="Arial"/>
                <w:sz w:val="18"/>
                <w:szCs w:val="18"/>
                <w:color w:val="auto"/>
                <w:w w:val="99"/>
              </w:rPr>
              <w:t>Germany</w:t>
            </w:r>
          </w:p>
        </w:tc>
      </w:tr>
      <w:tr>
        <w:trPr>
          <w:trHeight w:val="270"/>
        </w:trPr>
        <w:tc>
          <w:tcPr>
            <w:tcW w:w="6120" w:type="dxa"/>
            <w:vAlign w:val="bottom"/>
          </w:tcPr>
          <w:p>
            <w:pPr>
              <w:spacing w:after="0"/>
              <w:rPr>
                <w:sz w:val="20"/>
                <w:szCs w:val="20"/>
                <w:color w:val="auto"/>
              </w:rPr>
            </w:pPr>
            <w:r>
              <w:rPr>
                <w:rFonts w:ascii="Arial" w:cs="Arial" w:eastAsia="Arial" w:hAnsi="Arial"/>
                <w:sz w:val="18"/>
                <w:szCs w:val="18"/>
                <w:color w:val="auto"/>
              </w:rPr>
              <w:t>Lohcexc Services Spain, S.L.</w:t>
            </w:r>
          </w:p>
        </w:tc>
        <w:tc>
          <w:tcPr>
            <w:tcW w:w="5220" w:type="dxa"/>
            <w:vAlign w:val="bottom"/>
          </w:tcPr>
          <w:p>
            <w:pPr>
              <w:jc w:val="center"/>
              <w:spacing w:after="0"/>
              <w:rPr>
                <w:sz w:val="20"/>
                <w:szCs w:val="20"/>
                <w:color w:val="auto"/>
              </w:rPr>
            </w:pPr>
            <w:r>
              <w:rPr>
                <w:rFonts w:ascii="Arial" w:cs="Arial" w:eastAsia="Arial" w:hAnsi="Arial"/>
                <w:sz w:val="18"/>
                <w:szCs w:val="18"/>
                <w:color w:val="auto"/>
                <w:w w:val="99"/>
              </w:rPr>
              <w:t>Spain</w:t>
            </w:r>
          </w:p>
        </w:tc>
      </w:tr>
      <w:tr>
        <w:trPr>
          <w:trHeight w:val="270"/>
        </w:trPr>
        <w:tc>
          <w:tcPr>
            <w:tcW w:w="6120" w:type="dxa"/>
            <w:vAlign w:val="bottom"/>
          </w:tcPr>
          <w:p>
            <w:pPr>
              <w:spacing w:after="0"/>
              <w:rPr>
                <w:sz w:val="20"/>
                <w:szCs w:val="20"/>
                <w:color w:val="auto"/>
              </w:rPr>
            </w:pPr>
            <w:r>
              <w:rPr>
                <w:rFonts w:ascii="Arial" w:cs="Arial" w:eastAsia="Arial" w:hAnsi="Arial"/>
                <w:sz w:val="18"/>
                <w:szCs w:val="18"/>
                <w:color w:val="auto"/>
              </w:rPr>
              <w:t>Lohmann Animal Health (Malaysia) Sdn. Bhd</w:t>
            </w:r>
          </w:p>
        </w:tc>
        <w:tc>
          <w:tcPr>
            <w:tcW w:w="5220" w:type="dxa"/>
            <w:vAlign w:val="bottom"/>
          </w:tcPr>
          <w:p>
            <w:pPr>
              <w:jc w:val="center"/>
              <w:spacing w:after="0"/>
              <w:rPr>
                <w:sz w:val="20"/>
                <w:szCs w:val="20"/>
                <w:color w:val="auto"/>
              </w:rPr>
            </w:pPr>
            <w:r>
              <w:rPr>
                <w:rFonts w:ascii="Arial" w:cs="Arial" w:eastAsia="Arial" w:hAnsi="Arial"/>
                <w:sz w:val="18"/>
                <w:szCs w:val="18"/>
                <w:color w:val="auto"/>
                <w:w w:val="98"/>
              </w:rPr>
              <w:t>Malaysia</w:t>
            </w:r>
          </w:p>
        </w:tc>
      </w:tr>
      <w:tr>
        <w:trPr>
          <w:trHeight w:val="270"/>
        </w:trPr>
        <w:tc>
          <w:tcPr>
            <w:tcW w:w="6120" w:type="dxa"/>
            <w:vAlign w:val="bottom"/>
          </w:tcPr>
          <w:p>
            <w:pPr>
              <w:spacing w:after="0"/>
              <w:rPr>
                <w:sz w:val="20"/>
                <w:szCs w:val="20"/>
                <w:color w:val="auto"/>
              </w:rPr>
            </w:pPr>
            <w:r>
              <w:rPr>
                <w:rFonts w:ascii="Arial" w:cs="Arial" w:eastAsia="Arial" w:hAnsi="Arial"/>
                <w:sz w:val="18"/>
                <w:szCs w:val="18"/>
                <w:color w:val="auto"/>
              </w:rPr>
              <w:t>Lohmann Animal Health (Thailand) Co., Ltd.</w:t>
            </w:r>
          </w:p>
        </w:tc>
        <w:tc>
          <w:tcPr>
            <w:tcW w:w="5220" w:type="dxa"/>
            <w:vAlign w:val="bottom"/>
          </w:tcPr>
          <w:p>
            <w:pPr>
              <w:jc w:val="center"/>
              <w:spacing w:after="0"/>
              <w:rPr>
                <w:sz w:val="20"/>
                <w:szCs w:val="20"/>
                <w:color w:val="auto"/>
              </w:rPr>
            </w:pPr>
            <w:r>
              <w:rPr>
                <w:rFonts w:ascii="Arial" w:cs="Arial" w:eastAsia="Arial" w:hAnsi="Arial"/>
                <w:sz w:val="18"/>
                <w:szCs w:val="18"/>
                <w:color w:val="auto"/>
              </w:rPr>
              <w:t>Thailand</w:t>
            </w:r>
          </w:p>
        </w:tc>
      </w:tr>
      <w:tr>
        <w:trPr>
          <w:trHeight w:val="270"/>
        </w:trPr>
        <w:tc>
          <w:tcPr>
            <w:tcW w:w="6120" w:type="dxa"/>
            <w:vAlign w:val="bottom"/>
          </w:tcPr>
          <w:p>
            <w:pPr>
              <w:spacing w:after="0"/>
              <w:rPr>
                <w:sz w:val="20"/>
                <w:szCs w:val="20"/>
                <w:color w:val="auto"/>
              </w:rPr>
            </w:pPr>
            <w:r>
              <w:rPr>
                <w:rFonts w:ascii="Arial" w:cs="Arial" w:eastAsia="Arial" w:hAnsi="Arial"/>
                <w:sz w:val="18"/>
                <w:szCs w:val="18"/>
                <w:color w:val="auto"/>
              </w:rPr>
              <w:t>Lohmann Animal Health Asia Holding Co. Ltd.</w:t>
            </w:r>
          </w:p>
        </w:tc>
        <w:tc>
          <w:tcPr>
            <w:tcW w:w="5220" w:type="dxa"/>
            <w:vAlign w:val="bottom"/>
          </w:tcPr>
          <w:p>
            <w:pPr>
              <w:jc w:val="center"/>
              <w:spacing w:after="0"/>
              <w:rPr>
                <w:sz w:val="20"/>
                <w:szCs w:val="20"/>
                <w:color w:val="auto"/>
              </w:rPr>
            </w:pPr>
            <w:r>
              <w:rPr>
                <w:rFonts w:ascii="Arial" w:cs="Arial" w:eastAsia="Arial" w:hAnsi="Arial"/>
                <w:sz w:val="18"/>
                <w:szCs w:val="18"/>
                <w:color w:val="auto"/>
              </w:rPr>
              <w:t>Thailand</w:t>
            </w:r>
          </w:p>
        </w:tc>
      </w:tr>
      <w:tr>
        <w:trPr>
          <w:trHeight w:val="270"/>
        </w:trPr>
        <w:tc>
          <w:tcPr>
            <w:tcW w:w="6120" w:type="dxa"/>
            <w:vAlign w:val="bottom"/>
          </w:tcPr>
          <w:p>
            <w:pPr>
              <w:spacing w:after="0"/>
              <w:rPr>
                <w:sz w:val="20"/>
                <w:szCs w:val="20"/>
                <w:color w:val="auto"/>
              </w:rPr>
            </w:pPr>
            <w:r>
              <w:rPr>
                <w:rFonts w:ascii="Arial" w:cs="Arial" w:eastAsia="Arial" w:hAnsi="Arial"/>
                <w:sz w:val="18"/>
                <w:szCs w:val="18"/>
                <w:color w:val="auto"/>
              </w:rPr>
              <w:t>Lohmann Animal Health Espana S.L.L.</w:t>
            </w:r>
          </w:p>
        </w:tc>
        <w:tc>
          <w:tcPr>
            <w:tcW w:w="5220" w:type="dxa"/>
            <w:vAlign w:val="bottom"/>
          </w:tcPr>
          <w:p>
            <w:pPr>
              <w:jc w:val="center"/>
              <w:spacing w:after="0"/>
              <w:rPr>
                <w:sz w:val="20"/>
                <w:szCs w:val="20"/>
                <w:color w:val="auto"/>
              </w:rPr>
            </w:pPr>
            <w:r>
              <w:rPr>
                <w:rFonts w:ascii="Arial" w:cs="Arial" w:eastAsia="Arial" w:hAnsi="Arial"/>
                <w:sz w:val="18"/>
                <w:szCs w:val="18"/>
                <w:color w:val="auto"/>
                <w:w w:val="99"/>
              </w:rPr>
              <w:t>Spain</w:t>
            </w:r>
          </w:p>
        </w:tc>
      </w:tr>
      <w:tr>
        <w:trPr>
          <w:trHeight w:val="270"/>
        </w:trPr>
        <w:tc>
          <w:tcPr>
            <w:tcW w:w="6120" w:type="dxa"/>
            <w:vAlign w:val="bottom"/>
          </w:tcPr>
          <w:p>
            <w:pPr>
              <w:spacing w:after="0"/>
              <w:rPr>
                <w:sz w:val="20"/>
                <w:szCs w:val="20"/>
                <w:color w:val="auto"/>
              </w:rPr>
            </w:pPr>
            <w:r>
              <w:rPr>
                <w:rFonts w:ascii="Arial" w:cs="Arial" w:eastAsia="Arial" w:hAnsi="Arial"/>
                <w:sz w:val="18"/>
                <w:szCs w:val="18"/>
                <w:color w:val="auto"/>
              </w:rPr>
              <w:t>Lohmann Animal Health GmbH</w:t>
            </w:r>
          </w:p>
        </w:tc>
        <w:tc>
          <w:tcPr>
            <w:tcW w:w="5220" w:type="dxa"/>
            <w:vAlign w:val="bottom"/>
          </w:tcPr>
          <w:p>
            <w:pPr>
              <w:jc w:val="center"/>
              <w:spacing w:after="0"/>
              <w:rPr>
                <w:sz w:val="20"/>
                <w:szCs w:val="20"/>
                <w:color w:val="auto"/>
              </w:rPr>
            </w:pPr>
            <w:r>
              <w:rPr>
                <w:rFonts w:ascii="Arial" w:cs="Arial" w:eastAsia="Arial" w:hAnsi="Arial"/>
                <w:sz w:val="18"/>
                <w:szCs w:val="18"/>
                <w:color w:val="auto"/>
                <w:w w:val="99"/>
              </w:rPr>
              <w:t>Germany</w:t>
            </w:r>
          </w:p>
        </w:tc>
      </w:tr>
      <w:tr>
        <w:trPr>
          <w:trHeight w:val="270"/>
        </w:trPr>
        <w:tc>
          <w:tcPr>
            <w:tcW w:w="6120" w:type="dxa"/>
            <w:vAlign w:val="bottom"/>
          </w:tcPr>
          <w:p>
            <w:pPr>
              <w:spacing w:after="0"/>
              <w:rPr>
                <w:sz w:val="20"/>
                <w:szCs w:val="20"/>
                <w:color w:val="auto"/>
              </w:rPr>
            </w:pPr>
            <w:r>
              <w:rPr>
                <w:rFonts w:ascii="Arial" w:cs="Arial" w:eastAsia="Arial" w:hAnsi="Arial"/>
                <w:sz w:val="18"/>
                <w:szCs w:val="18"/>
                <w:color w:val="auto"/>
              </w:rPr>
              <w:t>Lohmann Animal Health Holding GmbH</w:t>
            </w:r>
          </w:p>
        </w:tc>
        <w:tc>
          <w:tcPr>
            <w:tcW w:w="5220" w:type="dxa"/>
            <w:vAlign w:val="bottom"/>
          </w:tcPr>
          <w:p>
            <w:pPr>
              <w:jc w:val="center"/>
              <w:spacing w:after="0"/>
              <w:rPr>
                <w:sz w:val="20"/>
                <w:szCs w:val="20"/>
                <w:color w:val="auto"/>
              </w:rPr>
            </w:pPr>
            <w:r>
              <w:rPr>
                <w:rFonts w:ascii="Arial" w:cs="Arial" w:eastAsia="Arial" w:hAnsi="Arial"/>
                <w:sz w:val="18"/>
                <w:szCs w:val="18"/>
                <w:color w:val="auto"/>
                <w:w w:val="99"/>
              </w:rPr>
              <w:t>Germany</w:t>
            </w:r>
          </w:p>
        </w:tc>
      </w:tr>
      <w:tr>
        <w:trPr>
          <w:trHeight w:val="270"/>
        </w:trPr>
        <w:tc>
          <w:tcPr>
            <w:tcW w:w="6120" w:type="dxa"/>
            <w:vAlign w:val="bottom"/>
          </w:tcPr>
          <w:p>
            <w:pPr>
              <w:spacing w:after="0"/>
              <w:rPr>
                <w:sz w:val="20"/>
                <w:szCs w:val="20"/>
                <w:color w:val="auto"/>
              </w:rPr>
            </w:pPr>
            <w:r>
              <w:rPr>
                <w:rFonts w:ascii="Arial" w:cs="Arial" w:eastAsia="Arial" w:hAnsi="Arial"/>
                <w:sz w:val="18"/>
                <w:szCs w:val="18"/>
                <w:color w:val="auto"/>
              </w:rPr>
              <w:t>Lohmann Animal Health Hungaria Kereskedelmi Kft., Hungary</w:t>
            </w:r>
          </w:p>
        </w:tc>
        <w:tc>
          <w:tcPr>
            <w:tcW w:w="5220" w:type="dxa"/>
            <w:vAlign w:val="bottom"/>
          </w:tcPr>
          <w:p>
            <w:pPr>
              <w:jc w:val="center"/>
              <w:spacing w:after="0"/>
              <w:rPr>
                <w:sz w:val="20"/>
                <w:szCs w:val="20"/>
                <w:color w:val="auto"/>
              </w:rPr>
            </w:pPr>
            <w:r>
              <w:rPr>
                <w:rFonts w:ascii="Arial" w:cs="Arial" w:eastAsia="Arial" w:hAnsi="Arial"/>
                <w:sz w:val="18"/>
                <w:szCs w:val="18"/>
                <w:color w:val="auto"/>
                <w:w w:val="99"/>
              </w:rPr>
              <w:t>Hungary</w:t>
            </w:r>
          </w:p>
        </w:tc>
      </w:tr>
      <w:tr>
        <w:trPr>
          <w:trHeight w:val="270"/>
        </w:trPr>
        <w:tc>
          <w:tcPr>
            <w:tcW w:w="6120" w:type="dxa"/>
            <w:vAlign w:val="bottom"/>
          </w:tcPr>
          <w:p>
            <w:pPr>
              <w:spacing w:after="0"/>
              <w:rPr>
                <w:sz w:val="20"/>
                <w:szCs w:val="20"/>
                <w:color w:val="auto"/>
              </w:rPr>
            </w:pPr>
            <w:r>
              <w:rPr>
                <w:rFonts w:ascii="Arial" w:cs="Arial" w:eastAsia="Arial" w:hAnsi="Arial"/>
                <w:sz w:val="18"/>
                <w:szCs w:val="18"/>
                <w:color w:val="auto"/>
              </w:rPr>
              <w:t>Lohmann Animal Health International Inc.</w:t>
            </w:r>
          </w:p>
        </w:tc>
        <w:tc>
          <w:tcPr>
            <w:tcW w:w="5220" w:type="dxa"/>
            <w:vAlign w:val="bottom"/>
          </w:tcPr>
          <w:p>
            <w:pPr>
              <w:jc w:val="center"/>
              <w:spacing w:after="0"/>
              <w:rPr>
                <w:sz w:val="20"/>
                <w:szCs w:val="20"/>
                <w:color w:val="auto"/>
              </w:rPr>
            </w:pPr>
            <w:r>
              <w:rPr>
                <w:rFonts w:ascii="Arial" w:cs="Arial" w:eastAsia="Arial" w:hAnsi="Arial"/>
                <w:sz w:val="18"/>
                <w:szCs w:val="18"/>
                <w:color w:val="auto"/>
              </w:rPr>
              <w:t>Maine</w:t>
            </w:r>
          </w:p>
        </w:tc>
      </w:tr>
      <w:tr>
        <w:trPr>
          <w:trHeight w:val="270"/>
        </w:trPr>
        <w:tc>
          <w:tcPr>
            <w:tcW w:w="6120" w:type="dxa"/>
            <w:vAlign w:val="bottom"/>
          </w:tcPr>
          <w:p>
            <w:pPr>
              <w:spacing w:after="0"/>
              <w:rPr>
                <w:sz w:val="20"/>
                <w:szCs w:val="20"/>
                <w:color w:val="auto"/>
              </w:rPr>
            </w:pPr>
            <w:r>
              <w:rPr>
                <w:rFonts w:ascii="Arial" w:cs="Arial" w:eastAsia="Arial" w:hAnsi="Arial"/>
                <w:sz w:val="18"/>
                <w:szCs w:val="18"/>
                <w:color w:val="auto"/>
              </w:rPr>
              <w:t>Lohmann Animal Health Mexico, S.A. de C.V.</w:t>
            </w:r>
          </w:p>
        </w:tc>
        <w:tc>
          <w:tcPr>
            <w:tcW w:w="5220" w:type="dxa"/>
            <w:vAlign w:val="bottom"/>
          </w:tcPr>
          <w:p>
            <w:pPr>
              <w:jc w:val="center"/>
              <w:spacing w:after="0"/>
              <w:rPr>
                <w:sz w:val="20"/>
                <w:szCs w:val="20"/>
                <w:color w:val="auto"/>
              </w:rPr>
            </w:pPr>
            <w:r>
              <w:rPr>
                <w:rFonts w:ascii="Arial" w:cs="Arial" w:eastAsia="Arial" w:hAnsi="Arial"/>
                <w:sz w:val="18"/>
                <w:szCs w:val="18"/>
                <w:color w:val="auto"/>
              </w:rPr>
              <w:t>Mexico</w:t>
            </w:r>
          </w:p>
        </w:tc>
      </w:tr>
      <w:tr>
        <w:trPr>
          <w:trHeight w:val="270"/>
        </w:trPr>
        <w:tc>
          <w:tcPr>
            <w:tcW w:w="6120" w:type="dxa"/>
            <w:vAlign w:val="bottom"/>
          </w:tcPr>
          <w:p>
            <w:pPr>
              <w:spacing w:after="0"/>
              <w:rPr>
                <w:sz w:val="20"/>
                <w:szCs w:val="20"/>
                <w:color w:val="auto"/>
              </w:rPr>
            </w:pPr>
            <w:r>
              <w:rPr>
                <w:rFonts w:ascii="Arial" w:cs="Arial" w:eastAsia="Arial" w:hAnsi="Arial"/>
                <w:sz w:val="18"/>
                <w:szCs w:val="18"/>
                <w:color w:val="auto"/>
              </w:rPr>
              <w:t>Lohmann Animal Health Phils. Corp.</w:t>
            </w:r>
          </w:p>
        </w:tc>
        <w:tc>
          <w:tcPr>
            <w:tcW w:w="5220" w:type="dxa"/>
            <w:vAlign w:val="bottom"/>
          </w:tcPr>
          <w:p>
            <w:pPr>
              <w:jc w:val="center"/>
              <w:spacing w:after="0"/>
              <w:rPr>
                <w:sz w:val="20"/>
                <w:szCs w:val="20"/>
                <w:color w:val="auto"/>
              </w:rPr>
            </w:pPr>
            <w:r>
              <w:rPr>
                <w:rFonts w:ascii="Arial" w:cs="Arial" w:eastAsia="Arial" w:hAnsi="Arial"/>
                <w:sz w:val="18"/>
                <w:szCs w:val="18"/>
                <w:color w:val="auto"/>
                <w:w w:val="98"/>
              </w:rPr>
              <w:t>Philippines</w:t>
            </w:r>
          </w:p>
        </w:tc>
      </w:tr>
      <w:tr>
        <w:trPr>
          <w:trHeight w:val="270"/>
        </w:trPr>
        <w:tc>
          <w:tcPr>
            <w:tcW w:w="6120" w:type="dxa"/>
            <w:vAlign w:val="bottom"/>
          </w:tcPr>
          <w:p>
            <w:pPr>
              <w:spacing w:after="0"/>
              <w:rPr>
                <w:sz w:val="20"/>
                <w:szCs w:val="20"/>
                <w:color w:val="auto"/>
              </w:rPr>
            </w:pPr>
            <w:r>
              <w:rPr>
                <w:rFonts w:ascii="Arial" w:cs="Arial" w:eastAsia="Arial" w:hAnsi="Arial"/>
                <w:sz w:val="18"/>
                <w:szCs w:val="18"/>
                <w:color w:val="auto"/>
              </w:rPr>
              <w:t>Lohmann Animal Health Polska sp. z.o.o.</w:t>
            </w:r>
          </w:p>
        </w:tc>
        <w:tc>
          <w:tcPr>
            <w:tcW w:w="5220" w:type="dxa"/>
            <w:vAlign w:val="bottom"/>
          </w:tcPr>
          <w:p>
            <w:pPr>
              <w:jc w:val="center"/>
              <w:spacing w:after="0"/>
              <w:rPr>
                <w:sz w:val="20"/>
                <w:szCs w:val="20"/>
                <w:color w:val="auto"/>
              </w:rPr>
            </w:pPr>
            <w:r>
              <w:rPr>
                <w:rFonts w:ascii="Arial" w:cs="Arial" w:eastAsia="Arial" w:hAnsi="Arial"/>
                <w:sz w:val="18"/>
                <w:szCs w:val="18"/>
                <w:color w:val="auto"/>
                <w:w w:val="99"/>
              </w:rPr>
              <w:t>Poland</w:t>
            </w:r>
          </w:p>
        </w:tc>
      </w:tr>
      <w:tr>
        <w:trPr>
          <w:trHeight w:val="270"/>
        </w:trPr>
        <w:tc>
          <w:tcPr>
            <w:tcW w:w="6120" w:type="dxa"/>
            <w:vAlign w:val="bottom"/>
          </w:tcPr>
          <w:p>
            <w:pPr>
              <w:spacing w:after="0"/>
              <w:rPr>
                <w:sz w:val="20"/>
                <w:szCs w:val="20"/>
                <w:color w:val="auto"/>
              </w:rPr>
            </w:pPr>
            <w:r>
              <w:rPr>
                <w:rFonts w:ascii="Arial" w:cs="Arial" w:eastAsia="Arial" w:hAnsi="Arial"/>
                <w:sz w:val="18"/>
                <w:szCs w:val="18"/>
                <w:color w:val="auto"/>
              </w:rPr>
              <w:t>Lohmann Animal Health South Africa (Pty) Ltd.</w:t>
            </w:r>
          </w:p>
        </w:tc>
        <w:tc>
          <w:tcPr>
            <w:tcW w:w="5220" w:type="dxa"/>
            <w:vAlign w:val="bottom"/>
          </w:tcPr>
          <w:p>
            <w:pPr>
              <w:jc w:val="center"/>
              <w:spacing w:after="0"/>
              <w:rPr>
                <w:sz w:val="20"/>
                <w:szCs w:val="20"/>
                <w:color w:val="auto"/>
              </w:rPr>
            </w:pPr>
            <w:r>
              <w:rPr>
                <w:rFonts w:ascii="Arial" w:cs="Arial" w:eastAsia="Arial" w:hAnsi="Arial"/>
                <w:sz w:val="18"/>
                <w:szCs w:val="18"/>
                <w:color w:val="auto"/>
                <w:w w:val="99"/>
              </w:rPr>
              <w:t>South Africa</w:t>
            </w:r>
          </w:p>
        </w:tc>
      </w:tr>
      <w:tr>
        <w:trPr>
          <w:trHeight w:val="270"/>
        </w:trPr>
        <w:tc>
          <w:tcPr>
            <w:tcW w:w="6120" w:type="dxa"/>
            <w:vAlign w:val="bottom"/>
          </w:tcPr>
          <w:p>
            <w:pPr>
              <w:spacing w:after="0"/>
              <w:rPr>
                <w:sz w:val="20"/>
                <w:szCs w:val="20"/>
                <w:color w:val="auto"/>
              </w:rPr>
            </w:pPr>
            <w:r>
              <w:rPr>
                <w:rFonts w:ascii="Arial" w:cs="Arial" w:eastAsia="Arial" w:hAnsi="Arial"/>
                <w:sz w:val="18"/>
                <w:szCs w:val="18"/>
                <w:color w:val="auto"/>
              </w:rPr>
              <w:t>Lohmann Animal Health Ukraine TOV</w:t>
            </w:r>
          </w:p>
        </w:tc>
        <w:tc>
          <w:tcPr>
            <w:tcW w:w="5220" w:type="dxa"/>
            <w:vAlign w:val="bottom"/>
          </w:tcPr>
          <w:p>
            <w:pPr>
              <w:jc w:val="center"/>
              <w:spacing w:after="0"/>
              <w:rPr>
                <w:sz w:val="20"/>
                <w:szCs w:val="20"/>
                <w:color w:val="auto"/>
              </w:rPr>
            </w:pPr>
            <w:r>
              <w:rPr>
                <w:rFonts w:ascii="Arial" w:cs="Arial" w:eastAsia="Arial" w:hAnsi="Arial"/>
                <w:sz w:val="18"/>
                <w:szCs w:val="18"/>
                <w:color w:val="auto"/>
                <w:w w:val="99"/>
              </w:rPr>
              <w:t>Ukraine</w:t>
            </w:r>
          </w:p>
        </w:tc>
      </w:tr>
      <w:tr>
        <w:trPr>
          <w:trHeight w:val="270"/>
        </w:trPr>
        <w:tc>
          <w:tcPr>
            <w:tcW w:w="6120" w:type="dxa"/>
            <w:vAlign w:val="bottom"/>
          </w:tcPr>
          <w:p>
            <w:pPr>
              <w:spacing w:after="0"/>
              <w:rPr>
                <w:sz w:val="20"/>
                <w:szCs w:val="20"/>
                <w:color w:val="auto"/>
              </w:rPr>
            </w:pPr>
            <w:r>
              <w:rPr>
                <w:rFonts w:ascii="Arial" w:cs="Arial" w:eastAsia="Arial" w:hAnsi="Arial"/>
                <w:sz w:val="18"/>
                <w:szCs w:val="18"/>
                <w:color w:val="auto"/>
              </w:rPr>
              <w:t>Lohmann Beteiligungs GmbH</w:t>
            </w:r>
          </w:p>
        </w:tc>
        <w:tc>
          <w:tcPr>
            <w:tcW w:w="5220" w:type="dxa"/>
            <w:vAlign w:val="bottom"/>
          </w:tcPr>
          <w:p>
            <w:pPr>
              <w:jc w:val="center"/>
              <w:spacing w:after="0"/>
              <w:rPr>
                <w:sz w:val="20"/>
                <w:szCs w:val="20"/>
                <w:color w:val="auto"/>
              </w:rPr>
            </w:pPr>
            <w:r>
              <w:rPr>
                <w:rFonts w:ascii="Arial" w:cs="Arial" w:eastAsia="Arial" w:hAnsi="Arial"/>
                <w:sz w:val="18"/>
                <w:szCs w:val="18"/>
                <w:color w:val="auto"/>
                <w:w w:val="99"/>
              </w:rPr>
              <w:t>Germany</w:t>
            </w:r>
          </w:p>
        </w:tc>
      </w:tr>
      <w:tr>
        <w:trPr>
          <w:trHeight w:val="270"/>
        </w:trPr>
        <w:tc>
          <w:tcPr>
            <w:tcW w:w="6120" w:type="dxa"/>
            <w:vAlign w:val="bottom"/>
          </w:tcPr>
          <w:p>
            <w:pPr>
              <w:spacing w:after="0"/>
              <w:rPr>
                <w:sz w:val="20"/>
                <w:szCs w:val="20"/>
                <w:color w:val="auto"/>
              </w:rPr>
            </w:pPr>
            <w:r>
              <w:rPr>
                <w:rFonts w:ascii="Arial" w:cs="Arial" w:eastAsia="Arial" w:hAnsi="Arial"/>
                <w:sz w:val="18"/>
                <w:szCs w:val="18"/>
                <w:color w:val="auto"/>
              </w:rPr>
              <w:t>Lohmann Saude Animal LTDA</w:t>
            </w:r>
          </w:p>
        </w:tc>
        <w:tc>
          <w:tcPr>
            <w:tcW w:w="5220" w:type="dxa"/>
            <w:vAlign w:val="bottom"/>
          </w:tcPr>
          <w:p>
            <w:pPr>
              <w:jc w:val="center"/>
              <w:spacing w:after="0"/>
              <w:rPr>
                <w:sz w:val="20"/>
                <w:szCs w:val="20"/>
                <w:color w:val="auto"/>
              </w:rPr>
            </w:pPr>
            <w:r>
              <w:rPr>
                <w:rFonts w:ascii="Arial" w:cs="Arial" w:eastAsia="Arial" w:hAnsi="Arial"/>
                <w:sz w:val="18"/>
                <w:szCs w:val="18"/>
                <w:color w:val="auto"/>
              </w:rPr>
              <w:t>Brazil</w:t>
            </w:r>
          </w:p>
        </w:tc>
      </w:tr>
      <w:tr>
        <w:trPr>
          <w:trHeight w:val="270"/>
        </w:trPr>
        <w:tc>
          <w:tcPr>
            <w:tcW w:w="6120" w:type="dxa"/>
            <w:vAlign w:val="bottom"/>
          </w:tcPr>
          <w:p>
            <w:pPr>
              <w:spacing w:after="0"/>
              <w:rPr>
                <w:sz w:val="20"/>
                <w:szCs w:val="20"/>
                <w:color w:val="auto"/>
              </w:rPr>
            </w:pPr>
            <w:r>
              <w:rPr>
                <w:rFonts w:ascii="Arial" w:cs="Arial" w:eastAsia="Arial" w:hAnsi="Arial"/>
                <w:sz w:val="18"/>
                <w:szCs w:val="18"/>
                <w:color w:val="auto"/>
              </w:rPr>
              <w:t>Lohmann SE</w:t>
            </w:r>
          </w:p>
        </w:tc>
        <w:tc>
          <w:tcPr>
            <w:tcW w:w="5220" w:type="dxa"/>
            <w:vAlign w:val="bottom"/>
          </w:tcPr>
          <w:p>
            <w:pPr>
              <w:jc w:val="center"/>
              <w:spacing w:after="0"/>
              <w:rPr>
                <w:sz w:val="20"/>
                <w:szCs w:val="20"/>
                <w:color w:val="auto"/>
              </w:rPr>
            </w:pPr>
            <w:r>
              <w:rPr>
                <w:rFonts w:ascii="Arial" w:cs="Arial" w:eastAsia="Arial" w:hAnsi="Arial"/>
                <w:sz w:val="18"/>
                <w:szCs w:val="18"/>
                <w:color w:val="auto"/>
                <w:w w:val="99"/>
              </w:rPr>
              <w:t>Europe</w:t>
            </w:r>
          </w:p>
        </w:tc>
      </w:tr>
      <w:tr>
        <w:trPr>
          <w:trHeight w:val="270"/>
        </w:trPr>
        <w:tc>
          <w:tcPr>
            <w:tcW w:w="6120" w:type="dxa"/>
            <w:vAlign w:val="bottom"/>
          </w:tcPr>
          <w:p>
            <w:pPr>
              <w:spacing w:after="0"/>
              <w:rPr>
                <w:sz w:val="20"/>
                <w:szCs w:val="20"/>
                <w:color w:val="auto"/>
              </w:rPr>
            </w:pPr>
            <w:r>
              <w:rPr>
                <w:rFonts w:ascii="Arial" w:cs="Arial" w:eastAsia="Arial" w:hAnsi="Arial"/>
                <w:sz w:val="18"/>
                <w:szCs w:val="18"/>
                <w:color w:val="auto"/>
              </w:rPr>
              <w:t>Lohmann Services GmbH</w:t>
            </w:r>
          </w:p>
        </w:tc>
        <w:tc>
          <w:tcPr>
            <w:tcW w:w="5220" w:type="dxa"/>
            <w:vAlign w:val="bottom"/>
          </w:tcPr>
          <w:p>
            <w:pPr>
              <w:jc w:val="center"/>
              <w:spacing w:after="0"/>
              <w:rPr>
                <w:sz w:val="20"/>
                <w:szCs w:val="20"/>
                <w:color w:val="auto"/>
              </w:rPr>
            </w:pPr>
            <w:r>
              <w:rPr>
                <w:rFonts w:ascii="Arial" w:cs="Arial" w:eastAsia="Arial" w:hAnsi="Arial"/>
                <w:sz w:val="18"/>
                <w:szCs w:val="18"/>
                <w:color w:val="auto"/>
                <w:w w:val="99"/>
              </w:rPr>
              <w:t>Germany</w:t>
            </w:r>
          </w:p>
        </w:tc>
      </w:tr>
      <w:tr>
        <w:trPr>
          <w:trHeight w:val="270"/>
        </w:trPr>
        <w:tc>
          <w:tcPr>
            <w:tcW w:w="6120" w:type="dxa"/>
            <w:vAlign w:val="bottom"/>
          </w:tcPr>
          <w:p>
            <w:pPr>
              <w:spacing w:after="0"/>
              <w:rPr>
                <w:sz w:val="20"/>
                <w:szCs w:val="20"/>
                <w:color w:val="auto"/>
              </w:rPr>
            </w:pPr>
            <w:r>
              <w:rPr>
                <w:rFonts w:ascii="Arial" w:cs="Arial" w:eastAsia="Arial" w:hAnsi="Arial"/>
                <w:sz w:val="18"/>
                <w:szCs w:val="18"/>
                <w:color w:val="auto"/>
              </w:rPr>
              <w:t>Lohmann Taiwan Co. Ltd., Taiwan</w:t>
            </w:r>
          </w:p>
        </w:tc>
        <w:tc>
          <w:tcPr>
            <w:tcW w:w="5220" w:type="dxa"/>
            <w:vAlign w:val="bottom"/>
          </w:tcPr>
          <w:p>
            <w:pPr>
              <w:jc w:val="center"/>
              <w:spacing w:after="0"/>
              <w:rPr>
                <w:sz w:val="20"/>
                <w:szCs w:val="20"/>
                <w:color w:val="auto"/>
              </w:rPr>
            </w:pPr>
            <w:r>
              <w:rPr>
                <w:rFonts w:ascii="Arial" w:cs="Arial" w:eastAsia="Arial" w:hAnsi="Arial"/>
                <w:sz w:val="18"/>
                <w:szCs w:val="18"/>
                <w:color w:val="auto"/>
                <w:w w:val="96"/>
              </w:rPr>
              <w:t>Taiwan</w:t>
            </w:r>
          </w:p>
        </w:tc>
      </w:tr>
      <w:tr>
        <w:trPr>
          <w:trHeight w:val="270"/>
        </w:trPr>
        <w:tc>
          <w:tcPr>
            <w:tcW w:w="6120" w:type="dxa"/>
            <w:vAlign w:val="bottom"/>
          </w:tcPr>
          <w:p>
            <w:pPr>
              <w:spacing w:after="0"/>
              <w:rPr>
                <w:sz w:val="20"/>
                <w:szCs w:val="20"/>
                <w:color w:val="auto"/>
              </w:rPr>
            </w:pPr>
            <w:r>
              <w:rPr>
                <w:rFonts w:ascii="Arial" w:cs="Arial" w:eastAsia="Arial" w:hAnsi="Arial"/>
                <w:sz w:val="18"/>
                <w:szCs w:val="18"/>
                <w:color w:val="auto"/>
              </w:rPr>
              <w:t>Lohmann Veteriner Urunleri Sanayi Ticaret A.S.</w:t>
            </w:r>
          </w:p>
        </w:tc>
        <w:tc>
          <w:tcPr>
            <w:tcW w:w="5220" w:type="dxa"/>
            <w:vAlign w:val="bottom"/>
          </w:tcPr>
          <w:p>
            <w:pPr>
              <w:jc w:val="center"/>
              <w:spacing w:after="0"/>
              <w:rPr>
                <w:sz w:val="20"/>
                <w:szCs w:val="20"/>
                <w:color w:val="auto"/>
              </w:rPr>
            </w:pPr>
            <w:r>
              <w:rPr>
                <w:rFonts w:ascii="Arial" w:cs="Arial" w:eastAsia="Arial" w:hAnsi="Arial"/>
                <w:sz w:val="18"/>
                <w:szCs w:val="18"/>
                <w:color w:val="auto"/>
                <w:w w:val="98"/>
              </w:rPr>
              <w:t>Turkey</w:t>
            </w:r>
          </w:p>
        </w:tc>
      </w:tr>
      <w:tr>
        <w:trPr>
          <w:trHeight w:val="270"/>
        </w:trPr>
        <w:tc>
          <w:tcPr>
            <w:tcW w:w="6120" w:type="dxa"/>
            <w:vAlign w:val="bottom"/>
          </w:tcPr>
          <w:p>
            <w:pPr>
              <w:spacing w:after="0"/>
              <w:rPr>
                <w:sz w:val="20"/>
                <w:szCs w:val="20"/>
                <w:color w:val="auto"/>
              </w:rPr>
            </w:pPr>
            <w:r>
              <w:rPr>
                <w:rFonts w:ascii="Arial" w:cs="Arial" w:eastAsia="Arial" w:hAnsi="Arial"/>
                <w:sz w:val="18"/>
                <w:szCs w:val="18"/>
                <w:color w:val="auto"/>
              </w:rPr>
              <w:t>Novartis Animal Health SpA</w:t>
            </w:r>
          </w:p>
        </w:tc>
        <w:tc>
          <w:tcPr>
            <w:tcW w:w="5220" w:type="dxa"/>
            <w:vAlign w:val="bottom"/>
          </w:tcPr>
          <w:p>
            <w:pPr>
              <w:jc w:val="center"/>
              <w:spacing w:after="0"/>
              <w:rPr>
                <w:sz w:val="20"/>
                <w:szCs w:val="20"/>
                <w:color w:val="auto"/>
              </w:rPr>
            </w:pPr>
            <w:r>
              <w:rPr>
                <w:rFonts w:ascii="Arial" w:cs="Arial" w:eastAsia="Arial" w:hAnsi="Arial"/>
                <w:sz w:val="18"/>
                <w:szCs w:val="18"/>
                <w:color w:val="auto"/>
              </w:rPr>
              <w:t>Italy</w:t>
            </w:r>
          </w:p>
        </w:tc>
      </w:tr>
      <w:tr>
        <w:trPr>
          <w:trHeight w:val="270"/>
        </w:trPr>
        <w:tc>
          <w:tcPr>
            <w:tcW w:w="6120" w:type="dxa"/>
            <w:vAlign w:val="bottom"/>
          </w:tcPr>
          <w:p>
            <w:pPr>
              <w:spacing w:after="0"/>
              <w:rPr>
                <w:sz w:val="20"/>
                <w:szCs w:val="20"/>
                <w:color w:val="auto"/>
              </w:rPr>
            </w:pPr>
            <w:r>
              <w:rPr>
                <w:rFonts w:ascii="Arial" w:cs="Arial" w:eastAsia="Arial" w:hAnsi="Arial"/>
                <w:sz w:val="18"/>
                <w:szCs w:val="18"/>
                <w:color w:val="auto"/>
              </w:rPr>
              <w:t>Novartis Animal Health UK Limited</w:t>
            </w:r>
          </w:p>
        </w:tc>
        <w:tc>
          <w:tcPr>
            <w:tcW w:w="5220" w:type="dxa"/>
            <w:vAlign w:val="bottom"/>
          </w:tcPr>
          <w:p>
            <w:pPr>
              <w:jc w:val="center"/>
              <w:spacing w:after="0"/>
              <w:rPr>
                <w:sz w:val="20"/>
                <w:szCs w:val="20"/>
                <w:color w:val="auto"/>
              </w:rPr>
            </w:pPr>
            <w:r>
              <w:rPr>
                <w:rFonts w:ascii="Arial" w:cs="Arial" w:eastAsia="Arial" w:hAnsi="Arial"/>
                <w:sz w:val="18"/>
                <w:szCs w:val="18"/>
                <w:color w:val="auto"/>
                <w:w w:val="99"/>
              </w:rPr>
              <w:t>United Kingdom</w:t>
            </w:r>
          </w:p>
        </w:tc>
      </w:tr>
      <w:tr>
        <w:trPr>
          <w:trHeight w:val="270"/>
        </w:trPr>
        <w:tc>
          <w:tcPr>
            <w:tcW w:w="6120" w:type="dxa"/>
            <w:vAlign w:val="bottom"/>
          </w:tcPr>
          <w:p>
            <w:pPr>
              <w:spacing w:after="0"/>
              <w:rPr>
                <w:sz w:val="20"/>
                <w:szCs w:val="20"/>
                <w:color w:val="auto"/>
              </w:rPr>
            </w:pPr>
            <w:r>
              <w:rPr>
                <w:rFonts w:ascii="Arial" w:cs="Arial" w:eastAsia="Arial" w:hAnsi="Arial"/>
                <w:sz w:val="18"/>
                <w:szCs w:val="18"/>
                <w:color w:val="auto"/>
              </w:rPr>
              <w:t>Novartis Animal Vaccines Limited</w:t>
            </w:r>
          </w:p>
        </w:tc>
        <w:tc>
          <w:tcPr>
            <w:tcW w:w="5220" w:type="dxa"/>
            <w:vAlign w:val="bottom"/>
          </w:tcPr>
          <w:p>
            <w:pPr>
              <w:jc w:val="center"/>
              <w:spacing w:after="0"/>
              <w:rPr>
                <w:sz w:val="20"/>
                <w:szCs w:val="20"/>
                <w:color w:val="auto"/>
              </w:rPr>
            </w:pPr>
            <w:r>
              <w:rPr>
                <w:rFonts w:ascii="Arial" w:cs="Arial" w:eastAsia="Arial" w:hAnsi="Arial"/>
                <w:sz w:val="18"/>
                <w:szCs w:val="18"/>
                <w:color w:val="auto"/>
                <w:w w:val="99"/>
              </w:rPr>
              <w:t>United Kingdom</w:t>
            </w:r>
          </w:p>
        </w:tc>
      </w:tr>
      <w:tr>
        <w:trPr>
          <w:trHeight w:val="270"/>
        </w:trPr>
        <w:tc>
          <w:tcPr>
            <w:tcW w:w="6120" w:type="dxa"/>
            <w:vAlign w:val="bottom"/>
          </w:tcPr>
          <w:p>
            <w:pPr>
              <w:spacing w:after="0"/>
              <w:rPr>
                <w:sz w:val="20"/>
                <w:szCs w:val="20"/>
                <w:color w:val="auto"/>
              </w:rPr>
            </w:pPr>
            <w:r>
              <w:rPr>
                <w:rFonts w:ascii="Arial" w:cs="Arial" w:eastAsia="Arial" w:hAnsi="Arial"/>
                <w:sz w:val="18"/>
                <w:szCs w:val="18"/>
                <w:color w:val="auto"/>
              </w:rPr>
              <w:t>Novartis Sanidad Animal SL</w:t>
            </w:r>
          </w:p>
        </w:tc>
        <w:tc>
          <w:tcPr>
            <w:tcW w:w="5220" w:type="dxa"/>
            <w:vAlign w:val="bottom"/>
          </w:tcPr>
          <w:p>
            <w:pPr>
              <w:jc w:val="center"/>
              <w:spacing w:after="0"/>
              <w:rPr>
                <w:sz w:val="20"/>
                <w:szCs w:val="20"/>
                <w:color w:val="auto"/>
              </w:rPr>
            </w:pPr>
            <w:r>
              <w:rPr>
                <w:rFonts w:ascii="Arial" w:cs="Arial" w:eastAsia="Arial" w:hAnsi="Arial"/>
                <w:sz w:val="18"/>
                <w:szCs w:val="18"/>
                <w:color w:val="auto"/>
                <w:w w:val="99"/>
              </w:rPr>
              <w:t>Spain</w:t>
            </w:r>
          </w:p>
        </w:tc>
      </w:tr>
      <w:tr>
        <w:trPr>
          <w:trHeight w:val="270"/>
        </w:trPr>
        <w:tc>
          <w:tcPr>
            <w:tcW w:w="6120" w:type="dxa"/>
            <w:vAlign w:val="bottom"/>
          </w:tcPr>
          <w:p>
            <w:pPr>
              <w:spacing w:after="0"/>
              <w:rPr>
                <w:sz w:val="20"/>
                <w:szCs w:val="20"/>
                <w:color w:val="auto"/>
              </w:rPr>
            </w:pPr>
            <w:r>
              <w:rPr>
                <w:rFonts w:ascii="Arial" w:cs="Arial" w:eastAsia="Arial" w:hAnsi="Arial"/>
                <w:sz w:val="18"/>
                <w:szCs w:val="18"/>
                <w:color w:val="auto"/>
              </w:rPr>
              <w:t>Novartis Sante Animale S.A.S.</w:t>
            </w:r>
          </w:p>
        </w:tc>
        <w:tc>
          <w:tcPr>
            <w:tcW w:w="5220" w:type="dxa"/>
            <w:vAlign w:val="bottom"/>
          </w:tcPr>
          <w:p>
            <w:pPr>
              <w:jc w:val="center"/>
              <w:spacing w:after="0"/>
              <w:rPr>
                <w:sz w:val="20"/>
                <w:szCs w:val="20"/>
                <w:color w:val="auto"/>
              </w:rPr>
            </w:pPr>
            <w:r>
              <w:rPr>
                <w:rFonts w:ascii="Arial" w:cs="Arial" w:eastAsia="Arial" w:hAnsi="Arial"/>
                <w:sz w:val="18"/>
                <w:szCs w:val="18"/>
                <w:color w:val="auto"/>
                <w:w w:val="99"/>
              </w:rPr>
              <w:t>France</w:t>
            </w:r>
          </w:p>
        </w:tc>
      </w:tr>
      <w:tr>
        <w:trPr>
          <w:trHeight w:val="270"/>
        </w:trPr>
        <w:tc>
          <w:tcPr>
            <w:tcW w:w="6120" w:type="dxa"/>
            <w:vAlign w:val="bottom"/>
          </w:tcPr>
          <w:p>
            <w:pPr>
              <w:spacing w:after="0"/>
              <w:rPr>
                <w:sz w:val="20"/>
                <w:szCs w:val="20"/>
                <w:color w:val="auto"/>
              </w:rPr>
            </w:pPr>
            <w:r>
              <w:rPr>
                <w:rFonts w:ascii="Arial" w:cs="Arial" w:eastAsia="Arial" w:hAnsi="Arial"/>
                <w:sz w:val="18"/>
                <w:szCs w:val="18"/>
                <w:color w:val="auto"/>
              </w:rPr>
              <w:t>Novartis Saude Animal Ltda.</w:t>
            </w:r>
          </w:p>
        </w:tc>
        <w:tc>
          <w:tcPr>
            <w:tcW w:w="5220" w:type="dxa"/>
            <w:vAlign w:val="bottom"/>
          </w:tcPr>
          <w:p>
            <w:pPr>
              <w:jc w:val="center"/>
              <w:spacing w:after="0"/>
              <w:rPr>
                <w:sz w:val="20"/>
                <w:szCs w:val="20"/>
                <w:color w:val="auto"/>
              </w:rPr>
            </w:pPr>
            <w:r>
              <w:rPr>
                <w:rFonts w:ascii="Arial" w:cs="Arial" w:eastAsia="Arial" w:hAnsi="Arial"/>
                <w:sz w:val="18"/>
                <w:szCs w:val="18"/>
                <w:color w:val="auto"/>
              </w:rPr>
              <w:t>Brazil</w:t>
            </w:r>
          </w:p>
        </w:tc>
      </w:tr>
      <w:tr>
        <w:trPr>
          <w:trHeight w:val="270"/>
        </w:trPr>
        <w:tc>
          <w:tcPr>
            <w:tcW w:w="6120" w:type="dxa"/>
            <w:vAlign w:val="bottom"/>
          </w:tcPr>
          <w:p>
            <w:pPr>
              <w:spacing w:after="0"/>
              <w:rPr>
                <w:sz w:val="20"/>
                <w:szCs w:val="20"/>
                <w:color w:val="auto"/>
              </w:rPr>
            </w:pPr>
            <w:r>
              <w:rPr>
                <w:rFonts w:ascii="Arial" w:cs="Arial" w:eastAsia="Arial" w:hAnsi="Arial"/>
                <w:sz w:val="18"/>
                <w:szCs w:val="18"/>
                <w:color w:val="auto"/>
              </w:rPr>
              <w:t>Novartis Tiergesundheit AG</w:t>
            </w:r>
          </w:p>
        </w:tc>
        <w:tc>
          <w:tcPr>
            <w:tcW w:w="5220" w:type="dxa"/>
            <w:vAlign w:val="bottom"/>
          </w:tcPr>
          <w:p>
            <w:pPr>
              <w:jc w:val="center"/>
              <w:spacing w:after="0"/>
              <w:rPr>
                <w:sz w:val="20"/>
                <w:szCs w:val="20"/>
                <w:color w:val="auto"/>
              </w:rPr>
            </w:pPr>
            <w:r>
              <w:rPr>
                <w:rFonts w:ascii="Arial" w:cs="Arial" w:eastAsia="Arial" w:hAnsi="Arial"/>
                <w:sz w:val="18"/>
                <w:szCs w:val="18"/>
                <w:color w:val="auto"/>
              </w:rPr>
              <w:t>Switzerland</w:t>
            </w:r>
          </w:p>
        </w:tc>
      </w:tr>
      <w:tr>
        <w:trPr>
          <w:trHeight w:val="270"/>
        </w:trPr>
        <w:tc>
          <w:tcPr>
            <w:tcW w:w="6120" w:type="dxa"/>
            <w:vAlign w:val="bottom"/>
          </w:tcPr>
          <w:p>
            <w:pPr>
              <w:spacing w:after="0"/>
              <w:rPr>
                <w:sz w:val="20"/>
                <w:szCs w:val="20"/>
                <w:color w:val="auto"/>
              </w:rPr>
            </w:pPr>
            <w:r>
              <w:rPr>
                <w:rFonts w:ascii="Arial" w:cs="Arial" w:eastAsia="Arial" w:hAnsi="Arial"/>
                <w:sz w:val="18"/>
                <w:szCs w:val="18"/>
                <w:color w:val="auto"/>
              </w:rPr>
              <w:t>Novartis Tiergesundheit GmbH</w:t>
            </w:r>
          </w:p>
        </w:tc>
        <w:tc>
          <w:tcPr>
            <w:tcW w:w="5220" w:type="dxa"/>
            <w:vAlign w:val="bottom"/>
          </w:tcPr>
          <w:p>
            <w:pPr>
              <w:jc w:val="center"/>
              <w:spacing w:after="0"/>
              <w:rPr>
                <w:sz w:val="20"/>
                <w:szCs w:val="20"/>
                <w:color w:val="auto"/>
              </w:rPr>
            </w:pPr>
            <w:r>
              <w:rPr>
                <w:rFonts w:ascii="Arial" w:cs="Arial" w:eastAsia="Arial" w:hAnsi="Arial"/>
                <w:sz w:val="18"/>
                <w:szCs w:val="18"/>
                <w:color w:val="auto"/>
                <w:w w:val="99"/>
              </w:rPr>
              <w:t>Germany</w:t>
            </w:r>
          </w:p>
        </w:tc>
      </w:tr>
      <w:tr>
        <w:trPr>
          <w:trHeight w:val="270"/>
        </w:trPr>
        <w:tc>
          <w:tcPr>
            <w:tcW w:w="6120" w:type="dxa"/>
            <w:vAlign w:val="bottom"/>
          </w:tcPr>
          <w:p>
            <w:pPr>
              <w:spacing w:after="0"/>
              <w:rPr>
                <w:sz w:val="20"/>
                <w:szCs w:val="20"/>
                <w:color w:val="auto"/>
              </w:rPr>
            </w:pPr>
            <w:r>
              <w:rPr>
                <w:rFonts w:ascii="Arial" w:cs="Arial" w:eastAsia="Arial" w:hAnsi="Arial"/>
                <w:sz w:val="18"/>
                <w:szCs w:val="18"/>
                <w:color w:val="auto"/>
              </w:rPr>
              <w:t>Novartis Veterina d.o.o.</w:t>
            </w:r>
          </w:p>
        </w:tc>
        <w:tc>
          <w:tcPr>
            <w:tcW w:w="5220" w:type="dxa"/>
            <w:vAlign w:val="bottom"/>
          </w:tcPr>
          <w:p>
            <w:pPr>
              <w:jc w:val="center"/>
              <w:spacing w:after="0"/>
              <w:rPr>
                <w:sz w:val="20"/>
                <w:szCs w:val="20"/>
                <w:color w:val="auto"/>
              </w:rPr>
            </w:pPr>
            <w:r>
              <w:rPr>
                <w:rFonts w:ascii="Arial" w:cs="Arial" w:eastAsia="Arial" w:hAnsi="Arial"/>
                <w:sz w:val="18"/>
                <w:szCs w:val="18"/>
                <w:color w:val="auto"/>
              </w:rPr>
              <w:t>Slovenia</w:t>
            </w:r>
          </w:p>
        </w:tc>
      </w:tr>
      <w:tr>
        <w:trPr>
          <w:trHeight w:val="270"/>
        </w:trPr>
        <w:tc>
          <w:tcPr>
            <w:tcW w:w="6120" w:type="dxa"/>
            <w:vAlign w:val="bottom"/>
          </w:tcPr>
          <w:p>
            <w:pPr>
              <w:spacing w:after="0"/>
              <w:rPr>
                <w:sz w:val="20"/>
                <w:szCs w:val="20"/>
                <w:color w:val="auto"/>
              </w:rPr>
            </w:pPr>
            <w:r>
              <w:rPr>
                <w:rFonts w:ascii="Arial" w:cs="Arial" w:eastAsia="Arial" w:hAnsi="Arial"/>
                <w:sz w:val="18"/>
                <w:szCs w:val="18"/>
                <w:color w:val="auto"/>
              </w:rPr>
              <w:t>ooo Lohmann Animal Health (Russia)</w:t>
            </w:r>
          </w:p>
        </w:tc>
        <w:tc>
          <w:tcPr>
            <w:tcW w:w="5220" w:type="dxa"/>
            <w:vAlign w:val="bottom"/>
          </w:tcPr>
          <w:p>
            <w:pPr>
              <w:jc w:val="center"/>
              <w:spacing w:after="0"/>
              <w:rPr>
                <w:sz w:val="20"/>
                <w:szCs w:val="20"/>
                <w:color w:val="auto"/>
              </w:rPr>
            </w:pPr>
            <w:r>
              <w:rPr>
                <w:rFonts w:ascii="Arial" w:cs="Arial" w:eastAsia="Arial" w:hAnsi="Arial"/>
                <w:sz w:val="18"/>
                <w:szCs w:val="18"/>
                <w:color w:val="auto"/>
                <w:w w:val="98"/>
              </w:rPr>
              <w:t>Russia</w:t>
            </w:r>
          </w:p>
        </w:tc>
      </w:tr>
      <w:tr>
        <w:trPr>
          <w:trHeight w:val="270"/>
        </w:trPr>
        <w:tc>
          <w:tcPr>
            <w:tcW w:w="6120" w:type="dxa"/>
            <w:vAlign w:val="bottom"/>
          </w:tcPr>
          <w:p>
            <w:pPr>
              <w:spacing w:after="0"/>
              <w:rPr>
                <w:sz w:val="20"/>
                <w:szCs w:val="20"/>
                <w:color w:val="auto"/>
              </w:rPr>
            </w:pPr>
            <w:r>
              <w:rPr>
                <w:rFonts w:ascii="Arial" w:cs="Arial" w:eastAsia="Arial" w:hAnsi="Arial"/>
                <w:sz w:val="18"/>
                <w:szCs w:val="18"/>
                <w:color w:val="auto"/>
              </w:rPr>
              <w:t>OY Eli Lilly Finland AB</w:t>
            </w:r>
          </w:p>
        </w:tc>
        <w:tc>
          <w:tcPr>
            <w:tcW w:w="5220" w:type="dxa"/>
            <w:vAlign w:val="bottom"/>
          </w:tcPr>
          <w:p>
            <w:pPr>
              <w:jc w:val="center"/>
              <w:spacing w:after="0"/>
              <w:rPr>
                <w:sz w:val="20"/>
                <w:szCs w:val="20"/>
                <w:color w:val="auto"/>
              </w:rPr>
            </w:pPr>
            <w:r>
              <w:rPr>
                <w:rFonts w:ascii="Arial" w:cs="Arial" w:eastAsia="Arial" w:hAnsi="Arial"/>
                <w:sz w:val="18"/>
                <w:szCs w:val="18"/>
                <w:color w:val="auto"/>
                <w:w w:val="98"/>
              </w:rPr>
              <w:t>Finland</w:t>
            </w:r>
          </w:p>
        </w:tc>
      </w:tr>
    </w:tbl>
    <w:p>
      <w:pPr>
        <w:sectPr>
          <w:pgSz w:w="11900" w:h="16838" w:orient="portrait"/>
          <w:cols w:equalWidth="0" w:num="1">
            <w:col w:w="11340"/>
          </w:cols>
          <w:pgMar w:left="300" w:top="746" w:right="259" w:bottom="1440" w:gutter="0" w:footer="0" w:header="0"/>
        </w:sectPr>
      </w:pPr>
    </w:p>
    <w:bookmarkStart w:id="135" w:name="page136"/>
    <w:bookmarkEnd w:id="13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120" w:type="dxa"/>
            <w:vAlign w:val="bottom"/>
          </w:tcPr>
          <w:p>
            <w:pPr>
              <w:spacing w:after="0"/>
              <w:rPr>
                <w:sz w:val="20"/>
                <w:szCs w:val="20"/>
                <w:color w:val="auto"/>
              </w:rPr>
            </w:pPr>
            <w:r>
              <w:rPr>
                <w:rFonts w:ascii="Arial" w:cs="Arial" w:eastAsia="Arial" w:hAnsi="Arial"/>
                <w:sz w:val="18"/>
                <w:szCs w:val="18"/>
                <w:color w:val="auto"/>
              </w:rPr>
              <w:t>Pharmabrand, S.A.I.C.</w:t>
            </w:r>
          </w:p>
        </w:tc>
        <w:tc>
          <w:tcPr>
            <w:tcW w:w="5220" w:type="dxa"/>
            <w:vAlign w:val="bottom"/>
          </w:tcPr>
          <w:p>
            <w:pPr>
              <w:jc w:val="center"/>
              <w:spacing w:after="0"/>
              <w:rPr>
                <w:sz w:val="20"/>
                <w:szCs w:val="20"/>
                <w:color w:val="auto"/>
              </w:rPr>
            </w:pPr>
            <w:r>
              <w:rPr>
                <w:rFonts w:ascii="Arial" w:cs="Arial" w:eastAsia="Arial" w:hAnsi="Arial"/>
                <w:sz w:val="18"/>
                <w:szCs w:val="18"/>
                <w:color w:val="auto"/>
                <w:w w:val="98"/>
              </w:rPr>
              <w:t>Greece</w:t>
            </w:r>
          </w:p>
        </w:tc>
      </w:tr>
      <w:tr>
        <w:trPr>
          <w:trHeight w:val="332"/>
        </w:trPr>
        <w:tc>
          <w:tcPr>
            <w:tcW w:w="6120" w:type="dxa"/>
            <w:vAlign w:val="bottom"/>
          </w:tcPr>
          <w:p>
            <w:pPr>
              <w:spacing w:after="0"/>
              <w:rPr>
                <w:sz w:val="24"/>
                <w:szCs w:val="24"/>
                <w:color w:val="auto"/>
              </w:rPr>
            </w:pPr>
          </w:p>
        </w:tc>
        <w:tc>
          <w:tcPr>
            <w:tcW w:w="5220" w:type="dxa"/>
            <w:vAlign w:val="bottom"/>
          </w:tcPr>
          <w:p>
            <w:pPr>
              <w:jc w:val="center"/>
              <w:spacing w:after="0"/>
              <w:rPr>
                <w:sz w:val="20"/>
                <w:szCs w:val="20"/>
                <w:color w:val="auto"/>
              </w:rPr>
            </w:pPr>
            <w:r>
              <w:rPr>
                <w:rFonts w:ascii="Arial" w:cs="Arial" w:eastAsia="Arial" w:hAnsi="Arial"/>
                <w:sz w:val="14"/>
                <w:szCs w:val="14"/>
                <w:b w:val="1"/>
                <w:bCs w:val="1"/>
                <w:color w:val="auto"/>
              </w:rPr>
              <w:t>State or Jurisdiction</w:t>
            </w:r>
          </w:p>
        </w:tc>
      </w:tr>
      <w:tr>
        <w:trPr>
          <w:trHeight w:val="162"/>
        </w:trPr>
        <w:tc>
          <w:tcPr>
            <w:tcW w:w="6120" w:type="dxa"/>
            <w:vAlign w:val="bottom"/>
          </w:tcPr>
          <w:p>
            <w:pPr>
              <w:spacing w:after="0"/>
              <w:rPr>
                <w:sz w:val="14"/>
                <w:szCs w:val="14"/>
                <w:color w:val="auto"/>
              </w:rPr>
            </w:pPr>
          </w:p>
        </w:tc>
        <w:tc>
          <w:tcPr>
            <w:tcW w:w="5220" w:type="dxa"/>
            <w:vAlign w:val="bottom"/>
          </w:tcPr>
          <w:p>
            <w:pPr>
              <w:jc w:val="center"/>
              <w:spacing w:after="0"/>
              <w:rPr>
                <w:sz w:val="20"/>
                <w:szCs w:val="20"/>
                <w:color w:val="auto"/>
              </w:rPr>
            </w:pPr>
            <w:r>
              <w:rPr>
                <w:rFonts w:ascii="Arial" w:cs="Arial" w:eastAsia="Arial" w:hAnsi="Arial"/>
                <w:sz w:val="14"/>
                <w:szCs w:val="14"/>
                <w:b w:val="1"/>
                <w:bCs w:val="1"/>
                <w:color w:val="auto"/>
              </w:rPr>
              <w:t>of Incorporation</w:t>
            </w:r>
          </w:p>
        </w:tc>
      </w:tr>
      <w:tr>
        <w:trPr>
          <w:trHeight w:val="203"/>
        </w:trPr>
        <w:tc>
          <w:tcPr>
            <w:tcW w:w="6120" w:type="dxa"/>
            <w:vAlign w:val="bottom"/>
          </w:tcPr>
          <w:p>
            <w:pPr>
              <w:spacing w:after="0"/>
              <w:rPr>
                <w:sz w:val="17"/>
                <w:szCs w:val="17"/>
                <w:color w:val="auto"/>
              </w:rPr>
            </w:pPr>
          </w:p>
        </w:tc>
        <w:tc>
          <w:tcPr>
            <w:tcW w:w="5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or Organization</w:t>
            </w:r>
          </w:p>
        </w:tc>
      </w:tr>
      <w:tr>
        <w:trPr>
          <w:trHeight w:val="363"/>
        </w:trPr>
        <w:tc>
          <w:tcPr>
            <w:tcW w:w="6120" w:type="dxa"/>
            <w:vAlign w:val="bottom"/>
          </w:tcPr>
          <w:p>
            <w:pPr>
              <w:spacing w:after="0"/>
              <w:rPr>
                <w:sz w:val="20"/>
                <w:szCs w:val="20"/>
                <w:color w:val="auto"/>
              </w:rPr>
            </w:pPr>
            <w:r>
              <w:rPr>
                <w:rFonts w:ascii="Arial" w:cs="Arial" w:eastAsia="Arial" w:hAnsi="Arial"/>
                <w:sz w:val="18"/>
                <w:szCs w:val="18"/>
                <w:color w:val="auto"/>
              </w:rPr>
              <w:t>Pharmaserve-Lilly S.A.C.I.</w:t>
            </w:r>
          </w:p>
        </w:tc>
        <w:tc>
          <w:tcPr>
            <w:tcW w:w="5220" w:type="dxa"/>
            <w:vAlign w:val="bottom"/>
          </w:tcPr>
          <w:p>
            <w:pPr>
              <w:jc w:val="center"/>
              <w:spacing w:after="0"/>
              <w:rPr>
                <w:sz w:val="20"/>
                <w:szCs w:val="20"/>
                <w:color w:val="auto"/>
              </w:rPr>
            </w:pPr>
            <w:r>
              <w:rPr>
                <w:rFonts w:ascii="Arial" w:cs="Arial" w:eastAsia="Arial" w:hAnsi="Arial"/>
                <w:sz w:val="18"/>
                <w:szCs w:val="18"/>
                <w:color w:val="auto"/>
                <w:w w:val="98"/>
              </w:rPr>
              <w:t>Greece</w:t>
            </w:r>
          </w:p>
        </w:tc>
      </w:tr>
      <w:tr>
        <w:trPr>
          <w:trHeight w:val="270"/>
        </w:trPr>
        <w:tc>
          <w:tcPr>
            <w:tcW w:w="6120" w:type="dxa"/>
            <w:vAlign w:val="bottom"/>
          </w:tcPr>
          <w:p>
            <w:pPr>
              <w:spacing w:after="0"/>
              <w:rPr>
                <w:sz w:val="20"/>
                <w:szCs w:val="20"/>
                <w:color w:val="auto"/>
              </w:rPr>
            </w:pPr>
            <w:r>
              <w:rPr>
                <w:rFonts w:ascii="Arial" w:cs="Arial" w:eastAsia="Arial" w:hAnsi="Arial"/>
                <w:sz w:val="18"/>
                <w:szCs w:val="18"/>
                <w:color w:val="auto"/>
              </w:rPr>
              <w:t>PT. Eli Lilly Indonesia</w:t>
            </w:r>
          </w:p>
        </w:tc>
        <w:tc>
          <w:tcPr>
            <w:tcW w:w="5220" w:type="dxa"/>
            <w:vAlign w:val="bottom"/>
          </w:tcPr>
          <w:p>
            <w:pPr>
              <w:jc w:val="center"/>
              <w:spacing w:after="0"/>
              <w:rPr>
                <w:sz w:val="20"/>
                <w:szCs w:val="20"/>
                <w:color w:val="auto"/>
              </w:rPr>
            </w:pPr>
            <w:r>
              <w:rPr>
                <w:rFonts w:ascii="Arial" w:cs="Arial" w:eastAsia="Arial" w:hAnsi="Arial"/>
                <w:sz w:val="18"/>
                <w:szCs w:val="18"/>
                <w:color w:val="auto"/>
                <w:w w:val="99"/>
              </w:rPr>
              <w:t>Indonesia</w:t>
            </w:r>
          </w:p>
        </w:tc>
      </w:tr>
      <w:tr>
        <w:trPr>
          <w:trHeight w:val="270"/>
        </w:trPr>
        <w:tc>
          <w:tcPr>
            <w:tcW w:w="6120" w:type="dxa"/>
            <w:vAlign w:val="bottom"/>
          </w:tcPr>
          <w:p>
            <w:pPr>
              <w:spacing w:after="0"/>
              <w:rPr>
                <w:sz w:val="20"/>
                <w:szCs w:val="20"/>
                <w:color w:val="auto"/>
              </w:rPr>
            </w:pPr>
            <w:r>
              <w:rPr>
                <w:rFonts w:ascii="Arial" w:cs="Arial" w:eastAsia="Arial" w:hAnsi="Arial"/>
                <w:sz w:val="18"/>
                <w:szCs w:val="18"/>
                <w:color w:val="auto"/>
              </w:rPr>
              <w:t>Pt. Lohmann Animal Health Indonesia</w:t>
            </w:r>
          </w:p>
        </w:tc>
        <w:tc>
          <w:tcPr>
            <w:tcW w:w="5220" w:type="dxa"/>
            <w:vAlign w:val="bottom"/>
          </w:tcPr>
          <w:p>
            <w:pPr>
              <w:jc w:val="center"/>
              <w:spacing w:after="0"/>
              <w:rPr>
                <w:sz w:val="20"/>
                <w:szCs w:val="20"/>
                <w:color w:val="auto"/>
              </w:rPr>
            </w:pPr>
            <w:r>
              <w:rPr>
                <w:rFonts w:ascii="Arial" w:cs="Arial" w:eastAsia="Arial" w:hAnsi="Arial"/>
                <w:sz w:val="18"/>
                <w:szCs w:val="18"/>
                <w:color w:val="auto"/>
                <w:w w:val="99"/>
              </w:rPr>
              <w:t>Indonesia</w:t>
            </w:r>
          </w:p>
        </w:tc>
      </w:tr>
      <w:tr>
        <w:trPr>
          <w:trHeight w:val="270"/>
        </w:trPr>
        <w:tc>
          <w:tcPr>
            <w:tcW w:w="6120" w:type="dxa"/>
            <w:vAlign w:val="bottom"/>
          </w:tcPr>
          <w:p>
            <w:pPr>
              <w:spacing w:after="0"/>
              <w:rPr>
                <w:sz w:val="20"/>
                <w:szCs w:val="20"/>
                <w:color w:val="auto"/>
              </w:rPr>
            </w:pPr>
            <w:r>
              <w:rPr>
                <w:rFonts w:ascii="Arial" w:cs="Arial" w:eastAsia="Arial" w:hAnsi="Arial"/>
                <w:sz w:val="18"/>
                <w:szCs w:val="18"/>
                <w:color w:val="auto"/>
              </w:rPr>
              <w:t>SGX Pharmaceuticals, Inc.</w:t>
            </w:r>
          </w:p>
        </w:tc>
        <w:tc>
          <w:tcPr>
            <w:tcW w:w="522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70"/>
        </w:trPr>
        <w:tc>
          <w:tcPr>
            <w:tcW w:w="6120" w:type="dxa"/>
            <w:vAlign w:val="bottom"/>
          </w:tcPr>
          <w:p>
            <w:pPr>
              <w:spacing w:after="0"/>
              <w:rPr>
                <w:sz w:val="20"/>
                <w:szCs w:val="20"/>
                <w:color w:val="auto"/>
              </w:rPr>
            </w:pPr>
            <w:r>
              <w:rPr>
                <w:rFonts w:ascii="Arial" w:cs="Arial" w:eastAsia="Arial" w:hAnsi="Arial"/>
                <w:sz w:val="18"/>
                <w:szCs w:val="18"/>
                <w:color w:val="auto"/>
              </w:rPr>
              <w:t>Spaly Bioquimica, S.A.</w:t>
            </w:r>
          </w:p>
        </w:tc>
        <w:tc>
          <w:tcPr>
            <w:tcW w:w="5220" w:type="dxa"/>
            <w:vAlign w:val="bottom"/>
          </w:tcPr>
          <w:p>
            <w:pPr>
              <w:jc w:val="center"/>
              <w:spacing w:after="0"/>
              <w:rPr>
                <w:sz w:val="20"/>
                <w:szCs w:val="20"/>
                <w:color w:val="auto"/>
              </w:rPr>
            </w:pPr>
            <w:r>
              <w:rPr>
                <w:rFonts w:ascii="Arial" w:cs="Arial" w:eastAsia="Arial" w:hAnsi="Arial"/>
                <w:sz w:val="18"/>
                <w:szCs w:val="18"/>
                <w:color w:val="auto"/>
                <w:w w:val="99"/>
              </w:rPr>
              <w:t>Spain</w:t>
            </w:r>
          </w:p>
        </w:tc>
      </w:tr>
      <w:tr>
        <w:trPr>
          <w:trHeight w:val="270"/>
        </w:trPr>
        <w:tc>
          <w:tcPr>
            <w:tcW w:w="6120" w:type="dxa"/>
            <w:vAlign w:val="bottom"/>
          </w:tcPr>
          <w:p>
            <w:pPr>
              <w:spacing w:after="0"/>
              <w:rPr>
                <w:sz w:val="20"/>
                <w:szCs w:val="20"/>
                <w:color w:val="auto"/>
              </w:rPr>
            </w:pPr>
            <w:r>
              <w:rPr>
                <w:rFonts w:ascii="Arial" w:cs="Arial" w:eastAsia="Arial" w:hAnsi="Arial"/>
                <w:sz w:val="18"/>
                <w:szCs w:val="18"/>
                <w:color w:val="auto"/>
              </w:rPr>
              <w:t>UAB Eli Lilly Lietuva</w:t>
            </w:r>
          </w:p>
        </w:tc>
        <w:tc>
          <w:tcPr>
            <w:tcW w:w="5220" w:type="dxa"/>
            <w:vAlign w:val="bottom"/>
          </w:tcPr>
          <w:p>
            <w:pPr>
              <w:jc w:val="center"/>
              <w:spacing w:after="0"/>
              <w:rPr>
                <w:sz w:val="20"/>
                <w:szCs w:val="20"/>
                <w:color w:val="auto"/>
              </w:rPr>
            </w:pPr>
            <w:r>
              <w:rPr>
                <w:rFonts w:ascii="Arial" w:cs="Arial" w:eastAsia="Arial" w:hAnsi="Arial"/>
                <w:sz w:val="18"/>
                <w:szCs w:val="18"/>
                <w:color w:val="auto"/>
              </w:rPr>
              <w:t>Lithuania</w:t>
            </w:r>
          </w:p>
        </w:tc>
      </w:tr>
      <w:tr>
        <w:trPr>
          <w:trHeight w:val="270"/>
        </w:trPr>
        <w:tc>
          <w:tcPr>
            <w:tcW w:w="6120" w:type="dxa"/>
            <w:vAlign w:val="bottom"/>
          </w:tcPr>
          <w:p>
            <w:pPr>
              <w:spacing w:after="0"/>
              <w:rPr>
                <w:sz w:val="20"/>
                <w:szCs w:val="20"/>
                <w:color w:val="auto"/>
              </w:rPr>
            </w:pPr>
            <w:r>
              <w:rPr>
                <w:rFonts w:ascii="Arial" w:cs="Arial" w:eastAsia="Arial" w:hAnsi="Arial"/>
                <w:sz w:val="18"/>
                <w:szCs w:val="18"/>
                <w:color w:val="auto"/>
              </w:rPr>
              <w:t>Vericore Limited</w:t>
            </w:r>
          </w:p>
        </w:tc>
        <w:tc>
          <w:tcPr>
            <w:tcW w:w="5220" w:type="dxa"/>
            <w:vAlign w:val="bottom"/>
          </w:tcPr>
          <w:p>
            <w:pPr>
              <w:jc w:val="center"/>
              <w:spacing w:after="0"/>
              <w:rPr>
                <w:sz w:val="20"/>
                <w:szCs w:val="20"/>
                <w:color w:val="auto"/>
              </w:rPr>
            </w:pPr>
            <w:r>
              <w:rPr>
                <w:rFonts w:ascii="Arial" w:cs="Arial" w:eastAsia="Arial" w:hAnsi="Arial"/>
                <w:sz w:val="18"/>
                <w:szCs w:val="18"/>
                <w:color w:val="auto"/>
                <w:w w:val="99"/>
              </w:rPr>
              <w:t>United Kingdom</w:t>
            </w:r>
          </w:p>
        </w:tc>
      </w:tr>
      <w:tr>
        <w:trPr>
          <w:trHeight w:val="270"/>
        </w:trPr>
        <w:tc>
          <w:tcPr>
            <w:tcW w:w="6120" w:type="dxa"/>
            <w:vAlign w:val="bottom"/>
          </w:tcPr>
          <w:p>
            <w:pPr>
              <w:spacing w:after="0"/>
              <w:rPr>
                <w:sz w:val="20"/>
                <w:szCs w:val="20"/>
                <w:color w:val="auto"/>
              </w:rPr>
            </w:pPr>
            <w:r>
              <w:rPr>
                <w:rFonts w:ascii="Arial" w:cs="Arial" w:eastAsia="Arial" w:hAnsi="Arial"/>
                <w:sz w:val="18"/>
                <w:szCs w:val="18"/>
                <w:color w:val="auto"/>
              </w:rPr>
              <w:t>Vital Pharma Productos Farmaceuticos</w:t>
            </w:r>
          </w:p>
        </w:tc>
        <w:tc>
          <w:tcPr>
            <w:tcW w:w="5220" w:type="dxa"/>
            <w:vAlign w:val="bottom"/>
          </w:tcPr>
          <w:p>
            <w:pPr>
              <w:jc w:val="center"/>
              <w:spacing w:after="0"/>
              <w:rPr>
                <w:sz w:val="20"/>
                <w:szCs w:val="20"/>
                <w:color w:val="auto"/>
              </w:rPr>
            </w:pPr>
            <w:r>
              <w:rPr>
                <w:rFonts w:ascii="Arial" w:cs="Arial" w:eastAsia="Arial" w:hAnsi="Arial"/>
                <w:sz w:val="18"/>
                <w:szCs w:val="18"/>
                <w:color w:val="auto"/>
                <w:w w:val="98"/>
              </w:rPr>
              <w:t>Portugal</w:t>
            </w:r>
          </w:p>
        </w:tc>
      </w:tr>
    </w:tbl>
    <w:p>
      <w:pPr>
        <w:sectPr>
          <w:pgSz w:w="11900" w:h="16838" w:orient="portrait"/>
          <w:cols w:equalWidth="0" w:num="1">
            <w:col w:w="11340"/>
          </w:cols>
          <w:pgMar w:left="300" w:top="738" w:right="259" w:bottom="1440" w:gutter="0" w:footer="0" w:header="0"/>
        </w:sectPr>
      </w:pPr>
    </w:p>
    <w:bookmarkStart w:id="136" w:name="page137"/>
    <w:bookmarkEnd w:id="136"/>
    <w:p>
      <w:pPr>
        <w:jc w:val="right"/>
        <w:spacing w:after="0"/>
        <w:rPr>
          <w:sz w:val="20"/>
          <w:szCs w:val="20"/>
          <w:color w:val="auto"/>
        </w:rPr>
      </w:pPr>
      <w:r>
        <w:rPr>
          <w:rFonts w:ascii="Arial" w:cs="Arial" w:eastAsia="Arial" w:hAnsi="Arial"/>
          <w:sz w:val="18"/>
          <w:szCs w:val="18"/>
          <w:b w:val="1"/>
          <w:bCs w:val="1"/>
          <w:color w:val="auto"/>
        </w:rPr>
        <w:t>Exhibit 23</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87" w:lineRule="exact"/>
        <w:rPr>
          <w:sz w:val="20"/>
          <w:szCs w:val="20"/>
          <w:color w:val="auto"/>
        </w:rPr>
      </w:pPr>
    </w:p>
    <w:p>
      <w:pPr>
        <w:ind w:right="120"/>
        <w:spacing w:after="0" w:line="374" w:lineRule="auto"/>
        <w:rPr>
          <w:sz w:val="20"/>
          <w:szCs w:val="20"/>
          <w:color w:val="auto"/>
        </w:rPr>
      </w:pPr>
      <w:r>
        <w:rPr>
          <w:rFonts w:ascii="Arial" w:cs="Arial" w:eastAsia="Arial" w:hAnsi="Arial"/>
          <w:sz w:val="18"/>
          <w:szCs w:val="18"/>
          <w:color w:val="auto"/>
        </w:rPr>
        <w:t>We consent to the incorporation by reference in the Registration Statements (Form S-3ASR No. 333-186979; and Form S-8 Nos. 333-104057 and 333-172422) of Eli Lilly and Company and subsidiaries and in the related Prospectus of our reports dated February 19, 2016, with respect to the consolidated financial statements of Eli Lilly and Company and subsidiaries, and the effectiveness of internal control over financial reporting of Eli Lilly and Company and subsidiaries, included in this Annual Report (Form 10-K) for the year ended December 31, 2015.</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/s/ Ernst and Young LLP</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Indianapolis, Indiana</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February 19, 2016</w:t>
      </w:r>
    </w:p>
    <w:p>
      <w:pPr>
        <w:sectPr>
          <w:pgSz w:w="11900" w:h="16838" w:orient="portrait"/>
          <w:cols w:equalWidth="0" w:num="1">
            <w:col w:w="11420"/>
          </w:cols>
          <w:pgMar w:left="240" w:top="385" w:right="239" w:bottom="1440" w:gutter="0" w:footer="0" w:header="0"/>
        </w:sectPr>
      </w:pPr>
    </w:p>
    <w:bookmarkStart w:id="137" w:name="page138"/>
    <w:bookmarkEnd w:id="137"/>
    <w:p>
      <w:pPr>
        <w:spacing w:after="0"/>
        <w:rPr>
          <w:sz w:val="20"/>
          <w:szCs w:val="20"/>
          <w:color w:val="auto"/>
        </w:rPr>
      </w:pPr>
      <w:r>
        <w:rPr>
          <w:rFonts w:ascii="Arial" w:cs="Arial" w:eastAsia="Arial" w:hAnsi="Arial"/>
          <w:sz w:val="18"/>
          <w:szCs w:val="18"/>
          <w:color w:val="auto"/>
        </w:rPr>
        <w:t>EXHIBIT 31.1 Rule 13a-14(a) Certification of John C. Lechleiter, Ph.D., Chairman of the Board, President, and Chief Executive Officer</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color w:val="auto"/>
        </w:rPr>
        <w:t>I, John C. Lechleiter, Ph.D., Chairman of the Board, President, and Chief Executive Officer, certify that:</w:t>
      </w:r>
    </w:p>
    <w:p>
      <w:pPr>
        <w:spacing w:after="0" w:line="90" w:lineRule="exact"/>
        <w:rPr>
          <w:sz w:val="20"/>
          <w:szCs w:val="20"/>
          <w:color w:val="auto"/>
        </w:rPr>
      </w:pPr>
    </w:p>
    <w:p>
      <w:pPr>
        <w:ind w:left="660" w:hanging="328"/>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 have reviewed this report on Form 10-K of Eli Lilly and Company;</w:t>
      </w:r>
    </w:p>
    <w:p>
      <w:pPr>
        <w:spacing w:after="0" w:line="90" w:lineRule="exact"/>
        <w:rPr>
          <w:rFonts w:ascii="Arial" w:cs="Arial" w:eastAsia="Arial" w:hAnsi="Arial"/>
          <w:sz w:val="18"/>
          <w:szCs w:val="18"/>
          <w:color w:val="auto"/>
        </w:rPr>
      </w:pPr>
    </w:p>
    <w:p>
      <w:pPr>
        <w:ind w:left="660" w:right="80" w:hanging="328"/>
        <w:spacing w:after="0" w:line="271" w:lineRule="auto"/>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8" w:lineRule="exact"/>
        <w:rPr>
          <w:rFonts w:ascii="Arial" w:cs="Arial" w:eastAsia="Arial" w:hAnsi="Arial"/>
          <w:sz w:val="18"/>
          <w:szCs w:val="18"/>
          <w:color w:val="auto"/>
        </w:rPr>
      </w:pPr>
    </w:p>
    <w:p>
      <w:pPr>
        <w:ind w:left="660" w:right="260" w:hanging="328"/>
        <w:spacing w:after="0" w:line="271" w:lineRule="auto"/>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8" w:lineRule="exact"/>
        <w:rPr>
          <w:rFonts w:ascii="Arial" w:cs="Arial" w:eastAsia="Arial" w:hAnsi="Arial"/>
          <w:sz w:val="18"/>
          <w:szCs w:val="18"/>
          <w:color w:val="auto"/>
        </w:rPr>
      </w:pPr>
    </w:p>
    <w:p>
      <w:pPr>
        <w:ind w:left="660" w:right="60" w:hanging="328"/>
        <w:spacing w:after="0" w:line="271" w:lineRule="auto"/>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8" w:lineRule="exact"/>
        <w:rPr>
          <w:sz w:val="20"/>
          <w:szCs w:val="20"/>
          <w:color w:val="auto"/>
        </w:rPr>
      </w:pPr>
    </w:p>
    <w:p>
      <w:pPr>
        <w:ind w:left="660" w:right="200" w:hanging="328"/>
        <w:spacing w:after="0" w:line="271" w:lineRule="auto"/>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8" w:lineRule="exact"/>
        <w:rPr>
          <w:rFonts w:ascii="Arial" w:cs="Arial" w:eastAsia="Arial" w:hAnsi="Arial"/>
          <w:sz w:val="18"/>
          <w:szCs w:val="18"/>
          <w:color w:val="auto"/>
        </w:rPr>
      </w:pPr>
    </w:p>
    <w:p>
      <w:pPr>
        <w:ind w:left="660" w:right="260" w:hanging="328"/>
        <w:spacing w:after="0" w:line="271" w:lineRule="auto"/>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8" w:lineRule="exact"/>
        <w:rPr>
          <w:rFonts w:ascii="Arial" w:cs="Arial" w:eastAsia="Arial" w:hAnsi="Arial"/>
          <w:sz w:val="18"/>
          <w:szCs w:val="18"/>
          <w:color w:val="auto"/>
        </w:rPr>
      </w:pPr>
    </w:p>
    <w:p>
      <w:pPr>
        <w:ind w:left="660" w:right="220" w:hanging="328"/>
        <w:spacing w:after="0" w:line="271" w:lineRule="auto"/>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8" w:lineRule="exact"/>
        <w:rPr>
          <w:rFonts w:ascii="Arial" w:cs="Arial" w:eastAsia="Arial" w:hAnsi="Arial"/>
          <w:sz w:val="18"/>
          <w:szCs w:val="18"/>
          <w:color w:val="auto"/>
        </w:rPr>
      </w:pPr>
    </w:p>
    <w:p>
      <w:pPr>
        <w:ind w:left="660" w:right="80" w:hanging="328"/>
        <w:spacing w:after="0" w:line="271" w:lineRule="auto"/>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8" w:lineRule="exact"/>
        <w:rPr>
          <w:sz w:val="20"/>
          <w:szCs w:val="20"/>
          <w:color w:val="auto"/>
        </w:rPr>
      </w:pPr>
    </w:p>
    <w:p>
      <w:pPr>
        <w:ind w:left="660" w:right="260" w:hanging="328"/>
        <w:spacing w:after="0" w:line="271" w:lineRule="auto"/>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8" w:lineRule="exact"/>
        <w:rPr>
          <w:sz w:val="20"/>
          <w:szCs w:val="20"/>
          <w:color w:val="auto"/>
        </w:rPr>
      </w:pPr>
    </w:p>
    <w:p>
      <w:pPr>
        <w:ind w:left="660" w:right="400" w:hanging="328"/>
        <w:spacing w:after="0" w:line="292" w:lineRule="auto"/>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 w:lineRule="exact"/>
        <w:rPr>
          <w:rFonts w:ascii="Arial" w:cs="Arial" w:eastAsia="Arial" w:hAnsi="Arial"/>
          <w:sz w:val="18"/>
          <w:szCs w:val="18"/>
          <w:color w:val="auto"/>
        </w:rPr>
      </w:pPr>
    </w:p>
    <w:p>
      <w:pPr>
        <w:ind w:left="660" w:hanging="328"/>
        <w:spacing w:after="0" w:line="292" w:lineRule="auto"/>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19, 2016</w:t>
      </w:r>
    </w:p>
    <w:p>
      <w:pPr>
        <w:spacing w:after="0" w:line="171" w:lineRule="exact"/>
        <w:rPr>
          <w:sz w:val="20"/>
          <w:szCs w:val="20"/>
          <w:color w:val="auto"/>
        </w:rPr>
      </w:pPr>
    </w:p>
    <w:p>
      <w:pPr>
        <w:ind w:left="40"/>
        <w:spacing w:after="0"/>
        <w:tabs>
          <w:tab w:leader="none" w:pos="6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John C. Lechleiter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391160</wp:posOffset>
            </wp:positionH>
            <wp:positionV relativeFrom="paragraph">
              <wp:posOffset>28575</wp:posOffset>
            </wp:positionV>
            <wp:extent cx="30784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078480" cy="8890"/>
                    </a:xfrm>
                    <a:prstGeom prst="rect">
                      <a:avLst/>
                    </a:prstGeom>
                    <a:noFill/>
                  </pic:spPr>
                </pic:pic>
              </a:graphicData>
            </a:graphic>
          </wp:anchor>
        </w:drawing>
      </w:r>
    </w:p>
    <w:p>
      <w:pPr>
        <w:spacing w:after="0" w:line="4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John C. Lechleiter, Ph.D.</w:t>
      </w:r>
    </w:p>
    <w:p>
      <w:pPr>
        <w:spacing w:after="0" w:line="5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Chairman of the Board, President, and</w:t>
      </w:r>
    </w:p>
    <w:p>
      <w:pPr>
        <w:spacing w:after="0" w:line="1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380"/>
          </w:cols>
          <w:pgMar w:left="240" w:top="576" w:right="279" w:bottom="1440" w:gutter="0" w:footer="0" w:header="0"/>
        </w:sectPr>
      </w:pPr>
    </w:p>
    <w:bookmarkStart w:id="138" w:name="page139"/>
    <w:bookmarkEnd w:id="138"/>
    <w:p>
      <w:pPr>
        <w:spacing w:after="0"/>
        <w:rPr>
          <w:sz w:val="20"/>
          <w:szCs w:val="20"/>
          <w:color w:val="auto"/>
        </w:rPr>
      </w:pPr>
      <w:r>
        <w:rPr>
          <w:rFonts w:ascii="Arial" w:cs="Arial" w:eastAsia="Arial" w:hAnsi="Arial"/>
          <w:sz w:val="18"/>
          <w:szCs w:val="18"/>
          <w:color w:val="auto"/>
        </w:rPr>
        <w:t>EXHIBIT 31.2 Rule 13a-14(a) Certification of Derica W. Rice, Executive Vice President, Global Services, and Chief Financial Officer</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color w:val="auto"/>
        </w:rPr>
        <w:t>I, Derica W. Rice, Executive Vice President, Global Services, and Chief Financial Officer, certify that:</w:t>
      </w:r>
    </w:p>
    <w:p>
      <w:pPr>
        <w:spacing w:after="0" w:line="90" w:lineRule="exact"/>
        <w:rPr>
          <w:sz w:val="20"/>
          <w:szCs w:val="20"/>
          <w:color w:val="auto"/>
        </w:rPr>
      </w:pPr>
    </w:p>
    <w:p>
      <w:pPr>
        <w:ind w:left="660" w:hanging="328"/>
        <w:spacing w:after="0"/>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 have reviewed this report on Form 10-K of Eli Lilly and Company;</w:t>
      </w:r>
    </w:p>
    <w:p>
      <w:pPr>
        <w:spacing w:after="0" w:line="90" w:lineRule="exact"/>
        <w:rPr>
          <w:rFonts w:ascii="Arial" w:cs="Arial" w:eastAsia="Arial" w:hAnsi="Arial"/>
          <w:sz w:val="18"/>
          <w:szCs w:val="18"/>
          <w:color w:val="auto"/>
        </w:rPr>
      </w:pPr>
    </w:p>
    <w:p>
      <w:pPr>
        <w:ind w:left="660" w:right="80" w:hanging="328"/>
        <w:spacing w:after="0" w:line="271" w:lineRule="auto"/>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8" w:lineRule="exact"/>
        <w:rPr>
          <w:rFonts w:ascii="Arial" w:cs="Arial" w:eastAsia="Arial" w:hAnsi="Arial"/>
          <w:sz w:val="18"/>
          <w:szCs w:val="18"/>
          <w:color w:val="auto"/>
        </w:rPr>
      </w:pPr>
    </w:p>
    <w:p>
      <w:pPr>
        <w:ind w:left="660" w:right="260" w:hanging="328"/>
        <w:spacing w:after="0" w:line="271" w:lineRule="auto"/>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8" w:lineRule="exact"/>
        <w:rPr>
          <w:rFonts w:ascii="Arial" w:cs="Arial" w:eastAsia="Arial" w:hAnsi="Arial"/>
          <w:sz w:val="18"/>
          <w:szCs w:val="18"/>
          <w:color w:val="auto"/>
        </w:rPr>
      </w:pPr>
    </w:p>
    <w:p>
      <w:pPr>
        <w:ind w:left="660" w:right="60" w:hanging="328"/>
        <w:spacing w:after="0" w:line="271" w:lineRule="auto"/>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8" w:lineRule="exact"/>
        <w:rPr>
          <w:sz w:val="20"/>
          <w:szCs w:val="20"/>
          <w:color w:val="auto"/>
        </w:rPr>
      </w:pPr>
    </w:p>
    <w:p>
      <w:pPr>
        <w:ind w:left="660" w:right="200" w:hanging="328"/>
        <w:spacing w:after="0" w:line="271" w:lineRule="auto"/>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8" w:lineRule="exact"/>
        <w:rPr>
          <w:rFonts w:ascii="Arial" w:cs="Arial" w:eastAsia="Arial" w:hAnsi="Arial"/>
          <w:sz w:val="18"/>
          <w:szCs w:val="18"/>
          <w:color w:val="auto"/>
        </w:rPr>
      </w:pPr>
    </w:p>
    <w:p>
      <w:pPr>
        <w:ind w:left="660" w:right="260" w:hanging="328"/>
        <w:spacing w:after="0" w:line="271" w:lineRule="auto"/>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8" w:lineRule="exact"/>
        <w:rPr>
          <w:rFonts w:ascii="Arial" w:cs="Arial" w:eastAsia="Arial" w:hAnsi="Arial"/>
          <w:sz w:val="18"/>
          <w:szCs w:val="18"/>
          <w:color w:val="auto"/>
        </w:rPr>
      </w:pPr>
    </w:p>
    <w:p>
      <w:pPr>
        <w:ind w:left="660" w:right="220" w:hanging="328"/>
        <w:spacing w:after="0" w:line="271" w:lineRule="auto"/>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8" w:lineRule="exact"/>
        <w:rPr>
          <w:rFonts w:ascii="Arial" w:cs="Arial" w:eastAsia="Arial" w:hAnsi="Arial"/>
          <w:sz w:val="18"/>
          <w:szCs w:val="18"/>
          <w:color w:val="auto"/>
        </w:rPr>
      </w:pPr>
    </w:p>
    <w:p>
      <w:pPr>
        <w:ind w:left="660" w:right="80" w:hanging="328"/>
        <w:spacing w:after="0" w:line="271" w:lineRule="auto"/>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8" w:lineRule="exact"/>
        <w:rPr>
          <w:sz w:val="20"/>
          <w:szCs w:val="20"/>
          <w:color w:val="auto"/>
        </w:rPr>
      </w:pPr>
    </w:p>
    <w:p>
      <w:pPr>
        <w:ind w:left="660" w:right="260" w:hanging="328"/>
        <w:spacing w:after="0" w:line="271" w:lineRule="auto"/>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8" w:lineRule="exact"/>
        <w:rPr>
          <w:sz w:val="20"/>
          <w:szCs w:val="20"/>
          <w:color w:val="auto"/>
        </w:rPr>
      </w:pPr>
    </w:p>
    <w:p>
      <w:pPr>
        <w:ind w:left="660" w:right="400" w:hanging="328"/>
        <w:spacing w:after="0" w:line="292" w:lineRule="auto"/>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 w:lineRule="exact"/>
        <w:rPr>
          <w:rFonts w:ascii="Arial" w:cs="Arial" w:eastAsia="Arial" w:hAnsi="Arial"/>
          <w:sz w:val="18"/>
          <w:szCs w:val="18"/>
          <w:color w:val="auto"/>
        </w:rPr>
      </w:pPr>
    </w:p>
    <w:p>
      <w:pPr>
        <w:ind w:left="660" w:hanging="328"/>
        <w:spacing w:after="0" w:line="292" w:lineRule="auto"/>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19, 2016</w:t>
      </w:r>
    </w:p>
    <w:p>
      <w:pPr>
        <w:spacing w:after="0" w:line="171" w:lineRule="exact"/>
        <w:rPr>
          <w:sz w:val="20"/>
          <w:szCs w:val="20"/>
          <w:color w:val="auto"/>
        </w:rPr>
      </w:pPr>
    </w:p>
    <w:p>
      <w:pPr>
        <w:ind w:left="40"/>
        <w:spacing w:after="0"/>
        <w:tabs>
          <w:tab w:leader="none" w:pos="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Derica W. 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28575</wp:posOffset>
            </wp:positionV>
            <wp:extent cx="300164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001645" cy="8890"/>
                    </a:xfrm>
                    <a:prstGeom prst="rect">
                      <a:avLst/>
                    </a:prstGeom>
                    <a:noFill/>
                  </pic:spPr>
                </pic:pic>
              </a:graphicData>
            </a:graphic>
          </wp:anchor>
        </w:drawing>
      </w:r>
    </w:p>
    <w:p>
      <w:pPr>
        <w:spacing w:after="0" w:line="43" w:lineRule="exact"/>
        <w:rPr>
          <w:sz w:val="20"/>
          <w:szCs w:val="20"/>
          <w:color w:val="auto"/>
        </w:rPr>
      </w:pPr>
    </w:p>
    <w:p>
      <w:pPr>
        <w:ind w:left="620"/>
        <w:spacing w:after="0"/>
        <w:rPr>
          <w:sz w:val="20"/>
          <w:szCs w:val="20"/>
          <w:color w:val="auto"/>
        </w:rPr>
      </w:pPr>
      <w:r>
        <w:rPr>
          <w:rFonts w:ascii="Arial" w:cs="Arial" w:eastAsia="Arial" w:hAnsi="Arial"/>
          <w:sz w:val="18"/>
          <w:szCs w:val="18"/>
          <w:color w:val="auto"/>
        </w:rPr>
        <w:t>Derica W. Rice</w:t>
      </w:r>
    </w:p>
    <w:p>
      <w:pPr>
        <w:spacing w:after="0" w:line="5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Executive Vice President, Global Services, and Chief</w:t>
      </w:r>
    </w:p>
    <w:p>
      <w:pPr>
        <w:spacing w:after="0" w:line="18" w:lineRule="exact"/>
        <w:rPr>
          <w:sz w:val="20"/>
          <w:szCs w:val="20"/>
          <w:color w:val="auto"/>
        </w:rPr>
      </w:pPr>
    </w:p>
    <w:p>
      <w:pPr>
        <w:ind w:left="620"/>
        <w:spacing w:after="0"/>
        <w:rPr>
          <w:sz w:val="20"/>
          <w:szCs w:val="20"/>
          <w:color w:val="auto"/>
        </w:rPr>
      </w:pPr>
      <w:r>
        <w:rPr>
          <w:rFonts w:ascii="Arial" w:cs="Arial" w:eastAsia="Arial" w:hAnsi="Arial"/>
          <w:sz w:val="18"/>
          <w:szCs w:val="18"/>
          <w:color w:val="auto"/>
        </w:rPr>
        <w:t>Financial Officer</w:t>
      </w:r>
    </w:p>
    <w:p>
      <w:pPr>
        <w:sectPr>
          <w:pgSz w:w="11900" w:h="16838" w:orient="portrait"/>
          <w:cols w:equalWidth="0" w:num="1">
            <w:col w:w="11380"/>
          </w:cols>
          <w:pgMar w:left="240" w:top="576" w:right="279" w:bottom="1440" w:gutter="0" w:footer="0" w:header="0"/>
        </w:sectPr>
      </w:pPr>
    </w:p>
    <w:bookmarkStart w:id="139" w:name="page140"/>
    <w:bookmarkEnd w:id="139"/>
    <w:p>
      <w:pPr>
        <w:spacing w:after="0"/>
        <w:rPr>
          <w:sz w:val="20"/>
          <w:szCs w:val="20"/>
          <w:color w:val="auto"/>
        </w:rPr>
      </w:pPr>
      <w:r>
        <w:rPr>
          <w:rFonts w:ascii="Arial" w:cs="Arial" w:eastAsia="Arial" w:hAnsi="Arial"/>
          <w:sz w:val="18"/>
          <w:szCs w:val="18"/>
          <w:color w:val="auto"/>
        </w:rPr>
        <w:t>EXHIBIT 32 Section 1350 Certification</w:t>
      </w:r>
    </w:p>
    <w:p>
      <w:pPr>
        <w:spacing w:after="0" w:line="171"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Pursuant to section 906 of the Sarbanes-Oxley Act of 2002 (subsections (a) and (b) of section 1350, chapter 63 of title 18, United States Code), each of the undersigned officers of Eli Lilly and Company, an Indiana corporation (the “Company”), does hereby certify that, to the best of his knowledge:</w:t>
      </w:r>
    </w:p>
    <w:p>
      <w:pPr>
        <w:spacing w:after="0" w:line="109"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The Annual Report on Form 10-K for the year ended December 31, 2015 (the “Form 10-K”) of the Company fully complies with the requirements of section 13(a) or 15(d) of the Securities Exchange Act of 1934 and information contained in the Form 10-K fairly presents, in all material respects, the financial condition and results of operations of the Company.</w:t>
      </w:r>
    </w:p>
    <w:p>
      <w:pPr>
        <w:spacing w:after="0" w:line="298" w:lineRule="exact"/>
        <w:rPr>
          <w:sz w:val="20"/>
          <w:szCs w:val="20"/>
          <w:color w:val="auto"/>
        </w:rPr>
      </w:pPr>
    </w:p>
    <w:p>
      <w:pPr>
        <w:ind w:left="240"/>
        <w:spacing w:after="0"/>
        <w:tabs>
          <w:tab w:leader="none" w:pos="5500" w:val="left"/>
        </w:tabs>
        <w:rPr>
          <w:sz w:val="20"/>
          <w:szCs w:val="20"/>
          <w:color w:val="auto"/>
        </w:rPr>
      </w:pPr>
      <w:r>
        <w:rPr>
          <w:rFonts w:ascii="Arial" w:cs="Arial" w:eastAsia="Arial" w:hAnsi="Arial"/>
          <w:sz w:val="18"/>
          <w:szCs w:val="18"/>
          <w:color w:val="auto"/>
        </w:rPr>
        <w:t>Date: February 19, 2016</w:t>
      </w:r>
      <w:r>
        <w:rPr>
          <w:sz w:val="20"/>
          <w:szCs w:val="20"/>
          <w:color w:val="auto"/>
        </w:rPr>
        <w:tab/>
      </w:r>
      <w:r>
        <w:rPr>
          <w:rFonts w:ascii="Arial" w:cs="Arial" w:eastAsia="Arial" w:hAnsi="Arial"/>
          <w:sz w:val="17"/>
          <w:szCs w:val="17"/>
          <w:color w:val="auto"/>
        </w:rPr>
        <w:t>/s/ John C. Lechleiter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3418205</wp:posOffset>
            </wp:positionH>
            <wp:positionV relativeFrom="paragraph">
              <wp:posOffset>28575</wp:posOffset>
            </wp:positionV>
            <wp:extent cx="383349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833495" cy="8890"/>
                    </a:xfrm>
                    <a:prstGeom prst="rect">
                      <a:avLst/>
                    </a:prstGeom>
                    <a:noFill/>
                  </pic:spPr>
                </pic:pic>
              </a:graphicData>
            </a:graphic>
          </wp:anchor>
        </w:drawing>
      </w:r>
    </w:p>
    <w:p>
      <w:pPr>
        <w:spacing w:after="0" w:line="4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John C. Lechleiter, Ph.D.</w:t>
      </w:r>
    </w:p>
    <w:p>
      <w:pPr>
        <w:spacing w:after="0" w:line="50"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Chairman of the Board, President, and</w:t>
      </w:r>
    </w:p>
    <w:p>
      <w:pPr>
        <w:spacing w:after="0" w:line="18"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Chief Executive Officer</w:t>
      </w:r>
    </w:p>
    <w:p>
      <w:pPr>
        <w:spacing w:after="0" w:line="365" w:lineRule="exact"/>
        <w:rPr>
          <w:sz w:val="20"/>
          <w:szCs w:val="20"/>
          <w:color w:val="auto"/>
        </w:rPr>
      </w:pPr>
    </w:p>
    <w:p>
      <w:pPr>
        <w:ind w:left="240"/>
        <w:spacing w:after="0"/>
        <w:tabs>
          <w:tab w:leader="none" w:pos="5500" w:val="left"/>
        </w:tabs>
        <w:rPr>
          <w:sz w:val="20"/>
          <w:szCs w:val="20"/>
          <w:color w:val="auto"/>
        </w:rPr>
      </w:pPr>
      <w:r>
        <w:rPr>
          <w:rFonts w:ascii="Arial" w:cs="Arial" w:eastAsia="Arial" w:hAnsi="Arial"/>
          <w:sz w:val="18"/>
          <w:szCs w:val="18"/>
          <w:color w:val="auto"/>
        </w:rPr>
        <w:t>Date: February 19, 2016</w:t>
      </w:r>
      <w:r>
        <w:rPr>
          <w:sz w:val="20"/>
          <w:szCs w:val="20"/>
          <w:color w:val="auto"/>
        </w:rPr>
        <w:tab/>
      </w:r>
      <w:r>
        <w:rPr>
          <w:rFonts w:ascii="Arial" w:cs="Arial" w:eastAsia="Arial" w:hAnsi="Arial"/>
          <w:sz w:val="17"/>
          <w:szCs w:val="17"/>
          <w:color w:val="auto"/>
        </w:rPr>
        <w:t>/s/ Derica W. 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3418205</wp:posOffset>
            </wp:positionH>
            <wp:positionV relativeFrom="paragraph">
              <wp:posOffset>28575</wp:posOffset>
            </wp:positionV>
            <wp:extent cx="383349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833495" cy="8890"/>
                    </a:xfrm>
                    <a:prstGeom prst="rect">
                      <a:avLst/>
                    </a:prstGeom>
                    <a:noFill/>
                  </pic:spPr>
                </pic:pic>
              </a:graphicData>
            </a:graphic>
          </wp:anchor>
        </w:drawing>
      </w:r>
    </w:p>
    <w:p>
      <w:pPr>
        <w:spacing w:after="0" w:line="4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Derica W. Rice</w:t>
      </w:r>
    </w:p>
    <w:p>
      <w:pPr>
        <w:spacing w:after="0" w:line="50"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Executive Vice President, Global Services and</w:t>
      </w:r>
    </w:p>
    <w:p>
      <w:pPr>
        <w:spacing w:after="0" w:line="18"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340"/>
      </w:cols>
      <w:pgMar w:left="240" w:top="576"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5A06FB"/>
    <w:multiLevelType w:val="hybridMultilevel"/>
    <w:lvl w:ilvl="0">
      <w:lvlJc w:val="left"/>
      <w:lvlText w:val="(%1)"/>
      <w:numFmt w:val="decimal"/>
      <w:start w:val="317"/>
    </w:lvl>
  </w:abstractNum>
  <w:abstractNum w:abstractNumId="1">
    <w:nsid w:val="2CD89A32"/>
    <w:multiLevelType w:val="hybridMultilevel"/>
    <w:lvl w:ilvl="0">
      <w:lvlJc w:val="left"/>
      <w:lvlText w:val="•"/>
      <w:numFmt w:val="bullet"/>
      <w:start w:val="1"/>
    </w:lvl>
  </w:abstractNum>
  <w:abstractNum w:abstractNumId="2">
    <w:nsid w:val="57E4CCAF"/>
    <w:multiLevelType w:val="hybridMultilevel"/>
    <w:lvl w:ilvl="0">
      <w:lvlJc w:val="left"/>
      <w:lvlText w:val="•"/>
      <w:numFmt w:val="bullet"/>
      <w:start w:val="1"/>
    </w:lvl>
  </w:abstractNum>
  <w:abstractNum w:abstractNumId="3">
    <w:nsid w:val="7A6D8D3C"/>
    <w:multiLevelType w:val="hybridMultilevel"/>
    <w:lvl w:ilvl="0">
      <w:lvlJc w:val="left"/>
      <w:lvlText w:val="•"/>
      <w:numFmt w:val="bullet"/>
      <w:start w:val="1"/>
    </w:lvl>
  </w:abstractNum>
  <w:abstractNum w:abstractNumId="4">
    <w:nsid w:val="4B588F54"/>
    <w:multiLevelType w:val="hybridMultilevel"/>
    <w:lvl w:ilvl="0">
      <w:lvlJc w:val="left"/>
      <w:lvlText w:val="•"/>
      <w:numFmt w:val="bullet"/>
      <w:start w:val="1"/>
    </w:lvl>
  </w:abstractNum>
  <w:abstractNum w:abstractNumId="5">
    <w:nsid w:val="542289EC"/>
    <w:multiLevelType w:val="hybridMultilevel"/>
    <w:lvl w:ilvl="0">
      <w:lvlJc w:val="left"/>
      <w:lvlText w:val="•"/>
      <w:numFmt w:val="bullet"/>
      <w:start w:val="1"/>
    </w:lvl>
    <w:lvl w:ilvl="1">
      <w:lvlJc w:val="left"/>
      <w:lvlText w:val="◦"/>
      <w:numFmt w:val="bullet"/>
      <w:start w:val="1"/>
    </w:lvl>
  </w:abstractNum>
  <w:abstractNum w:abstractNumId="6">
    <w:nsid w:val="6DE91B18"/>
    <w:multiLevelType w:val="hybridMultilevel"/>
    <w:lvl w:ilvl="0">
      <w:lvlJc w:val="left"/>
      <w:lvlText w:val="•"/>
      <w:numFmt w:val="bullet"/>
      <w:start w:val="1"/>
    </w:lvl>
  </w:abstractNum>
  <w:abstractNum w:abstractNumId="7">
    <w:nsid w:val="38437FDB"/>
    <w:multiLevelType w:val="hybridMultilevel"/>
    <w:lvl w:ilvl="0">
      <w:lvlJc w:val="left"/>
      <w:lvlText w:val="•"/>
      <w:numFmt w:val="bullet"/>
      <w:start w:val="1"/>
    </w:lvl>
  </w:abstractNum>
  <w:abstractNum w:abstractNumId="8">
    <w:nsid w:val="7644A45C"/>
    <w:multiLevelType w:val="hybridMultilevel"/>
    <w:lvl w:ilvl="0">
      <w:lvlJc w:val="left"/>
      <w:lvlText w:val="•"/>
      <w:numFmt w:val="bullet"/>
      <w:start w:val="1"/>
    </w:lvl>
  </w:abstractNum>
  <w:abstractNum w:abstractNumId="9">
    <w:nsid w:val="32FFF902"/>
    <w:multiLevelType w:val="hybridMultilevel"/>
    <w:lvl w:ilvl="0">
      <w:lvlJc w:val="left"/>
      <w:lvlText w:val="•"/>
      <w:numFmt w:val="bullet"/>
      <w:start w:val="1"/>
    </w:lvl>
  </w:abstractNum>
  <w:abstractNum w:abstractNumId="10">
    <w:nsid w:val="684A481A"/>
    <w:multiLevelType w:val="hybridMultilevel"/>
    <w:lvl w:ilvl="0">
      <w:lvlJc w:val="left"/>
      <w:lvlText w:val="•"/>
      <w:numFmt w:val="bullet"/>
      <w:start w:val="1"/>
    </w:lvl>
  </w:abstractNum>
  <w:abstractNum w:abstractNumId="11">
    <w:nsid w:val="579478FE"/>
    <w:multiLevelType w:val="hybridMultilevel"/>
    <w:lvl w:ilvl="0">
      <w:lvlJc w:val="left"/>
      <w:lvlText w:val="•"/>
      <w:numFmt w:val="bullet"/>
      <w:start w:val="1"/>
    </w:lvl>
  </w:abstractNum>
  <w:abstractNum w:abstractNumId="12">
    <w:nsid w:val="749ABB43"/>
    <w:multiLevelType w:val="hybridMultilevel"/>
    <w:lvl w:ilvl="0">
      <w:lvlJc w:val="left"/>
      <w:lvlText w:val="•"/>
      <w:numFmt w:val="bullet"/>
      <w:start w:val="1"/>
    </w:lvl>
  </w:abstractNum>
  <w:abstractNum w:abstractNumId="13">
    <w:nsid w:val="3DC240FB"/>
    <w:multiLevelType w:val="hybridMultilevel"/>
    <w:lvl w:ilvl="0">
      <w:lvlJc w:val="left"/>
      <w:lvlText w:val="•"/>
      <w:numFmt w:val="bullet"/>
      <w:start w:val="1"/>
    </w:lvl>
  </w:abstractNum>
  <w:abstractNum w:abstractNumId="14">
    <w:nsid w:val="1BA026FA"/>
    <w:multiLevelType w:val="hybridMultilevel"/>
    <w:lvl w:ilvl="0">
      <w:lvlJc w:val="left"/>
      <w:lvlText w:val="•"/>
      <w:numFmt w:val="bullet"/>
      <w:start w:val="1"/>
    </w:lvl>
  </w:abstractNum>
  <w:abstractNum w:abstractNumId="15">
    <w:nsid w:val="79A1DEAA"/>
    <w:multiLevelType w:val="hybridMultilevel"/>
    <w:lvl w:ilvl="0">
      <w:lvlJc w:val="left"/>
      <w:lvlText w:val="•"/>
      <w:numFmt w:val="bullet"/>
      <w:start w:val="1"/>
    </w:lvl>
  </w:abstractNum>
  <w:abstractNum w:abstractNumId="16">
    <w:nsid w:val="75C6C33A"/>
    <w:multiLevelType w:val="hybridMultilevel"/>
    <w:lvl w:ilvl="0">
      <w:lvlJc w:val="left"/>
      <w:lvlText w:val="•"/>
      <w:numFmt w:val="bullet"/>
      <w:start w:val="1"/>
    </w:lvl>
  </w:abstractNum>
  <w:abstractNum w:abstractNumId="17">
    <w:nsid w:val="12E685FB"/>
    <w:multiLevelType w:val="hybridMultilevel"/>
    <w:lvl w:ilvl="0">
      <w:lvlJc w:val="left"/>
      <w:lvlText w:val="•"/>
      <w:numFmt w:val="bullet"/>
      <w:start w:val="1"/>
    </w:lvl>
  </w:abstractNum>
  <w:abstractNum w:abstractNumId="18">
    <w:nsid w:val="70C6A529"/>
    <w:multiLevelType w:val="hybridMultilevel"/>
    <w:lvl w:ilvl="0">
      <w:lvlJc w:val="left"/>
      <w:lvlText w:val="•"/>
      <w:numFmt w:val="bullet"/>
      <w:start w:val="1"/>
    </w:lvl>
  </w:abstractNum>
  <w:abstractNum w:abstractNumId="19">
    <w:nsid w:val="520EEDD1"/>
    <w:multiLevelType w:val="hybridMultilevel"/>
    <w:lvl w:ilvl="0">
      <w:lvlJc w:val="left"/>
      <w:lvlText w:val="•"/>
      <w:numFmt w:val="bullet"/>
      <w:start w:val="1"/>
    </w:lvl>
    <w:lvl w:ilvl="1">
      <w:lvlJc w:val="left"/>
      <w:lvlText w:val="•"/>
      <w:numFmt w:val="bullet"/>
      <w:start w:val="1"/>
    </w:lvl>
  </w:abstractNum>
  <w:abstractNum w:abstractNumId="20">
    <w:nsid w:val="374A3FE6"/>
    <w:multiLevelType w:val="hybridMultilevel"/>
    <w:lvl w:ilvl="0">
      <w:lvlJc w:val="left"/>
      <w:lvlText w:val="•"/>
      <w:numFmt w:val="bullet"/>
      <w:start w:val="1"/>
    </w:lvl>
  </w:abstractNum>
  <w:abstractNum w:abstractNumId="21">
    <w:nsid w:val="4F4EF005"/>
    <w:multiLevelType w:val="hybridMultilevel"/>
    <w:lvl w:ilvl="0">
      <w:lvlJc w:val="left"/>
      <w:lvlText w:val="•"/>
      <w:numFmt w:val="bullet"/>
      <w:start w:val="1"/>
    </w:lvl>
  </w:abstractNum>
  <w:abstractNum w:abstractNumId="22">
    <w:nsid w:val="23F9C13C"/>
    <w:multiLevelType w:val="hybridMultilevel"/>
    <w:lvl w:ilvl="0">
      <w:lvlJc w:val="left"/>
      <w:lvlText w:val="•"/>
      <w:numFmt w:val="bullet"/>
      <w:start w:val="1"/>
    </w:lvl>
  </w:abstractNum>
  <w:abstractNum w:abstractNumId="23">
    <w:nsid w:val="649BB77C"/>
    <w:multiLevelType w:val="hybridMultilevel"/>
    <w:lvl w:ilvl="0">
      <w:lvlJc w:val="left"/>
      <w:lvlText w:val="•"/>
      <w:numFmt w:val="bullet"/>
      <w:start w:val="1"/>
    </w:lvl>
  </w:abstractNum>
  <w:abstractNum w:abstractNumId="24">
    <w:nsid w:val="275AC794"/>
    <w:multiLevelType w:val="hybridMultilevel"/>
    <w:lvl w:ilvl="0">
      <w:lvlJc w:val="left"/>
      <w:lvlText w:val="•"/>
      <w:numFmt w:val="bullet"/>
      <w:start w:val="1"/>
    </w:lvl>
  </w:abstractNum>
  <w:abstractNum w:abstractNumId="25">
    <w:nsid w:val="39386575"/>
    <w:multiLevelType w:val="hybridMultilevel"/>
    <w:lvl w:ilvl="0">
      <w:lvlJc w:val="left"/>
      <w:lvlText w:val="•"/>
      <w:numFmt w:val="bullet"/>
      <w:start w:val="1"/>
    </w:lvl>
  </w:abstractNum>
  <w:abstractNum w:abstractNumId="26">
    <w:nsid w:val="1CF10FD8"/>
    <w:multiLevelType w:val="hybridMultilevel"/>
    <w:lvl w:ilvl="0">
      <w:lvlJc w:val="left"/>
      <w:lvlText w:val="•"/>
      <w:numFmt w:val="bullet"/>
      <w:start w:val="1"/>
    </w:lvl>
  </w:abstractNum>
  <w:abstractNum w:abstractNumId="27">
    <w:nsid w:val="180115BE"/>
    <w:multiLevelType w:val="hybridMultilevel"/>
    <w:lvl w:ilvl="0">
      <w:lvlJc w:val="left"/>
      <w:lvlText w:val="•"/>
      <w:numFmt w:val="bullet"/>
      <w:start w:val="1"/>
    </w:lvl>
  </w:abstractNum>
  <w:abstractNum w:abstractNumId="28">
    <w:nsid w:val="235BA861"/>
    <w:multiLevelType w:val="hybridMultilevel"/>
    <w:lvl w:ilvl="0">
      <w:lvlJc w:val="left"/>
      <w:lvlText w:val="(%1)"/>
      <w:numFmt w:val="decimal"/>
      <w:start w:val="1"/>
    </w:lvl>
  </w:abstractNum>
  <w:abstractNum w:abstractNumId="29">
    <w:nsid w:val="47398C89"/>
    <w:multiLevelType w:val="hybridMultilevel"/>
    <w:lvl w:ilvl="0">
      <w:lvlJc w:val="left"/>
      <w:lvlText w:val="(%1)"/>
      <w:numFmt w:val="decimal"/>
      <w:start w:val="1"/>
    </w:lvl>
  </w:abstractNum>
  <w:abstractNum w:abstractNumId="30">
    <w:nsid w:val="354FE9F9"/>
    <w:multiLevelType w:val="hybridMultilevel"/>
    <w:lvl w:ilvl="0">
      <w:lvlJc w:val="left"/>
      <w:lvlText w:val="(%1)"/>
      <w:numFmt w:val="decimal"/>
      <w:start w:val="1"/>
    </w:lvl>
  </w:abstractNum>
  <w:abstractNum w:abstractNumId="31">
    <w:nsid w:val="15B5AF5C"/>
    <w:multiLevelType w:val="hybridMultilevel"/>
    <w:lvl w:ilvl="0">
      <w:lvlJc w:val="left"/>
      <w:lvlText w:val="•"/>
      <w:numFmt w:val="bullet"/>
      <w:start w:val="1"/>
    </w:lvl>
  </w:abstractNum>
  <w:abstractNum w:abstractNumId="32">
    <w:nsid w:val="741226BB"/>
    <w:multiLevelType w:val="hybridMultilevel"/>
    <w:lvl w:ilvl="0">
      <w:lvlJc w:val="left"/>
      <w:lvlText w:val="•"/>
      <w:numFmt w:val="bullet"/>
      <w:start w:val="1"/>
    </w:lvl>
  </w:abstractNum>
  <w:abstractNum w:abstractNumId="33">
    <w:nsid w:val="D34B6A8"/>
    <w:multiLevelType w:val="hybridMultilevel"/>
    <w:lvl w:ilvl="0">
      <w:lvlJc w:val="left"/>
      <w:lvlText w:val="•"/>
      <w:numFmt w:val="bullet"/>
      <w:start w:val="1"/>
    </w:lvl>
  </w:abstractNum>
  <w:abstractNum w:abstractNumId="34">
    <w:nsid w:val="10233C99"/>
    <w:multiLevelType w:val="hybridMultilevel"/>
    <w:lvl w:ilvl="0">
      <w:lvlJc w:val="left"/>
      <w:lvlText w:val="•"/>
      <w:numFmt w:val="bullet"/>
      <w:start w:val="1"/>
    </w:lvl>
  </w:abstractNum>
  <w:abstractNum w:abstractNumId="35">
    <w:nsid w:val="3F6AB60F"/>
    <w:multiLevelType w:val="hybridMultilevel"/>
    <w:lvl w:ilvl="0">
      <w:lvlJc w:val="left"/>
      <w:lvlText w:val="•"/>
      <w:numFmt w:val="bullet"/>
      <w:start w:val="1"/>
    </w:lvl>
  </w:abstractNum>
  <w:abstractNum w:abstractNumId="36">
    <w:nsid w:val="61574095"/>
    <w:multiLevelType w:val="hybridMultilevel"/>
    <w:lvl w:ilvl="0">
      <w:lvlJc w:val="left"/>
      <w:lvlText w:val="•"/>
      <w:numFmt w:val="bullet"/>
      <w:start w:val="1"/>
    </w:lvl>
  </w:abstractNum>
  <w:abstractNum w:abstractNumId="37">
    <w:nsid w:val="7E0C57B1"/>
    <w:multiLevelType w:val="hybridMultilevel"/>
    <w:lvl w:ilvl="0">
      <w:lvlJc w:val="left"/>
      <w:lvlText w:val="•"/>
      <w:numFmt w:val="bullet"/>
      <w:start w:val="1"/>
    </w:lvl>
  </w:abstractNum>
  <w:abstractNum w:abstractNumId="38">
    <w:nsid w:val="77AE35EB"/>
    <w:multiLevelType w:val="hybridMultilevel"/>
    <w:lvl w:ilvl="0">
      <w:lvlJc w:val="left"/>
      <w:lvlText w:val="•"/>
      <w:numFmt w:val="bullet"/>
      <w:start w:val="1"/>
    </w:lvl>
  </w:abstractNum>
  <w:abstractNum w:abstractNumId="39">
    <w:nsid w:val="579BE4F1"/>
    <w:multiLevelType w:val="hybridMultilevel"/>
    <w:lvl w:ilvl="0">
      <w:lvlJc w:val="left"/>
      <w:lvlText w:val="*"/>
      <w:numFmt w:val="bullet"/>
      <w:start w:val="1"/>
    </w:lvl>
  </w:abstractNum>
  <w:abstractNum w:abstractNumId="40">
    <w:nsid w:val="310C50B3"/>
    <w:multiLevelType w:val="hybridMultilevel"/>
    <w:lvl w:ilvl="0">
      <w:lvlJc w:val="left"/>
      <w:lvlText w:val="(%1)"/>
      <w:numFmt w:val="decimal"/>
      <w:start w:val="1"/>
    </w:lvl>
  </w:abstractNum>
  <w:abstractNum w:abstractNumId="41">
    <w:nsid w:val="5FF87E05"/>
    <w:multiLevelType w:val="hybridMultilevel"/>
    <w:lvl w:ilvl="0">
      <w:lvlJc w:val="left"/>
      <w:lvlText w:val="(%1)"/>
      <w:numFmt w:val="decimal"/>
      <w:start w:val="1"/>
    </w:lvl>
  </w:abstractNum>
  <w:abstractNum w:abstractNumId="42">
    <w:nsid w:val="2F305DEF"/>
    <w:multiLevelType w:val="hybridMultilevel"/>
    <w:lvl w:ilvl="0">
      <w:lvlJc w:val="left"/>
      <w:lvlText w:val="(%1)"/>
      <w:numFmt w:val="decimal"/>
      <w:start w:val="1"/>
    </w:lvl>
  </w:abstractNum>
  <w:abstractNum w:abstractNumId="43">
    <w:nsid w:val="25A70BF7"/>
    <w:multiLevelType w:val="hybridMultilevel"/>
    <w:lvl w:ilvl="0">
      <w:lvlJc w:val="left"/>
      <w:lvlText w:val="(%1)"/>
      <w:numFmt w:val="decimal"/>
      <w:start w:val="1"/>
    </w:lvl>
  </w:abstractNum>
  <w:abstractNum w:abstractNumId="44">
    <w:nsid w:val="1DBABF00"/>
    <w:multiLevelType w:val="hybridMultilevel"/>
    <w:lvl w:ilvl="0">
      <w:lvlJc w:val="left"/>
      <w:lvlText w:val="•"/>
      <w:numFmt w:val="bullet"/>
      <w:start w:val="1"/>
    </w:lvl>
  </w:abstractNum>
  <w:abstractNum w:abstractNumId="45">
    <w:nsid w:val="4AD084E9"/>
    <w:multiLevelType w:val="hybridMultilevel"/>
    <w:lvl w:ilvl="0">
      <w:lvlJc w:val="left"/>
      <w:lvlText w:val="•"/>
      <w:numFmt w:val="bullet"/>
      <w:start w:val="1"/>
    </w:lvl>
  </w:abstractNum>
  <w:abstractNum w:abstractNumId="46">
    <w:nsid w:val="1F48EAA1"/>
    <w:multiLevelType w:val="hybridMultilevel"/>
    <w:lvl w:ilvl="0">
      <w:lvlJc w:val="left"/>
      <w:lvlText w:val="•"/>
      <w:numFmt w:val="bullet"/>
      <w:start w:val="1"/>
    </w:lvl>
  </w:abstractNum>
  <w:abstractNum w:abstractNumId="47">
    <w:nsid w:val="1381823A"/>
    <w:multiLevelType w:val="hybridMultilevel"/>
    <w:lvl w:ilvl="0">
      <w:lvlJc w:val="left"/>
      <w:lvlText w:val="(%1)"/>
      <w:numFmt w:val="decimal"/>
      <w:start w:val="1"/>
    </w:lvl>
  </w:abstractNum>
  <w:abstractNum w:abstractNumId="48">
    <w:nsid w:val="5DB70AE5"/>
    <w:multiLevelType w:val="hybridMultilevel"/>
    <w:lvl w:ilvl="0">
      <w:lvlJc w:val="left"/>
      <w:lvlText w:val="(%1)"/>
      <w:numFmt w:val="decimal"/>
      <w:start w:val="1"/>
    </w:lvl>
  </w:abstractNum>
  <w:abstractNum w:abstractNumId="49">
    <w:nsid w:val="100F8FCA"/>
    <w:multiLevelType w:val="hybridMultilevel"/>
    <w:lvl w:ilvl="0">
      <w:lvlJc w:val="left"/>
      <w:lvlText w:val="(%1)"/>
      <w:numFmt w:val="decimal"/>
      <w:start w:val="1"/>
    </w:lvl>
    <w:lvl w:ilvl="1">
      <w:lvlJc w:val="left"/>
      <w:lvlText w:val="•"/>
      <w:numFmt w:val="bullet"/>
      <w:start w:val="1"/>
    </w:lvl>
  </w:abstractNum>
  <w:abstractNum w:abstractNumId="50">
    <w:nsid w:val="6590700B"/>
    <w:multiLevelType w:val="hybridMultilevel"/>
    <w:lvl w:ilvl="0">
      <w:lvlJc w:val="left"/>
      <w:lvlText w:val="(%1)"/>
      <w:numFmt w:val="decimal"/>
      <w:start w:val="1"/>
    </w:lvl>
  </w:abstractNum>
  <w:abstractNum w:abstractNumId="51">
    <w:nsid w:val="15014ACB"/>
    <w:multiLevelType w:val="hybridMultilevel"/>
    <w:lvl w:ilvl="0">
      <w:lvlJc w:val="left"/>
      <w:lvlText w:val="•"/>
      <w:numFmt w:val="bullet"/>
      <w:start w:val="1"/>
    </w:lvl>
  </w:abstractNum>
  <w:abstractNum w:abstractNumId="52">
    <w:nsid w:val="5F5E7FD0"/>
    <w:multiLevelType w:val="hybridMultilevel"/>
    <w:lvl w:ilvl="0">
      <w:lvlJc w:val="left"/>
      <w:lvlText w:val="(%1)"/>
      <w:numFmt w:val="decimal"/>
      <w:start w:val="1"/>
    </w:lvl>
  </w:abstractNum>
  <w:abstractNum w:abstractNumId="53">
    <w:nsid w:val="98A3148"/>
    <w:multiLevelType w:val="hybridMultilevel"/>
    <w:lvl w:ilvl="0">
      <w:lvlJc w:val="left"/>
      <w:lvlText w:val="•"/>
      <w:numFmt w:val="bullet"/>
      <w:start w:val="1"/>
    </w:lvl>
  </w:abstractNum>
  <w:abstractNum w:abstractNumId="54">
    <w:nsid w:val="799D0247"/>
    <w:multiLevelType w:val="hybridMultilevel"/>
    <w:lvl w:ilvl="0">
      <w:lvlJc w:val="left"/>
      <w:lvlText w:val="(%1)"/>
      <w:numFmt w:val="decimal"/>
      <w:start w:val="1"/>
    </w:lvl>
  </w:abstractNum>
  <w:abstractNum w:abstractNumId="55">
    <w:nsid w:val="6B94764"/>
    <w:multiLevelType w:val="hybridMultilevel"/>
    <w:lvl w:ilvl="0">
      <w:lvlJc w:val="left"/>
      <w:lvlText w:val="(%1)"/>
      <w:numFmt w:val="decimal"/>
      <w:start w:val="1"/>
    </w:lvl>
  </w:abstractNum>
  <w:abstractNum w:abstractNumId="56">
    <w:nsid w:val="42C296BD"/>
    <w:multiLevelType w:val="hybridMultilevel"/>
    <w:lvl w:ilvl="0">
      <w:lvlJc w:val="left"/>
      <w:lvlText w:val="(%1)"/>
      <w:numFmt w:val="decimal"/>
      <w:start w:val="1"/>
    </w:lvl>
  </w:abstractNum>
  <w:abstractNum w:abstractNumId="57">
    <w:nsid w:val="168E121F"/>
    <w:multiLevelType w:val="hybridMultilevel"/>
    <w:lvl w:ilvl="0">
      <w:lvlJc w:val="left"/>
      <w:lvlText w:val="(%1)"/>
      <w:numFmt w:val="decimal"/>
      <w:start w:val="1"/>
    </w:lvl>
  </w:abstractNum>
  <w:abstractNum w:abstractNumId="58">
    <w:nsid w:val="1EBA5D23"/>
    <w:multiLevelType w:val="hybridMultilevel"/>
    <w:lvl w:ilvl="0">
      <w:lvlJc w:val="left"/>
      <w:lvlText w:val="(%1)"/>
      <w:numFmt w:val="decimal"/>
      <w:start w:val="1"/>
    </w:lvl>
  </w:abstractNum>
  <w:abstractNum w:abstractNumId="59">
    <w:nsid w:val="661E3F1E"/>
    <w:multiLevelType w:val="hybridMultilevel"/>
    <w:lvl w:ilvl="0">
      <w:lvlJc w:val="left"/>
      <w:lvlText w:val="(%1)"/>
      <w:numFmt w:val="decimal"/>
      <w:start w:val="1"/>
    </w:lvl>
  </w:abstractNum>
  <w:abstractNum w:abstractNumId="60">
    <w:nsid w:val="5DC79EA8"/>
    <w:multiLevelType w:val="hybridMultilevel"/>
    <w:lvl w:ilvl="0">
      <w:lvlJc w:val="left"/>
      <w:lvlText w:val="(%1)"/>
      <w:numFmt w:val="decimal"/>
      <w:start w:val="1"/>
    </w:lvl>
  </w:abstractNum>
  <w:abstractNum w:abstractNumId="61">
    <w:nsid w:val="540A471C"/>
    <w:multiLevelType w:val="hybridMultilevel"/>
    <w:lvl w:ilvl="0">
      <w:lvlJc w:val="left"/>
      <w:lvlText w:val="(%1)"/>
      <w:numFmt w:val="decimal"/>
      <w:start w:val="1"/>
    </w:lvl>
  </w:abstractNum>
  <w:abstractNum w:abstractNumId="62">
    <w:nsid w:val="7BD3EE7B"/>
    <w:multiLevelType w:val="hybridMultilevel"/>
    <w:lvl w:ilvl="0">
      <w:lvlJc w:val="left"/>
      <w:lvlText w:val="(%1)"/>
      <w:numFmt w:val="decimal"/>
      <w:start w:val="1"/>
    </w:lvl>
  </w:abstractNum>
  <w:abstractNum w:abstractNumId="63">
    <w:nsid w:val="51D9C564"/>
    <w:multiLevelType w:val="hybridMultilevel"/>
    <w:lvl w:ilvl="0">
      <w:lvlJc w:val="left"/>
      <w:lvlText w:val="(%1)"/>
      <w:numFmt w:val="decimal"/>
      <w:start w:val="1"/>
    </w:lvl>
  </w:abstractNum>
  <w:abstractNum w:abstractNumId="64">
    <w:nsid w:val="613EFDC5"/>
    <w:multiLevelType w:val="hybridMultilevel"/>
    <w:lvl w:ilvl="0">
      <w:lvlJc w:val="left"/>
      <w:lvlText w:val="(%1)"/>
      <w:numFmt w:val="decimal"/>
      <w:start w:val="1"/>
    </w:lvl>
  </w:abstractNum>
  <w:abstractNum w:abstractNumId="65">
    <w:nsid w:val="BF72B14"/>
    <w:multiLevelType w:val="hybridMultilevel"/>
    <w:lvl w:ilvl="0">
      <w:lvlJc w:val="left"/>
      <w:lvlText w:val="(%1)"/>
      <w:numFmt w:val="decimal"/>
      <w:start w:val="1"/>
    </w:lvl>
  </w:abstractNum>
  <w:abstractNum w:abstractNumId="66">
    <w:nsid w:val="11447B73"/>
    <w:multiLevelType w:val="hybridMultilevel"/>
    <w:lvl w:ilvl="0">
      <w:lvlJc w:val="left"/>
      <w:lvlText w:val="•"/>
      <w:numFmt w:val="bullet"/>
      <w:start w:val="1"/>
    </w:lvl>
  </w:abstractNum>
  <w:abstractNum w:abstractNumId="67">
    <w:nsid w:val="42963E5A"/>
    <w:multiLevelType w:val="hybridMultilevel"/>
    <w:lvl w:ilvl="0">
      <w:lvlJc w:val="left"/>
      <w:lvlText w:val="•"/>
      <w:numFmt w:val="bullet"/>
      <w:start w:val="1"/>
    </w:lvl>
  </w:abstractNum>
  <w:abstractNum w:abstractNumId="68">
    <w:nsid w:val="A0382C5"/>
    <w:multiLevelType w:val="hybridMultilevel"/>
    <w:lvl w:ilvl="0">
      <w:lvlJc w:val="left"/>
      <w:lvlText w:val="%1"/>
      <w:numFmt w:val="decimal"/>
      <w:start w:val="1"/>
    </w:lvl>
    <w:lvl w:ilvl="1">
      <w:lvlJc w:val="left"/>
      <w:lvlText w:val="%2"/>
      <w:numFmt w:val="decimal"/>
      <w:start w:val="101"/>
    </w:lvl>
  </w:abstractNum>
  <w:abstractNum w:abstractNumId="69">
    <w:nsid w:val="8F2B15E"/>
    <w:multiLevelType w:val="hybridMultilevel"/>
    <w:lvl w:ilvl="0">
      <w:lvlJc w:val="left"/>
      <w:lvlText w:val="(%1)"/>
      <w:numFmt w:val="decimal"/>
      <w:start w:val="1"/>
    </w:lvl>
    <w:lvl w:ilvl="1">
      <w:lvlJc w:val="left"/>
      <w:lvlText w:val="%2"/>
      <w:numFmt w:val="decimal"/>
      <w:start w:val="1"/>
    </w:lvl>
  </w:abstractNum>
  <w:abstractNum w:abstractNumId="70">
    <w:nsid w:val="1A32234B"/>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1"/>
    </w:lvl>
  </w:abstractNum>
  <w:abstractNum w:abstractNumId="71">
    <w:nsid w:val="3B0FD379"/>
    <w:multiLevelType w:val="hybridMultilevel"/>
    <w:lvl w:ilvl="0">
      <w:lvlJc w:val="left"/>
      <w:lvlText w:val="(%1)"/>
      <w:numFmt w:val="lowerRoman"/>
      <w:start w:val="6"/>
    </w:lvl>
  </w:abstractNum>
  <w:abstractNum w:abstractNumId="72">
    <w:nsid w:val="68EB2F63"/>
    <w:multiLevelType w:val="hybridMultilevel"/>
    <w:lvl w:ilvl="0">
      <w:lvlJc w:val="left"/>
      <w:lvlText w:val="(%1)"/>
      <w:numFmt w:val="lowerRoman"/>
      <w:start w:val="1"/>
    </w:lvl>
  </w:abstractNum>
  <w:abstractNum w:abstractNumId="73">
    <w:nsid w:val="4962813B"/>
    <w:multiLevelType w:val="hybridMultilevel"/>
    <w:lvl w:ilvl="0">
      <w:lvlJc w:val="left"/>
      <w:lvlText w:val="(%1)"/>
      <w:numFmt w:val="lowerRoman"/>
      <w:start w:val="2"/>
    </w:lvl>
    <w:lvl w:ilvl="1">
      <w:lvlJc w:val="left"/>
      <w:lvlText w:val="(%2)"/>
      <w:numFmt w:val="lowerRoman"/>
      <w:start w:val="4"/>
    </w:lvl>
  </w:abstractNum>
  <w:abstractNum w:abstractNumId="74">
    <w:nsid w:val="60B6DF70"/>
    <w:multiLevelType w:val="hybridMultilevel"/>
    <w:lvl w:ilvl="0">
      <w:lvlJc w:val="left"/>
      <w:lvlText w:val="%1."/>
      <w:numFmt w:val="lowerLetter"/>
      <w:start w:val="1"/>
    </w:lvl>
  </w:abstractNum>
  <w:abstractNum w:abstractNumId="75">
    <w:nsid w:val="6A5EE64"/>
    <w:multiLevelType w:val="hybridMultilevel"/>
    <w:lvl w:ilvl="0">
      <w:lvlJc w:val="left"/>
      <w:lvlText w:val="%1."/>
      <w:numFmt w:val="lowerLetter"/>
      <w:start w:val="3"/>
    </w:lvl>
  </w:abstractNum>
  <w:abstractNum w:abstractNumId="76">
    <w:nsid w:val="14330624"/>
    <w:multiLevelType w:val="hybridMultilevel"/>
    <w:lvl w:ilvl="0">
      <w:lvlJc w:val="left"/>
      <w:lvlText w:val="%1."/>
      <w:numFmt w:val="lowerLetter"/>
      <w:start w:val="6"/>
    </w:lvl>
  </w:abstractNum>
  <w:abstractNum w:abstractNumId="77">
    <w:nsid w:val="7FFFCA11"/>
    <w:multiLevelType w:val="hybridMultilevel"/>
    <w:lvl w:ilvl="0">
      <w:lvlJc w:val="left"/>
      <w:lvlText w:val="(%1)"/>
      <w:numFmt w:val="lowerRoman"/>
      <w:start w:val="2"/>
    </w:lvl>
  </w:abstractNum>
  <w:abstractNum w:abstractNumId="78">
    <w:nsid w:val="1A27709E"/>
    <w:multiLevelType w:val="hybridMultilevel"/>
    <w:lvl w:ilvl="0">
      <w:lvlJc w:val="left"/>
      <w:lvlText w:val="(%1)"/>
      <w:numFmt w:val="decimal"/>
      <w:start w:val="1"/>
    </w:lvl>
  </w:abstractNum>
  <w:abstractNum w:abstractNumId="79">
    <w:nsid w:val="71EA1109"/>
    <w:multiLevelType w:val="hybridMultilevel"/>
    <w:lvl w:ilvl="0">
      <w:lvlJc w:val="left"/>
      <w:lvlText w:val="%1."/>
      <w:numFmt w:val="decimal"/>
      <w:start w:val="1"/>
    </w:lvl>
  </w:abstractNum>
  <w:abstractNum w:abstractNumId="80">
    <w:nsid w:val="100F59DC"/>
    <w:multiLevelType w:val="hybridMultilevel"/>
    <w:lvl w:ilvl="0">
      <w:lvlJc w:val="left"/>
      <w:lvlText w:val="%1."/>
      <w:numFmt w:val="lowerLetter"/>
      <w:start w:val="1"/>
    </w:lvl>
  </w:abstractNum>
  <w:abstractNum w:abstractNumId="81">
    <w:nsid w:val="7FB7E0AA"/>
    <w:multiLevelType w:val="hybridMultilevel"/>
    <w:lvl w:ilvl="0">
      <w:lvlJc w:val="left"/>
      <w:lvlText w:val="%1."/>
      <w:numFmt w:val="decimal"/>
      <w:start w:val="5"/>
    </w:lvl>
  </w:abstractNum>
  <w:abstractNum w:abstractNumId="82">
    <w:nsid w:val="6EB5BD4"/>
    <w:multiLevelType w:val="hybridMultilevel"/>
    <w:lvl w:ilvl="0">
      <w:lvlJc w:val="left"/>
      <w:lvlText w:val="%1."/>
      <w:numFmt w:val="lowerLetter"/>
      <w:start w:val="1"/>
    </w:lvl>
  </w:abstractNum>
  <w:abstractNum w:abstractNumId="83">
    <w:nsid w:val="6F6DD9AC"/>
    <w:multiLevelType w:val="hybridMultilevel"/>
    <w:lvl w:ilvl="0">
      <w:lvlJc w:val="left"/>
      <w:lvlText w:val="%1."/>
      <w:numFmt w:val="decimal"/>
      <w:start w:val="1"/>
    </w:lvl>
  </w:abstractNum>
  <w:abstractNum w:abstractNumId="84">
    <w:nsid w:val="94211F2"/>
    <w:multiLevelType w:val="hybridMultilevel"/>
    <w:lvl w:ilvl="0">
      <w:lvlJc w:val="left"/>
      <w:lvlText w:val="%1."/>
      <w:numFmt w:val="lowerLetter"/>
      <w:start w:val="1"/>
    </w:lvl>
  </w:abstractNum>
  <w:abstractNum w:abstractNumId="85">
    <w:nsid w:val="885E1B"/>
    <w:multiLevelType w:val="hybridMultilevel"/>
    <w:lvl w:ilvl="0">
      <w:lvlJc w:val="left"/>
      <w:lvlText w:val="%1."/>
      <w:numFmt w:val="decimal"/>
      <w:start w:val="5"/>
    </w:lvl>
  </w:abstractNum>
  <w:abstractNum w:abstractNumId="86">
    <w:nsid w:val="76272110"/>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2019-12-29T12:51:21Z</dcterms:created>
  <dcterms:modified xsi:type="dcterms:W3CDTF">2019-12-29T12:51:21Z</dcterms:modified>
</cp:coreProperties>
</file>