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79"/>
        <w:spacing w:after="0" w:line="222"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253365</wp:posOffset>
            </wp:positionV>
            <wp:extent cx="2442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224790</wp:posOffset>
            </wp:positionV>
            <wp:extent cx="2442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201930</wp:posOffset>
            </wp:positionV>
            <wp:extent cx="2442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ELI LILLY AND COMPANY</w:t>
      </w:r>
    </w:p>
    <w:p>
      <w:pPr>
        <w:spacing w:after="0" w:line="8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208280</wp:posOffset>
            </wp:positionV>
            <wp:extent cx="2442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960" w:type="dxa"/>
        <w:tblCellMar>
          <w:top w:w="0" w:type="dxa"/>
          <w:left w:w="0" w:type="dxa"/>
          <w:bottom w:w="0" w:type="dxa"/>
          <w:right w:w="0" w:type="dxa"/>
        </w:tblCellMar>
      </w:tblPr>
      <w:tr>
        <w:trPr>
          <w:trHeight w:val="236"/>
        </w:trPr>
        <w:tc>
          <w:tcPr>
            <w:tcW w:w="3120" w:type="dxa"/>
            <w:vAlign w:val="bottom"/>
          </w:tcPr>
          <w:p>
            <w:pPr>
              <w:jc w:val="center"/>
              <w:ind w:right="1116"/>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344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001-06351</w:t>
            </w:r>
          </w:p>
        </w:tc>
        <w:tc>
          <w:tcPr>
            <w:tcW w:w="2560" w:type="dxa"/>
            <w:vAlign w:val="bottom"/>
          </w:tcPr>
          <w:p>
            <w:pPr>
              <w:jc w:val="center"/>
              <w:ind w:left="1216"/>
              <w:spacing w:after="0"/>
              <w:rPr>
                <w:sz w:val="20"/>
                <w:szCs w:val="20"/>
                <w:color w:val="auto"/>
              </w:rPr>
            </w:pPr>
            <w:r>
              <w:rPr>
                <w:rFonts w:ascii="Times New Roman" w:cs="Times New Roman" w:eastAsia="Times New Roman" w:hAnsi="Times New Roman"/>
                <w:sz w:val="18"/>
                <w:szCs w:val="18"/>
                <w:b w:val="1"/>
                <w:bCs w:val="1"/>
                <w:color w:val="auto"/>
                <w:w w:val="98"/>
              </w:rPr>
              <w:t>35-0470950</w:t>
            </w:r>
          </w:p>
        </w:tc>
      </w:tr>
      <w:tr>
        <w:trPr>
          <w:trHeight w:val="164"/>
        </w:trPr>
        <w:tc>
          <w:tcPr>
            <w:tcW w:w="3120" w:type="dxa"/>
            <w:vAlign w:val="bottom"/>
          </w:tcPr>
          <w:p>
            <w:pPr>
              <w:jc w:val="center"/>
              <w:ind w:right="1116"/>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3440" w:type="dxa"/>
            <w:vAlign w:val="bottom"/>
          </w:tcPr>
          <w:p>
            <w:pPr>
              <w:jc w:val="center"/>
              <w:ind w:right="36"/>
              <w:spacing w:after="0" w:line="165" w:lineRule="exact"/>
              <w:rPr>
                <w:sz w:val="20"/>
                <w:szCs w:val="20"/>
                <w:color w:val="auto"/>
              </w:rPr>
            </w:pPr>
            <w:r>
              <w:rPr>
                <w:rFonts w:ascii="Times New Roman" w:cs="Times New Roman" w:eastAsia="Times New Roman" w:hAnsi="Times New Roman"/>
                <w:sz w:val="16"/>
                <w:szCs w:val="16"/>
                <w:b w:val="1"/>
                <w:bCs w:val="1"/>
                <w:color w:val="auto"/>
              </w:rPr>
              <w:t>(Commission</w:t>
            </w:r>
          </w:p>
        </w:tc>
        <w:tc>
          <w:tcPr>
            <w:tcW w:w="2560" w:type="dxa"/>
            <w:vAlign w:val="bottom"/>
          </w:tcPr>
          <w:p>
            <w:pPr>
              <w:jc w:val="center"/>
              <w:ind w:left="1216"/>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120" w:type="dxa"/>
            <w:vAlign w:val="bottom"/>
          </w:tcPr>
          <w:p>
            <w:pPr>
              <w:jc w:val="center"/>
              <w:ind w:right="1116"/>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4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560" w:type="dxa"/>
            <w:vAlign w:val="bottom"/>
          </w:tcPr>
          <w:p>
            <w:pPr>
              <w:jc w:val="center"/>
              <w:ind w:left="121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00" w:lineRule="exact"/>
        <w:rPr>
          <w:sz w:val="24"/>
          <w:szCs w:val="24"/>
          <w:color w:val="auto"/>
        </w:rPr>
      </w:pPr>
    </w:p>
    <w:p>
      <w:pPr>
        <w:sectPr>
          <w:pgSz w:w="11900" w:h="16838" w:orient="portrait"/>
          <w:cols w:equalWidth="0" w:num="1">
            <w:col w:w="10740"/>
          </w:cols>
          <w:pgMar w:left="320" w:top="1342"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Lilly Corporate Center</w:t>
      </w:r>
    </w:p>
    <w:p>
      <w:pPr>
        <w:spacing w:after="0" w:line="3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Indianapolis, Indiana</w:t>
      </w:r>
    </w:p>
    <w:p>
      <w:pPr>
        <w:spacing w:after="0" w:line="2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46285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95" w:lineRule="exact"/>
        <w:rPr>
          <w:sz w:val="24"/>
          <w:szCs w:val="24"/>
          <w:color w:val="auto"/>
        </w:rPr>
      </w:pPr>
    </w:p>
    <w:p>
      <w:pPr>
        <w:sectPr>
          <w:pgSz w:w="11900" w:h="16838" w:orient="portrait"/>
          <w:cols w:equalWidth="0" w:num="2">
            <w:col w:w="9180" w:space="720"/>
            <w:col w:w="840"/>
          </w:cols>
          <w:pgMar w:left="320" w:top="1342" w:right="839" w:bottom="1440" w:gutter="0" w:footer="0" w:header="0"/>
          <w:type w:val="continuous"/>
        </w:sect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(317) 276-2000</w:t>
      </w:r>
    </w:p>
    <w:p>
      <w:pPr>
        <w:spacing w:after="0" w:line="26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0740"/>
          </w:cols>
          <w:pgMar w:left="320" w:top="1342" w:right="839" w:bottom="1440" w:gutter="0" w:footer="0" w:header="0"/>
          <w:type w:val="continuous"/>
        </w:sectPr>
      </w:pPr>
    </w:p>
    <w:p>
      <w:pPr>
        <w:spacing w:after="0" w:line="264"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67" w:lineRule="exact"/>
        <w:rPr>
          <w:sz w:val="24"/>
          <w:szCs w:val="24"/>
          <w:color w:val="auto"/>
        </w:rPr>
      </w:pPr>
    </w:p>
    <w:p>
      <w:pPr>
        <w:ind w:left="940" w:hanging="914"/>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20" w:hanging="874"/>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920" w:hanging="881"/>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847"/>
        <w:spacing w:after="0"/>
        <w:tabs>
          <w:tab w:leader="none" w:pos="9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342"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6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LLY</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7 1/8% Notes due 2025</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LLY25</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1.625% Notes due 2026</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LLY26</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2.125% Notes due 2030</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LLY30</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0.625% Notes due 2031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0.500% Notes due 2033</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LLY33</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6.77% Notes due 2036</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LLY36</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1.625% Notes due 2043</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LLY43</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1.700% Notes due 2049</w:t>
            </w:r>
          </w:p>
        </w:tc>
        <w:tc>
          <w:tcPr>
            <w:tcW w:w="31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LLY49A</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1.125% Notes due 2051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LLY51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1.375% Notes due 2061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LLY61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ind w:right="24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2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212529"/>
        </w:rPr>
        <w:t>On September 9, 2024, Eli Lilly and Company (the “Company” or “Lilly”) announced that the Board of Directors of the Company elected Lucas Montarce, age 47, as executive vice president and chief financial officer of the Company following an internal and external search performed across industries. Since joining Lilly in 2001, Mr. Montarce has held a range of finance leadership roles. Most recently, he served as the president and general manager for the Spain, Portugal and Greece hub, a position he assumed in 2024. Prior to that, Mr. Montarce served as group vice president, controller and chief financial officer of Lilly Research Laboratories since 2021. Other leadership positions he has held with Lilly include: vice president, finance and chief financial officer, Lilly International; and vice president, finance and global chief financial officer, Elanco Health.</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12529"/>
        </w:rPr>
        <w:t>In connection with his election as executive vice president and chief financial officer, effective September 9, 2024, Mr. Montarce will receive an annualized base salary of $1,000,000 and will be eligible for an annualized target bonus of $1,000,000.</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212529"/>
        </w:rPr>
        <w:t>There are no arrangements or understandings between Mr. Montarce and any person pursuant to which Mr. Montarce was selected as an officer. There is no family relationship between Mr. Montarce and any director or executive officer of the Company, and Mr. Montarce is not a party to any transaction subject to Section 404(a) of Regulation S-K involving the Company or any of its subsidiaries.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A copy of the press release announcing Mr. Montarce’s election is attached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18"/>
                <w:szCs w:val="18"/>
                <w:color w:val="auto"/>
              </w:rPr>
            </w:pPr>
          </w:p>
        </w:tc>
        <w:tc>
          <w:tcPr>
            <w:tcW w:w="62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0000FF"/>
              </w:rPr>
              <w:t>Press Release of Eli Lilly and Company, dated September 9, 2024.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7145020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5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5680" w:type="dxa"/>
        <w:tblCellMar>
          <w:top w:w="0" w:type="dxa"/>
          <w:left w:w="0" w:type="dxa"/>
          <w:bottom w:w="0" w:type="dxa"/>
          <w:right w:w="0" w:type="dxa"/>
        </w:tblCellMar>
      </w:tblPr>
      <w:tr>
        <w:trPr>
          <w:trHeight w:val="25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Anat Hakim</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Anat Hakim</w:t>
            </w: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10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9, 2024</w:t>
            </w:r>
          </w:p>
        </w:tc>
      </w:tr>
    </w:tbl>
    <w:p>
      <w:pPr>
        <w:sectPr>
          <w:pgSz w:w="11900" w:h="16838" w:orient="portrait"/>
          <w:cols w:equalWidth="0" w:num="1">
            <w:col w:w="11240"/>
          </w:cols>
          <w:pgMar w:left="320" w:top="113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4862830</wp:posOffset>
            </wp:positionH>
            <wp:positionV relativeFrom="page">
              <wp:posOffset>500380</wp:posOffset>
            </wp:positionV>
            <wp:extent cx="102044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204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 9, 2024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1260" w:val="left"/>
        </w:tabs>
        <w:rPr>
          <w:sz w:val="20"/>
          <w:szCs w:val="20"/>
          <w:color w:val="auto"/>
        </w:rPr>
      </w:pPr>
      <w:r>
        <w:rPr>
          <w:rFonts w:ascii="Calibri" w:cs="Calibri" w:eastAsia="Calibri" w:hAnsi="Calibri"/>
          <w:sz w:val="22"/>
          <w:szCs w:val="22"/>
          <w:b w:val="1"/>
          <w:bCs w:val="1"/>
          <w:color w:val="auto"/>
        </w:rPr>
        <w:t>For Release:</w:t>
      </w:r>
      <w:r>
        <w:rPr>
          <w:sz w:val="20"/>
          <w:szCs w:val="20"/>
          <w:color w:val="auto"/>
        </w:rPr>
        <w:tab/>
      </w:r>
      <w:r>
        <w:rPr>
          <w:rFonts w:ascii="Times New Roman" w:cs="Times New Roman" w:eastAsia="Times New Roman" w:hAnsi="Times New Roman"/>
          <w:sz w:val="21"/>
          <w:szCs w:val="21"/>
          <w:color w:val="auto"/>
        </w:rPr>
        <w:t>Immediately</w:t>
      </w:r>
    </w:p>
    <w:p>
      <w:pPr>
        <w:spacing w:after="0" w:line="52" w:lineRule="exact"/>
        <w:rPr>
          <w:sz w:val="20"/>
          <w:szCs w:val="20"/>
          <w:color w:val="auto"/>
        </w:rPr>
      </w:pPr>
    </w:p>
    <w:p>
      <w:pPr>
        <w:ind w:left="960" w:right="2720" w:hanging="1378"/>
        <w:spacing w:after="0" w:line="296" w:lineRule="auto"/>
        <w:tabs>
          <w:tab w:leader="none" w:pos="940" w:val="left"/>
        </w:tabs>
        <w:rPr>
          <w:sz w:val="20"/>
          <w:szCs w:val="20"/>
          <w:color w:val="auto"/>
        </w:rPr>
      </w:pPr>
      <w:r>
        <w:rPr>
          <w:rFonts w:ascii="Calibri" w:cs="Calibri" w:eastAsia="Calibri" w:hAnsi="Calibri"/>
          <w:sz w:val="22"/>
          <w:szCs w:val="22"/>
          <w:b w:val="1"/>
          <w:bCs w:val="1"/>
          <w:color w:val="auto"/>
        </w:rPr>
        <w:t>Refer to:</w:t>
      </w:r>
      <w:r>
        <w:rPr>
          <w:sz w:val="20"/>
          <w:szCs w:val="20"/>
          <w:color w:val="auto"/>
        </w:rPr>
        <w:tab/>
      </w:r>
      <w:r>
        <w:rPr>
          <w:rFonts w:ascii="Times New Roman" w:cs="Times New Roman" w:eastAsia="Times New Roman" w:hAnsi="Times New Roman"/>
          <w:sz w:val="22"/>
          <w:szCs w:val="22"/>
          <w:color w:val="auto"/>
        </w:rPr>
        <w:t xml:space="preserve">Jordan Bishop; </w:t>
      </w:r>
      <w:r>
        <w:rPr>
          <w:rFonts w:ascii="Times New Roman" w:cs="Times New Roman" w:eastAsia="Times New Roman" w:hAnsi="Times New Roman"/>
          <w:sz w:val="22"/>
          <w:szCs w:val="22"/>
          <w:u w:val="single" w:color="auto"/>
          <w:color w:val="0000FF"/>
        </w:rPr>
        <w:t>jordan.bishop@lilly.com</w:t>
      </w:r>
      <w:r>
        <w:rPr>
          <w:rFonts w:ascii="Times New Roman" w:cs="Times New Roman" w:eastAsia="Times New Roman" w:hAnsi="Times New Roman"/>
          <w:sz w:val="22"/>
          <w:szCs w:val="22"/>
          <w:color w:val="auto"/>
        </w:rPr>
        <w:t xml:space="preserve">; (317) 473-5712 (Media) Joe Fletcher; </w:t>
      </w:r>
      <w:r>
        <w:rPr>
          <w:rFonts w:ascii="Times New Roman" w:cs="Times New Roman" w:eastAsia="Times New Roman" w:hAnsi="Times New Roman"/>
          <w:sz w:val="22"/>
          <w:szCs w:val="22"/>
          <w:u w:val="single" w:color="auto"/>
          <w:color w:val="0000FF"/>
        </w:rPr>
        <w:t>jfletcher@lilly.com</w:t>
      </w:r>
      <w:r>
        <w:rPr>
          <w:rFonts w:ascii="Times New Roman" w:cs="Times New Roman" w:eastAsia="Times New Roman" w:hAnsi="Times New Roman"/>
          <w:sz w:val="22"/>
          <w:szCs w:val="22"/>
          <w:color w:val="000000"/>
        </w:rPr>
        <w:t>; (317) 296-2884 (Investors)</w:t>
      </w:r>
    </w:p>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Lilly appoints Lucas Montarce as executive vice president and chief financial officer</w:t>
      </w:r>
    </w:p>
    <w:p>
      <w:pPr>
        <w:spacing w:after="0" w:line="200" w:lineRule="exact"/>
        <w:rPr>
          <w:sz w:val="20"/>
          <w:szCs w:val="20"/>
          <w:color w:val="auto"/>
        </w:rPr>
      </w:pPr>
    </w:p>
    <w:p>
      <w:pPr>
        <w:spacing w:after="0" w:line="321" w:lineRule="exact"/>
        <w:rPr>
          <w:sz w:val="20"/>
          <w:szCs w:val="20"/>
          <w:color w:val="auto"/>
        </w:rPr>
      </w:pPr>
    </w:p>
    <w:p>
      <w:pPr>
        <w:ind w:right="540"/>
        <w:spacing w:after="0" w:line="334" w:lineRule="auto"/>
        <w:rPr>
          <w:sz w:val="20"/>
          <w:szCs w:val="20"/>
          <w:color w:val="auto"/>
        </w:rPr>
      </w:pPr>
      <w:r>
        <w:rPr>
          <w:rFonts w:ascii="Times New Roman" w:cs="Times New Roman" w:eastAsia="Times New Roman" w:hAnsi="Times New Roman"/>
          <w:sz w:val="22"/>
          <w:szCs w:val="22"/>
          <w:color w:val="auto"/>
        </w:rPr>
        <w:t>INDIANAPOLIS, Sept. 9, 2024 – Eli Lilly and Company (NYSE: LLY) today announced the appointment of Lucas Montarce as executive vice president and chief financial officer (CFO) and member of the company’s Executive Committee, effective immediately.</w:t>
      </w:r>
    </w:p>
    <w:p>
      <w:pPr>
        <w:spacing w:after="0" w:line="213" w:lineRule="exact"/>
        <w:rPr>
          <w:sz w:val="20"/>
          <w:szCs w:val="20"/>
          <w:color w:val="auto"/>
        </w:rPr>
      </w:pPr>
    </w:p>
    <w:p>
      <w:pPr>
        <w:ind w:right="60"/>
        <w:spacing w:after="0" w:line="323" w:lineRule="auto"/>
        <w:rPr>
          <w:sz w:val="20"/>
          <w:szCs w:val="20"/>
          <w:color w:val="auto"/>
        </w:rPr>
      </w:pPr>
      <w:r>
        <w:rPr>
          <w:rFonts w:ascii="Times New Roman" w:cs="Times New Roman" w:eastAsia="Times New Roman" w:hAnsi="Times New Roman"/>
          <w:sz w:val="22"/>
          <w:szCs w:val="22"/>
          <w:color w:val="auto"/>
        </w:rPr>
        <w:t>Since joining Lilly in 2001, Montarce has held a range of finance leadership roles, including serving as group vice president, corporate controller and chief financial officer of Lilly Research Laboratories; vice president, finance and chief financial officer of Lilly International; and vice president, finance and global chief financial officer of Elanco Health. He most recently served in the role of Lilly president and general manager for the Spain, Portugal and Greece hub. Montarce holds a bachelor’s degree in business accounting from Catholic University (Argentina) and a master’s degree in business administration from the Center for Macroeconomic Studies of Argentina (CEMA).</w:t>
      </w:r>
    </w:p>
    <w:p>
      <w:pPr>
        <w:spacing w:after="0" w:line="158" w:lineRule="exact"/>
        <w:rPr>
          <w:sz w:val="20"/>
          <w:szCs w:val="20"/>
          <w:color w:val="auto"/>
        </w:rPr>
      </w:pPr>
    </w:p>
    <w:p>
      <w:pPr>
        <w:ind w:right="60"/>
        <w:spacing w:after="0" w:line="349" w:lineRule="auto"/>
        <w:rPr>
          <w:sz w:val="20"/>
          <w:szCs w:val="20"/>
          <w:color w:val="auto"/>
        </w:rPr>
      </w:pPr>
      <w:r>
        <w:rPr>
          <w:rFonts w:ascii="Times New Roman" w:cs="Times New Roman" w:eastAsia="Times New Roman" w:hAnsi="Times New Roman"/>
          <w:sz w:val="21"/>
          <w:szCs w:val="21"/>
          <w:color w:val="auto"/>
        </w:rPr>
        <w:t>“We are excited to announce Lucas as Lilly’s next CFO, following a competitive search across health care, tech and general industries,” said David A. Ricks, chair and CEO. “Developing leadership talent has always been a strength for Lilly, and Lucas has thrived in a wide variety of roles of increasing scope and impact. Having worked directly with Lucas for more than a decade, I am highly confident he has the drive, curiosity and integrity to excel as our next CFO.”</w:t>
      </w:r>
    </w:p>
    <w:p>
      <w:pPr>
        <w:spacing w:after="0" w:line="148"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2"/>
          <w:szCs w:val="22"/>
          <w:color w:val="auto"/>
        </w:rPr>
        <w:t>“I am committed to building on our strong financial foundation and helping drive continued success as we expand our global footprint and deliver long-term value to our stakeholders,” said Montarce. “I am honored to step into this role during such a significant time in our company’s history and look forward to working alongside the executive team and my talented Lilly finance colleagues.”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433070</wp:posOffset>
            </wp:positionV>
            <wp:extent cx="430339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03395" cy="128905"/>
                    </a:xfrm>
                    <a:prstGeom prst="rect">
                      <a:avLst/>
                    </a:prstGeom>
                    <a:noFill/>
                  </pic:spPr>
                </pic:pic>
              </a:graphicData>
            </a:graphic>
          </wp:anchor>
        </w:drawing>
      </w:r>
    </w:p>
    <w:p>
      <w:pPr>
        <w:sectPr>
          <w:pgSz w:w="11900" w:h="16838" w:orient="portrait"/>
          <w:cols w:equalWidth="0" w:num="1">
            <w:col w:w="10560"/>
          </w:cols>
          <w:pgMar w:left="420" w:top="1440" w:right="91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02020"/>
        </w:rPr>
        <w:t>About Lilly</w:t>
      </w:r>
    </w:p>
    <w:p>
      <w:pPr>
        <w:spacing w:after="0" w:line="278"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22"/>
          <w:szCs w:val="22"/>
          <w:color w:val="202020"/>
        </w:rPr>
        <w:t xml:space="preserve">Lilly is a medicine company turning science into healing to make life better for people around the world. We’ve been pioneering life-changing discoveries for nearly 150 years, and today our medicines help more than 51 million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 motivated by one thing: making life better for millions more people. That includes delivering innovative clinical trials that reflect the diversity of our world and working to ensure our medicines are accessible and affordable. To learn more, visit </w:t>
      </w:r>
      <w:r>
        <w:rPr>
          <w:rFonts w:ascii="Times New Roman" w:cs="Times New Roman" w:eastAsia="Times New Roman" w:hAnsi="Times New Roman"/>
          <w:sz w:val="22"/>
          <w:szCs w:val="22"/>
          <w:u w:val="single" w:color="auto"/>
          <w:color w:val="0462C1"/>
        </w:rPr>
        <w:t>Lilly.com</w:t>
      </w:r>
      <w:r>
        <w:rPr>
          <w:rFonts w:ascii="Times New Roman" w:cs="Times New Roman" w:eastAsia="Times New Roman" w:hAnsi="Times New Roman"/>
          <w:sz w:val="22"/>
          <w:szCs w:val="22"/>
          <w:color w:val="202020"/>
        </w:rPr>
        <w:t xml:space="preserve"> and </w:t>
      </w:r>
      <w:r>
        <w:rPr>
          <w:rFonts w:ascii="Times New Roman" w:cs="Times New Roman" w:eastAsia="Times New Roman" w:hAnsi="Times New Roman"/>
          <w:sz w:val="22"/>
          <w:szCs w:val="22"/>
          <w:u w:val="single" w:color="auto"/>
          <w:color w:val="0462C1"/>
        </w:rPr>
        <w:t>Lilly.com/news</w:t>
      </w:r>
      <w:r>
        <w:rPr>
          <w:rFonts w:ascii="Times New Roman" w:cs="Times New Roman" w:eastAsia="Times New Roman" w:hAnsi="Times New Roman"/>
          <w:sz w:val="22"/>
          <w:szCs w:val="22"/>
          <w:color w:val="202020"/>
        </w:rPr>
        <w:t xml:space="preserve">, or follow us on </w:t>
      </w:r>
      <w:r>
        <w:rPr>
          <w:rFonts w:ascii="Times New Roman" w:cs="Times New Roman" w:eastAsia="Times New Roman" w:hAnsi="Times New Roman"/>
          <w:sz w:val="22"/>
          <w:szCs w:val="22"/>
          <w:u w:val="single" w:color="auto"/>
          <w:color w:val="0462C1"/>
        </w:rPr>
        <w:t>Facebook</w:t>
      </w:r>
      <w:r>
        <w:rPr>
          <w:rFonts w:ascii="Times New Roman" w:cs="Times New Roman" w:eastAsia="Times New Roman" w:hAnsi="Times New Roman"/>
          <w:sz w:val="22"/>
          <w:szCs w:val="22"/>
          <w:color w:val="202020"/>
        </w:rPr>
        <w:t xml:space="preserve">, </w:t>
      </w:r>
      <w:r>
        <w:rPr>
          <w:rFonts w:ascii="Times New Roman" w:cs="Times New Roman" w:eastAsia="Times New Roman" w:hAnsi="Times New Roman"/>
          <w:sz w:val="22"/>
          <w:szCs w:val="22"/>
          <w:u w:val="single" w:color="auto"/>
          <w:color w:val="006FC0"/>
        </w:rPr>
        <w:t>Instagram</w:t>
      </w:r>
      <w:r>
        <w:rPr>
          <w:rFonts w:ascii="Times New Roman" w:cs="Times New Roman" w:eastAsia="Times New Roman" w:hAnsi="Times New Roman"/>
          <w:sz w:val="22"/>
          <w:szCs w:val="22"/>
          <w:color w:val="202020"/>
        </w:rPr>
        <w:t xml:space="preserve"> and </w:t>
      </w:r>
      <w:r>
        <w:rPr>
          <w:rFonts w:ascii="Times New Roman" w:cs="Times New Roman" w:eastAsia="Times New Roman" w:hAnsi="Times New Roman"/>
          <w:sz w:val="22"/>
          <w:szCs w:val="22"/>
          <w:u w:val="single" w:color="auto"/>
          <w:color w:val="0462C1"/>
        </w:rPr>
        <w:t>LinkedIn</w:t>
      </w:r>
      <w:r>
        <w:rPr>
          <w:rFonts w:ascii="Times New Roman" w:cs="Times New Roman" w:eastAsia="Times New Roman" w:hAnsi="Times New Roman"/>
          <w:sz w:val="22"/>
          <w:szCs w:val="22"/>
          <w:color w:val="202020"/>
        </w:rPr>
        <w:t xml:space="preserve">. </w:t>
      </w:r>
      <w:r>
        <w:rPr>
          <w:rFonts w:ascii="Times New Roman" w:cs="Times New Roman" w:eastAsia="Times New Roman" w:hAnsi="Times New Roman"/>
          <w:sz w:val="22"/>
          <w:szCs w:val="22"/>
          <w:color w:val="000000"/>
        </w:rPr>
        <w:t>C-LLY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2020"/>
        </w:rPr>
        <w:t>Cautionary Statement Regarding Forward-Looking Statements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02020"/>
        </w:rPr>
        <w:t>This press release contains forward-looking statements (as that term is defined in the Private Securities Litigation Reform Act of 1995), including about Lilly’s leadership and the company’s strategic plans, reflecting Lilly’s current beliefs and expectations. However, there can be no assurances of achieved objectives or strategy execution as planned. For further discussion of risks and uncertainties relevant to Lilly’s business that could cause actual results to differ from Lilly’s expectations, see Lilly’s Form 10-K and Form 10-Q filings with the United States Securities and Exchange Commission. Except as required by law, Lilly undertakes no duty to update forward-looking statements to reflect events after the date of this release.</w:t>
      </w:r>
    </w:p>
    <w:p>
      <w:pPr>
        <w:sectPr>
          <w:pgSz w:w="11900" w:h="16838" w:orient="portrait"/>
          <w:cols w:equalWidth="0" w:num="1">
            <w:col w:w="10560"/>
          </w:cols>
          <w:pgMar w:left="420" w:top="144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0560"/>
      </w:cols>
      <w:pgMar w:left="420" w:top="1440"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2024-09-09T06:17:57Z</dcterms:created>
  <dcterms:modified xsi:type="dcterms:W3CDTF">2024-09-09T06:17:57Z</dcterms:modified>
</cp:coreProperties>
</file>