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5"/>
        <w:spacing w:after="0"/>
        <w:rPr>
          <w:sz w:val="20"/>
          <w:szCs w:val="20"/>
          <w:color w:val="auto"/>
        </w:rPr>
      </w:pPr>
      <w:r>
        <w:rPr>
          <w:rFonts w:ascii="Courier New" w:cs="Courier New" w:eastAsia="Courier New" w:hAnsi="Courier New"/>
          <w:sz w:val="15"/>
          <w:szCs w:val="15"/>
          <w:color w:val="auto"/>
        </w:rPr>
        <w:t>AS FILED WITH THE SECURITIES AND EXCHANGE COMMISSION ON OCTOBER 26, 1995</w:t>
      </w:r>
    </w:p>
    <w:p>
      <w:pPr>
        <w:spacing w:after="0" w:line="185" w:lineRule="exact"/>
        <w:rPr>
          <w:sz w:val="24"/>
          <w:szCs w:val="24"/>
          <w:color w:val="auto"/>
        </w:rPr>
      </w:pPr>
    </w:p>
    <w:p>
      <w:pPr>
        <w:ind w:left="5445"/>
        <w:spacing w:after="0"/>
        <w:rPr>
          <w:sz w:val="20"/>
          <w:szCs w:val="20"/>
          <w:color w:val="auto"/>
        </w:rPr>
      </w:pPr>
      <w:r>
        <w:rPr>
          <w:rFonts w:ascii="Courier New" w:cs="Courier New" w:eastAsia="Courier New" w:hAnsi="Courier New"/>
          <w:sz w:val="15"/>
          <w:szCs w:val="15"/>
          <w:color w:val="auto"/>
        </w:rPr>
        <w:t>REGISTRATION NO.</w:t>
      </w:r>
    </w:p>
    <w:p>
      <w:pPr>
        <w:spacing w:after="0" w:line="8" w:lineRule="exact"/>
        <w:rPr>
          <w:sz w:val="24"/>
          <w:szCs w:val="24"/>
          <w:color w:val="auto"/>
        </w:rPr>
      </w:pPr>
    </w:p>
    <w:p>
      <w:pPr>
        <w:ind w:left="5445"/>
        <w:spacing w:after="0"/>
        <w:rPr>
          <w:sz w:val="20"/>
          <w:szCs w:val="20"/>
          <w:color w:val="auto"/>
        </w:rPr>
      </w:pPr>
      <w:r>
        <w:rPr>
          <w:rFonts w:ascii="Courier New" w:cs="Courier New" w:eastAsia="Courier New" w:hAnsi="Courier New"/>
          <w:sz w:val="15"/>
          <w:szCs w:val="15"/>
          <w:color w:val="auto"/>
        </w:rPr>
        <w:t>33-62613</w:t>
      </w:r>
    </w:p>
    <w:p>
      <w:pPr>
        <w:spacing w:after="0" w:line="185" w:lineRule="exact"/>
        <w:rPr>
          <w:sz w:val="24"/>
          <w:szCs w:val="24"/>
          <w:color w:val="auto"/>
        </w:rPr>
      </w:pPr>
    </w:p>
    <w:p>
      <w:pPr>
        <w:ind w:left="5805"/>
        <w:spacing w:after="0"/>
        <w:rPr>
          <w:sz w:val="20"/>
          <w:szCs w:val="20"/>
          <w:color w:val="auto"/>
        </w:rPr>
      </w:pPr>
      <w:r>
        <w:rPr>
          <w:rFonts w:ascii="Courier New" w:cs="Courier New" w:eastAsia="Courier New" w:hAnsi="Courier New"/>
          <w:sz w:val="15"/>
          <w:szCs w:val="15"/>
          <w:color w:val="auto"/>
        </w:rPr>
        <w:t>33-62613-01</w:t>
      </w:r>
    </w:p>
    <w:p>
      <w:pPr>
        <w:spacing w:after="0" w:line="185"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jc w:val="center"/>
        <w:ind w:right="301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3014"/>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AMENDMENT NO. 1</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TO</w:t>
      </w:r>
    </w:p>
    <w:p>
      <w:pPr>
        <w:spacing w:after="0" w:line="8"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FORM S-4</w:t>
      </w:r>
    </w:p>
    <w:p>
      <w:pPr>
        <w:spacing w:after="0" w:line="8"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REGISTRATION STATEMENT</w:t>
      </w:r>
    </w:p>
    <w:p>
      <w:pPr>
        <w:spacing w:after="0" w:line="8" w:lineRule="exact"/>
        <w:rPr>
          <w:sz w:val="24"/>
          <w:szCs w:val="24"/>
          <w:color w:val="auto"/>
        </w:rPr>
      </w:pPr>
    </w:p>
    <w:p>
      <w:pPr>
        <w:ind w:left="3405"/>
        <w:spacing w:after="0"/>
        <w:rPr>
          <w:sz w:val="20"/>
          <w:szCs w:val="20"/>
          <w:color w:val="auto"/>
        </w:rPr>
      </w:pPr>
      <w:r>
        <w:rPr>
          <w:rFonts w:ascii="Courier New" w:cs="Courier New" w:eastAsia="Courier New" w:hAnsi="Courier New"/>
          <w:sz w:val="15"/>
          <w:szCs w:val="15"/>
          <w:color w:val="auto"/>
        </w:rPr>
        <w:t>UNDER</w:t>
      </w:r>
    </w:p>
    <w:p>
      <w:pPr>
        <w:spacing w:after="0" w:line="8"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THE SECURITIES ACT OF 1933</w:t>
      </w:r>
    </w:p>
    <w:p>
      <w:pPr>
        <w:spacing w:after="0" w:line="185"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14"/>
                <w:szCs w:val="14"/>
                <w:color w:val="auto"/>
              </w:rPr>
            </w:pPr>
          </w:p>
        </w:tc>
      </w:tr>
      <w:tr>
        <w:trPr>
          <w:trHeight w:val="355"/>
        </w:trPr>
        <w:tc>
          <w:tcPr>
            <w:tcW w:w="2800" w:type="dxa"/>
            <w:vAlign w:val="bottom"/>
          </w:tcPr>
          <w:p>
            <w:pPr>
              <w:jc w:val="center"/>
              <w:ind w:left="703"/>
              <w:spacing w:after="0"/>
              <w:rPr>
                <w:sz w:val="20"/>
                <w:szCs w:val="20"/>
                <w:color w:val="auto"/>
              </w:rPr>
            </w:pPr>
            <w:r>
              <w:rPr>
                <w:rFonts w:ascii="Courier New" w:cs="Courier New" w:eastAsia="Courier New" w:hAnsi="Courier New"/>
                <w:sz w:val="15"/>
                <w:szCs w:val="15"/>
                <w:color w:val="auto"/>
              </w:rPr>
              <w:t>ELI LILLY AND COMPANY</w:t>
            </w:r>
          </w:p>
        </w:tc>
        <w:tc>
          <w:tcPr>
            <w:tcW w:w="700" w:type="dxa"/>
            <w:vAlign w:val="bottom"/>
          </w:tcPr>
          <w:p>
            <w:pPr>
              <w:spacing w:after="0"/>
              <w:rPr>
                <w:sz w:val="24"/>
                <w:szCs w:val="24"/>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INTEGRATED MEDICAL SYSTEMS, INC.</w:t>
            </w:r>
          </w:p>
        </w:tc>
      </w:tr>
      <w:tr>
        <w:trPr>
          <w:trHeight w:val="177"/>
        </w:trPr>
        <w:tc>
          <w:tcPr>
            <w:tcW w:w="7200" w:type="dxa"/>
            <w:vAlign w:val="bottom"/>
            <w:gridSpan w:val="4"/>
          </w:tcPr>
          <w:p>
            <w:pPr>
              <w:jc w:val="center"/>
              <w:ind w:left="3"/>
              <w:spacing w:after="0"/>
              <w:rPr>
                <w:sz w:val="20"/>
                <w:szCs w:val="20"/>
                <w:color w:val="auto"/>
              </w:rPr>
            </w:pPr>
            <w:r>
              <w:rPr>
                <w:rFonts w:ascii="Courier New" w:cs="Courier New" w:eastAsia="Courier New" w:hAnsi="Courier New"/>
                <w:sz w:val="15"/>
                <w:szCs w:val="15"/>
                <w:color w:val="auto"/>
              </w:rPr>
              <w:t>(EXACT NAMES OF REGISTRANTS AS SPECIFIED IN THEIR CHARTERS)</w:t>
            </w:r>
          </w:p>
        </w:tc>
      </w:tr>
      <w:tr>
        <w:trPr>
          <w:trHeight w:val="177"/>
        </w:trPr>
        <w:tc>
          <w:tcPr>
            <w:tcW w:w="2800" w:type="dxa"/>
            <w:vAlign w:val="bottom"/>
          </w:tcPr>
          <w:p>
            <w:pPr>
              <w:jc w:val="center"/>
              <w:ind w:left="723"/>
              <w:spacing w:after="0"/>
              <w:rPr>
                <w:sz w:val="20"/>
                <w:szCs w:val="20"/>
                <w:color w:val="auto"/>
              </w:rPr>
            </w:pPr>
            <w:r>
              <w:rPr>
                <w:rFonts w:ascii="Courier New" w:cs="Courier New" w:eastAsia="Courier New" w:hAnsi="Courier New"/>
                <w:sz w:val="15"/>
                <w:szCs w:val="15"/>
                <w:color w:val="auto"/>
              </w:rPr>
              <w:t>INDIANA</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0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COLORADO</w:t>
            </w:r>
          </w:p>
        </w:tc>
      </w:tr>
      <w:tr>
        <w:trPr>
          <w:trHeight w:val="177"/>
        </w:trPr>
        <w:tc>
          <w:tcPr>
            <w:tcW w:w="4700" w:type="dxa"/>
            <w:vAlign w:val="bottom"/>
            <w:gridSpan w:val="3"/>
          </w:tcPr>
          <w:p>
            <w:pPr>
              <w:jc w:val="center"/>
              <w:ind w:left="2403"/>
              <w:spacing w:after="0"/>
              <w:rPr>
                <w:sz w:val="20"/>
                <w:szCs w:val="20"/>
                <w:color w:val="auto"/>
              </w:rPr>
            </w:pPr>
            <w:r>
              <w:rPr>
                <w:rFonts w:ascii="Courier New" w:cs="Courier New" w:eastAsia="Courier New" w:hAnsi="Courier New"/>
                <w:sz w:val="15"/>
                <w:szCs w:val="15"/>
                <w:color w:val="auto"/>
              </w:rPr>
              <w:t>(STATE OF INCORPORATION)</w:t>
            </w:r>
          </w:p>
        </w:tc>
        <w:tc>
          <w:tcPr>
            <w:tcW w:w="2500" w:type="dxa"/>
            <w:vAlign w:val="bottom"/>
          </w:tcPr>
          <w:p>
            <w:pPr>
              <w:spacing w:after="0"/>
              <w:rPr>
                <w:sz w:val="15"/>
                <w:szCs w:val="15"/>
                <w:color w:val="auto"/>
              </w:rPr>
            </w:pPr>
          </w:p>
        </w:tc>
      </w:tr>
      <w:tr>
        <w:trPr>
          <w:trHeight w:val="177"/>
        </w:trPr>
        <w:tc>
          <w:tcPr>
            <w:tcW w:w="2800" w:type="dxa"/>
            <w:vAlign w:val="bottom"/>
          </w:tcPr>
          <w:p>
            <w:pPr>
              <w:jc w:val="center"/>
              <w:ind w:left="623"/>
              <w:spacing w:after="0"/>
              <w:rPr>
                <w:sz w:val="20"/>
                <w:szCs w:val="20"/>
                <w:color w:val="auto"/>
              </w:rPr>
            </w:pPr>
            <w:r>
              <w:rPr>
                <w:rFonts w:ascii="Courier New" w:cs="Courier New" w:eastAsia="Courier New" w:hAnsi="Courier New"/>
                <w:sz w:val="15"/>
                <w:szCs w:val="15"/>
                <w:color w:val="auto"/>
              </w:rPr>
              <w:t>2834</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0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8099</w:t>
            </w:r>
          </w:p>
        </w:tc>
      </w:tr>
      <w:tr>
        <w:trPr>
          <w:trHeight w:val="177"/>
        </w:trPr>
        <w:tc>
          <w:tcPr>
            <w:tcW w:w="72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(PRIMARY STANDARD INDUSTRIAL CLASSIFICATION CODE NUMBER)</w:t>
            </w:r>
          </w:p>
        </w:tc>
      </w:tr>
      <w:tr>
        <w:trPr>
          <w:trHeight w:val="177"/>
        </w:trPr>
        <w:tc>
          <w:tcPr>
            <w:tcW w:w="2800" w:type="dxa"/>
            <w:vAlign w:val="bottom"/>
          </w:tcPr>
          <w:p>
            <w:pPr>
              <w:jc w:val="center"/>
              <w:ind w:left="603"/>
              <w:spacing w:after="0"/>
              <w:rPr>
                <w:sz w:val="20"/>
                <w:szCs w:val="20"/>
                <w:color w:val="auto"/>
              </w:rPr>
            </w:pPr>
            <w:r>
              <w:rPr>
                <w:rFonts w:ascii="Courier New" w:cs="Courier New" w:eastAsia="Courier New" w:hAnsi="Courier New"/>
                <w:sz w:val="15"/>
                <w:szCs w:val="15"/>
                <w:color w:val="auto"/>
              </w:rPr>
              <w:t>35-0470950</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00" w:type="dxa"/>
            <w:vAlign w:val="bottom"/>
          </w:tcPr>
          <w:p>
            <w:pPr>
              <w:jc w:val="center"/>
              <w:ind w:right="1143"/>
              <w:spacing w:after="0"/>
              <w:rPr>
                <w:sz w:val="20"/>
                <w:szCs w:val="20"/>
                <w:color w:val="auto"/>
              </w:rPr>
            </w:pPr>
            <w:r>
              <w:rPr>
                <w:rFonts w:ascii="Courier New" w:cs="Courier New" w:eastAsia="Courier New" w:hAnsi="Courier New"/>
                <w:sz w:val="15"/>
                <w:szCs w:val="15"/>
                <w:color w:val="auto"/>
              </w:rPr>
              <w:t>84-0970775</w:t>
            </w:r>
          </w:p>
        </w:tc>
      </w:tr>
      <w:tr>
        <w:trPr>
          <w:trHeight w:val="177"/>
        </w:trPr>
        <w:tc>
          <w:tcPr>
            <w:tcW w:w="7200" w:type="dxa"/>
            <w:vAlign w:val="bottom"/>
            <w:gridSpan w:val="4"/>
          </w:tcPr>
          <w:p>
            <w:pPr>
              <w:jc w:val="center"/>
              <w:ind w:left="3"/>
              <w:spacing w:after="0"/>
              <w:rPr>
                <w:sz w:val="20"/>
                <w:szCs w:val="20"/>
                <w:color w:val="auto"/>
              </w:rPr>
            </w:pPr>
            <w:r>
              <w:rPr>
                <w:rFonts w:ascii="Courier New" w:cs="Courier New" w:eastAsia="Courier New" w:hAnsi="Courier New"/>
                <w:sz w:val="15"/>
                <w:szCs w:val="15"/>
                <w:color w:val="auto"/>
              </w:rPr>
              <w:t>(IRS EMPLOYER IDENTIFICATION NO.)</w:t>
            </w:r>
          </w:p>
        </w:tc>
      </w:tr>
      <w:tr>
        <w:trPr>
          <w:trHeight w:val="177"/>
        </w:trPr>
        <w:tc>
          <w:tcPr>
            <w:tcW w:w="2800" w:type="dxa"/>
            <w:vAlign w:val="bottom"/>
          </w:tcPr>
          <w:p>
            <w:pPr>
              <w:ind w:left="740"/>
              <w:spacing w:after="0"/>
              <w:rPr>
                <w:sz w:val="20"/>
                <w:szCs w:val="20"/>
                <w:color w:val="auto"/>
              </w:rPr>
            </w:pPr>
            <w:r>
              <w:rPr>
                <w:rFonts w:ascii="Courier New" w:cs="Courier New" w:eastAsia="Courier New" w:hAnsi="Courier New"/>
                <w:sz w:val="15"/>
                <w:szCs w:val="15"/>
                <w:color w:val="auto"/>
              </w:rPr>
              <w:t>LILLY CORPORATE CENTER</w:t>
            </w:r>
          </w:p>
        </w:tc>
        <w:tc>
          <w:tcPr>
            <w:tcW w:w="700" w:type="dxa"/>
            <w:vAlign w:val="bottom"/>
          </w:tcPr>
          <w:p>
            <w:pPr>
              <w:spacing w:after="0"/>
              <w:rPr>
                <w:sz w:val="15"/>
                <w:szCs w:val="15"/>
                <w:color w:val="auto"/>
              </w:rPr>
            </w:pP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15000 WEST 6TH AVENUE</w:t>
            </w:r>
          </w:p>
        </w:tc>
      </w:tr>
      <w:tr>
        <w:trPr>
          <w:trHeight w:val="177"/>
        </w:trPr>
        <w:tc>
          <w:tcPr>
            <w:tcW w:w="35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INDIANAPOLIS, INDIANA 46285</w:t>
            </w:r>
          </w:p>
        </w:tc>
        <w:tc>
          <w:tcPr>
            <w:tcW w:w="1200" w:type="dxa"/>
            <w:vAlign w:val="bottom"/>
          </w:tcPr>
          <w:p>
            <w:pPr>
              <w:spacing w:after="0"/>
              <w:rPr>
                <w:sz w:val="15"/>
                <w:szCs w:val="15"/>
                <w:color w:val="auto"/>
              </w:rPr>
            </w:pPr>
          </w:p>
        </w:tc>
        <w:tc>
          <w:tcPr>
            <w:tcW w:w="2500" w:type="dxa"/>
            <w:vAlign w:val="bottom"/>
          </w:tcPr>
          <w:p>
            <w:pPr>
              <w:jc w:val="center"/>
              <w:ind w:right="1043"/>
              <w:spacing w:after="0"/>
              <w:rPr>
                <w:sz w:val="20"/>
                <w:szCs w:val="20"/>
                <w:color w:val="auto"/>
              </w:rPr>
            </w:pPr>
            <w:r>
              <w:rPr>
                <w:rFonts w:ascii="Courier New" w:cs="Courier New" w:eastAsia="Courier New" w:hAnsi="Courier New"/>
                <w:sz w:val="15"/>
                <w:szCs w:val="15"/>
                <w:color w:val="auto"/>
              </w:rPr>
              <w:t>SUITE 400</w:t>
            </w:r>
          </w:p>
        </w:tc>
      </w:tr>
      <w:tr>
        <w:trPr>
          <w:trHeight w:val="177"/>
        </w:trPr>
        <w:tc>
          <w:tcPr>
            <w:tcW w:w="2800" w:type="dxa"/>
            <w:vAlign w:val="bottom"/>
          </w:tcPr>
          <w:p>
            <w:pPr>
              <w:jc w:val="center"/>
              <w:ind w:left="623"/>
              <w:spacing w:after="0"/>
              <w:rPr>
                <w:sz w:val="20"/>
                <w:szCs w:val="20"/>
                <w:color w:val="auto"/>
              </w:rPr>
            </w:pPr>
            <w:r>
              <w:rPr>
                <w:rFonts w:ascii="Courier New" w:cs="Courier New" w:eastAsia="Courier New" w:hAnsi="Courier New"/>
                <w:sz w:val="15"/>
                <w:szCs w:val="15"/>
                <w:color w:val="auto"/>
              </w:rPr>
              <w:t>317-276-2000</w:t>
            </w:r>
          </w:p>
        </w:tc>
        <w:tc>
          <w:tcPr>
            <w:tcW w:w="70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GOLDEN, COLORADO 80401</w:t>
            </w:r>
          </w:p>
        </w:tc>
      </w:tr>
      <w:tr>
        <w:trPr>
          <w:trHeight w:val="177"/>
        </w:trPr>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0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303-279-6116</w:t>
            </w:r>
          </w:p>
        </w:tc>
      </w:tr>
      <w:tr>
        <w:trPr>
          <w:trHeight w:val="177"/>
        </w:trPr>
        <w:tc>
          <w:tcPr>
            <w:tcW w:w="7200" w:type="dxa"/>
            <w:vAlign w:val="bottom"/>
            <w:gridSpan w:val="4"/>
          </w:tcPr>
          <w:p>
            <w:pPr>
              <w:jc w:val="center"/>
              <w:ind w:left="3"/>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tc>
      </w:tr>
      <w:tr>
        <w:trPr>
          <w:trHeight w:val="177"/>
        </w:trPr>
        <w:tc>
          <w:tcPr>
            <w:tcW w:w="7200" w:type="dxa"/>
            <w:vAlign w:val="bottom"/>
            <w:gridSpan w:val="4"/>
          </w:tcPr>
          <w:p>
            <w:pPr>
              <w:jc w:val="center"/>
              <w:ind w:left="3"/>
              <w:spacing w:after="0"/>
              <w:rPr>
                <w:sz w:val="20"/>
                <w:szCs w:val="20"/>
                <w:color w:val="auto"/>
              </w:rPr>
            </w:pPr>
            <w:r>
              <w:rPr>
                <w:rFonts w:ascii="Courier New" w:cs="Courier New" w:eastAsia="Courier New" w:hAnsi="Courier New"/>
                <w:sz w:val="15"/>
                <w:szCs w:val="15"/>
                <w:color w:val="auto"/>
              </w:rPr>
              <w:t>REGISTRANTS' PRINCIPAL EXECUTIVE OFFICES)</w:t>
            </w:r>
          </w:p>
        </w:tc>
      </w:tr>
      <w:tr>
        <w:trPr>
          <w:trHeight w:val="355"/>
        </w:trPr>
        <w:tc>
          <w:tcPr>
            <w:tcW w:w="2800" w:type="dxa"/>
            <w:vAlign w:val="bottom"/>
          </w:tcPr>
          <w:p>
            <w:pPr>
              <w:spacing w:after="0"/>
              <w:rPr>
                <w:sz w:val="24"/>
                <w:szCs w:val="24"/>
                <w:color w:val="auto"/>
              </w:rPr>
            </w:pPr>
          </w:p>
        </w:tc>
        <w:tc>
          <w:tcPr>
            <w:tcW w:w="19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24"/>
                <w:szCs w:val="24"/>
                <w:color w:val="auto"/>
              </w:rPr>
            </w:pPr>
          </w:p>
        </w:tc>
      </w:tr>
      <w:tr>
        <w:trPr>
          <w:trHeight w:val="355"/>
        </w:trPr>
        <w:tc>
          <w:tcPr>
            <w:tcW w:w="2800" w:type="dxa"/>
            <w:vAlign w:val="bottom"/>
          </w:tcPr>
          <w:p>
            <w:pPr>
              <w:jc w:val="center"/>
              <w:ind w:left="703"/>
              <w:spacing w:after="0"/>
              <w:rPr>
                <w:sz w:val="20"/>
                <w:szCs w:val="20"/>
                <w:color w:val="auto"/>
              </w:rPr>
            </w:pPr>
            <w:r>
              <w:rPr>
                <w:rFonts w:ascii="Courier New" w:cs="Courier New" w:eastAsia="Courier New" w:hAnsi="Courier New"/>
                <w:sz w:val="15"/>
                <w:szCs w:val="15"/>
                <w:color w:val="auto"/>
              </w:rPr>
              <w:t>REBECCA O. GOSS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0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KEVIN R. GREEN</w:t>
            </w:r>
          </w:p>
        </w:tc>
      </w:tr>
      <w:tr>
        <w:trPr>
          <w:trHeight w:val="177"/>
        </w:trPr>
        <w:tc>
          <w:tcPr>
            <w:tcW w:w="3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AND GENERAL COUNSEL</w:t>
            </w: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77"/>
        </w:trPr>
        <w:tc>
          <w:tcPr>
            <w:tcW w:w="2800" w:type="dxa"/>
            <w:vAlign w:val="bottom"/>
          </w:tcPr>
          <w:p>
            <w:pPr>
              <w:jc w:val="center"/>
              <w:ind w:left="703"/>
              <w:spacing w:after="0"/>
              <w:rPr>
                <w:sz w:val="20"/>
                <w:szCs w:val="20"/>
                <w:color w:val="auto"/>
              </w:rPr>
            </w:pPr>
            <w:r>
              <w:rPr>
                <w:rFonts w:ascii="Courier New" w:cs="Courier New" w:eastAsia="Courier New" w:hAnsi="Courier New"/>
                <w:sz w:val="15"/>
                <w:szCs w:val="15"/>
                <w:color w:val="auto"/>
              </w:rPr>
              <w:t>ELI LILLY AND COMPANY</w:t>
            </w:r>
          </w:p>
        </w:tc>
        <w:tc>
          <w:tcPr>
            <w:tcW w:w="70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INTEGRATED MEDICAL SYSTEMS, INC.</w:t>
            </w:r>
          </w:p>
        </w:tc>
      </w:tr>
      <w:tr>
        <w:trPr>
          <w:trHeight w:val="177"/>
        </w:trPr>
        <w:tc>
          <w:tcPr>
            <w:tcW w:w="2800" w:type="dxa"/>
            <w:vAlign w:val="bottom"/>
          </w:tcPr>
          <w:p>
            <w:pPr>
              <w:ind w:left="740"/>
              <w:spacing w:after="0"/>
              <w:rPr>
                <w:sz w:val="20"/>
                <w:szCs w:val="20"/>
                <w:color w:val="auto"/>
              </w:rPr>
            </w:pPr>
            <w:r>
              <w:rPr>
                <w:rFonts w:ascii="Courier New" w:cs="Courier New" w:eastAsia="Courier New" w:hAnsi="Courier New"/>
                <w:sz w:val="15"/>
                <w:szCs w:val="15"/>
                <w:color w:val="auto"/>
              </w:rPr>
              <w:t>LILLY CORPORATE CENTER</w:t>
            </w:r>
          </w:p>
        </w:tc>
        <w:tc>
          <w:tcPr>
            <w:tcW w:w="700" w:type="dxa"/>
            <w:vAlign w:val="bottom"/>
          </w:tcPr>
          <w:p>
            <w:pPr>
              <w:spacing w:after="0"/>
              <w:rPr>
                <w:sz w:val="15"/>
                <w:szCs w:val="15"/>
                <w:color w:val="auto"/>
              </w:rPr>
            </w:pPr>
          </w:p>
        </w:tc>
        <w:tc>
          <w:tcPr>
            <w:tcW w:w="37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15000 WEST 6TH AVENUE</w:t>
            </w:r>
          </w:p>
        </w:tc>
      </w:tr>
      <w:tr>
        <w:trPr>
          <w:trHeight w:val="177"/>
        </w:trPr>
        <w:tc>
          <w:tcPr>
            <w:tcW w:w="350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INDIANAPOLIS, INDIANA 46283</w:t>
            </w:r>
          </w:p>
        </w:tc>
        <w:tc>
          <w:tcPr>
            <w:tcW w:w="1200" w:type="dxa"/>
            <w:vAlign w:val="bottom"/>
          </w:tcPr>
          <w:p>
            <w:pPr>
              <w:spacing w:after="0"/>
              <w:rPr>
                <w:sz w:val="15"/>
                <w:szCs w:val="15"/>
                <w:color w:val="auto"/>
              </w:rPr>
            </w:pPr>
          </w:p>
        </w:tc>
        <w:tc>
          <w:tcPr>
            <w:tcW w:w="2500" w:type="dxa"/>
            <w:vAlign w:val="bottom"/>
          </w:tcPr>
          <w:p>
            <w:pPr>
              <w:jc w:val="center"/>
              <w:ind w:right="1043"/>
              <w:spacing w:after="0"/>
              <w:rPr>
                <w:sz w:val="20"/>
                <w:szCs w:val="20"/>
                <w:color w:val="auto"/>
              </w:rPr>
            </w:pPr>
            <w:r>
              <w:rPr>
                <w:rFonts w:ascii="Courier New" w:cs="Courier New" w:eastAsia="Courier New" w:hAnsi="Courier New"/>
                <w:sz w:val="15"/>
                <w:szCs w:val="15"/>
                <w:color w:val="auto"/>
              </w:rPr>
              <w:t>SUITE 400</w:t>
            </w:r>
          </w:p>
        </w:tc>
      </w:tr>
      <w:tr>
        <w:trPr>
          <w:trHeight w:val="177"/>
        </w:trPr>
        <w:tc>
          <w:tcPr>
            <w:tcW w:w="2800" w:type="dxa"/>
            <w:vAlign w:val="bottom"/>
          </w:tcPr>
          <w:p>
            <w:pPr>
              <w:jc w:val="center"/>
              <w:ind w:left="623"/>
              <w:spacing w:after="0"/>
              <w:rPr>
                <w:sz w:val="20"/>
                <w:szCs w:val="20"/>
                <w:color w:val="auto"/>
              </w:rPr>
            </w:pPr>
            <w:r>
              <w:rPr>
                <w:rFonts w:ascii="Courier New" w:cs="Courier New" w:eastAsia="Courier New" w:hAnsi="Courier New"/>
                <w:sz w:val="15"/>
                <w:szCs w:val="15"/>
                <w:color w:val="auto"/>
              </w:rPr>
              <w:t>317-276-2000</w:t>
            </w:r>
          </w:p>
        </w:tc>
        <w:tc>
          <w:tcPr>
            <w:tcW w:w="700" w:type="dxa"/>
            <w:vAlign w:val="bottom"/>
          </w:tcPr>
          <w:p>
            <w:pPr>
              <w:spacing w:after="0"/>
              <w:rPr>
                <w:sz w:val="15"/>
                <w:szCs w:val="15"/>
                <w:color w:val="auto"/>
              </w:rPr>
            </w:pPr>
          </w:p>
        </w:tc>
        <w:tc>
          <w:tcPr>
            <w:tcW w:w="370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GOLDEN, COLORADO 80401</w:t>
            </w:r>
          </w:p>
        </w:tc>
      </w:tr>
      <w:tr>
        <w:trPr>
          <w:trHeight w:val="177"/>
        </w:trPr>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00" w:type="dxa"/>
            <w:vAlign w:val="bottom"/>
          </w:tcPr>
          <w:p>
            <w:pPr>
              <w:jc w:val="center"/>
              <w:ind w:right="1123"/>
              <w:spacing w:after="0"/>
              <w:rPr>
                <w:sz w:val="20"/>
                <w:szCs w:val="20"/>
                <w:color w:val="auto"/>
              </w:rPr>
            </w:pPr>
            <w:r>
              <w:rPr>
                <w:rFonts w:ascii="Courier New" w:cs="Courier New" w:eastAsia="Courier New" w:hAnsi="Courier New"/>
                <w:sz w:val="15"/>
                <w:szCs w:val="15"/>
                <w:color w:val="auto"/>
              </w:rPr>
              <w:t>303-279-6116</w:t>
            </w:r>
          </w:p>
        </w:tc>
      </w:tr>
      <w:tr>
        <w:trPr>
          <w:trHeight w:val="177"/>
        </w:trPr>
        <w:tc>
          <w:tcPr>
            <w:tcW w:w="7200" w:type="dxa"/>
            <w:vAlign w:val="bottom"/>
            <w:gridSpan w:val="4"/>
          </w:tcPr>
          <w:p>
            <w:pPr>
              <w:jc w:val="center"/>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tc>
      </w:tr>
      <w:tr>
        <w:trPr>
          <w:trHeight w:val="177"/>
        </w:trPr>
        <w:tc>
          <w:tcPr>
            <w:tcW w:w="4700" w:type="dxa"/>
            <w:vAlign w:val="bottom"/>
            <w:gridSpan w:val="3"/>
          </w:tcPr>
          <w:p>
            <w:pPr>
              <w:jc w:val="center"/>
              <w:ind w:left="2503"/>
              <w:spacing w:after="0"/>
              <w:rPr>
                <w:sz w:val="20"/>
                <w:szCs w:val="20"/>
                <w:color w:val="auto"/>
              </w:rPr>
            </w:pPr>
            <w:r>
              <w:rPr>
                <w:rFonts w:ascii="Courier New" w:cs="Courier New" w:eastAsia="Courier New" w:hAnsi="Courier New"/>
                <w:sz w:val="15"/>
                <w:szCs w:val="15"/>
                <w:color w:val="auto"/>
              </w:rPr>
              <w:t>OF AGENT FOR SERVICE)</w:t>
            </w:r>
          </w:p>
        </w:tc>
        <w:tc>
          <w:tcPr>
            <w:tcW w:w="2500" w:type="dxa"/>
            <w:vAlign w:val="bottom"/>
          </w:tcPr>
          <w:p>
            <w:pPr>
              <w:spacing w:after="0"/>
              <w:rPr>
                <w:sz w:val="15"/>
                <w:szCs w:val="15"/>
                <w:color w:val="auto"/>
              </w:rPr>
            </w:pPr>
          </w:p>
        </w:tc>
      </w:tr>
      <w:tr>
        <w:trPr>
          <w:trHeight w:val="177"/>
        </w:trPr>
        <w:tc>
          <w:tcPr>
            <w:tcW w:w="2800" w:type="dxa"/>
            <w:vAlign w:val="bottom"/>
          </w:tcPr>
          <w:p>
            <w:pPr>
              <w:spacing w:after="0"/>
              <w:rPr>
                <w:sz w:val="15"/>
                <w:szCs w:val="15"/>
                <w:color w:val="auto"/>
              </w:rPr>
            </w:pPr>
          </w:p>
        </w:tc>
        <w:tc>
          <w:tcPr>
            <w:tcW w:w="1900" w:type="dxa"/>
            <w:vAlign w:val="bottom"/>
            <w:gridSpan w:val="2"/>
          </w:tcPr>
          <w:p>
            <w:pPr>
              <w:jc w:val="center"/>
              <w:ind w:right="223"/>
              <w:spacing w:after="0"/>
              <w:rPr>
                <w:sz w:val="20"/>
                <w:szCs w:val="20"/>
                <w:color w:val="auto"/>
              </w:rPr>
            </w:pPr>
            <w:r>
              <w:rPr>
                <w:rFonts w:ascii="Courier New" w:cs="Courier New" w:eastAsia="Courier New" w:hAnsi="Courier New"/>
                <w:sz w:val="15"/>
                <w:szCs w:val="15"/>
                <w:color w:val="auto"/>
              </w:rPr>
              <w:t>COPIES TO:</w:t>
            </w:r>
          </w:p>
        </w:tc>
        <w:tc>
          <w:tcPr>
            <w:tcW w:w="2500" w:type="dxa"/>
            <w:vAlign w:val="bottom"/>
          </w:tcPr>
          <w:p>
            <w:pPr>
              <w:spacing w:after="0"/>
              <w:rPr>
                <w:sz w:val="15"/>
                <w:szCs w:val="15"/>
                <w:color w:val="auto"/>
              </w:rPr>
            </w:pPr>
          </w:p>
        </w:tc>
      </w:tr>
      <w:tr>
        <w:trPr>
          <w:trHeight w:val="177"/>
        </w:trPr>
        <w:tc>
          <w:tcPr>
            <w:tcW w:w="280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BERNARD E. KURY</w:t>
            </w:r>
          </w:p>
        </w:tc>
        <w:tc>
          <w:tcPr>
            <w:tcW w:w="1900" w:type="dxa"/>
            <w:vAlign w:val="bottom"/>
            <w:gridSpan w:val="2"/>
          </w:tcPr>
          <w:p>
            <w:pPr>
              <w:jc w:val="center"/>
              <w:ind w:right="223"/>
              <w:spacing w:after="0"/>
              <w:rPr>
                <w:sz w:val="20"/>
                <w:szCs w:val="20"/>
                <w:color w:val="auto"/>
              </w:rPr>
            </w:pPr>
            <w:r>
              <w:rPr>
                <w:rFonts w:ascii="Courier New" w:cs="Courier New" w:eastAsia="Courier New" w:hAnsi="Courier New"/>
                <w:sz w:val="15"/>
                <w:szCs w:val="15"/>
                <w:color w:val="auto"/>
              </w:rPr>
              <w:t>WILLIAM A. GROLL</w:t>
            </w:r>
          </w:p>
        </w:tc>
        <w:tc>
          <w:tcPr>
            <w:tcW w:w="250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ALAN W. PERYAM</w:t>
            </w:r>
          </w:p>
        </w:tc>
      </w:tr>
      <w:tr>
        <w:trPr>
          <w:trHeight w:val="177"/>
        </w:trPr>
        <w:tc>
          <w:tcPr>
            <w:tcW w:w="280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DEWEY BALLANTINE</w:t>
            </w:r>
          </w:p>
        </w:tc>
        <w:tc>
          <w:tcPr>
            <w:tcW w:w="1900" w:type="dxa"/>
            <w:vAlign w:val="bottom"/>
            <w:gridSpan w:val="2"/>
          </w:tcPr>
          <w:p>
            <w:pPr>
              <w:jc w:val="center"/>
              <w:ind w:right="143"/>
              <w:spacing w:after="0"/>
              <w:rPr>
                <w:sz w:val="20"/>
                <w:szCs w:val="20"/>
                <w:color w:val="auto"/>
              </w:rPr>
            </w:pPr>
            <w:r>
              <w:rPr>
                <w:rFonts w:ascii="Courier New" w:cs="Courier New" w:eastAsia="Courier New" w:hAnsi="Courier New"/>
                <w:sz w:val="15"/>
                <w:szCs w:val="15"/>
                <w:color w:val="auto"/>
              </w:rPr>
              <w:t>CLEARY, GOTTLIEB,</w:t>
            </w:r>
          </w:p>
        </w:tc>
        <w:tc>
          <w:tcPr>
            <w:tcW w:w="250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HOPPER AND KANOUFF, P.C.</w:t>
            </w:r>
          </w:p>
        </w:tc>
      </w:tr>
      <w:tr>
        <w:trPr>
          <w:trHeight w:val="177"/>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1301 AVENUE OF THE</w:t>
            </w:r>
          </w:p>
        </w:tc>
        <w:tc>
          <w:tcPr>
            <w:tcW w:w="1900" w:type="dxa"/>
            <w:vAlign w:val="bottom"/>
            <w:gridSpan w:val="2"/>
          </w:tcPr>
          <w:p>
            <w:pPr>
              <w:jc w:val="center"/>
              <w:ind w:right="223"/>
              <w:spacing w:after="0"/>
              <w:rPr>
                <w:sz w:val="20"/>
                <w:szCs w:val="20"/>
                <w:color w:val="auto"/>
              </w:rPr>
            </w:pPr>
            <w:r>
              <w:rPr>
                <w:rFonts w:ascii="Courier New" w:cs="Courier New" w:eastAsia="Courier New" w:hAnsi="Courier New"/>
                <w:sz w:val="15"/>
                <w:szCs w:val="15"/>
                <w:color w:val="auto"/>
              </w:rPr>
              <w:t>STEEN &amp; HAMILTON</w:t>
            </w:r>
          </w:p>
        </w:tc>
        <w:tc>
          <w:tcPr>
            <w:tcW w:w="25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1610 WYNKOOP STREET</w:t>
            </w:r>
          </w:p>
        </w:tc>
      </w:tr>
      <w:tr>
        <w:trPr>
          <w:trHeight w:val="177"/>
        </w:trPr>
        <w:tc>
          <w:tcPr>
            <w:tcW w:w="2800" w:type="dxa"/>
            <w:vAlign w:val="bottom"/>
          </w:tcPr>
          <w:p>
            <w:pPr>
              <w:ind w:left="740"/>
              <w:spacing w:after="0"/>
              <w:rPr>
                <w:sz w:val="20"/>
                <w:szCs w:val="20"/>
                <w:color w:val="auto"/>
              </w:rPr>
            </w:pPr>
            <w:r>
              <w:rPr>
                <w:rFonts w:ascii="Courier New" w:cs="Courier New" w:eastAsia="Courier New" w:hAnsi="Courier New"/>
                <w:sz w:val="15"/>
                <w:szCs w:val="15"/>
                <w:color w:val="auto"/>
              </w:rPr>
              <w:t>AMERICAS</w:t>
            </w:r>
          </w:p>
        </w:tc>
        <w:tc>
          <w:tcPr>
            <w:tcW w:w="1900" w:type="dxa"/>
            <w:vAlign w:val="bottom"/>
            <w:gridSpan w:val="2"/>
          </w:tcPr>
          <w:p>
            <w:pPr>
              <w:jc w:val="center"/>
              <w:ind w:right="143"/>
              <w:spacing w:after="0"/>
              <w:rPr>
                <w:sz w:val="20"/>
                <w:szCs w:val="20"/>
                <w:color w:val="auto"/>
              </w:rPr>
            </w:pPr>
            <w:r>
              <w:rPr>
                <w:rFonts w:ascii="Courier New" w:cs="Courier New" w:eastAsia="Courier New" w:hAnsi="Courier New"/>
                <w:sz w:val="15"/>
                <w:szCs w:val="15"/>
                <w:color w:val="auto"/>
              </w:rPr>
              <w:t>ONE LIBERTY PLAZA</w:t>
            </w:r>
          </w:p>
        </w:tc>
        <w:tc>
          <w:tcPr>
            <w:tcW w:w="2500" w:type="dxa"/>
            <w:vAlign w:val="bottom"/>
          </w:tcPr>
          <w:p>
            <w:pPr>
              <w:jc w:val="center"/>
              <w:ind w:left="103"/>
              <w:spacing w:after="0"/>
              <w:rPr>
                <w:sz w:val="20"/>
                <w:szCs w:val="20"/>
                <w:color w:val="auto"/>
              </w:rPr>
            </w:pPr>
            <w:r>
              <w:rPr>
                <w:rFonts w:ascii="Courier New" w:cs="Courier New" w:eastAsia="Courier New" w:hAnsi="Courier New"/>
                <w:sz w:val="15"/>
                <w:szCs w:val="15"/>
                <w:color w:val="auto"/>
              </w:rPr>
              <w:t>SUITE 200</w:t>
            </w:r>
          </w:p>
        </w:tc>
      </w:tr>
      <w:tr>
        <w:trPr>
          <w:trHeight w:val="177"/>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rPr>
              <w:t>NEW YORK, NEW YORK 10019   NEW YORK, NEW YORK 10006</w:t>
            </w:r>
          </w:p>
        </w:tc>
        <w:tc>
          <w:tcPr>
            <w:tcW w:w="2500" w:type="dxa"/>
            <w:vAlign w:val="bottom"/>
          </w:tcPr>
          <w:p>
            <w:pPr>
              <w:jc w:val="center"/>
              <w:ind w:left="183"/>
              <w:spacing w:after="0"/>
              <w:rPr>
                <w:sz w:val="20"/>
                <w:szCs w:val="20"/>
                <w:color w:val="auto"/>
              </w:rPr>
            </w:pPr>
            <w:r>
              <w:rPr>
                <w:rFonts w:ascii="Courier New" w:cs="Courier New" w:eastAsia="Courier New" w:hAnsi="Courier New"/>
                <w:sz w:val="15"/>
                <w:szCs w:val="15"/>
                <w:color w:val="auto"/>
              </w:rPr>
              <w:t>DENVER, COLORADO 80202</w:t>
            </w:r>
          </w:p>
        </w:tc>
      </w:tr>
    </w:tbl>
    <w:p>
      <w:pPr>
        <w:spacing w:after="0" w:line="183"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219" w:firstLine="185"/>
        <w:spacing w:after="0" w:line="253"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Upon consummation of the Merger described herein.</w:t>
      </w:r>
    </w:p>
    <w:p>
      <w:pPr>
        <w:spacing w:after="0" w:line="174" w:lineRule="exact"/>
        <w:rPr>
          <w:sz w:val="24"/>
          <w:szCs w:val="24"/>
          <w:color w:val="auto"/>
        </w:rPr>
      </w:pPr>
    </w:p>
    <w:p>
      <w:pPr>
        <w:ind w:left="5" w:right="3399" w:firstLine="185"/>
        <w:spacing w:after="0" w:line="252"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[_]</w:t>
      </w:r>
    </w:p>
    <w:p>
      <w:pPr>
        <w:spacing w:after="0" w:line="175" w:lineRule="exact"/>
        <w:rPr>
          <w:sz w:val="24"/>
          <w:szCs w:val="24"/>
          <w:color w:val="auto"/>
        </w:rPr>
      </w:pPr>
    </w:p>
    <w:p>
      <w:pPr>
        <w:ind w:left="28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5" w:top="768" w:right="1440" w:bottom="1440" w:gutter="0" w:footer="0" w:header="0"/>
        </w:sectPr>
      </w:pPr>
    </w:p>
    <w:bookmarkStart w:id="1" w:name="page2"/>
    <w:bookmarkEnd w:id="1"/>
    <w:p>
      <w:pPr>
        <w:ind w:left="212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ELI LILLY AND COMPANY</w:t>
      </w:r>
    </w:p>
    <w:p>
      <w:pPr>
        <w:spacing w:after="0" w:line="18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CROSS-REFERENCE SHEET BETWEEN ITEMS IN</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S-4 AND PROSPECTUS PURSUANT TO</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ITEM 501(B) OF REGULATION S-K</w:t>
      </w:r>
    </w:p>
    <w:p>
      <w:pPr>
        <w:sectPr>
          <w:pgSz w:w="11900" w:h="16838" w:orient="portrait"/>
          <w:cols w:equalWidth="0" w:num="1">
            <w:col w:w="10139"/>
          </w:cols>
          <w:pgMar w:left="320" w:top="65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ITEM NO.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S-4 CAPTION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HEADING IN PROSPECTUS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4" w:lineRule="exact"/>
        <w:rPr>
          <w:sz w:val="20"/>
          <w:szCs w:val="20"/>
          <w:color w:val="auto"/>
        </w:rPr>
      </w:pPr>
    </w:p>
    <w:p>
      <w:pPr>
        <w:sectPr>
          <w:pgSz w:w="11900" w:h="16838" w:orient="portrait"/>
          <w:cols w:equalWidth="0" w:num="3">
            <w:col w:w="740" w:space="560"/>
            <w:col w:w="2420" w:space="720"/>
            <w:col w:w="5699"/>
          </w:cols>
          <w:pgMar w:left="320" w:top="650" w:right="1440" w:bottom="1440" w:gutter="0" w:footer="0" w:header="0"/>
          <w:type w:val="continuous"/>
        </w:sectPr>
      </w:pPr>
    </w:p>
    <w:p>
      <w:pPr>
        <w:jc w:val="both"/>
        <w:spacing w:after="0" w:line="1005" w:lineRule="auto"/>
        <w:rPr>
          <w:sz w:val="20"/>
          <w:szCs w:val="20"/>
          <w:color w:val="auto"/>
        </w:rPr>
      </w:pPr>
      <w:r>
        <w:rPr>
          <w:rFonts w:ascii="Courier New" w:cs="Courier New" w:eastAsia="Courier New" w:hAnsi="Courier New"/>
          <w:sz w:val="15"/>
          <w:szCs w:val="15"/>
          <w:color w:val="auto"/>
        </w:rPr>
        <w:t>Item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 Forepart of Registration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Statement and Outside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Front Cover Page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Inside Front and Outside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Back Cover Pages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Cover Page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Available Information; Incorporation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Documents by Reference; Table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Contents</w:t>
      </w:r>
    </w:p>
    <w:p>
      <w:pPr>
        <w:spacing w:after="0" w:line="8" w:lineRule="exact"/>
        <w:rPr>
          <w:sz w:val="20"/>
          <w:szCs w:val="20"/>
          <w:color w:val="auto"/>
        </w:rPr>
      </w:pPr>
    </w:p>
    <w:p>
      <w:pPr>
        <w:sectPr>
          <w:pgSz w:w="11900" w:h="16838" w:orient="portrait"/>
          <w:cols w:equalWidth="0" w:num="3">
            <w:col w:w="380" w:space="180"/>
            <w:col w:w="2680" w:space="280"/>
            <w:col w:w="6619"/>
          </w:cols>
          <w:pgMar w:left="320" w:top="650" w:right="1440" w:bottom="1440" w:gutter="0" w:footer="0" w:header="0"/>
          <w:type w:val="continuous"/>
        </w:sectPr>
      </w:pPr>
    </w:p>
    <w:p>
      <w:pPr>
        <w:jc w:val="both"/>
        <w:spacing w:after="0" w:line="1005" w:lineRule="auto"/>
        <w:rPr>
          <w:sz w:val="20"/>
          <w:szCs w:val="20"/>
          <w:color w:val="auto"/>
        </w:rPr>
      </w:pPr>
      <w:r>
        <w:rPr>
          <w:rFonts w:ascii="Courier New" w:cs="Courier New" w:eastAsia="Courier New" w:hAnsi="Courier New"/>
          <w:sz w:val="15"/>
          <w:szCs w:val="15"/>
          <w:color w:val="auto"/>
        </w:rPr>
        <w:t>Item Item</w:t>
      </w:r>
    </w:p>
    <w:p>
      <w:pPr>
        <w:spacing w:after="0" w:line="20" w:lineRule="exact"/>
        <w:rPr>
          <w:sz w:val="20"/>
          <w:szCs w:val="20"/>
          <w:color w:val="auto"/>
        </w:rPr>
      </w:pPr>
      <w:r>
        <w:rPr>
          <w:sz w:val="20"/>
          <w:szCs w:val="20"/>
          <w:color w:val="auto"/>
        </w:rPr>
        <w:br w:type="column"/>
      </w:r>
    </w:p>
    <w:p>
      <w:pPr>
        <w:spacing w:after="0" w:line="335" w:lineRule="auto"/>
        <w:rPr>
          <w:sz w:val="20"/>
          <w:szCs w:val="20"/>
          <w:color w:val="auto"/>
        </w:rPr>
      </w:pPr>
      <w:r>
        <w:rPr>
          <w:rFonts w:ascii="Courier New" w:cs="Courier New" w:eastAsia="Courier New" w:hAnsi="Courier New"/>
          <w:sz w:val="15"/>
          <w:szCs w:val="15"/>
          <w:color w:val="auto"/>
        </w:rPr>
        <w:t>3. Risk Factors, Ratio of Earnings to Fixed Charges and Other Information.... 4. Terms of the Transaction..</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Special Factors to be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Considered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Factors to be Considered; The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Merger Agreement; Put/Call Agreements;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Amendment to the Articles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Incorporation of IMS; Comparison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Shareholder Rights; Description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Capital Stock of IMS; Rights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Dissenting Shareholders; Certain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Federal Income Tax Consequences of the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Merger</w:t>
      </w:r>
    </w:p>
    <w:p>
      <w:pPr>
        <w:spacing w:after="0" w:line="8" w:lineRule="exact"/>
        <w:rPr>
          <w:sz w:val="20"/>
          <w:szCs w:val="20"/>
          <w:color w:val="auto"/>
        </w:rPr>
      </w:pPr>
    </w:p>
    <w:p>
      <w:pPr>
        <w:sectPr>
          <w:pgSz w:w="11900" w:h="16838" w:orient="portrait"/>
          <w:cols w:equalWidth="0" w:num="3">
            <w:col w:w="380" w:space="180"/>
            <w:col w:w="2680" w:space="280"/>
            <w:col w:w="6619"/>
          </w:cols>
          <w:pgMar w:left="32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 Pro Forma Financial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Information..............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Capitalization of IMS Following</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Merger; Unaudited Pro Forma</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Consolidated Statement of Income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Lilly; Unaudited Pro Forma Consolidated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Information of IMS</w:t>
      </w:r>
    </w:p>
    <w:p>
      <w:pPr>
        <w:spacing w:after="0" w:line="8" w:lineRule="exact"/>
        <w:rPr>
          <w:sz w:val="20"/>
          <w:szCs w:val="20"/>
          <w:color w:val="auto"/>
        </w:rPr>
      </w:pPr>
    </w:p>
    <w:p>
      <w:pPr>
        <w:sectPr>
          <w:pgSz w:w="11900" w:h="16838" w:orient="portrait"/>
          <w:cols w:equalWidth="0" w:num="3">
            <w:col w:w="380" w:space="180"/>
            <w:col w:w="2680" w:space="280"/>
            <w:col w:w="6619"/>
          </w:cols>
          <w:pgMar w:left="32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w:t>
      </w:r>
    </w:p>
    <w:p>
      <w:pPr>
        <w:spacing w:after="0" w:line="20" w:lineRule="exact"/>
        <w:rPr>
          <w:sz w:val="20"/>
          <w:szCs w:val="20"/>
          <w:color w:val="auto"/>
        </w:rPr>
      </w:pPr>
      <w:r>
        <w:rPr>
          <w:sz w:val="20"/>
          <w:szCs w:val="20"/>
          <w:color w:val="auto"/>
        </w:rPr>
        <w:br w:type="column"/>
      </w:r>
    </w:p>
    <w:p>
      <w:pPr>
        <w:jc w:val="right"/>
        <w:spacing w:after="0" w:line="253" w:lineRule="auto"/>
        <w:rPr>
          <w:sz w:val="20"/>
          <w:szCs w:val="20"/>
          <w:color w:val="auto"/>
        </w:rPr>
      </w:pPr>
      <w:r>
        <w:rPr>
          <w:rFonts w:ascii="Courier New" w:cs="Courier New" w:eastAsia="Courier New" w:hAnsi="Courier New"/>
          <w:sz w:val="15"/>
          <w:szCs w:val="15"/>
          <w:color w:val="auto"/>
        </w:rPr>
        <w:t>6. Material Contacts with the Company Being Acquired...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Factors to be Considered; The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Merger Agreement; Put/Call Agreements</w:t>
      </w:r>
    </w:p>
    <w:p>
      <w:pPr>
        <w:spacing w:after="0" w:line="8" w:lineRule="exact"/>
        <w:rPr>
          <w:sz w:val="20"/>
          <w:szCs w:val="20"/>
          <w:color w:val="auto"/>
        </w:rPr>
      </w:pPr>
    </w:p>
    <w:p>
      <w:pPr>
        <w:sectPr>
          <w:pgSz w:w="11900" w:h="16838" w:orient="portrait"/>
          <w:cols w:equalWidth="0" w:num="3">
            <w:col w:w="380" w:space="180"/>
            <w:col w:w="2680" w:space="280"/>
            <w:col w:w="6619"/>
          </w:cols>
          <w:pgMar w:left="320" w:top="650" w:right="1440" w:bottom="1440" w:gutter="0" w:footer="0" w:header="0"/>
          <w:type w:val="continuous"/>
        </w:sectPr>
      </w:pPr>
    </w:p>
    <w:p>
      <w:pPr>
        <w:spacing w:after="0"/>
        <w:tabs>
          <w:tab w:leader="none" w:pos="540" w:val="left"/>
        </w:tabs>
        <w:rPr>
          <w:sz w:val="20"/>
          <w:szCs w:val="20"/>
          <w:color w:val="auto"/>
        </w:rPr>
      </w:pPr>
      <w:r>
        <w:rPr>
          <w:rFonts w:ascii="Courier New" w:cs="Courier New" w:eastAsia="Courier New" w:hAnsi="Courier New"/>
          <w:sz w:val="15"/>
          <w:szCs w:val="15"/>
          <w:color w:val="auto"/>
        </w:rPr>
        <w:t>Item</w:t>
        <w:tab/>
        <w:t>7. Additional Information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Required for Reoffering</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by Persons and Parties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Deemed to be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Underwriters.............</w:t>
      </w:r>
    </w:p>
    <w:p>
      <w:pPr>
        <w:spacing w:after="0" w:line="8"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Item</w:t>
        <w:tab/>
        <w:t>8. Interests of Named Experts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and Counsel..............</w:t>
      </w:r>
    </w:p>
    <w:p>
      <w:pPr>
        <w:spacing w:after="0" w:line="8"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Item</w:t>
        <w:tab/>
        <w:t>9. Disclosure of Commission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Position on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Indemnification for</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Securities Act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Liabilities..............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Information With Respect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 S-3 Registrants.......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Incorporation of Certain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Information by Reference.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Information With Respect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 S-2 or S-3</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Registrants..............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Incorporation of Certain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Information by Reference.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Information With Respect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 Registrants Other Than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S-2 or S-3 Registrants...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IMS; Management's Discussion</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Analysis of Financial Condition and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Results of Operations of IMS;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Management of IMS; Consolidated</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Statements of IMS</w:t>
      </w:r>
    </w:p>
    <w:p>
      <w:pPr>
        <w:spacing w:after="0" w:line="8" w:lineRule="exact"/>
        <w:rPr>
          <w:sz w:val="20"/>
          <w:szCs w:val="20"/>
          <w:color w:val="auto"/>
        </w:rPr>
      </w:pPr>
    </w:p>
    <w:p>
      <w:pPr>
        <w:sectPr>
          <w:pgSz w:w="11900" w:h="16838" w:orient="portrait"/>
          <w:cols w:equalWidth="0" w:num="2">
            <w:col w:w="3240" w:space="280"/>
            <w:col w:w="6619"/>
          </w:cols>
          <w:pgMar w:left="32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 15. Information With Respect</w:t>
      </w:r>
    </w:p>
    <w:p>
      <w:pPr>
        <w:sectPr>
          <w:pgSz w:w="11900" w:h="16838" w:orient="portrait"/>
          <w:cols w:equalWidth="0" w:num="1">
            <w:col w:w="10139"/>
          </w:cols>
          <w:pgMar w:left="320" w:top="650" w:right="1440" w:bottom="1440" w:gutter="0" w:footer="0" w:header="0"/>
          <w:type w:val="continuous"/>
        </w:sectPr>
      </w:pP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 S-3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0" w:lineRule="exact"/>
        <w:rPr>
          <w:sz w:val="20"/>
          <w:szCs w:val="20"/>
          <w:color w:val="auto"/>
        </w:rPr>
      </w:pPr>
    </w:p>
    <w:p>
      <w:pPr>
        <w:sectPr>
          <w:pgSz w:w="11900" w:h="16838" w:orient="portrait"/>
          <w:cols w:equalWidth="0" w:num="2">
            <w:col w:w="3240" w:space="280"/>
            <w:col w:w="6619"/>
          </w:cols>
          <w:pgMar w:left="32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Item 16. Information With Respect</w:t>
      </w:r>
    </w:p>
    <w:p>
      <w:pPr>
        <w:sectPr>
          <w:pgSz w:w="11900" w:h="16838" w:orient="portrait"/>
          <w:cols w:equalWidth="0" w:num="1">
            <w:col w:w="10139"/>
          </w:cols>
          <w:pgMar w:left="320" w:top="650" w:right="1440" w:bottom="1440" w:gutter="0" w:footer="0" w:header="0"/>
          <w:type w:val="continuous"/>
        </w:sectPr>
      </w:pP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to S-2 or S-3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2">
            <w:col w:w="3240" w:space="280"/>
            <w:col w:w="6619"/>
          </w:cols>
          <w:pgMar w:left="320" w:top="650" w:right="1440" w:bottom="1440" w:gutter="0" w:footer="0" w:header="0"/>
          <w:type w:val="continuous"/>
        </w:sectPr>
      </w:pPr>
    </w:p>
    <w:bookmarkStart w:id="2" w:name="page3"/>
    <w:bookmarkEnd w:id="2"/>
    <w:p>
      <w:pPr>
        <w:ind w:left="80"/>
        <w:spacing w:after="0"/>
        <w:tabs>
          <w:tab w:leader="none" w:pos="1360" w:val="left"/>
        </w:tabs>
        <w:rPr>
          <w:sz w:val="20"/>
          <w:szCs w:val="20"/>
          <w:color w:val="auto"/>
        </w:rPr>
      </w:pPr>
      <w:r>
        <w:rPr>
          <w:rFonts w:ascii="Courier New" w:cs="Courier New" w:eastAsia="Courier New" w:hAnsi="Courier New"/>
          <w:sz w:val="15"/>
          <w:szCs w:val="15"/>
          <w:color w:val="auto"/>
        </w:rPr>
        <w:t>ITEM NO.</w:t>
      </w:r>
      <w:r>
        <w:rPr>
          <w:sz w:val="20"/>
          <w:szCs w:val="20"/>
          <w:color w:val="auto"/>
        </w:rPr>
        <w:tab/>
      </w:r>
      <w:r>
        <w:rPr>
          <w:rFonts w:ascii="Courier New" w:cs="Courier New" w:eastAsia="Courier New" w:hAnsi="Courier New"/>
          <w:sz w:val="15"/>
          <w:szCs w:val="15"/>
          <w:color w:val="auto"/>
        </w:rPr>
        <w:t>FORM S-4 CAPTION</w:t>
      </w:r>
    </w:p>
    <w:p>
      <w:pPr>
        <w:spacing w:after="0" w:line="8" w:lineRule="exact"/>
        <w:rPr>
          <w:sz w:val="20"/>
          <w:szCs w:val="20"/>
          <w:color w:val="auto"/>
        </w:rPr>
      </w:pPr>
    </w:p>
    <w:p>
      <w:pPr>
        <w:ind w:left="80"/>
        <w:spacing w:after="0"/>
        <w:tabs>
          <w:tab w:leader="none" w:pos="1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jc w:val="right"/>
        <w:ind w:left="80" w:right="80"/>
        <w:spacing w:after="0" w:line="250" w:lineRule="auto"/>
        <w:rPr>
          <w:sz w:val="20"/>
          <w:szCs w:val="20"/>
          <w:color w:val="auto"/>
        </w:rPr>
      </w:pPr>
      <w:r>
        <w:rPr>
          <w:rFonts w:ascii="Courier New" w:cs="Courier New" w:eastAsia="Courier New" w:hAnsi="Courier New"/>
          <w:sz w:val="15"/>
          <w:szCs w:val="15"/>
          <w:color w:val="auto"/>
        </w:rPr>
        <w:t>Item 17. Information With Respect to Companies Other Than</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S-2 or S-3 Companies....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18. Information if Proxies,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Consents or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Authorizations are to be</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Solicited...............</w:t>
      </w:r>
    </w:p>
    <w:p>
      <w:pPr>
        <w:spacing w:after="0" w:line="36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Item 19. Information if Proxies,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Consents or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Authorizations are not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to be Solicited or in an</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Exchange Offer..........</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5"/>
          <w:szCs w:val="15"/>
          <w:color w:val="auto"/>
        </w:rPr>
        <w:t>HEADING IN PROSPECTUS</w:t>
      </w:r>
    </w:p>
    <w:p>
      <w:pPr>
        <w:spacing w:after="0" w:line="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IMS; Management's Discussion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Analysis of Financial Condition and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Results of Operations of IMS;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Management of IMS; Description of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Capital Stock of IMS; Consolidated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Financial Statements of IMS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The Special Meeting; Special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Factors to be Considered; The Merger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Agreement; Rights of Dissenting</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Shareholders; Business of IMS;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Ownership of IMS; Management of IMS</w:t>
      </w:r>
    </w:p>
    <w:p>
      <w:pPr>
        <w:spacing w:after="0" w:line="36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220" w:space="180"/>
            <w:col w:w="6819"/>
          </w:cols>
          <w:pgMar w:left="240" w:top="1005" w:right="1440" w:bottom="1440" w:gutter="0" w:footer="0" w:header="0"/>
        </w:sect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Omitted because inapplicable or answer is in the negative.</w:t>
      </w:r>
    </w:p>
    <w:p>
      <w:pPr>
        <w:sectPr>
          <w:pgSz w:w="11900" w:h="16838" w:orient="portrait"/>
          <w:cols w:equalWidth="0" w:num="1">
            <w:col w:w="10219"/>
          </w:cols>
          <w:pgMar w:left="240" w:top="1005" w:right="1440" w:bottom="1440" w:gutter="0" w:footer="0" w:header="0"/>
          <w:type w:val="continuous"/>
        </w:sectPr>
      </w:pPr>
    </w:p>
    <w:bookmarkStart w:id="3" w:name="page4"/>
    <w:bookmarkEnd w:id="3"/>
    <w:p>
      <w:pPr>
        <w:jc w:val="right"/>
        <w:ind w:left="2120" w:right="2939"/>
        <w:spacing w:after="0" w:line="253" w:lineRule="auto"/>
        <w:rPr>
          <w:sz w:val="20"/>
          <w:szCs w:val="20"/>
          <w:color w:val="auto"/>
        </w:rPr>
      </w:pPr>
      <w:r>
        <w:rPr>
          <w:rFonts w:ascii="Courier New" w:cs="Courier New" w:eastAsia="Courier New" w:hAnsi="Courier New"/>
          <w:sz w:val="15"/>
          <w:szCs w:val="15"/>
          <w:color w:val="auto"/>
        </w:rPr>
        <w:t>INTEGRATED MEDICAL SYSTEMS, INC. 15000 WEST 6TH AVENUE, SUITE 400, GOLDEN, COLORADO 80401</w:t>
      </w:r>
    </w:p>
    <w:p>
      <w:pPr>
        <w:spacing w:after="0" w:line="17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5"/>
          <w:szCs w:val="15"/>
          <w:color w:val="auto"/>
        </w:rPr>
        <w:t>,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 of Integrated Medical Systems,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You are cordially invited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attend a</w:t>
            </w:r>
          </w:p>
        </w:tc>
        <w:tc>
          <w:tcPr>
            <w:tcW w:w="356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Special Meeting of Shareholders of</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Integrated Medical</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Systems,</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w:t>
            </w:r>
          </w:p>
        </w:tc>
        <w:tc>
          <w:tcPr>
            <w:tcW w:w="4120" w:type="dxa"/>
            <w:vAlign w:val="bottom"/>
            <w:gridSpan w:val="5"/>
          </w:tcPr>
          <w:p>
            <w:pPr>
              <w:jc w:val="right"/>
              <w:ind w:right="383"/>
              <w:spacing w:after="0"/>
              <w:rPr>
                <w:sz w:val="20"/>
                <w:szCs w:val="20"/>
                <w:color w:val="auto"/>
              </w:rPr>
            </w:pPr>
            <w:r>
              <w:rPr>
                <w:rFonts w:ascii="Courier New" w:cs="Courier New" w:eastAsia="Courier New" w:hAnsi="Courier New"/>
                <w:sz w:val="15"/>
                <w:szCs w:val="15"/>
                <w:color w:val="auto"/>
              </w:rPr>
              <w:t>a Colorado corporation (the "Company"),</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which will be held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248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 commencing at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m. local</w:t>
            </w:r>
          </w:p>
        </w:tc>
      </w:tr>
      <w:tr>
        <w:trPr>
          <w:trHeight w:val="177"/>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time. At this meeting</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you will</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asked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consider and vote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upon the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approval</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and adoption of an</w:t>
            </w:r>
          </w:p>
        </w:tc>
        <w:tc>
          <w:tcPr>
            <w:tcW w:w="38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Agreement and Plan of Merger dated August</w:t>
            </w:r>
          </w:p>
        </w:tc>
        <w:tc>
          <w:tcPr>
            <w:tcW w:w="162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2, 1995 (the</w:t>
            </w:r>
          </w:p>
        </w:tc>
      </w:tr>
    </w:tbl>
    <w:p>
      <w:pPr>
        <w:spacing w:after="0" w:line="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"Merger Agreement"), providing for the merger (the "Merger") of a wholly-owned subsidiary of Eli Lilly and Company, an Indiana corporation ("Lilly"), with and into the Company. As a result of the Merger, the Company will become a subsidiary of Lilly, and Company shareholders will receive cash or other securities as described below. The enclosed Proxy Statement-Prospectus describes the proposed Merger in detail and should be read carefully in its entirety.</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Merger is required to be approved by the affirmative vote of the holders of at least two-thirds of the outstanding shares of common stock, Series B Preferred Stock ("Series B Stock") and Series C Preferred Stock ("Series C Stock"), voting together as a single class, and the affirmative vote of at least two-thirds of the outstanding shares of each of the Series B Stock and</w:t>
      </w:r>
    </w:p>
    <w:p>
      <w:pPr>
        <w:spacing w:after="0" w:line="2"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Series C Stock, each voting separately as a class. As of , 1995, the directors of the Company and their affiliates (other than Lilly or any wholly-owned subsidiary of Lilly) owned an aggregate of 3,465,184 shares of Company common stock representing approximately 51.6% of the Company common stock entitled to vote on the Merger and 1,581,562 shares of Series B Stock representing approximately 79.1% of the Series B Stock entitled to vote on the Merger. All of these shareholders have agreed with Lilly to vote the shares of Company common stock or Series B Stock owned by them (or acquired in the future) in favor of the Merger. In addition, Lilly, through its wholly-owned subsidiaries, owns 160,200 shares of Company common stock and all of the Series C Stock entitled to vote on the Merger and intends to vote all of such shares in favor of the Merger. The shares of Company common stock, Series B Stock and Series C Stock collectively owned by these shareholders and Lilly represent approximately 71.3% of the Company common stock, Series B Stock and Series C Stock entitled to vote as a class on the Merger. Thus, upon the vote of these shareholders in accordance with such agreements, shareholder approval of the Merger is assured.</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As a result of the Merger, Lilly will own 100% of IMS's voting stock and IMS shareholders who elect to receive cash as described in the Proxy Statement-Prospectus will not have any continuing interest in IMS or Lilly. In addition, IMS shareholders who elect Series D Stock or who elect to continue to hold Series B Stock as described below will hold non-voting securities which generally entitle the holder thereof only to fixed dividends and redemption values. Specifically, as a result of the Merger,</w:t>
      </w:r>
    </w:p>
    <w:p>
      <w:pPr>
        <w:spacing w:after="0" w:line="176" w:lineRule="exact"/>
        <w:rPr>
          <w:sz w:val="20"/>
          <w:szCs w:val="20"/>
          <w:color w:val="auto"/>
        </w:rPr>
      </w:pPr>
    </w:p>
    <w:p>
      <w:pPr>
        <w:ind w:left="180" w:right="3119" w:firstLine="184"/>
        <w:spacing w:after="0" w:line="251" w:lineRule="auto"/>
        <w:tabs>
          <w:tab w:leader="none" w:pos="73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common stock of the Company (other than dissenting shares or shares owned by Lilly or a subsidiary of Lilly) will be converted into the right to receive, at the holder's election, either $8.00 in cash, without interest, or one share of Series D Preferred Stock ("Series D Stock"), a newly created class of preferred stock of the Company which will have the preferences, limitations and relative rights described in the enclosed Proxy Statement-Prospectus and in the Articles of Merger of the surviving corporation, and</w:t>
      </w:r>
    </w:p>
    <w:p>
      <w:pPr>
        <w:spacing w:after="0" w:line="175" w:lineRule="exact"/>
        <w:rPr>
          <w:rFonts w:ascii="Courier New" w:cs="Courier New" w:eastAsia="Courier New" w:hAnsi="Courier New"/>
          <w:sz w:val="15"/>
          <w:szCs w:val="15"/>
          <w:color w:val="auto"/>
        </w:rPr>
      </w:pPr>
    </w:p>
    <w:p>
      <w:pPr>
        <w:ind w:left="180" w:right="3119" w:firstLine="184"/>
        <w:spacing w:after="0" w:line="250" w:lineRule="auto"/>
        <w:tabs>
          <w:tab w:leader="none" w:pos="73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Series B Stock of the Company (other than dissenting shares) will, at the holder's election, (i) convert into the right to receive either (A) $5.33 per share in cash, without interest, plus an amount, in cash, without interest, equal to the amount of all accrued and unpaid dividends on such a share of Series B Stock to the effective date of the Merger, or (B) two-thirds of a share of Series D Stock plus an amount, in cash, without interest, equal to the amount of all accrued and unpaid dividends on such a share of Series B Stock to the effective date of the Merger, or (ii) will remain outstanding (with the amended preferences, limitations and relative rights described in the Articles of Incorporation of the surviving corporation), and</w:t>
      </w:r>
    </w:p>
    <w:p>
      <w:pPr>
        <w:spacing w:after="0" w:line="182" w:lineRule="exact"/>
        <w:rPr>
          <w:rFonts w:ascii="Courier New" w:cs="Courier New" w:eastAsia="Courier New" w:hAnsi="Courier New"/>
          <w:sz w:val="15"/>
          <w:szCs w:val="15"/>
          <w:color w:val="auto"/>
        </w:rPr>
      </w:pPr>
    </w:p>
    <w:p>
      <w:pPr>
        <w:ind w:left="180" w:right="3399" w:firstLine="184"/>
        <w:spacing w:after="0" w:line="252" w:lineRule="auto"/>
        <w:tabs>
          <w:tab w:leader="none" w:pos="73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Series C Stock of the Company will be converted into one share of common stock of the surviving corporation.</w:t>
      </w:r>
    </w:p>
    <w:p>
      <w:pPr>
        <w:sectPr>
          <w:pgSz w:w="11900" w:h="16838" w:orient="portrait"/>
          <w:cols w:equalWidth="0" w:num="1">
            <w:col w:w="10219"/>
          </w:cols>
          <w:pgMar w:left="240" w:top="650" w:right="1440" w:bottom="1440" w:gutter="0" w:footer="0" w:header="0"/>
        </w:sectPr>
      </w:pPr>
    </w:p>
    <w:bookmarkStart w:id="4" w:name="page5"/>
    <w:bookmarkEnd w:id="4"/>
    <w:p>
      <w:pPr>
        <w:ind w:left="434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Company shareholders have dissenters' rights with respect to their shares and must closely follow the procedures set forth in the Proxy Statement-Prospectus in order to properly perfect such rights. If dissenters' rights are exercised by the holders of more than 10% of the common stock or Series B Stock, Lilly may, at its election, terminate the Merger Agreement.</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Board of Directors has received the opinion of the investment banking firm of Smith Barney Inc. to the effect that, based on the matters described therein, the consideration to be offered in the Merger to IMS shareholders (other than Lilly and its subsidiaries) is fair to such shareholders from a financial point of view. The opinion is attached as Appendix C to the Proxy Statement-Prospectus.</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Based on certain factors described in the Proxy Statement-Prospectus, the Board of Directors of the Company has determined that the Merger is fair and in the best interests of the Company and its shareholders. Accordingly, the Board of Directors has approved the Merger Agreement and the Merger and recommends that the shareholders vote for adoption and approval of the Merger Agreement and the Merger. Each of the Directors has agreed with Lilly to so vote shares held by the director and, in certain cases, members of his immediate family.</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addition, approval of the Merger by the Company's shareholders also includes approval of an amendment to the Company's 1994 Stock Option Plan (the "Plan") in order to increase the number of shares of common stock authorized to be issued under the Plan from 400,000 shares to 838,600 shares, which equals the total number of shares subject to options previously granted under the Plan. Approval of the Merger also includes approval of an amendment to the Company's articles of incorporation, effective upon consummation of the Merger, which will, among other things, eliminate the voting rights of the Series B Stock other than as required by Colorado law and make the Series B Stock parity stock with the Series D Stock upon liquidation, dissolution or winding-up of IMS.</w:t>
      </w:r>
    </w:p>
    <w:p>
      <w:pPr>
        <w:spacing w:after="0" w:line="182"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Please complete, sign and mail promptly the enclosed Proxy, whether or not you intend to be present in person at the Special Meeting. If you attend the Special Meeting, you may vote your shares in person even if you have previously submitted a Proxy.</w:t>
      </w:r>
    </w:p>
    <w:p>
      <w:pPr>
        <w:spacing w:after="0" w:line="176"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DO NOT SEND IN YOUR SHARE CERTIFICATES WITH YOUR PROXY. SHARE CERTIFICATES SHOULD BE SENT IN ONLY WITH THE LETTER OF TRANSMITTAL.</w:t>
      </w:r>
    </w:p>
    <w:p>
      <w:pPr>
        <w:spacing w:after="0" w:line="174"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Respectfully,</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Kevin R. Green,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President and Director</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Charles I. Brown,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Executive Vice President</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and Director</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NOTICE OF SPECIAL MEETING OF SHAREHOLDERS</w:t>
      </w:r>
    </w:p>
    <w:p>
      <w:pPr>
        <w:spacing w:after="0" w:line="8" w:lineRule="exact"/>
        <w:rPr>
          <w:sz w:val="20"/>
          <w:szCs w:val="20"/>
          <w:color w:val="auto"/>
        </w:rPr>
      </w:pPr>
    </w:p>
    <w:p>
      <w:pPr>
        <w:jc w:val="center"/>
        <w:ind w:right="2939"/>
        <w:spacing w:after="0"/>
        <w:tabs>
          <w:tab w:leader="none" w:pos="620" w:val="left"/>
        </w:tabs>
        <w:rPr>
          <w:sz w:val="20"/>
          <w:szCs w:val="20"/>
          <w:color w:val="auto"/>
        </w:rPr>
      </w:pPr>
      <w:r>
        <w:rPr>
          <w:rFonts w:ascii="Courier New" w:cs="Courier New" w:eastAsia="Courier New" w:hAnsi="Courier New"/>
          <w:sz w:val="15"/>
          <w:szCs w:val="15"/>
          <w:color w:val="auto"/>
        </w:rPr>
        <w:t>TO BE HELD</w:t>
      </w:r>
      <w:r>
        <w:rPr>
          <w:sz w:val="20"/>
          <w:szCs w:val="20"/>
          <w:color w:val="auto"/>
        </w:rPr>
        <w:tab/>
      </w:r>
      <w:r>
        <w:rPr>
          <w:rFonts w:ascii="Courier New" w:cs="Courier New" w:eastAsia="Courier New" w:hAnsi="Courier New"/>
          <w:sz w:val="15"/>
          <w:szCs w:val="15"/>
          <w:color w:val="auto"/>
        </w:rPr>
        <w:t>, 1995</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Integrated Medical Systems, Inc.:</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special meeting of shareholders of Integrated Medical Systems, Inc. (the</w:t>
      </w:r>
    </w:p>
    <w:p>
      <w:pPr>
        <w:spacing w:after="0" w:line="8" w:lineRule="exact"/>
        <w:rPr>
          <w:sz w:val="20"/>
          <w:szCs w:val="20"/>
          <w:color w:val="auto"/>
        </w:rPr>
      </w:pPr>
    </w:p>
    <w:p>
      <w:pPr>
        <w:ind w:right="3299"/>
        <w:spacing w:after="0" w:line="246" w:lineRule="auto"/>
        <w:rPr>
          <w:sz w:val="20"/>
          <w:szCs w:val="20"/>
          <w:color w:val="auto"/>
        </w:rPr>
      </w:pPr>
      <w:r>
        <w:rPr>
          <w:rFonts w:ascii="Courier New" w:cs="Courier New" w:eastAsia="Courier New" w:hAnsi="Courier New"/>
          <w:sz w:val="15"/>
          <w:szCs w:val="15"/>
          <w:color w:val="auto"/>
        </w:rPr>
        <w:t>"Company") will be held on , 1995 at for the following purposes:</w:t>
      </w:r>
    </w:p>
    <w:p>
      <w:pPr>
        <w:spacing w:after="0" w:line="358" w:lineRule="exact"/>
        <w:rPr>
          <w:sz w:val="20"/>
          <w:szCs w:val="20"/>
          <w:color w:val="auto"/>
        </w:rPr>
      </w:pPr>
    </w:p>
    <w:p>
      <w:pPr>
        <w:ind w:left="180" w:right="3119" w:firstLine="184"/>
        <w:spacing w:after="0" w:line="250" w:lineRule="auto"/>
        <w:tabs>
          <w:tab w:leader="none" w:pos="64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and adopt an Agreement and Plan of Merger (the "Merger Agreement"), dated August 2, 1995, among the Company, Eli Lilly and Company ("Lilly") and Trans-IMS Corporation, a Colorado corporation which is a wholly-owned subsidiary of Lilly ("Subsidiary"), which provides for the merger of Subsidiary into the Company (the "Merger"). Pursuant to the Merger, (i) each outstanding share of Common Stock, without par value, of the Company (the "Company Common Stock") (other than dissenting shares or shares owned by Lilly or a subsidiary of Lilly) will be converted into, at the holder's election, either (a) $8.00 in cash, without interest, or (b) one share of Series D Preferred Stock, $0.01 par value, of the Company (the "Series D Preferred Stock"), (ii) each outstanding share of Series B Preferred Stock, par value $1.00 per share, of the Company (the "Series B Preferred Stock") (other than dissenting shares) will either (a) be converted into, at such holder's election, either (1) $5.33 in cash, without interest, plus an amount, in cash, without interest, equal to the amount of all accrued and unpaid dividends on such share of Series B Preferred Stock to the effective date of the Merger or (2) two-thirds of a share of Series D Preferred Stock plus an amount, in cash, without interest, equal to the amount of all accrued and unpaid dividends on such share of Series B Preferred Stock to the effective date of the Merger or (b) remain outstanding (with the amended preferences, limitations and relative rights described in the Articles of Incorporation of the surviving corporation), and (iii) each outstanding share of Series C Preferred Stock, par value $1.00 per share, of the Company will be converted into one share of common stock of the surviving corporation. In addition, each holder of Company Common Stock, Series B Preferred Stock, or options or warrants to purchase Company Common Stock will be offered the right to enter into a put/call agreement with Lilly with respect to any or all of the shares of Series D Preferred Stock that such holder may acquire. Approval of the Merger by IMS shareholders will include approval of an amendment to the Integrated Medical Systems, Inc. 1994 Employee Stock Option Plan (the "Plan") to increase the number of shares available under such plan from 400,000 shares of Company Common Stock to 838,600 shares of Company Common Stock, which equals the total number of shares subject to options previously granted under the Plan. Approval of the Merger by IMS shareholders will also include approval of an amendment to the Articles of Incorporation of IMS, effective upon consummation of the Merger, which will, among other things, eliminate the voting rights of the Series B Preferred Stock other than as required by Colorado law and make the Series B Preferred Stock parity stock with the Series D Preferred Stock upon the liquidation, dissolution or winding-up of IMS.</w:t>
      </w:r>
    </w:p>
    <w:p>
      <w:pPr>
        <w:spacing w:after="0" w:line="372" w:lineRule="exact"/>
        <w:rPr>
          <w:rFonts w:ascii="Courier New" w:cs="Courier New" w:eastAsia="Courier New" w:hAnsi="Courier New"/>
          <w:sz w:val="15"/>
          <w:szCs w:val="15"/>
          <w:color w:val="auto"/>
        </w:rPr>
      </w:pPr>
    </w:p>
    <w:p>
      <w:pPr>
        <w:ind w:left="180" w:right="3579" w:firstLine="184"/>
        <w:spacing w:after="0" w:line="253" w:lineRule="auto"/>
        <w:tabs>
          <w:tab w:leader="none" w:pos="64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transact such other business as may properly come before the meeting and adjournments or postponements thereof.</w:t>
      </w:r>
    </w:p>
    <w:p>
      <w:pPr>
        <w:spacing w:after="0" w:line="174"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Shareholders of record at the close of business on , 1995 are entitled to receive notice of, and to vote at, the special meeting and any adjournment thereof.</w:t>
      </w:r>
    </w:p>
    <w:p>
      <w:pPr>
        <w:spacing w:after="0" w:line="175"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It is important that your shares be represented at the meeting. Whether or not you plan to attend the meeting, please sign, date and promptly mail the enclosed proxy in the envelope provided.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James A. Larson</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Colorado</w:t>
      </w:r>
    </w:p>
    <w:p>
      <w:pPr>
        <w:spacing w:after="0" w:line="18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1995</w:t>
      </w:r>
    </w:p>
    <w:p>
      <w:pPr>
        <w:spacing w:after="0" w:line="185" w:lineRule="exact"/>
        <w:rPr>
          <w:sz w:val="20"/>
          <w:szCs w:val="20"/>
          <w:color w:val="auto"/>
        </w:rPr>
      </w:pPr>
    </w:p>
    <w:p>
      <w:pPr>
        <w:ind w:right="3759" w:firstLine="185"/>
        <w:spacing w:after="0" w:line="252" w:lineRule="auto"/>
        <w:rPr>
          <w:sz w:val="20"/>
          <w:szCs w:val="20"/>
          <w:color w:val="auto"/>
        </w:rPr>
      </w:pPr>
      <w:r>
        <w:rPr>
          <w:rFonts w:ascii="Courier New" w:cs="Courier New" w:eastAsia="Courier New" w:hAnsi="Courier New"/>
          <w:sz w:val="15"/>
          <w:szCs w:val="15"/>
          <w:color w:val="auto"/>
        </w:rPr>
        <w:t>THIS PROXY STATEMENT ALSO CONSTITUTES A PROSPECTUS RELATING TO THE SECURITIES OF THE COMPANY AND OF ELI LILLY AND COMPANY TO BE ISSUED IN CONNECTION WITH THE PROPOSED MERGER.</w:t>
      </w:r>
    </w:p>
    <w:p>
      <w:pPr>
        <w:sectPr>
          <w:pgSz w:w="11900" w:h="16838" w:orient="portrait"/>
          <w:cols w:equalWidth="0" w:num="1">
            <w:col w:w="10219"/>
          </w:cols>
          <w:pgMar w:left="240" w:top="65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+INFORMATION CONTAINED HEREIN IS SUBJECT TO COMPLETION OR AMENDMENT. A + +REGISTRATION STATEMENT RELATING TO THESE SECURITIES HAS BEEN FILED WITH THE + +SECURITIES AND EXCHANGE COMMISSION. THESE SECURITIES MAY NOT BE SOLD NOR MAY + +OFFERS TO BUY BE ACCEPTED PRIOR TO THE TIME THE REGISTRATION STATEMENT + +BECOMES EFFECTIVE. THIS PROSPECTUS SHALL NOT CONSTITUTE AN OFFER TO SELL OR + +THE SOLICITATION OF AN OFFER TO BUY NOR SHALL THERE BE ANY SALE OF THESE + +SECURITIES IN ANY STATE IN WHICH SUCH OFFER, SOLICITATION OR SALE WOULD BE + +UNLAWFUL PRIOR TO REGISTRATION OR QUALIFICATION UNDER THE SECURITIES LAWS OF + +ANY SUCH STATE.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SUBJECT TO COMPLETION -- DATED OCTOBER 26, 1995</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10,792,695 SHARES OF SERIES D PREFERRED STOCK</w:t>
      </w:r>
    </w:p>
    <w:p>
      <w:pPr>
        <w:spacing w:after="0" w:line="185"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2,000,000 SHARES OF SERIES B PREFERRED STOCK</w:t>
      </w:r>
    </w:p>
    <w:p>
      <w:pPr>
        <w:spacing w:after="0" w:line="18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655,103 WARRANTS TO PURCHASE SERIES D PREFERRED STOCK</w:t>
      </w: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2,380,457 OPTIONS TO PURCHASE SERIES D PREFERRED STOCK</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ELI LILLY AND COMPANY</w:t>
      </w:r>
    </w:p>
    <w:p>
      <w:pPr>
        <w:spacing w:after="0" w:line="18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292,979 OPTIONS TO PURCHASE LILLY COMMON STOCK</w:t>
      </w:r>
    </w:p>
    <w:p>
      <w:pPr>
        <w:spacing w:after="0" w:line="18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292,979 SHARES OF LILLY COMMON STOCK</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10,792,695 PUT RIGHTS FOR SERIES D PREFERRED STOCK</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PROSPECTUS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This Proxy Statement-Prospectus and the accompanying proxy are furnished in connection with the solicitation by the Board of Directors of Integrated Medical Systems, Inc., a Colorado corporation ("IMS" or the "Company"), of proxies to be voted at the Special Meeting of Shareholders (the "Special Meeting") to be held on at A.M. local time, at and at any</w:t>
      </w:r>
    </w:p>
    <w:p>
      <w:pPr>
        <w:spacing w:after="0" w:line="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adjournment thereof. The purpose of the Special Meeting is to consider and vote upon the proposed merger (the "Merger") of Trans-IMS Corporation, a Colorado corporation ("Subsidiary") which is a wholly-owned subsidiary of Eli Lilly and Company ("Lilly"), into IMS, pursuant to the Agreement and Plan of Merger, dated August 2, 1995, among IMS, Lilly and Subsidiary (the "Merger Agreement").</w:t>
      </w:r>
    </w:p>
    <w:p>
      <w:pPr>
        <w:spacing w:after="0" w:line="176"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Pursuant to the Merger, (i) each outstanding share of Common Stock, without par value, of the Company (the "Company Common Stock") (other than shares held by IMS as treasury shares, shares owned by Lilly or any subsidiary of Lilly, or shares as to which dissenters' rights have been perfected under Colorado law) will be converted into, at the holder's election, either (a) $8.00 in cash, without interest, or (b) one share of Series D Preferred Stock, $0.01 par value, of the Company (the "Series D Preferred Stock"), (ii) each outstanding share of Series B Preferred Stock, par value $1.00 per share, of the Company (the "Series B Preferred Stock") (other than shares as to which dissenters' rights have been perfected under Colorado law) will either (a) be converted into, at such holder's election, either (1) $5.33 in cash, without interest, plus an amount, in cash, without interest, equal to the amount of all accrued and unpaid dividends on such share of Series B Preferred Stock to the effective date of the Merger or (2) two-thirds of a share of Series D Preferred Stock plus an amount, in cash, without interest, equal to the amount of all accrued and unpaid dividends on such share of Series B Preferred Stock to the effective date of the Merger or (b) remain outstanding (with the amended preferences, limitations and relative rights set forth in the Articles of Incorporation of the surviving corporation), and (iii) each outstanding share of Series C Preferred Stock, par value $1.00 per share, of the Company (the "Series C Preferred Stock") will be converted into one share of common stock of the surviving corporation. In addition, each holder of Company Common Stock, Series B Preferred Stock, or options or warrants to purchase Company Common Stock will be offered the right to enter into a put/call agreement with Lilly with respect to any or all of the shares of Series D Preferred Stock that such holder may acquire.</w:t>
      </w:r>
    </w:p>
    <w:p>
      <w:pPr>
        <w:spacing w:after="0" w:line="366"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Approval of the Merger by IMS shareholders will include approval of an amendment to the Integrated Medical Systems, Inc. 1994 Employee Stock Option Plan to increase the number of shares available under such plan from 400,000 shares of Company Common Stock to 838,600 shares of Company Common Stock, which equals the total number of shares subject to options previously granted under the Plan.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Approval of the Merger by IMS shareholders will also include approval of an amendment to the Articles of Incorporation of IMS, effective upon consummation of the Merger, which will, among other things, eliminate the voting rights of the Series B Preferred Stock other than as required by Colorado law and make the Series B Preferred Stock parity stock with the Series D Preferred Stock upon the liquidation, dissolution or winding-up of IMS.</w:t>
      </w:r>
    </w:p>
    <w:p>
      <w:pPr>
        <w:spacing w:after="0" w:line="176"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THE BOARD OF DIRECTORS OF IMS (WITH ONE DIRECTOR ABSENT) HAS UNANIMOUSLY DETERMINED THAT THE PROPOSED MERGER IS FAIR AND REASONABLE AND IN THE BEST</w:t>
      </w:r>
    </w:p>
    <w:p>
      <w:pPr>
        <w:sectPr>
          <w:pgSz w:w="11900" w:h="16838" w:orient="portrait"/>
          <w:cols w:equalWidth="0" w:num="1">
            <w:col w:w="10219"/>
          </w:cols>
          <w:pgMar w:left="240" w:top="650" w:right="1440" w:bottom="0" w:gutter="0" w:footer="0" w:header="0"/>
        </w:sectPr>
      </w:pPr>
    </w:p>
    <w:bookmarkStart w:id="7" w:name="page8"/>
    <w:bookmarkEnd w:id="7"/>
    <w:p>
      <w:pPr>
        <w:ind w:right="3019"/>
        <w:spacing w:after="0" w:line="251" w:lineRule="auto"/>
        <w:rPr>
          <w:sz w:val="20"/>
          <w:szCs w:val="20"/>
          <w:color w:val="auto"/>
        </w:rPr>
      </w:pPr>
      <w:r>
        <w:rPr>
          <w:rFonts w:ascii="Courier New" w:cs="Courier New" w:eastAsia="Courier New" w:hAnsi="Courier New"/>
          <w:sz w:val="15"/>
          <w:szCs w:val="15"/>
          <w:color w:val="auto"/>
        </w:rPr>
        <w:t>INTERESTS OF IMS AND ITS SHAREHOLDERS (OTHER THAN LILLY AND ITS SUBSIDIARIES), AND RECOMMENDS APPROVAL AND ADOPTION OF THE MERGER AGREEMENT BY IMS SHAREHOLDERS (EXCEPT THAT THE TWO DIRECTORS WHO ARE AFFILIATED WITH LILLY ABSTAINED FROM THE BOARD'S DELIBERATIONS AND VOTE).</w:t>
      </w:r>
    </w:p>
    <w:p>
      <w:pPr>
        <w:spacing w:after="0" w:line="176" w:lineRule="exact"/>
        <w:rPr>
          <w:sz w:val="20"/>
          <w:szCs w:val="20"/>
          <w:color w:val="auto"/>
        </w:rPr>
      </w:pPr>
    </w:p>
    <w:p>
      <w:pPr>
        <w:ind w:right="2939" w:firstLine="185"/>
        <w:spacing w:after="0" w:line="253" w:lineRule="auto"/>
        <w:rPr>
          <w:sz w:val="20"/>
          <w:szCs w:val="20"/>
          <w:color w:val="auto"/>
        </w:rPr>
      </w:pPr>
      <w:r>
        <w:rPr>
          <w:rFonts w:ascii="Courier New" w:cs="Courier New" w:eastAsia="Courier New" w:hAnsi="Courier New"/>
          <w:sz w:val="15"/>
          <w:szCs w:val="15"/>
          <w:color w:val="auto"/>
        </w:rPr>
        <w:t>SEE "SPECIAL FACTORS TO BE CONSIDERED" BEGINNING ON PAGE 11 FOR A DESCRIPTION OF CERTAIN MATERIAL RISKS RELATED TO THE MERGER.</w:t>
      </w:r>
    </w:p>
    <w:p>
      <w:pPr>
        <w:spacing w:after="0" w:line="174"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This Proxy Statement also constitutes a Prospectus of IMS with respect to Series D Preferred Stock to be issued and Series B Preferred Stock that will be amended in connection with the transactions described herein, and with respect to warrants and options to purchase Series D Preferred Stock that will be outstanding after the Merger. The Series D Preferred Stock generally is non-voting, is redeemable at the option of the Company or the holder after five years, and has a cash dividend of $0.62 per share per annum and a liquidation value of $8.00 per share. The Series B Preferred Stock, as amended, generally is non-voting, has a cash dividend of $0.10 per share per annum and a liquidation value of $1.00 per share, and is convertible into Series D Preferred Stock or the liquidation value. In addition, this Proxy Statement constitutes a Prospectus of Lilly with respect to the put rights to be issued pursuant to the Put/Call Agreements and the Lilly stock options that may be substituted for IMS employee stock options and the common stock of Lilly issuable upon the exercise of such options as more fully described herein.</w:t>
      </w:r>
    </w:p>
    <w:p>
      <w:pPr>
        <w:spacing w:after="0" w:line="184"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This Proxy Statement-Prospectus and the enclosed form of proxy are being mailed to IMS shareholders on or about , 1995.</w:t>
      </w:r>
    </w:p>
    <w:p>
      <w:pPr>
        <w:spacing w:after="0" w:line="174"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THE DATE OF THIS PROXY STATEMENT-PROSPECTUS IS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19"/>
          </w:cols>
          <w:pgMar w:left="240" w:top="142" w:right="1440" w:bottom="1440" w:gutter="0" w:footer="0" w:header="0"/>
        </w:sectPr>
      </w:pPr>
    </w:p>
    <w:bookmarkStart w:id="8" w:name="page9"/>
    <w:bookmarkEnd w:id="8"/>
    <w:p>
      <w:pPr>
        <w:ind w:left="2680"/>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Lilly is subject to the informational requirements of the Securities Exchange Act of 1934, as amended (the "Exchange Act") and in accordance therewith files reports and other information with the Securities and Exchange Commission (the "Commission"). Reports, proxy statements and other information filed by Lilly with the Commission can be inspected and copied at the public reference facilities maintained by the Commission at Room 1024, 450 Fifth Street, N.W., Washington, D.C. 20549, and at the Commission's Regional Offices at 7 World Trade Center, 13th Floor, New York, New York 10048 and 500 West Madison Street, Suite 1400, Chicago, Illinois 60661. Copies of such material can be obtained from the Public Reference Section of the Commission, 450 Fifth Street, N.W., Washington, D.C. 20549, at prescribed rates.</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Lilly and IMS have filed with the Commission a Registration Statement on Form S-4 (together with any amendments thereto, the "Registration Statement") under the Securities Act of 1933, as amended (the "Securities Act"), with respect to the securities to be issued pursuant to the proposed Merger. This Proxy Statement-Prospectus does not contain all the information set forth in the Registration Statement, certain portions of which have been omitted as permitted by the rules and regulations of the Commission. Such additional information may be obtained from the Commission's principal office in Washington, D.C. Statements contained in this Proxy Statement-Prospectus or in any document incorporated in this Proxy Statement-Prospectus by reference as to the contents of any contract of other document referred to herein or therein are not necessarily complete, and in each instance reference is made to the copy of such contract or other document filed as an exhibit to the Registration Statement or such other document, each such statement being qualified in all respects by such reference.</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common stock of Lilly is listed and traded on the New York Stock Exchange, Inc. Reports, proxy statements and other information concerning Lilly can be inspected at the New York Stock Exchange, 20 Broad Street, New York, New York 10005. Certain Lilly securities are also traded on the American Stock Exchange, and the foregoing Lilly documents can also be inspected at the American Stock Exchange, 86 Trinity Place, New York, New York 10006.</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THIS PROXY STATEMENT-PROSPECTUS INCORPORATES DOCUMENTS BY REFERENCE WHICH ARE NOT PRESENTED HEREIN OR DELIVERED HEREWITH. THESE DOCUMENTS ARE AVAILABLE UPON REQUEST FROM ELI LILLY AND COMPANY, SHAREHOLDER SERVICES DEPARTMENT, LILLY CORPORATE CENTER, INDIANAPOLIS, INDIANA 46285, TELEPHONE NUMBER (317) 276-2000. IN ORDER TO ENSURE TIMELY DELIVERY OF THE DOCUMENTS, ANY REQUEST SHOULD BE MADE NO LATER THAN [5 BUSINESS DAYS PRIOR TO SPECIAL MEETING], 1995.</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No person is authorized to give any information or to make any representation other than those contained in this Proxy Statement-Prospectus and, if given or made, such information or representation must not be relied upon as having been authorized by IMS, Lilly or Subsidiary. Neither the delivery of this Proxy Statement-Prospectus nor any distribution of securities registered hereunder shall, under any circumstances, create any implication that there has been no change in the affairs of IMS, Lilly or Subsidiary since the date hereof. The information contained in this Proxy Statement-Prospectus relating to IMS has been furnished by IMS for inclusion herein. The information contained in this Proxy Statement-Prospectus relating to Lilly and Subsidiary has been furnished by Lilly for inclusion herein.</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THE SPECIAL MEETING</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Time, Date and Place</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Purpose of the Meeting</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Record Date and Outstanding Shares</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Required Vote</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Revocability of Proxies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SPECIAL FACTORS TO BE CONSIDERED</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Risk Factors Applicable to IMS</w:t>
      </w:r>
      <w:r>
        <w:rPr>
          <w:sz w:val="20"/>
          <w:szCs w:val="20"/>
          <w:color w:val="auto"/>
        </w:rPr>
        <w:tab/>
      </w:r>
      <w:r>
        <w:rPr>
          <w:rFonts w:ascii="Courier New" w:cs="Courier New" w:eastAsia="Courier New" w:hAnsi="Courier New"/>
          <w:sz w:val="15"/>
          <w:szCs w:val="15"/>
          <w:color w:val="auto"/>
        </w:rPr>
        <w:t>11</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Background to the Merger</w:t>
      </w:r>
      <w:r>
        <w:rPr>
          <w:sz w:val="20"/>
          <w:szCs w:val="20"/>
          <w:color w:val="auto"/>
        </w:rPr>
        <w:tab/>
      </w:r>
      <w:r>
        <w:rPr>
          <w:rFonts w:ascii="Courier New" w:cs="Courier New" w:eastAsia="Courier New" w:hAnsi="Courier New"/>
          <w:sz w:val="15"/>
          <w:szCs w:val="15"/>
          <w:color w:val="auto"/>
        </w:rPr>
        <w:t>12</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Effects of the Merger</w:t>
      </w:r>
      <w:r>
        <w:rPr>
          <w:sz w:val="20"/>
          <w:szCs w:val="20"/>
          <w:color w:val="auto"/>
        </w:rPr>
        <w:tab/>
      </w:r>
      <w:r>
        <w:rPr>
          <w:rFonts w:ascii="Courier New" w:cs="Courier New" w:eastAsia="Courier New" w:hAnsi="Courier New"/>
          <w:sz w:val="15"/>
          <w:szCs w:val="15"/>
          <w:color w:val="auto"/>
        </w:rPr>
        <w:t>16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Lilly's Purpose of the Merger</w:t>
      </w:r>
      <w:r>
        <w:rPr>
          <w:sz w:val="20"/>
          <w:szCs w:val="20"/>
          <w:color w:val="auto"/>
        </w:rPr>
        <w:tab/>
      </w:r>
      <w:r>
        <w:rPr>
          <w:rFonts w:ascii="Courier New" w:cs="Courier New" w:eastAsia="Courier New" w:hAnsi="Courier New"/>
          <w:sz w:val="15"/>
          <w:szCs w:val="15"/>
          <w:color w:val="auto"/>
        </w:rPr>
        <w:t>16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Recommendation of the IMS Board of Directors; Fairness of the Merger</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Opinion of Financial Advisor</w:t>
      </w:r>
      <w:r>
        <w:rPr>
          <w:sz w:val="20"/>
          <w:szCs w:val="20"/>
          <w:color w:val="auto"/>
        </w:rPr>
        <w:tab/>
      </w:r>
      <w:r>
        <w:rPr>
          <w:rFonts w:ascii="Courier New" w:cs="Courier New" w:eastAsia="Courier New" w:hAnsi="Courier New"/>
          <w:sz w:val="15"/>
          <w:szCs w:val="15"/>
          <w:color w:val="auto"/>
        </w:rPr>
        <w:t>17</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Prior Agreements/Relationships of the Parties</w:t>
      </w:r>
      <w:r>
        <w:rPr>
          <w:sz w:val="20"/>
          <w:szCs w:val="20"/>
          <w:color w:val="auto"/>
        </w:rPr>
        <w:tab/>
      </w:r>
      <w:r>
        <w:rPr>
          <w:rFonts w:ascii="Courier New" w:cs="Courier New" w:eastAsia="Courier New" w:hAnsi="Courier New"/>
          <w:sz w:val="15"/>
          <w:szCs w:val="15"/>
          <w:color w:val="auto"/>
        </w:rPr>
        <w:t>20</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Accounting Treatment of the Merger</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Tax Treatment of the Merger</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Interests of Certain Persons in the Merger</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Stock Exchange or NASDAQ Listing; Resales of Series D Preferred Stock</w:t>
      </w:r>
    </w:p>
    <w:p>
      <w:pPr>
        <w:spacing w:after="0" w:line="8" w:lineRule="exact"/>
        <w:rPr>
          <w:sz w:val="20"/>
          <w:szCs w:val="20"/>
          <w:color w:val="auto"/>
        </w:rPr>
      </w:pPr>
    </w:p>
    <w:p>
      <w:pPr>
        <w:ind w:left="280"/>
        <w:spacing w:after="0"/>
        <w:tabs>
          <w:tab w:leader="dot" w:pos="6980" w:val="left"/>
        </w:tabs>
        <w:rPr>
          <w:sz w:val="20"/>
          <w:szCs w:val="20"/>
          <w:color w:val="auto"/>
        </w:rPr>
      </w:pPr>
      <w:r>
        <w:rPr>
          <w:rFonts w:ascii="Courier New" w:cs="Courier New" w:eastAsia="Courier New" w:hAnsi="Courier New"/>
          <w:sz w:val="15"/>
          <w:szCs w:val="15"/>
          <w:color w:val="auto"/>
        </w:rPr>
        <w:t>and Series B Preferred Stock</w:t>
      </w:r>
      <w:r>
        <w:rPr>
          <w:sz w:val="20"/>
          <w:szCs w:val="20"/>
          <w:color w:val="auto"/>
        </w:rPr>
        <w:tab/>
      </w:r>
      <w:r>
        <w:rPr>
          <w:rFonts w:ascii="Courier New" w:cs="Courier New" w:eastAsia="Courier New" w:hAnsi="Courier New"/>
          <w:sz w:val="15"/>
          <w:szCs w:val="15"/>
          <w:color w:val="auto"/>
        </w:rPr>
        <w:t>24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Governmental and Regulatory Approvals</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Market Prices</w:t>
      </w:r>
      <w:r>
        <w:rPr>
          <w:sz w:val="20"/>
          <w:szCs w:val="20"/>
          <w:color w:val="auto"/>
        </w:rPr>
        <w:tab/>
      </w:r>
      <w:r>
        <w:rPr>
          <w:rFonts w:ascii="Courier New" w:cs="Courier New" w:eastAsia="Courier New" w:hAnsi="Courier New"/>
          <w:sz w:val="15"/>
          <w:szCs w:val="15"/>
          <w:color w:val="auto"/>
        </w:rPr>
        <w:t>25</w:t>
      </w:r>
    </w:p>
    <w:p>
      <w:pPr>
        <w:spacing w:after="0" w:line="8"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THE MERGER AGREEMENT</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Description of Election Procedures</w:t>
      </w:r>
      <w:r>
        <w:rPr>
          <w:sz w:val="20"/>
          <w:szCs w:val="20"/>
          <w:color w:val="auto"/>
        </w:rPr>
        <w:tab/>
      </w:r>
      <w:r>
        <w:rPr>
          <w:rFonts w:ascii="Courier New" w:cs="Courier New" w:eastAsia="Courier New" w:hAnsi="Courier New"/>
          <w:sz w:val="15"/>
          <w:szCs w:val="15"/>
          <w:color w:val="auto"/>
        </w:rPr>
        <w:t>26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Procedures for Exchange of Certificates</w:t>
      </w:r>
      <w:r>
        <w:rPr>
          <w:sz w:val="20"/>
          <w:szCs w:val="20"/>
          <w:color w:val="auto"/>
        </w:rPr>
        <w:tab/>
      </w:r>
      <w:r>
        <w:rPr>
          <w:rFonts w:ascii="Courier New" w:cs="Courier New" w:eastAsia="Courier New" w:hAnsi="Courier New"/>
          <w:sz w:val="15"/>
          <w:szCs w:val="15"/>
          <w:color w:val="auto"/>
        </w:rPr>
        <w:t>27</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Effect of the Merger on Company Options and Company Warrants</w:t>
      </w:r>
      <w:r>
        <w:rPr>
          <w:sz w:val="20"/>
          <w:szCs w:val="20"/>
          <w:color w:val="auto"/>
        </w:rPr>
        <w:tab/>
      </w:r>
      <w:r>
        <w:rPr>
          <w:rFonts w:ascii="Courier New" w:cs="Courier New" w:eastAsia="Courier New" w:hAnsi="Courier New"/>
          <w:sz w:val="15"/>
          <w:szCs w:val="15"/>
          <w:color w:val="auto"/>
        </w:rPr>
        <w:t>29</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30</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Certain Understandings and Agreements</w:t>
      </w:r>
      <w:r>
        <w:rPr>
          <w:sz w:val="20"/>
          <w:szCs w:val="20"/>
          <w:color w:val="auto"/>
        </w:rPr>
        <w:tab/>
      </w:r>
      <w:r>
        <w:rPr>
          <w:rFonts w:ascii="Courier New" w:cs="Courier New" w:eastAsia="Courier New" w:hAnsi="Courier New"/>
          <w:sz w:val="15"/>
          <w:szCs w:val="15"/>
          <w:color w:val="auto"/>
        </w:rPr>
        <w:t>30</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Conditions to the Merger</w:t>
      </w:r>
      <w:r>
        <w:rPr>
          <w:sz w:val="20"/>
          <w:szCs w:val="20"/>
          <w:color w:val="auto"/>
        </w:rPr>
        <w:tab/>
      </w:r>
      <w:r>
        <w:rPr>
          <w:rFonts w:ascii="Courier New" w:cs="Courier New" w:eastAsia="Courier New" w:hAnsi="Courier New"/>
          <w:sz w:val="15"/>
          <w:szCs w:val="15"/>
          <w:color w:val="auto"/>
        </w:rPr>
        <w:t>33</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Amendment and Modification</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Termination</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Liability of the Parties Upon Termination</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Indemnification of Officers and Directors</w:t>
      </w:r>
      <w:r>
        <w:rPr>
          <w:sz w:val="20"/>
          <w:szCs w:val="20"/>
          <w:color w:val="auto"/>
        </w:rPr>
        <w:tab/>
      </w:r>
      <w:r>
        <w:rPr>
          <w:rFonts w:ascii="Courier New" w:cs="Courier New" w:eastAsia="Courier New" w:hAnsi="Courier New"/>
          <w:sz w:val="15"/>
          <w:szCs w:val="15"/>
          <w:color w:val="auto"/>
        </w:rPr>
        <w:t>34</w:t>
      </w:r>
    </w:p>
    <w:p>
      <w:pPr>
        <w:spacing w:after="0" w:line="8"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PUT/CALL AGREEMENTS</w:t>
      </w:r>
      <w:r>
        <w:rPr>
          <w:sz w:val="20"/>
          <w:szCs w:val="20"/>
          <w:color w:val="auto"/>
        </w:rPr>
        <w:tab/>
      </w:r>
      <w:r>
        <w:rPr>
          <w:rFonts w:ascii="Courier New" w:cs="Courier New" w:eastAsia="Courier New" w:hAnsi="Courier New"/>
          <w:sz w:val="15"/>
          <w:szCs w:val="15"/>
          <w:color w:val="auto"/>
        </w:rPr>
        <w:t>35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35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Put Right</w:t>
      </w:r>
      <w:r>
        <w:rPr>
          <w:sz w:val="20"/>
          <w:szCs w:val="20"/>
          <w:color w:val="auto"/>
        </w:rPr>
        <w:tab/>
      </w:r>
      <w:r>
        <w:rPr>
          <w:rFonts w:ascii="Courier New" w:cs="Courier New" w:eastAsia="Courier New" w:hAnsi="Courier New"/>
          <w:sz w:val="15"/>
          <w:szCs w:val="15"/>
          <w:color w:val="auto"/>
        </w:rPr>
        <w:t>35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Call Right</w:t>
      </w:r>
      <w:r>
        <w:rPr>
          <w:sz w:val="20"/>
          <w:szCs w:val="20"/>
          <w:color w:val="auto"/>
        </w:rPr>
        <w:tab/>
      </w:r>
      <w:r>
        <w:rPr>
          <w:rFonts w:ascii="Courier New" w:cs="Courier New" w:eastAsia="Courier New" w:hAnsi="Courier New"/>
          <w:sz w:val="15"/>
          <w:szCs w:val="15"/>
          <w:color w:val="auto"/>
        </w:rPr>
        <w:t>35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Escrow</w:t>
      </w:r>
      <w:r>
        <w:rPr>
          <w:sz w:val="20"/>
          <w:szCs w:val="20"/>
          <w:color w:val="auto"/>
        </w:rPr>
        <w:tab/>
      </w:r>
      <w:r>
        <w:rPr>
          <w:rFonts w:ascii="Courier New" w:cs="Courier New" w:eastAsia="Courier New" w:hAnsi="Courier New"/>
          <w:sz w:val="15"/>
          <w:szCs w:val="15"/>
          <w:color w:val="auto"/>
        </w:rPr>
        <w:t>35</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Transfers of Subject Shares</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No Restrictions on Lilly</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Submission to Jurisdiction</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spacing w:after="0"/>
        <w:tabs>
          <w:tab w:leader="dot" w:pos="6980" w:val="left"/>
        </w:tabs>
        <w:rPr>
          <w:sz w:val="20"/>
          <w:szCs w:val="20"/>
          <w:color w:val="auto"/>
        </w:rPr>
      </w:pPr>
      <w:r>
        <w:rPr>
          <w:rFonts w:ascii="Courier New" w:cs="Courier New" w:eastAsia="Courier New" w:hAnsi="Courier New"/>
          <w:sz w:val="15"/>
          <w:szCs w:val="15"/>
          <w:color w:val="auto"/>
        </w:rPr>
        <w:t>AMENDMENT TO THE ARTICLES OF INCORPORATION OF IMS</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36</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37</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Liquidation Rights</w:t>
      </w:r>
      <w:r>
        <w:rPr>
          <w:sz w:val="20"/>
          <w:szCs w:val="20"/>
          <w:color w:val="auto"/>
        </w:rPr>
        <w:tab/>
      </w:r>
      <w:r>
        <w:rPr>
          <w:rFonts w:ascii="Courier New" w:cs="Courier New" w:eastAsia="Courier New" w:hAnsi="Courier New"/>
          <w:sz w:val="15"/>
          <w:szCs w:val="15"/>
          <w:color w:val="auto"/>
        </w:rPr>
        <w:t>37</w:t>
      </w:r>
    </w:p>
    <w:p>
      <w:pPr>
        <w:spacing w:after="0" w:line="8" w:lineRule="exact"/>
        <w:rPr>
          <w:sz w:val="20"/>
          <w:szCs w:val="20"/>
          <w:color w:val="auto"/>
        </w:rPr>
      </w:pPr>
    </w:p>
    <w:p>
      <w:pPr>
        <w:ind w:left="180"/>
        <w:spacing w:after="0"/>
        <w:tabs>
          <w:tab w:leader="dot" w:pos="6980" w:val="left"/>
        </w:tabs>
        <w:rPr>
          <w:sz w:val="20"/>
          <w:szCs w:val="20"/>
          <w:color w:val="auto"/>
        </w:rPr>
      </w:pPr>
      <w:r>
        <w:rPr>
          <w:rFonts w:ascii="Courier New" w:cs="Courier New" w:eastAsia="Courier New" w:hAnsi="Courier New"/>
          <w:sz w:val="15"/>
          <w:szCs w:val="15"/>
          <w:color w:val="auto"/>
        </w:rPr>
        <w:t>Conversion Rights</w:t>
      </w:r>
      <w:r>
        <w:rPr>
          <w:sz w:val="20"/>
          <w:szCs w:val="20"/>
          <w:color w:val="auto"/>
        </w:rPr>
        <w:tab/>
      </w:r>
      <w:r>
        <w:rPr>
          <w:rFonts w:ascii="Courier New" w:cs="Courier New" w:eastAsia="Courier New" w:hAnsi="Courier New"/>
          <w:sz w:val="15"/>
          <w:szCs w:val="15"/>
          <w:color w:val="auto"/>
        </w:rPr>
        <w:t>37</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50" w:right="1440" w:bottom="1440" w:gutter="0" w:footer="0" w:header="0"/>
        </w:sectPr>
      </w:pPr>
    </w:p>
    <w:bookmarkStart w:id="10" w:name="page11"/>
    <w:bookmarkEnd w:id="10"/>
    <w:p>
      <w:pPr>
        <w:jc w:val="right"/>
        <w:ind w:right="2839"/>
        <w:spacing w:after="0"/>
        <w:rPr>
          <w:sz w:val="20"/>
          <w:szCs w:val="20"/>
          <w:color w:val="auto"/>
        </w:rPr>
      </w:pPr>
      <w:r>
        <w:rPr>
          <w:rFonts w:ascii="Courier New" w:cs="Courier New" w:eastAsia="Courier New" w:hAnsi="Courier New"/>
          <w:sz w:val="15"/>
          <w:szCs w:val="15"/>
          <w:color w:val="auto"/>
        </w:rPr>
        <w:t>PAGE</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ab/>
      </w:r>
      <w:r>
        <w:rPr>
          <w:rFonts w:ascii="Courier New" w:cs="Courier New" w:eastAsia="Courier New" w:hAnsi="Courier New"/>
          <w:sz w:val="15"/>
          <w:szCs w:val="15"/>
          <w:color w:val="auto"/>
        </w:rPr>
        <w:t>37</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Voting Rights</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Notice of Shareholder Meetings</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Conflicting Interest Transactions</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Vote Required for Extraordinary Matters</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38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Holders of Series B Preferred Stock</w:t>
      </w:r>
      <w:r>
        <w:rPr>
          <w:sz w:val="20"/>
          <w:szCs w:val="20"/>
          <w:color w:val="auto"/>
        </w:rPr>
        <w:tab/>
      </w:r>
      <w:r>
        <w:rPr>
          <w:rFonts w:ascii="Courier New" w:cs="Courier New" w:eastAsia="Courier New" w:hAnsi="Courier New"/>
          <w:sz w:val="15"/>
          <w:szCs w:val="15"/>
          <w:color w:val="auto"/>
        </w:rPr>
        <w:t>39</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DESCRIPTION OF CAPITAL STOCK OF IMS</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Authorized Capital Stock</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Series D Preferred Stock</w:t>
      </w:r>
      <w:r>
        <w:rPr>
          <w:sz w:val="20"/>
          <w:szCs w:val="20"/>
          <w:color w:val="auto"/>
        </w:rPr>
        <w:tab/>
      </w:r>
      <w:r>
        <w:rPr>
          <w:rFonts w:ascii="Courier New" w:cs="Courier New" w:eastAsia="Courier New" w:hAnsi="Courier New"/>
          <w:sz w:val="15"/>
          <w:szCs w:val="15"/>
          <w:color w:val="auto"/>
        </w:rPr>
        <w:t>40</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Series B Preferred Stock</w:t>
      </w:r>
      <w:r>
        <w:rPr>
          <w:sz w:val="20"/>
          <w:szCs w:val="20"/>
          <w:color w:val="auto"/>
        </w:rPr>
        <w:tab/>
      </w:r>
      <w:r>
        <w:rPr>
          <w:rFonts w:ascii="Courier New" w:cs="Courier New" w:eastAsia="Courier New" w:hAnsi="Courier New"/>
          <w:sz w:val="15"/>
          <w:szCs w:val="15"/>
          <w:color w:val="auto"/>
        </w:rPr>
        <w:t>43</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CERTAIN FEDERAL INCOME TAX CONSEQUENCES OF THE MERGER</w:t>
      </w:r>
      <w:r>
        <w:rPr>
          <w:sz w:val="20"/>
          <w:szCs w:val="20"/>
          <w:color w:val="auto"/>
        </w:rPr>
        <w:tab/>
      </w:r>
      <w:r>
        <w:rPr>
          <w:rFonts w:ascii="Courier New" w:cs="Courier New" w:eastAsia="Courier New" w:hAnsi="Courier New"/>
          <w:sz w:val="15"/>
          <w:szCs w:val="15"/>
          <w:color w:val="auto"/>
        </w:rPr>
        <w:t>46</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RIGHTS OF DISSENTING SHAREHOLDERS</w:t>
      </w:r>
      <w:r>
        <w:rPr>
          <w:sz w:val="20"/>
          <w:szCs w:val="20"/>
          <w:color w:val="auto"/>
        </w:rPr>
        <w:tab/>
      </w:r>
      <w:r>
        <w:rPr>
          <w:rFonts w:ascii="Courier New" w:cs="Courier New" w:eastAsia="Courier New" w:hAnsi="Courier New"/>
          <w:sz w:val="15"/>
          <w:szCs w:val="15"/>
          <w:color w:val="auto"/>
        </w:rPr>
        <w:t>50</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SELECTED CONSOLIDATED FINANCIAL DATA OF LILLY</w:t>
      </w:r>
      <w:r>
        <w:rPr>
          <w:sz w:val="20"/>
          <w:szCs w:val="20"/>
          <w:color w:val="auto"/>
        </w:rPr>
        <w:tab/>
      </w:r>
      <w:r>
        <w:rPr>
          <w:rFonts w:ascii="Courier New" w:cs="Courier New" w:eastAsia="Courier New" w:hAnsi="Courier New"/>
          <w:sz w:val="15"/>
          <w:szCs w:val="15"/>
          <w:color w:val="auto"/>
        </w:rPr>
        <w:t>52</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CAPITALIZATION OF IMS FOLLOWING THE MERGER</w:t>
      </w:r>
      <w:r>
        <w:rPr>
          <w:sz w:val="20"/>
          <w:szCs w:val="20"/>
          <w:color w:val="auto"/>
        </w:rPr>
        <w:tab/>
      </w:r>
      <w:r>
        <w:rPr>
          <w:rFonts w:ascii="Courier New" w:cs="Courier New" w:eastAsia="Courier New" w:hAnsi="Courier New"/>
          <w:sz w:val="15"/>
          <w:szCs w:val="15"/>
          <w:color w:val="auto"/>
        </w:rPr>
        <w:t>53</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UNAUDITED PRO FORMA CONSOLIDATED STATEMENT OF INCOME OF LILLY</w:t>
      </w:r>
      <w:r>
        <w:rPr>
          <w:sz w:val="20"/>
          <w:szCs w:val="20"/>
          <w:color w:val="auto"/>
        </w:rPr>
        <w:tab/>
      </w:r>
      <w:r>
        <w:rPr>
          <w:rFonts w:ascii="Courier New" w:cs="Courier New" w:eastAsia="Courier New" w:hAnsi="Courier New"/>
          <w:sz w:val="15"/>
          <w:szCs w:val="15"/>
          <w:color w:val="auto"/>
        </w:rPr>
        <w:t>54</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UNAUDITED PRO FORMA CONSOLIDATED FINANCIAL INFORMATION OF IMS</w:t>
      </w:r>
      <w:r>
        <w:rPr>
          <w:sz w:val="20"/>
          <w:szCs w:val="20"/>
          <w:color w:val="auto"/>
        </w:rPr>
        <w:tab/>
      </w:r>
      <w:r>
        <w:rPr>
          <w:rFonts w:ascii="Courier New" w:cs="Courier New" w:eastAsia="Courier New" w:hAnsi="Courier New"/>
          <w:sz w:val="15"/>
          <w:szCs w:val="15"/>
          <w:color w:val="auto"/>
        </w:rPr>
        <w:t>56</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NOTES TO UNAUDITED PRO FORMA CONSOLIDATED FINANCIAL INFORMATION OF IMS</w:t>
      </w:r>
      <w:r>
        <w:rPr>
          <w:sz w:val="20"/>
          <w:szCs w:val="20"/>
          <w:color w:val="auto"/>
        </w:rPr>
        <w:tab/>
      </w:r>
      <w:r>
        <w:rPr>
          <w:rFonts w:ascii="Courier New" w:cs="Courier New" w:eastAsia="Courier New" w:hAnsi="Courier New"/>
          <w:sz w:val="15"/>
          <w:szCs w:val="15"/>
          <w:color w:val="auto"/>
        </w:rPr>
        <w:t>60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p>
      <w:pPr>
        <w:spacing w:after="0" w:line="8" w:lineRule="exact"/>
        <w:rPr>
          <w:sz w:val="20"/>
          <w:szCs w:val="20"/>
          <w:color w:val="auto"/>
        </w:rPr>
      </w:pPr>
    </w:p>
    <w:p>
      <w:pPr>
        <w:ind w:left="80"/>
        <w:spacing w:after="0"/>
        <w:tabs>
          <w:tab w:leader="dot" w:pos="7080" w:val="left"/>
        </w:tabs>
        <w:rPr>
          <w:sz w:val="20"/>
          <w:szCs w:val="20"/>
          <w:color w:val="auto"/>
        </w:rPr>
      </w:pPr>
      <w:r>
        <w:rPr>
          <w:rFonts w:ascii="Courier New" w:cs="Courier New" w:eastAsia="Courier New" w:hAnsi="Courier New"/>
          <w:sz w:val="15"/>
          <w:szCs w:val="15"/>
          <w:color w:val="auto"/>
        </w:rPr>
        <w:t>OPERATIONS OF IMS</w:t>
      </w:r>
      <w:r>
        <w:rPr>
          <w:sz w:val="20"/>
          <w:szCs w:val="20"/>
          <w:color w:val="auto"/>
        </w:rPr>
        <w:tab/>
      </w:r>
      <w:r>
        <w:rPr>
          <w:rFonts w:ascii="Courier New" w:cs="Courier New" w:eastAsia="Courier New" w:hAnsi="Courier New"/>
          <w:sz w:val="15"/>
          <w:szCs w:val="15"/>
          <w:color w:val="auto"/>
        </w:rPr>
        <w:t>61</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Overview</w:t>
      </w:r>
      <w:r>
        <w:rPr>
          <w:sz w:val="20"/>
          <w:szCs w:val="20"/>
          <w:color w:val="auto"/>
        </w:rPr>
        <w:tab/>
      </w:r>
      <w:r>
        <w:rPr>
          <w:rFonts w:ascii="Courier New" w:cs="Courier New" w:eastAsia="Courier New" w:hAnsi="Courier New"/>
          <w:sz w:val="15"/>
          <w:szCs w:val="15"/>
          <w:color w:val="auto"/>
        </w:rPr>
        <w:t>61</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63</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Liquidity and Capital Resources</w:t>
      </w:r>
      <w:r>
        <w:rPr>
          <w:sz w:val="20"/>
          <w:szCs w:val="20"/>
          <w:color w:val="auto"/>
        </w:rPr>
        <w:tab/>
      </w:r>
      <w:r>
        <w:rPr>
          <w:rFonts w:ascii="Courier New" w:cs="Courier New" w:eastAsia="Courier New" w:hAnsi="Courier New"/>
          <w:sz w:val="15"/>
          <w:szCs w:val="15"/>
          <w:color w:val="auto"/>
        </w:rPr>
        <w:t>65</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66</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Industry Background</w:t>
      </w:r>
      <w:r>
        <w:rPr>
          <w:sz w:val="20"/>
          <w:szCs w:val="20"/>
          <w:color w:val="auto"/>
        </w:rPr>
        <w:tab/>
      </w:r>
      <w:r>
        <w:rPr>
          <w:rFonts w:ascii="Courier New" w:cs="Courier New" w:eastAsia="Courier New" w:hAnsi="Courier New"/>
          <w:sz w:val="15"/>
          <w:szCs w:val="15"/>
          <w:color w:val="auto"/>
        </w:rPr>
        <w:t>66</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Strategy</w:t>
      </w:r>
      <w:r>
        <w:rPr>
          <w:sz w:val="20"/>
          <w:szCs w:val="20"/>
          <w:color w:val="auto"/>
        </w:rPr>
        <w:tab/>
      </w:r>
      <w:r>
        <w:rPr>
          <w:rFonts w:ascii="Courier New" w:cs="Courier New" w:eastAsia="Courier New" w:hAnsi="Courier New"/>
          <w:sz w:val="15"/>
          <w:szCs w:val="15"/>
          <w:color w:val="auto"/>
        </w:rPr>
        <w:t>68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Health Care Industry Information Needs</w:t>
      </w:r>
      <w:r>
        <w:rPr>
          <w:sz w:val="20"/>
          <w:szCs w:val="20"/>
          <w:color w:val="auto"/>
        </w:rPr>
        <w:tab/>
      </w:r>
      <w:r>
        <w:rPr>
          <w:rFonts w:ascii="Courier New" w:cs="Courier New" w:eastAsia="Courier New" w:hAnsi="Courier New"/>
          <w:sz w:val="15"/>
          <w:szCs w:val="15"/>
          <w:color w:val="auto"/>
        </w:rPr>
        <w:t>69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IMS MEDACOM(R) Network</w:t>
      </w:r>
      <w:r>
        <w:rPr>
          <w:sz w:val="20"/>
          <w:szCs w:val="20"/>
          <w:color w:val="auto"/>
        </w:rPr>
        <w:tab/>
      </w:r>
      <w:r>
        <w:rPr>
          <w:rFonts w:ascii="Courier New" w:cs="Courier New" w:eastAsia="Courier New" w:hAnsi="Courier New"/>
          <w:sz w:val="15"/>
          <w:szCs w:val="15"/>
          <w:color w:val="auto"/>
        </w:rPr>
        <w:t>69</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Co-Ventures</w:t>
      </w:r>
      <w:r>
        <w:rPr>
          <w:sz w:val="20"/>
          <w:szCs w:val="20"/>
          <w:color w:val="auto"/>
        </w:rPr>
        <w:tab/>
      </w:r>
      <w:r>
        <w:rPr>
          <w:rFonts w:ascii="Courier New" w:cs="Courier New" w:eastAsia="Courier New" w:hAnsi="Courier New"/>
          <w:sz w:val="15"/>
          <w:szCs w:val="15"/>
          <w:color w:val="auto"/>
        </w:rPr>
        <w:t>73</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Product Development</w:t>
      </w:r>
      <w:r>
        <w:rPr>
          <w:sz w:val="20"/>
          <w:szCs w:val="20"/>
          <w:color w:val="auto"/>
        </w:rPr>
        <w:tab/>
      </w:r>
      <w:r>
        <w:rPr>
          <w:rFonts w:ascii="Courier New" w:cs="Courier New" w:eastAsia="Courier New" w:hAnsi="Courier New"/>
          <w:sz w:val="15"/>
          <w:szCs w:val="15"/>
          <w:color w:val="auto"/>
        </w:rPr>
        <w:t>73</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Sales and Marketing</w:t>
      </w:r>
      <w:r>
        <w:rPr>
          <w:sz w:val="20"/>
          <w:szCs w:val="20"/>
          <w:color w:val="auto"/>
        </w:rPr>
        <w:tab/>
      </w:r>
      <w:r>
        <w:rPr>
          <w:rFonts w:ascii="Courier New" w:cs="Courier New" w:eastAsia="Courier New" w:hAnsi="Courier New"/>
          <w:sz w:val="15"/>
          <w:szCs w:val="15"/>
          <w:color w:val="auto"/>
        </w:rPr>
        <w:t>74</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Competition</w:t>
      </w:r>
      <w:r>
        <w:rPr>
          <w:sz w:val="20"/>
          <w:szCs w:val="20"/>
          <w:color w:val="auto"/>
        </w:rPr>
        <w:tab/>
      </w:r>
      <w:r>
        <w:rPr>
          <w:rFonts w:ascii="Courier New" w:cs="Courier New" w:eastAsia="Courier New" w:hAnsi="Courier New"/>
          <w:sz w:val="15"/>
          <w:szCs w:val="15"/>
          <w:color w:val="auto"/>
        </w:rPr>
        <w:t>75</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Employees</w:t>
      </w:r>
      <w:r>
        <w:rPr>
          <w:sz w:val="20"/>
          <w:szCs w:val="20"/>
          <w:color w:val="auto"/>
        </w:rPr>
        <w:tab/>
      </w:r>
      <w:r>
        <w:rPr>
          <w:rFonts w:ascii="Courier New" w:cs="Courier New" w:eastAsia="Courier New" w:hAnsi="Courier New"/>
          <w:sz w:val="15"/>
          <w:szCs w:val="15"/>
          <w:color w:val="auto"/>
        </w:rPr>
        <w:t>75</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75</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OWNERSHIP OF IMS</w:t>
      </w:r>
      <w:r>
        <w:rPr>
          <w:sz w:val="20"/>
          <w:szCs w:val="20"/>
          <w:color w:val="auto"/>
        </w:rPr>
        <w:tab/>
      </w:r>
      <w:r>
        <w:rPr>
          <w:rFonts w:ascii="Courier New" w:cs="Courier New" w:eastAsia="Courier New" w:hAnsi="Courier New"/>
          <w:sz w:val="15"/>
          <w:szCs w:val="15"/>
          <w:color w:val="auto"/>
        </w:rPr>
        <w:t>76</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MANAGEMENT OF IMS</w:t>
      </w:r>
      <w:r>
        <w:rPr>
          <w:sz w:val="20"/>
          <w:szCs w:val="20"/>
          <w:color w:val="auto"/>
        </w:rPr>
        <w:tab/>
      </w:r>
      <w:r>
        <w:rPr>
          <w:rFonts w:ascii="Courier New" w:cs="Courier New" w:eastAsia="Courier New" w:hAnsi="Courier New"/>
          <w:sz w:val="15"/>
          <w:szCs w:val="15"/>
          <w:color w:val="auto"/>
        </w:rPr>
        <w:t>78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Executive Officers and Directors</w:t>
      </w:r>
      <w:r>
        <w:rPr>
          <w:sz w:val="20"/>
          <w:szCs w:val="20"/>
          <w:color w:val="auto"/>
        </w:rPr>
        <w:tab/>
      </w:r>
      <w:r>
        <w:rPr>
          <w:rFonts w:ascii="Courier New" w:cs="Courier New" w:eastAsia="Courier New" w:hAnsi="Courier New"/>
          <w:sz w:val="15"/>
          <w:szCs w:val="15"/>
          <w:color w:val="auto"/>
        </w:rPr>
        <w:t>78</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82</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Compensation of Directors</w:t>
      </w:r>
      <w:r>
        <w:rPr>
          <w:sz w:val="20"/>
          <w:szCs w:val="20"/>
          <w:color w:val="auto"/>
        </w:rPr>
        <w:tab/>
      </w:r>
      <w:r>
        <w:rPr>
          <w:rFonts w:ascii="Courier New" w:cs="Courier New" w:eastAsia="Courier New" w:hAnsi="Courier New"/>
          <w:sz w:val="15"/>
          <w:szCs w:val="15"/>
          <w:color w:val="auto"/>
        </w:rPr>
        <w:t>83</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Limitations on Liability of Officers and Directors</w:t>
      </w:r>
      <w:r>
        <w:rPr>
          <w:sz w:val="20"/>
          <w:szCs w:val="20"/>
          <w:color w:val="auto"/>
        </w:rPr>
        <w:tab/>
      </w:r>
      <w:r>
        <w:rPr>
          <w:rFonts w:ascii="Courier New" w:cs="Courier New" w:eastAsia="Courier New" w:hAnsi="Courier New"/>
          <w:sz w:val="15"/>
          <w:szCs w:val="15"/>
          <w:color w:val="auto"/>
        </w:rPr>
        <w:t>83</w:t>
      </w:r>
    </w:p>
    <w:p>
      <w:pPr>
        <w:spacing w:after="0" w:line="8" w:lineRule="exact"/>
        <w:rPr>
          <w:sz w:val="20"/>
          <w:szCs w:val="20"/>
          <w:color w:val="auto"/>
        </w:rPr>
      </w:pPr>
    </w:p>
    <w:p>
      <w:pPr>
        <w:ind w:left="180"/>
        <w:spacing w:after="0"/>
        <w:tabs>
          <w:tab w:leader="dot" w:pos="7080"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84</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AMENDMENT TO THE IMS 1994 EMPLOYEE STOCK OPTION PLAN</w:t>
      </w:r>
      <w:r>
        <w:rPr>
          <w:sz w:val="20"/>
          <w:szCs w:val="20"/>
          <w:color w:val="auto"/>
        </w:rPr>
        <w:tab/>
      </w:r>
      <w:r>
        <w:rPr>
          <w:rFonts w:ascii="Courier New" w:cs="Courier New" w:eastAsia="Courier New" w:hAnsi="Courier New"/>
          <w:sz w:val="15"/>
          <w:szCs w:val="15"/>
          <w:color w:val="auto"/>
        </w:rPr>
        <w:t>85</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85</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LEGAL OPINIONS</w:t>
      </w:r>
      <w:r>
        <w:rPr>
          <w:sz w:val="20"/>
          <w:szCs w:val="20"/>
          <w:color w:val="auto"/>
        </w:rPr>
        <w:tab/>
      </w:r>
      <w:r>
        <w:rPr>
          <w:rFonts w:ascii="Courier New" w:cs="Courier New" w:eastAsia="Courier New" w:hAnsi="Courier New"/>
          <w:sz w:val="15"/>
          <w:szCs w:val="15"/>
          <w:color w:val="auto"/>
        </w:rPr>
        <w:t>85</w:t>
      </w:r>
    </w:p>
    <w:p>
      <w:pPr>
        <w:spacing w:after="0" w:line="8" w:lineRule="exact"/>
        <w:rPr>
          <w:sz w:val="20"/>
          <w:szCs w:val="20"/>
          <w:color w:val="auto"/>
        </w:rPr>
      </w:pPr>
    </w:p>
    <w:p>
      <w:pPr>
        <w:spacing w:after="0"/>
        <w:tabs>
          <w:tab w:leader="dot" w:pos="708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APPENDICES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Appendix A --Articles of Merger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Appendix B --Form of Put/Call Agreement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Appendix C --Opinion of Smith Barney Inc.</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Appendix D --Article 113 of the Colorado Business Corporation Act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005" w:right="1440" w:bottom="1440" w:gutter="0" w:footer="0" w:header="0"/>
        </w:sectPr>
      </w:pPr>
    </w:p>
    <w:bookmarkStart w:id="11" w:name="page12"/>
    <w:bookmarkEnd w:id="11"/>
    <w:p>
      <w:pPr>
        <w:jc w:val="center"/>
        <w:ind w:right="2939"/>
        <w:spacing w:after="0"/>
        <w:rPr>
          <w:sz w:val="20"/>
          <w:szCs w:val="20"/>
          <w:color w:val="auto"/>
        </w:rPr>
      </w:pPr>
      <w:r>
        <w:rPr>
          <w:rFonts w:ascii="Courier New" w:cs="Courier New" w:eastAsia="Courier New" w:hAnsi="Courier New"/>
          <w:sz w:val="15"/>
          <w:szCs w:val="15"/>
          <w:color w:val="auto"/>
        </w:rPr>
        <w:t>SUMMARY</w:t>
      </w:r>
    </w:p>
    <w:p>
      <w:pPr>
        <w:spacing w:after="0" w:line="185"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The following is a brief summary of certain information contained elsewhere in this Proxy Statement-Prospectus. This summary is qualified in its entirety by the more detailed information contained in this Proxy Statement-Prospectus, in its Appendices and in the documents referred to herein, to which reference is made for a more complete statement of the matters discussed below.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Integrated Medical Systems, Inc. ("IMS" or the "Company") was founded in 1985. IMS develops and operates computerized medical communications networks that link participants in the healthcare delivery and payment systems enabling such participants to convert routine and specialized messages from manual to automated media and to provide a practical means for providers and payers to integrate the services they provide. Healthcare, and especially the individual physician's practice of medicine, generates prolific requirements for multi-location, multi-system clinical, financial and administrative communication and information transfer and management. IMS believes that it is the nation's leading provider of physician-focused, multi-participant, multi-media, bi-directional automated healthcare communications through a common user interface, in terms of total number of transactions, variety of transactions, number of physicians, number and variety of interfaced host healthcare information systems, number of institutions (hospitals, managed care plans, clinical laboratories, ancillary care providers and healthcare information and administrative services) and number of operational networks and markets served.</w:t>
      </w:r>
    </w:p>
    <w:p>
      <w:pPr>
        <w:spacing w:after="0" w:line="184" w:lineRule="exact"/>
        <w:rPr>
          <w:sz w:val="20"/>
          <w:szCs w:val="20"/>
          <w:color w:val="auto"/>
        </w:rPr>
      </w:pPr>
    </w:p>
    <w:p>
      <w:pPr>
        <w:ind w:right="2939" w:firstLine="185"/>
        <w:spacing w:after="0" w:line="252" w:lineRule="auto"/>
        <w:rPr>
          <w:sz w:val="20"/>
          <w:szCs w:val="20"/>
          <w:color w:val="auto"/>
        </w:rPr>
      </w:pPr>
      <w:r>
        <w:rPr>
          <w:rFonts w:ascii="Courier New" w:cs="Courier New" w:eastAsia="Courier New" w:hAnsi="Courier New"/>
          <w:sz w:val="15"/>
          <w:szCs w:val="15"/>
          <w:color w:val="auto"/>
        </w:rPr>
        <w:t>The mailing address and telephone number of IMS's principal executive offices are 15000 West 6th Avenue, Suite 400, Golden, Colorado 80401, (303) 279-6116. See "BUSINESS OF IMS."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Eli Lilly and Company</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Eli Lilly and Company ("Lilly") was incorporated in 1901 under the laws of the state of Indiana to succeed to the drug manufacturing business founded in Indianapolis, Indiana, in 1876 by Colonel Eli Lilly. Lilly is engaged in the discovery, development, manufacture, and sale of products and the provision of services in one industry segment -- Life Sciences. Lilly's principal products are human pharmaceuticals and animal health products. Products are manufactured or distributed through owned or leased facilities in the United States, Puerto Rico, and 26 other countries, in 19 of which Lilly owns or has an interest in manufacturing facilities. Its products are sold in approximately 117 countries. Through its PCS Health Systems, Inc. subsidiary ("PCS"), Lilly also provides pharmacy benefit management services in the United States.</w:t>
      </w:r>
    </w:p>
    <w:p>
      <w:pPr>
        <w:spacing w:after="0" w:line="182"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Most of Lilly's products were discovered or developed through Lilly's research and development activities, and the success of Lilly's business depends to a great extent on the introduction of new products resulting from these research and development activities. Research efforts are primarily directed toward the discovery of products to diagnose and treat diseases in human beings and animals and to increase the efficiency of animal food production.</w:t>
      </w:r>
    </w:p>
    <w:p>
      <w:pPr>
        <w:spacing w:after="0" w:line="176" w:lineRule="exact"/>
        <w:rPr>
          <w:sz w:val="20"/>
          <w:szCs w:val="20"/>
          <w:color w:val="auto"/>
        </w:rPr>
      </w:pPr>
    </w:p>
    <w:p>
      <w:pPr>
        <w:ind w:right="2939" w:firstLine="185"/>
        <w:spacing w:after="0" w:line="252" w:lineRule="auto"/>
        <w:rPr>
          <w:sz w:val="20"/>
          <w:szCs w:val="20"/>
          <w:color w:val="auto"/>
        </w:rPr>
      </w:pPr>
      <w:r>
        <w:rPr>
          <w:rFonts w:ascii="Courier New" w:cs="Courier New" w:eastAsia="Courier New" w:hAnsi="Courier New"/>
          <w:sz w:val="15"/>
          <w:szCs w:val="15"/>
          <w:color w:val="auto"/>
        </w:rPr>
        <w:t>Trans-IMS Corporation, a Colorado corporation and a wholly-owned subsidiary of Lilly ("Subsidiary"), is a corporation recently organized in connection with the Merger and has not conducted any other business.</w:t>
      </w:r>
    </w:p>
    <w:p>
      <w:pPr>
        <w:spacing w:after="0" w:line="175"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The principal executive offices of Lilly and Subsidiary are located at Lilly Corporate Center, Indianapolis, Indiana 46285, and their telephone number at that location is (317) 276-2000.</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THE SPECIAL MEETING</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Time, Date and Place</w:t>
      </w:r>
    </w:p>
    <w:p>
      <w:pPr>
        <w:sectPr>
          <w:pgSz w:w="11900" w:h="16838" w:orient="portrait"/>
          <w:cols w:equalWidth="0" w:num="1">
            <w:col w:w="10219"/>
          </w:cols>
          <w:pgMar w:left="240" w:top="650"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019" w:hanging="645"/>
        <w:spacing w:after="0" w:line="253" w:lineRule="auto"/>
        <w:rPr>
          <w:sz w:val="20"/>
          <w:szCs w:val="20"/>
          <w:color w:val="auto"/>
        </w:rPr>
      </w:pPr>
      <w:r>
        <w:rPr>
          <w:rFonts w:ascii="Courier New" w:cs="Courier New" w:eastAsia="Courier New" w:hAnsi="Courier New"/>
          <w:sz w:val="15"/>
          <w:szCs w:val="15"/>
          <w:color w:val="auto"/>
        </w:rPr>
        <w:t>The special meeting of IMS shareholders (the "Special Meeting") will be held , 1995, at A.M. local time, at .</w:t>
      </w:r>
    </w:p>
    <w:p>
      <w:pPr>
        <w:spacing w:after="0" w:line="174" w:lineRule="exact"/>
        <w:rPr>
          <w:sz w:val="20"/>
          <w:szCs w:val="20"/>
          <w:color w:val="auto"/>
        </w:rPr>
      </w:pPr>
    </w:p>
    <w:p>
      <w:pPr>
        <w:sectPr>
          <w:pgSz w:w="11900" w:h="16838" w:orient="portrait"/>
          <w:cols w:equalWidth="0" w:num="2">
            <w:col w:w="180" w:space="640"/>
            <w:col w:w="9399"/>
          </w:cols>
          <w:pgMar w:left="240" w:top="650"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Purpose of the Meeting</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At the Special Meeting, the IMS shareholders will be asked to consider and vote upon the proposed merger (the "Merger") of Subsidiary into IMS. The Merger will result in IMS becoming a subsidiary of Lilly, with all of IMS's shareholders, other than Lilly, owning non-voting Series D Preferred Stock or Series B Preferred Stock and with Lilly owning all of IMS's outstanding voting stock (subject to possible post-Merger issuance of voting stock to others) (see "THE MERGER--Effect of the Merger on Company Options, Warrants and Exchange Rights").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Holders of record (the "Record Holders") of shares of (i) common stock, without par value, of IMS (the "Company Common Stock"), (ii) Series B Preferred Stock, par value $1.00 per share, of IMS (the "Series B Preferred Stock") and (iii) Series C Preferred Stock, par value $1.00 per share, of IMS (the "Series</w:t>
      </w:r>
    </w:p>
    <w:p>
      <w:pPr>
        <w:spacing w:after="0" w:line="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 Preferred Stock") at the close of business on , 1995 (the "Record Date"), will be entitled to notice of and to vote at the Special Meeting. Each issued and outstanding share of Company Common Stock, Series B Preferred Stock and Series C Preferred Stock is entitled to one vote per share with respect to the Merger. On the Record Date, there were 6,711,569 shares of Company Common Stock issued and outstanding held by approximately 197 holders, 2,000,000 shares of Series B Preferred Stock issued and outstanding held by approximately 23 holders and 3,500,000 shares of Series C Preferred Stock issued and outstanding all of which were held by wholly-owned subsidiaries of Lilly.</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Required Vote</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Under Colorado law and the Articles of Incorporation of IMS, the affirmative vote of two-thirds of the outstanding shares of Company Common Stock, Series B Preferred Stock and Series C Preferred Stock, voting together as a single class, and the affirmative vote of two-thirds of the outstanding shares of each of the Series B Preferred Stock and the Series C Preferred Stock, each voting separately as a class, are required to approve the Merger. In addition, pursuant to the Merger Agreement, it is a condition to the consummation of the Merger that the Merger be approved by the affirmative vote of shares representing at least a majority of the voting power of the outstanding shares of Company Common Stock and Series B Preferred Stock that are not owned by Lilly or its subsidiaries.</w:t>
      </w:r>
    </w:p>
    <w:p>
      <w:pPr>
        <w:spacing w:after="0" w:line="182"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As of the Record Date, the directors of IMS and their affiliates (other than Lilly or any subsidiary of Lilly) owned an aggregate of 3,465,184 shares of Company Common Stock, representing approximately 51.6% of the Company Common Stock entitled to vote on the Merger, and 1,581,562 shares of Series B Preferred Stock, representing approximately 79.1% of the Series B Preferred Stock entitled to vote on the Merger. All of these shareholders have agreed with Lilly to vote their shares in favor of the Merger. In addition, Lilly, through its wholly-owned subsidiaries, owns 160,200 shares of Company Common Stock and all of the Series C Preferred Stock and will vote those shares in favor of the Merger. The shares of Company Common Stock, Series B Preferred Stock and Series C Preferred Stock collectively owned by these shareholders and Lilly represent approximately 71.3% of the Company Common Stock, Series B Preferred Stock and Series C Preferred Stock entitled to vote as a class on the Merger. Thus, upon the vote of these shareholders in accordance with such agreements, shareholder approval of the Merger is assured.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5"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Conversion of Shares of Company Common Stock, Series B Preferred Stock and Series C Preferred Stock</w:t>
      </w:r>
    </w:p>
    <w:p>
      <w:pPr>
        <w:spacing w:after="0" w:line="174" w:lineRule="exact"/>
        <w:rPr>
          <w:sz w:val="20"/>
          <w:szCs w:val="20"/>
          <w:color w:val="auto"/>
        </w:rPr>
      </w:pPr>
    </w:p>
    <w:p>
      <w:pPr>
        <w:ind w:right="2939" w:firstLine="185"/>
        <w:spacing w:after="0" w:line="252" w:lineRule="auto"/>
        <w:rPr>
          <w:sz w:val="20"/>
          <w:szCs w:val="20"/>
          <w:color w:val="auto"/>
        </w:rPr>
      </w:pPr>
      <w:r>
        <w:rPr>
          <w:rFonts w:ascii="Courier New" w:cs="Courier New" w:eastAsia="Courier New" w:hAnsi="Courier New"/>
          <w:sz w:val="15"/>
          <w:szCs w:val="15"/>
          <w:color w:val="auto"/>
        </w:rPr>
        <w:t>Pursuant to the Merger, (i) each outstanding share of Company Common Stock (other than shares held by IMS as treasury shares, shares owned by Lilly or any subsidiary of Lilly, or shares as to which dissenters' rights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type w:val="continuous"/>
        </w:sectPr>
      </w:pPr>
    </w:p>
    <w:bookmarkStart w:id="13" w:name="page14"/>
    <w:bookmarkEnd w:id="13"/>
    <w:p>
      <w:pPr>
        <w:ind w:left="5" w:right="2939"/>
        <w:spacing w:after="0" w:line="250" w:lineRule="auto"/>
        <w:rPr>
          <w:sz w:val="20"/>
          <w:szCs w:val="20"/>
          <w:color w:val="auto"/>
        </w:rPr>
      </w:pPr>
      <w:r>
        <w:rPr>
          <w:rFonts w:ascii="Courier New" w:cs="Courier New" w:eastAsia="Courier New" w:hAnsi="Courier New"/>
          <w:sz w:val="15"/>
          <w:szCs w:val="15"/>
          <w:color w:val="auto"/>
        </w:rPr>
        <w:t>have been perfected under Colorado law) will be converted into, at the holder's election, either (a) $8.00 in cash, without interest, or (b) one share of Series D Preferred Stock, (ii) each outstanding share of Series B Preferred Stock (other than shares as to which dissenters' rights have been perfected under Colorado law) will either (a) be converted into, at the holder's election, either (1) $5.33 in cash, without interest, plus an amount, in cash, without interest, equal to the amount of all accrued and unpaid dividends on such share of Series B Preferred Stock to the effective date of the Merger or</w:t>
      </w:r>
    </w:p>
    <w:p>
      <w:pPr>
        <w:spacing w:after="0" w:line="4" w:lineRule="exact"/>
        <w:rPr>
          <w:sz w:val="20"/>
          <w:szCs w:val="20"/>
          <w:color w:val="auto"/>
        </w:rPr>
      </w:pPr>
    </w:p>
    <w:p>
      <w:pPr>
        <w:ind w:left="5" w:right="3019" w:hanging="5"/>
        <w:spacing w:after="0" w:line="250" w:lineRule="auto"/>
        <w:tabs>
          <w:tab w:leader="none" w:pos="37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a share of Series D Preferred Stock plus an amount, in cash, without interest, equal to the amount of all accrued and unpaid dividends on such share of Series B Preferred Stock to the effective date of the Merger or</w:t>
      </w:r>
    </w:p>
    <w:p>
      <w:pPr>
        <w:spacing w:after="0" w:line="1" w:lineRule="exact"/>
        <w:rPr>
          <w:rFonts w:ascii="Courier New" w:cs="Courier New" w:eastAsia="Courier New" w:hAnsi="Courier New"/>
          <w:sz w:val="15"/>
          <w:szCs w:val="15"/>
          <w:color w:val="auto"/>
        </w:rPr>
      </w:pPr>
    </w:p>
    <w:p>
      <w:pPr>
        <w:ind w:left="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remain outstanding (with the amended preferences, limitations and rights set forth in the Articles of Incorporation of the surviving corporation) and (iii) each outstanding share of Series C Preferred Stock of the Company will be converted into one share of common stock of the surviving corporation. The cash and Series D Preferred Stock to be issued in connection with the Merger is referred to as the "Merger Consideration".</w:t>
      </w:r>
    </w:p>
    <w:p>
      <w:pPr>
        <w:spacing w:after="0" w:line="176"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No fractional shares of Series D Preferred Stock will be issued, but, in lieu thereof, cash payments will be made to each holder of Series B Preferred Stock in respect of any fractional share that would otherwise be issuable to such holder (after aggregating all of the shares of Series D Preferred Stock to be issued to such holder) in an amount equal to such fractional part of a share of Series D Preferred Stock multiplied by $8.00. No such holder shall be entitled to dividends, voting rights or any other shareholder right in respect of any fractional share.</w:t>
      </w:r>
    </w:p>
    <w:p>
      <w:pPr>
        <w:spacing w:after="0" w:line="17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Election; Form of Election Procedures</w:t>
      </w:r>
    </w:p>
    <w:p>
      <w:pPr>
        <w:spacing w:after="0" w:line="185" w:lineRule="exact"/>
        <w:rPr>
          <w:sz w:val="20"/>
          <w:szCs w:val="20"/>
          <w:color w:val="auto"/>
        </w:rPr>
      </w:pPr>
    </w:p>
    <w:p>
      <w:pPr>
        <w:ind w:left="5" w:right="2939" w:firstLine="185"/>
        <w:spacing w:after="0" w:line="250" w:lineRule="auto"/>
        <w:rPr>
          <w:sz w:val="20"/>
          <w:szCs w:val="20"/>
          <w:color w:val="auto"/>
        </w:rPr>
      </w:pPr>
      <w:r>
        <w:rPr>
          <w:rFonts w:ascii="Courier New" w:cs="Courier New" w:eastAsia="Courier New" w:hAnsi="Courier New"/>
          <w:sz w:val="15"/>
          <w:szCs w:val="15"/>
          <w:color w:val="auto"/>
        </w:rPr>
        <w:t>Subject to the election procedures set forth below, each record holder immediately prior to the Effective Date of the Merger of shares of Company Common Stock or Series B Preferred Stock (other than Lilly or any subsidiary of Lilly) will be entitled (i) to elect to receive cash for any or all of such shares (a "Cash Election"), or (ii) to elect to receive Series D Preferred Stock for any or all of such shares (a "Stock Election"). In addition, each record holder immediately prior to the Effective Date of shares of Series B Preferred Stock will be entitled to elect to retain those shares of Series B Preferred Stock, as amended by the Articles of Merger (an "Election to Retain Series B Preferred Stock"). ALL SUCH ELECTIONS SHALL BE MADE ON A FORM OF ELECTION (A "FORM OF ELECTION") THAT WILL BE MAILED SEPARATELY TO SHAREHOLDERS OF RECORD ON THE EFFECTIVE DATE. To be effective, a Form of Election must be properly completed, signed and submitted to Citibank, N.A., as exchange agent (the "Exchange Agent"), and (except if an Election to Retain Series B Preferred Stock is made or deemed to have been made) accompanied by the certificates representing the shares of Company Common Stock or Series B Preferred Stock as to which the election is being made (or by an appropriate guarantee of delivery of such certificates by a commercial bank or trust company in the United States or a member of a registered national securities exchange or the National Association of Securities Dealers, Inc.). All duly completed Forms of Election must be received by the Exchange Agent no later than 5:00 p.m., New York City</w:t>
      </w:r>
    </w:p>
    <w:p>
      <w:pPr>
        <w:spacing w:after="0" w:line="9"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Time, on (the "Election Deadline"). A HOLDER OF COMPANY COMMON STOCK OR SERIES B PREFERRED STOCK WHO DOES NOT SUBMIT A PROPERLY COMPLETED AND SIGNED FORM OF ELECTION WHICH IS RECEIVED BY THE EXCHANGE AGENT PRIOR TO THE ELECTION DEADLINE SHALL BE DEEMED TO HAVE MADE A CASH ELECTION, IN THE CASE OF A HOLDER OF COMPANY COMMON STOCK, AND AN ELECTION TO RETAIN SERIES B PREFERRED STOCK, IN THE CASE OF A HOLDER OF SERIES B PREFERRED STOCK. An election may be revoked, but only by written notice received by the Exchange Agent prior to the Election Deadline. See "THE MERGER AGREEMENT -- Form of Election Procedures."</w:t>
      </w:r>
    </w:p>
    <w:p>
      <w:pPr>
        <w:spacing w:after="0" w:line="175" w:lineRule="exact"/>
        <w:rPr>
          <w:sz w:val="20"/>
          <w:szCs w:val="20"/>
          <w:color w:val="auto"/>
        </w:rPr>
      </w:pPr>
    </w:p>
    <w:p>
      <w:pPr>
        <w:ind w:left="5" w:right="3019" w:firstLine="185"/>
        <w:spacing w:after="0" w:line="253" w:lineRule="auto"/>
        <w:rPr>
          <w:sz w:val="20"/>
          <w:szCs w:val="20"/>
          <w:color w:val="auto"/>
        </w:rPr>
      </w:pPr>
      <w:r>
        <w:rPr>
          <w:rFonts w:ascii="Courier New" w:cs="Courier New" w:eastAsia="Courier New" w:hAnsi="Courier New"/>
          <w:sz w:val="15"/>
          <w:szCs w:val="15"/>
          <w:color w:val="auto"/>
        </w:rPr>
        <w:t>SHAREHOLDERS SHOULD SEND IN THEIR SHARE CERTIFICATES ONLY WITH THE LETTER OF TRANSMITTAL AND NOT WITH THEIR PROXY CARDS.</w:t>
      </w:r>
    </w:p>
    <w:p>
      <w:pPr>
        <w:spacing w:after="0" w:line="174"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Effect of the Merger on Company Options, Warrants and Exchange Rights</w:t>
      </w:r>
    </w:p>
    <w:p>
      <w:pPr>
        <w:spacing w:after="0" w:line="185"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Each holder of outstanding options to purchase Company Common Stock (the "Company Options") on the Effective Date will have the right, immediately following the Merger, to elect to have such Company Options converted, in whole or in part, into (i) the right to receive $8.00 in cash, without interest, for each share of</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14" w:name="page15"/>
    <w:bookmarkEnd w:id="14"/>
    <w:p>
      <w:pPr>
        <w:ind w:left="5" w:right="3019"/>
        <w:spacing w:after="0" w:line="250" w:lineRule="auto"/>
        <w:rPr>
          <w:sz w:val="20"/>
          <w:szCs w:val="20"/>
          <w:color w:val="auto"/>
        </w:rPr>
      </w:pPr>
      <w:r>
        <w:rPr>
          <w:rFonts w:ascii="Courier New" w:cs="Courier New" w:eastAsia="Courier New" w:hAnsi="Courier New"/>
          <w:sz w:val="15"/>
          <w:szCs w:val="15"/>
          <w:color w:val="auto"/>
        </w:rPr>
        <w:t>Company Common Stock for which such Company Option was exercisable as of the Effective Date (except that in lieu of paying the exercise price of such Company Option, the holder thereof may elect to net the amount of the exercise price against and to that extent reduce the $8.00 otherwise receivable), or</w:t>
      </w:r>
    </w:p>
    <w:p>
      <w:pPr>
        <w:spacing w:after="0" w:line="2" w:lineRule="exact"/>
        <w:rPr>
          <w:sz w:val="20"/>
          <w:szCs w:val="20"/>
          <w:color w:val="auto"/>
        </w:rPr>
      </w:pPr>
    </w:p>
    <w:p>
      <w:pPr>
        <w:ind w:left="5" w:right="3019" w:hanging="5"/>
        <w:spacing w:after="0" w:line="251" w:lineRule="auto"/>
        <w:tabs>
          <w:tab w:leader="none" w:pos="46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purchase, for the same exercise price, one share of Series D Preferred Stock for each share of Company Common Stock for which such Company Option was exercisable as of the Effective Date or (iii) fully vested options to acquire shares of Common Stock of Lilly ("Lilly Common Stock") under the 1994 Lilly Stock Plan registered on Form S-8 ("Lilly Options"). Any election pursuant to clause (ii) above must be for a whole number of shares of Series D Preferred Stock.</w:t>
      </w:r>
    </w:p>
    <w:p>
      <w:pPr>
        <w:spacing w:after="0" w:line="176" w:lineRule="exact"/>
        <w:rPr>
          <w:sz w:val="20"/>
          <w:szCs w:val="20"/>
          <w:color w:val="auto"/>
        </w:rPr>
      </w:pPr>
    </w:p>
    <w:p>
      <w:pPr>
        <w:ind w:left="5" w:right="2939" w:firstLine="185"/>
        <w:spacing w:after="0" w:line="250" w:lineRule="auto"/>
        <w:rPr>
          <w:sz w:val="20"/>
          <w:szCs w:val="20"/>
          <w:color w:val="auto"/>
        </w:rPr>
      </w:pPr>
      <w:r>
        <w:rPr>
          <w:rFonts w:ascii="Courier New" w:cs="Courier New" w:eastAsia="Courier New" w:hAnsi="Courier New"/>
          <w:sz w:val="15"/>
          <w:szCs w:val="15"/>
          <w:color w:val="auto"/>
        </w:rPr>
        <w:t>Each holder of outstanding warrants to purchase Company Common Stock (the "Company Warrants") on the Effective Date (other than any warrants owned by Lilly or any of its subsidiaries) will have the right to elect to have such Company Warrants converted into (i) the right to receive $8.00 in cash, without interest, for each share of Company Common Stock for which such Company Warrant was exercisable as of the Effective Date (except that in lieu of paying the exercise price of such Company Warrant, the holder thereof may elect to net the amount of the exercise price against and to that extent reduce the $8.00 otherwise receivable) or (ii) the right to purchase, for the same exercise price, one share of Series D Preferred Stock for each share of Company Common Stock for which such Company Warrant was exercisable as of the Effective Date.</w:t>
      </w:r>
    </w:p>
    <w:p>
      <w:pPr>
        <w:spacing w:after="0" w:line="182"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A Form of Election for use by holders of Company Options and Company Warrants will be mailed separately to the holders thereof. To be effective, a Form of Election must be properly completed, signed and received by the Exchange Agent by the Election Deadline. HOLDERS OF COMPANY OPTIONS OR COMPANY WARRANTS WHO DO NOT PROPERLY COMPLETE AND RETURN A FORM OF ELECTION BY THE ELECTION DEADLINE WILL BE DEEMED TO HAVE ELECTED TO RECEIVE THE LILLY OPTIONS, IN THE CASE OF A COMPANY OPTION, OR THE RIGHT TO PURCHASE SHARES OF SERIES D PREFERRED STOCK, IN THE CASE OF COMPANY WARRANTS. See "THE MERGER AGREEMENT -- Effect of the Merger on Company Options and Company Warrants."</w:t>
      </w:r>
    </w:p>
    <w:p>
      <w:pPr>
        <w:spacing w:after="0" w:line="175"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Under a joint venture agreement with IMS, Blue Cross and Blue Shield of Arizona, Inc. ("BCBSAZ"), as limited partner in the joint venture, has the right to elect to exchange all or part of its rights to profit allocations in the joint venture for shares of Company Common Stock. The number of shares is to be determined by dividing $3.5 million by the market price of Company Common Stock at the time of exchange. This right is available to BCBSAZ at any time until three years and 120 days after commencement of an initial public offering of equity securities of the Company. It is possible that BCBSAZ will exercise this right after the Merger, with the result that BCBSAZ would own Company Common Stock after the Merger with a value at the time of issuance of $3.5 million.</w:t>
      </w:r>
    </w:p>
    <w:p>
      <w:pPr>
        <w:spacing w:after="0" w:line="352"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Lilly reserves the right to cause the Company to issue Company Common Stock or other securities, whether voting or non-voting, following the Merger at any time or from time to time to Lilly or third parties for any proper corporate purpose.</w:t>
      </w:r>
    </w:p>
    <w:p>
      <w:pPr>
        <w:spacing w:after="0" w:line="176"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Recommendation of IMS's Board of Directors</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BOARD OF DIRECTORS OF IMS (WITH ONE DIRECTOR ABSENT) HAS UNANIMOUSLY DETERMINED THAT THE PROPOSED MERGER IS FAIR AND REASONABLE AND IN THE BEST INTERESTS OF IMS AND ITS SHAREHOLDERS (OTHER THAN LILLY AND ITS SUBSIDIARIES) AND RECOMMENDS APPROVAL AND ADOPTION OF THE MERGER AGREEMENT BY IMS SHAREHOLDERS (EXCEPT THAT THE TWO DIRECTORS WHO ARE AFFILIATED WITH LILLY ABSTAINED FROM THE BOARD'S DELIBERATIONS AND VOTE). For a discussion of the factors considered by IMS's Board of Directors in approving the Merger, see "SPECIAL FACTORS TO BE CONSIDERED -- Recommendation of the IMS Board of Directors; Fairness of the Merger."</w:t>
      </w:r>
    </w:p>
    <w:p>
      <w:pPr>
        <w:spacing w:after="0" w:line="17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Opinion of Financial Advisor</w:t>
      </w:r>
    </w:p>
    <w:p>
      <w:pPr>
        <w:spacing w:after="0" w:line="185" w:lineRule="exact"/>
        <w:rPr>
          <w:sz w:val="20"/>
          <w:szCs w:val="20"/>
          <w:color w:val="auto"/>
        </w:rPr>
      </w:pPr>
    </w:p>
    <w:p>
      <w:pPr>
        <w:ind w:left="5" w:right="3219" w:firstLine="185"/>
        <w:spacing w:after="0" w:line="252" w:lineRule="auto"/>
        <w:rPr>
          <w:sz w:val="20"/>
          <w:szCs w:val="20"/>
          <w:color w:val="auto"/>
        </w:rPr>
      </w:pPr>
      <w:r>
        <w:rPr>
          <w:rFonts w:ascii="Courier New" w:cs="Courier New" w:eastAsia="Courier New" w:hAnsi="Courier New"/>
          <w:sz w:val="15"/>
          <w:szCs w:val="15"/>
          <w:color w:val="auto"/>
        </w:rPr>
        <w:t>Smith Barney Inc. ("Smith Barney") has delivered its written opinion dated August 2, 1995 to the effect that the consideration to be offered to IMS's shareholders (other than Lilly and its subsidiaries) in the Merger</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0" w:right="1440" w:bottom="1440" w:gutter="0" w:footer="0" w:header="0"/>
        </w:sectPr>
      </w:pPr>
    </w:p>
    <w:bookmarkStart w:id="15" w:name="page16"/>
    <w:bookmarkEnd w:id="15"/>
    <w:p>
      <w:pPr>
        <w:ind w:right="3019"/>
        <w:spacing w:after="0" w:line="251" w:lineRule="auto"/>
        <w:rPr>
          <w:sz w:val="20"/>
          <w:szCs w:val="20"/>
          <w:color w:val="auto"/>
        </w:rPr>
      </w:pPr>
      <w:r>
        <w:rPr>
          <w:rFonts w:ascii="Courier New" w:cs="Courier New" w:eastAsia="Courier New" w:hAnsi="Courier New"/>
          <w:sz w:val="15"/>
          <w:szCs w:val="15"/>
          <w:color w:val="auto"/>
        </w:rPr>
        <w:t>was fair from a financial point of view as of the date of such opinion. A copy of Smith Barney's opinion, which sets forth the assumptions made, procedures followed, matters considered, limitations on and the scope of the review by Smith Barney in rendering its opinion, is attached to this Proxy Statement-Prospectus as Appendix C and should be read carefully in its entirety. See "SPECIAL FACTORS TO BE CONSIDERED -- Opinion of Financial Advisor."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Relationship/Agreements of the Parties</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Lilly, through PCS, has been a shareholder of IMS since November 1994, when Lilly acquired the PCS pharmacy benefit management services business of McKesson Corporation ("McKesson"). As a result of that acquisition, Lilly, through PCS, has owned, or had the right to acquire, about 28% of the Company Common Stock on a fully-diluted basis.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By acquiring PCS, Lilly also acquired various contract rights that are described below. In some instances, IMS has disputed whether those rights continue to exist and, if so, the extent of those rights. Under the McKesson Sponsorship Agreement, PCS has claimed various rights to utilize IMS Networks to send and receive information between IMS Network Sites and PCS clients, and to link IMS Networks to PCS's transaction processing and data base management infrastructure to send and receive information in support of a variety of services. In addition, under this Agreement, IMS has agreed that it will not introduce "Prescription Benefit Management Services" without the approval and except on terms acceptable to PCS. See "SPECIAL FACTORS TO BE CONSIDERED -- Prior Agreements/Relationship of the Parties-McKesson Sponsorship Agreement."</w:t>
      </w:r>
    </w:p>
    <w:p>
      <w:pPr>
        <w:spacing w:after="0" w:line="182"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Under the McKesson Stockholder's Rights Agreement, PCS has claimed various rights, including the right to elect two directors of IMS, rights of access for "McKesson Products Lines" to the physicians who are "Subscribers" to IMS Networks, and rights of approval over agreements for the operation of an IMS Network with any entity engaged in a business defined as a "McKesson Product Line."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addition, under this Agreement, PCS has claimed a right of first offer to purchase any "New Securities" that IMS proposes to sell, subject to certain exceptions, and a right to approve any prospective purchasers of "New Securities" who are engaged in any of the businesses defined as "McKesson Product Lines." See "SPECIAL FACTORS TO BE CONSIDERED -- Prior Agreements/Relationship of the Parties -- McKesson Stockholder's Rights Agreement."</w:t>
      </w:r>
    </w:p>
    <w:p>
      <w:pPr>
        <w:spacing w:after="0" w:line="17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Lilly has also made loans to IMS that aggregated as of October 25, 1995,</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$8.85 million and has agreed to continue to loan to IMS from time to time at IMS's request additional funds as required to fund the then current cash requirements of IMS but not to exceed $1.5 million per month. Each loan is due and payable upon the earlier of any breach of the Merger Agreement by IMS (subject to certain rights of IMS to cure such breach) or July 1, 1996 with interest at the annual rate of 10%. Each loan is subordinated to all IMS indebtedness outstanding on the date of such loan and is secured by a pledge of most of the assets of IMS, including shares of subsidiaries.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Put/Call Agreements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Lilly will offer each holder of Company Common Stock, Series B Preferred Stock, Company Options or Company Warrants (a "Holder") the opportunity to enter into a Put/Call Agreement that would apply to any or all of the Holder's shares of Series D Preferred Stock as the Holder may elect (the "Subject Shares").</w:t>
      </w:r>
    </w:p>
    <w:p>
      <w:pPr>
        <w:spacing w:after="0" w:line="176"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Under a Put/Call Agreement, a Holder will have the right to require Lilly to purchase any or all of the Holder's Subject Shares during each of two Put Periods at a price of $8.00 per share, plus any unpaid dividends accrued to the purchase date (the "Purchase Price"). The initial Put Period shall be a period of at least 10 business days beginning on the first anniversary of the Merger; the second Put Period shall be a period of at least 10 business days beginning approximately 30 months after the Merger.</w:t>
      </w:r>
    </w:p>
    <w:p>
      <w:pPr>
        <w:spacing w:after="0" w:line="176"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Under a Put/Call Agreement, Lilly will have the right to require a Holder to sell any or all of the Holder's Subject Shares to Lilly at the Purchase Price in whole at any time or in part from time to time after the third anniversary of the Merger.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16" w:name="page17"/>
    <w:bookmarkEnd w:id="16"/>
    <w:p>
      <w:pPr>
        <w:ind w:right="3219" w:firstLine="185"/>
        <w:spacing w:after="0" w:line="251" w:lineRule="auto"/>
        <w:rPr>
          <w:sz w:val="20"/>
          <w:szCs w:val="20"/>
          <w:color w:val="auto"/>
        </w:rPr>
      </w:pPr>
      <w:r>
        <w:rPr>
          <w:rFonts w:ascii="Courier New" w:cs="Courier New" w:eastAsia="Courier New" w:hAnsi="Courier New"/>
          <w:sz w:val="15"/>
          <w:szCs w:val="15"/>
          <w:color w:val="auto"/>
        </w:rPr>
        <w:t>The stock certificates representing the Subject Shares will bear a restrictive legend and must be deposited into an escrow accompanied by an undated stock power endorsed in blank relating to the Subject Shares. The Holder will have the right to sell, assign, donate, pledge or otherwise transfer or encumber any or all of the Subject Shares and any related rights and obligations under the Put/Call Agreement only with Lilly's prior written consent, which will be granted under certain specified conditions. See "PUT/CALL AGREEMENTS."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to Employee Stock Option Plan</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Approval of the Merger by IMS shareholders will include approval of an amendment to the Integrated Medical Systems, Inc. 1994 Employee Stock Option Plan (the "1994 Employee Stock Option Plan") to increase the number of shares available under such plan from 400,000 shares of Company Common Stock to 838,600 shares of Company Common Stock, which equals the total number of shares subject to options previously granted under the Plan. See "AMENDMENT TO THE IMS 1994 EMPLOYEE STOCK OPTION PLAN."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to Articles of Incorporation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Approval of the Merger by IMS shareholders will also include approval of an amendment to the Articles of Incorporation of IMS, effective upon consummation of the Merger, which will, among other things, eliminate the voting rights of the Series B Preferred Stock other than as required by Colorado law and make the Series B Preferred Stock parity stock with Series D Preferred Stock upon the liquidation, dissolution or winding-up of IMS. See "AMENDMENT TO THE ARTICLES OF INCORPORATION OF IMS." For a description of the amended preferences, limitations and relative rights of the Series B Preferred Stock following the Merger, see "DESCRIPTION OF CAPITAL STOCK OF IMS -- Series B Preferred Stock."</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Conditions to the Merger</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The obligations of Lilly, Subsidiary and IMS to consummate the Merger are subject to the satisfaction of certain conditions, including approval of the Merger by IMS's shareholders at the Special Meeting. Other conditions to each party's obligations to consummate the Merger may be waived by such party, subject to applicable law and certain limitations imposed by the Merger Agreement. Neither Lilly nor IMS presently intends to waive any such conditions although each of them reserves the right to do so. See "THE MERGER AGREEMENT -- Conditions to the Merger."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Governmental and Regulatory Approvals</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In connection with prior exercises of Warrants to purchase Series C Preferred Stock, Lilly filed a Notification with the Federal Trade Commission and the Department of Justice pursuant to the Hart-Scott-Rodino Antitrust Improvements Act of 1976, as amended (the "HSR Act") on February 27, 1995, seeking clearance to acquire 50% or more of the voting stock of IMS. No second request for additional information was received and the mandatory waiting period expired on March 29, 1995. As a result, no further action is required under the HSR Act in connection with the Merger provided that the Merger is completed by March 29, 1996. See "SPECIAL FACTORS TO BE CONSIDERED -- Governmental and Regulatory Approvals."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Effective Date</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The Merger will become effective at such time as the Articles of Merger setting forth the principal terms of the Merger provided for in the Merger Agreement is duly filed with the Colorado Secretary of State in accordance with Colorado law (the "Effective Date"). Under the Merger Agreement, the required filing is expected to be made as soon as practicable after the satisfaction or waiver of all conditions to the Merger, including the approval of the Merger by IMS shareholders at the Special Meeting. It is anticipated that if the Merger is approved at the Special Meeting and all other conditions to the Merger have been fulfilled or waived, the Effective Date will occur on the date of the Special Meeting or as soon as practicable thereafter. See "THE MERGER AGREEMENT -- The Merger."</w:t>
      </w: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828" w:right="1440" w:bottom="1440" w:gutter="0" w:footer="0" w:header="0"/>
        </w:sectPr>
      </w:pPr>
    </w:p>
    <w:bookmarkStart w:id="17" w:name="page18"/>
    <w:bookmarkEnd w:id="17"/>
    <w:p>
      <w:pPr>
        <w:ind w:left="180"/>
        <w:spacing w:after="0"/>
        <w:rPr>
          <w:sz w:val="20"/>
          <w:szCs w:val="20"/>
          <w:color w:val="auto"/>
        </w:rPr>
      </w:pPr>
      <w:r>
        <w:rPr>
          <w:rFonts w:ascii="Courier New" w:cs="Courier New" w:eastAsia="Courier New" w:hAnsi="Courier New"/>
          <w:sz w:val="15"/>
          <w:szCs w:val="15"/>
          <w:color w:val="auto"/>
        </w:rPr>
        <w:t>Termination</w:t>
      </w:r>
    </w:p>
    <w:p>
      <w:pPr>
        <w:spacing w:after="0" w:line="185" w:lineRule="exact"/>
        <w:rPr>
          <w:sz w:val="20"/>
          <w:szCs w:val="20"/>
          <w:color w:val="auto"/>
        </w:rPr>
      </w:pPr>
    </w:p>
    <w:p>
      <w:pPr>
        <w:ind w:right="2939" w:firstLine="185"/>
        <w:spacing w:after="0" w:line="250" w:lineRule="auto"/>
        <w:rPr>
          <w:sz w:val="20"/>
          <w:szCs w:val="20"/>
          <w:color w:val="auto"/>
        </w:rPr>
      </w:pPr>
      <w:r>
        <w:rPr>
          <w:rFonts w:ascii="Courier New" w:cs="Courier New" w:eastAsia="Courier New" w:hAnsi="Courier New"/>
          <w:sz w:val="15"/>
          <w:szCs w:val="15"/>
          <w:color w:val="auto"/>
        </w:rPr>
        <w:t>The Merger Agreement may be terminated at any time prior to the Effective Date: (i) by mutual consent of Lilly, Subsidiary and IMS; (ii) by Lilly and Subsidiary, or by IMS, respectively, if, at or before the Effective Date, any condition set forth in the Merger Agreement for the benefit of Lilly and Subsidiary or IMS, respectively, will not have been timely met and such failure will not have been cured or eliminated, or by its nature cannot be cured or eliminated; (iii) by Lilly and Subsidiary or by IMS if the closing of the Merger (the "Closing") will not have occurred on or before December 31, 1995, or such later date as may have been agreed upon by the parties or as is provided for in the Merger Agreement in connection with Lilly's right to delay or suspend the effectiveness of the Registration Statement; or (iv) by Lilly and Subsidiary or by IMS in certain other specific circumstances. Upon the termination of the Merger Agreement under certain specific circumstances, IMS or Lilly may be required to pay the other a $4 million termination fee. See "THE MERGER AGREEMENT -- Termination" and "-- Liability of the Parties Upon Termination."</w:t>
      </w:r>
    </w:p>
    <w:p>
      <w:pPr>
        <w:spacing w:after="0" w:line="3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Dissenters' Rights</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Record Holders who object to the Merger may, under certain circumstances and by following prescribed statutory procedures, receive cash for their shares of Company Common Stock or Series B Preferred Stock in lieu of the consideration described above. The failure of a dissenting shareholder to follow such procedures, which are described more fully elsewhere in this Proxy Statement-Prospectus, may result in termination or waiver of such shareholder's rights as a dissenter. If dissenters' rights are exercised by the holders of more than 10% of the common stock or Series B Preferred Stock, Lilly may, at its election, terminate the Merger Agreement. See "RIGHTS OF DISSENTING SHAREHOLDERS."</w:t>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Accounting Treatment</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It is expected that the Merger will be treated as a "purchase" for financial accounting purposes in accordance with generally accepted accounting principles ("GAAP"). See "SPECIAL FACTORS TO BE CONSIDERED -- Accounting Treatment of the Merger."</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Federal Income Tax Consequences of the Merger</w:t>
      </w:r>
    </w:p>
    <w:p>
      <w:pPr>
        <w:spacing w:after="0" w:line="185"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A holder of Company Common Stock or Series B Preferred Stock (or Company Warrants) who elects to receive cash in exchange for all or a portion of his or her IMS stock (or warrants) will recognize taxable gain or loss for federal income tax purposes with respect to those shares (or warrants) in an amount equal to the difference between (a) the amount of the cash received by such holder and (b) the holder's adjusted tax basis in the shares of IMS stock (or warrants) surrendered in exchange therefor.</w:t>
      </w:r>
    </w:p>
    <w:p>
      <w:pPr>
        <w:spacing w:after="0" w:line="176"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A holder of Company Common Stock or Series B Preferred Stock who elects to exchange such stock for Series D Preferred Stock and does not enter into a Put/Call Agreement with respect to such stock should not recognize taxable gain or loss for federal income tax purposes with respect to such stock (except with respect to any cash received in lieu of fractional shares or in respect of accrued dividends on the Series B Preferred Stock).</w:t>
      </w:r>
    </w:p>
    <w:p>
      <w:pPr>
        <w:spacing w:after="0" w:line="176"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The treatment of a holder of Company Common Stock or Series B Preferred Stock who elects to exchange such stock for Series D Preferred Stock and enters into a Put/Call Agreement with respect to such stock is uncertain, and is discussed in greater detail below under "CERTAIN FEDERAL INCOME TAX CONSEQUENCES OF THE MERGER -- Receipt of Series D Preferred Stock Subject to Put and Call Rights." Any such holder should consult his or her own tax advisor regarding the consequences of the transaction.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Each holder of Company Common Stock, Series B Preferred Stock, Company Warrants or Company Options is urged to read the summary of principal federal income tax consequences of the Merger set forth below under "CERTAIN FEDERAL INCOME TAX CONSEQUENCES OF THE MERGER," and to consult with his or her own tax advisor as to the specific tax consequences of the Merger to that holder.</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28" w:right="1440" w:bottom="1440" w:gutter="0" w:footer="0" w:header="0"/>
        </w:sectPr>
      </w:pPr>
    </w:p>
    <w:bookmarkStart w:id="18" w:name="page19"/>
    <w:bookmarkEnd w:id="18"/>
    <w:p>
      <w:pPr>
        <w:ind w:left="5"/>
        <w:spacing w:after="0"/>
        <w:rPr>
          <w:sz w:val="20"/>
          <w:szCs w:val="20"/>
          <w:color w:val="auto"/>
        </w:rPr>
      </w:pPr>
      <w:r>
        <w:rPr>
          <w:rFonts w:ascii="Courier New" w:cs="Courier New" w:eastAsia="Courier New" w:hAnsi="Courier New"/>
          <w:sz w:val="15"/>
          <w:szCs w:val="15"/>
          <w:color w:val="auto"/>
        </w:rPr>
        <w:t>COMPARATIVE PER SHARE DATA</w:t>
      </w:r>
    </w:p>
    <w:p>
      <w:pPr>
        <w:spacing w:after="0" w:line="185" w:lineRule="exact"/>
        <w:rPr>
          <w:sz w:val="20"/>
          <w:szCs w:val="20"/>
          <w:color w:val="auto"/>
        </w:rPr>
      </w:pPr>
    </w:p>
    <w:p>
      <w:pPr>
        <w:ind w:left="5" w:right="3219" w:firstLine="185"/>
        <w:spacing w:after="0" w:line="252" w:lineRule="auto"/>
        <w:rPr>
          <w:sz w:val="20"/>
          <w:szCs w:val="20"/>
          <w:color w:val="auto"/>
        </w:rPr>
      </w:pPr>
      <w:r>
        <w:rPr>
          <w:rFonts w:ascii="Courier New" w:cs="Courier New" w:eastAsia="Courier New" w:hAnsi="Courier New"/>
          <w:sz w:val="15"/>
          <w:szCs w:val="15"/>
          <w:color w:val="auto"/>
        </w:rPr>
        <w:t>The following table presents historical and pro forma per share data for Lilly and IMS. The pro forma per share data for Lilly reflects the impact of the Merger and certain other transactions described in the Notes below.</w:t>
      </w:r>
    </w:p>
    <w:p>
      <w:pPr>
        <w:spacing w:after="0" w:line="200" w:lineRule="exact"/>
        <w:rPr>
          <w:sz w:val="20"/>
          <w:szCs w:val="20"/>
          <w:color w:val="auto"/>
        </w:rPr>
      </w:pPr>
    </w:p>
    <w:p>
      <w:pPr>
        <w:spacing w:after="0" w:line="329"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LILLY PRO FORMA</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2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REFLECTING</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LILLY PRO FORMA</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spacing w:after="0"/>
              <w:rPr>
                <w:sz w:val="15"/>
                <w:szCs w:val="15"/>
                <w:color w:val="auto"/>
              </w:rPr>
            </w:pP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LILLY</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ACQUISITION</w:t>
            </w:r>
          </w:p>
        </w:tc>
        <w:tc>
          <w:tcPr>
            <w:tcW w:w="520" w:type="dxa"/>
            <w:vAlign w:val="bottom"/>
          </w:tcPr>
          <w:p>
            <w:pPr>
              <w:spacing w:after="0"/>
              <w:rPr>
                <w:sz w:val="15"/>
                <w:szCs w:val="15"/>
                <w:color w:val="auto"/>
              </w:rPr>
            </w:pPr>
          </w:p>
        </w:tc>
        <w:tc>
          <w:tcPr>
            <w:tcW w:w="96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4"/>
              </w:rPr>
              <w:t>WITH</w:t>
            </w:r>
          </w:p>
        </w:tc>
        <w:tc>
          <w:tcPr>
            <w:tcW w:w="320" w:type="dxa"/>
            <w:vAlign w:val="bottom"/>
          </w:tcPr>
          <w:p>
            <w:pPr>
              <w:spacing w:after="0"/>
              <w:rPr>
                <w:sz w:val="15"/>
                <w:szCs w:val="15"/>
                <w:color w:val="auto"/>
              </w:rPr>
            </w:pPr>
          </w:p>
        </w:tc>
        <w:tc>
          <w:tcPr>
            <w:tcW w:w="7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6"/>
              </w:rPr>
              <w:t>IMS</w:t>
            </w:r>
          </w:p>
        </w:tc>
        <w:tc>
          <w:tcPr>
            <w:tcW w:w="320" w:type="dxa"/>
            <w:vAlign w:val="bottom"/>
          </w:tcPr>
          <w:p>
            <w:pPr>
              <w:spacing w:after="0"/>
              <w:rPr>
                <w:sz w:val="15"/>
                <w:szCs w:val="15"/>
                <w:color w:val="auto"/>
              </w:rPr>
            </w:pPr>
          </w:p>
        </w:tc>
        <w:tc>
          <w:tcPr>
            <w:tcW w:w="74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6"/>
              </w:rPr>
              <w:t>IMS</w:t>
            </w:r>
          </w:p>
        </w:tc>
      </w:tr>
      <w:tr>
        <w:trPr>
          <w:trHeight w:val="177"/>
        </w:trPr>
        <w:tc>
          <w:tcPr>
            <w:tcW w:w="226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HISTORICAL(3)</w:t>
            </w: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OF PCS(1)(3)</w:t>
            </w:r>
          </w:p>
        </w:tc>
        <w:tc>
          <w:tcPr>
            <w:tcW w:w="14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IMS(2)(3)</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PRO FORMA(4)</w:t>
            </w:r>
          </w:p>
        </w:tc>
      </w:tr>
      <w:tr>
        <w:trPr>
          <w:trHeight w:val="177"/>
        </w:trPr>
        <w:tc>
          <w:tcPr>
            <w:tcW w:w="2260" w:type="dxa"/>
            <w:vAlign w:val="bottom"/>
          </w:tcPr>
          <w:p>
            <w:pPr>
              <w:spacing w:after="0"/>
              <w:rPr>
                <w:sz w:val="15"/>
                <w:szCs w:val="15"/>
                <w:color w:val="auto"/>
              </w:rPr>
            </w:pPr>
          </w:p>
        </w:tc>
        <w:tc>
          <w:tcPr>
            <w:tcW w:w="6400" w:type="dxa"/>
            <w:vAlign w:val="bottom"/>
            <w:gridSpan w:val="8"/>
          </w:tcPr>
          <w:p>
            <w:pPr>
              <w:ind w:left="40"/>
              <w:spacing w:after="0"/>
              <w:rPr>
                <w:sz w:val="20"/>
                <w:szCs w:val="20"/>
                <w:color w:val="auto"/>
              </w:rPr>
            </w:pPr>
            <w:r>
              <w:rPr>
                <w:rFonts w:ascii="Courier New" w:cs="Courier New" w:eastAsia="Courier New" w:hAnsi="Courier New"/>
                <w:sz w:val="15"/>
                <w:szCs w:val="15"/>
                <w:color w:val="auto"/>
              </w:rPr>
              <w:t>------------- --------------- --------------- ---------- ------------</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declared.............</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$ 2.52</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$ 2.52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2.52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continuing</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operations...........</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4.10</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3.63</w:t>
            </w:r>
          </w:p>
        </w:tc>
        <w:tc>
          <w:tcPr>
            <w:tcW w:w="52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3.58</w:t>
            </w:r>
          </w:p>
        </w:tc>
        <w:tc>
          <w:tcPr>
            <w:tcW w:w="32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(0.73)</w:t>
            </w:r>
          </w:p>
        </w:tc>
        <w:tc>
          <w:tcPr>
            <w:tcW w:w="32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(0.86)</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SIX MONTHS ENDED JUNE</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30, 1995</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Book value............</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$20.47</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7"/>
              </w:rPr>
              <w:t>19.43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(2.42)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w:t>
            </w: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declared.............</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1.29</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1.29</w:t>
            </w:r>
          </w:p>
        </w:tc>
        <w:tc>
          <w:tcPr>
            <w:tcW w:w="320" w:type="dxa"/>
            <w:vAlign w:val="bottom"/>
          </w:tcPr>
          <w:p>
            <w:pPr>
              <w:spacing w:after="0"/>
              <w:rPr>
                <w:sz w:val="15"/>
                <w:szCs w:val="15"/>
                <w:color w:val="auto"/>
              </w:rPr>
            </w:pP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320" w:type="dxa"/>
            <w:vAlign w:val="bottom"/>
          </w:tcPr>
          <w:p>
            <w:pPr>
              <w:spacing w:after="0"/>
              <w:rPr>
                <w:sz w:val="15"/>
                <w:szCs w:val="15"/>
                <w:color w:val="auto"/>
              </w:rPr>
            </w:pPr>
          </w:p>
        </w:tc>
        <w:tc>
          <w:tcPr>
            <w:tcW w:w="7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continuing</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260" w:type="dxa"/>
            <w:vAlign w:val="bottom"/>
          </w:tcPr>
          <w:p>
            <w:pPr>
              <w:ind w:left="280"/>
              <w:spacing w:after="0"/>
              <w:rPr>
                <w:sz w:val="20"/>
                <w:szCs w:val="20"/>
                <w:color w:val="auto"/>
              </w:rPr>
            </w:pPr>
            <w:r>
              <w:rPr>
                <w:rFonts w:ascii="Courier New" w:cs="Courier New" w:eastAsia="Courier New" w:hAnsi="Courier New"/>
                <w:sz w:val="15"/>
                <w:szCs w:val="15"/>
                <w:color w:val="auto"/>
              </w:rPr>
              <w:t>operations...........</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2.37</w:t>
            </w:r>
          </w:p>
        </w:tc>
        <w:tc>
          <w:tcPr>
            <w:tcW w:w="14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5"/>
                <w:szCs w:val="15"/>
                <w:color w:val="auto"/>
              </w:rPr>
            </w:pPr>
          </w:p>
        </w:tc>
        <w:tc>
          <w:tcPr>
            <w:tcW w:w="9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2.48</w:t>
            </w:r>
          </w:p>
        </w:tc>
        <w:tc>
          <w:tcPr>
            <w:tcW w:w="32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(1.00)</w:t>
            </w:r>
          </w:p>
        </w:tc>
        <w:tc>
          <w:tcPr>
            <w:tcW w:w="320" w:type="dxa"/>
            <w:vAlign w:val="bottom"/>
          </w:tcPr>
          <w:p>
            <w:pPr>
              <w:spacing w:after="0"/>
              <w:rPr>
                <w:sz w:val="15"/>
                <w:szCs w:val="15"/>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(0.71)</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939" w:hanging="365"/>
        <w:spacing w:after="0" w:line="251"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Lilly pro forma per share data for the year ended December 31, 1994 are based on Lilly's historical results from continuing operations adjusted to reflect the impact of the acquisition of PCS and the disposition of Guidant Corporation ("Guidant"). See "UNAUDITED PRO FORMA CONSOLIDATED STATEMENT OF INCOME OF LILLY" for more details.</w:t>
      </w:r>
    </w:p>
    <w:p>
      <w:pPr>
        <w:spacing w:after="0" w:line="176" w:lineRule="exact"/>
        <w:rPr>
          <w:sz w:val="20"/>
          <w:szCs w:val="20"/>
          <w:color w:val="auto"/>
        </w:rPr>
      </w:pPr>
    </w:p>
    <w:p>
      <w:pPr>
        <w:ind w:left="185" w:right="3479"/>
        <w:spacing w:after="0" w:line="251" w:lineRule="auto"/>
        <w:rPr>
          <w:sz w:val="20"/>
          <w:szCs w:val="20"/>
          <w:color w:val="auto"/>
        </w:rPr>
      </w:pPr>
      <w:r>
        <w:rPr>
          <w:rFonts w:ascii="Courier New" w:cs="Courier New" w:eastAsia="Courier New" w:hAnsi="Courier New"/>
          <w:sz w:val="15"/>
          <w:szCs w:val="15"/>
          <w:color w:val="auto"/>
        </w:rPr>
        <w:t>The pro forma per share data for the six months ended June 30, 1995 and book value per share at June 30, 1995 are not applicable since the financial results of PCS are included in the Lilly Historical per share data.</w:t>
      </w:r>
    </w:p>
    <w:p>
      <w:pPr>
        <w:spacing w:after="0" w:line="176" w:lineRule="exact"/>
        <w:rPr>
          <w:sz w:val="20"/>
          <w:szCs w:val="20"/>
          <w:color w:val="auto"/>
        </w:rPr>
      </w:pPr>
    </w:p>
    <w:p>
      <w:pPr>
        <w:ind w:left="365" w:right="2939" w:hanging="365"/>
        <w:spacing w:after="0" w:line="250" w:lineRule="auto"/>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pro forma per share data for the year ended December 31, 1994 and for the six months ended June 30, 1995 are based on Lilly's historical results from continuing operations adjusted to reflect the impact of the Merger as if it had occurred on January 1, 1994. The consolidated pro forma per share data also assumes the number of shares of Lilly common stock outstanding and the weighted average number of shares of Lilly common stock outstanding used in the earnings per share calculations are reduced for the effect of the disposition of Guidant. In addition, the unaudited pro forma consolidated earnings per share from continuing operations for the year ended December 31, 1994 assumes the acquisition of PCS was consummated on January 1, 1994.</w:t>
      </w:r>
    </w:p>
    <w:p>
      <w:pPr>
        <w:spacing w:after="0" w:line="182" w:lineRule="exact"/>
        <w:rPr>
          <w:sz w:val="20"/>
          <w:szCs w:val="20"/>
          <w:color w:val="auto"/>
        </w:rPr>
      </w:pPr>
    </w:p>
    <w:p>
      <w:pPr>
        <w:ind w:left="185" w:right="3119"/>
        <w:spacing w:after="0" w:line="250" w:lineRule="auto"/>
        <w:rPr>
          <w:sz w:val="20"/>
          <w:szCs w:val="20"/>
          <w:color w:val="auto"/>
        </w:rPr>
      </w:pPr>
      <w:r>
        <w:rPr>
          <w:rFonts w:ascii="Courier New" w:cs="Courier New" w:eastAsia="Courier New" w:hAnsi="Courier New"/>
          <w:sz w:val="15"/>
          <w:szCs w:val="15"/>
          <w:color w:val="auto"/>
        </w:rPr>
        <w:t>The unaudited consolidated pro forma book value per share at June 30, 1995 reflects the impact of (i) the Merger; (ii) exclusion of the respective Guidant balances including elimination of the minority interest in Guidant;</w:t>
      </w:r>
    </w:p>
    <w:p>
      <w:pPr>
        <w:spacing w:after="0" w:line="1" w:lineRule="exact"/>
        <w:rPr>
          <w:sz w:val="20"/>
          <w:szCs w:val="20"/>
          <w:color w:val="auto"/>
        </w:rPr>
      </w:pPr>
    </w:p>
    <w:p>
      <w:pPr>
        <w:ind w:left="185" w:right="3299" w:hanging="1"/>
        <w:spacing w:after="0" w:line="252" w:lineRule="auto"/>
        <w:tabs>
          <w:tab w:leader="none" w:pos="73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the tender of shares of Lilly common stock from the Guidant exchange offer on treasury stock; and (iv) recognition of the net gain from the disposition of discontinued operations.</w:t>
      </w:r>
    </w:p>
    <w:p>
      <w:pPr>
        <w:spacing w:after="0" w:line="175" w:lineRule="exact"/>
        <w:rPr>
          <w:sz w:val="20"/>
          <w:szCs w:val="20"/>
          <w:color w:val="auto"/>
        </w:rPr>
      </w:pPr>
    </w:p>
    <w:p>
      <w:pPr>
        <w:ind w:left="185" w:right="3119"/>
        <w:spacing w:after="0" w:line="250" w:lineRule="auto"/>
        <w:rPr>
          <w:sz w:val="20"/>
          <w:szCs w:val="20"/>
          <w:color w:val="auto"/>
        </w:rPr>
      </w:pPr>
      <w:r>
        <w:rPr>
          <w:rFonts w:ascii="Courier New" w:cs="Courier New" w:eastAsia="Courier New" w:hAnsi="Courier New"/>
          <w:sz w:val="15"/>
          <w:szCs w:val="15"/>
          <w:color w:val="auto"/>
        </w:rPr>
        <w:t>The net gain from disposition of discontinued operations and the Guidant exchange offer was realized and reported in the third quarter of 1995. Retained earnings are adjusted by the net gain (net of tax) resulting from Lilly's disposal of all its discontinued operations (including its remaining shares of Guidant Common Stock). The gain is calculated as the net of Lilly's investment in the discontinued operations and the consideration received. In the case of the Guidant Common Stock, the consideration received is measured by the market value of the shares of Guidant Common Stock exchanged on the expiration date. Lilly exchanged 3.49 shares of Guidant Common Stock for each share of Lilly Common Stock tendered and exchanged aggregating 16,504,298 shares of Lilly Common Stock. The Lilly Common Stock received pursuant to the exchange was recorded as an increase to treasury stock at the market value of the shares of Guidant Common Stock distributed on the expiration date of the offer ($1,533.6 million or $26.625 per Guidant share).</w:t>
      </w:r>
    </w:p>
    <w:p>
      <w:pPr>
        <w:spacing w:after="0" w:line="7" w:lineRule="exact"/>
        <w:rPr>
          <w:sz w:val="20"/>
          <w:szCs w:val="20"/>
          <w:color w:val="auto"/>
        </w:rPr>
      </w:pPr>
    </w:p>
    <w:p>
      <w:pPr>
        <w:ind w:left="185" w:right="3119"/>
        <w:spacing w:after="0" w:line="250" w:lineRule="auto"/>
        <w:rPr>
          <w:sz w:val="20"/>
          <w:szCs w:val="20"/>
          <w:color w:val="auto"/>
        </w:rPr>
      </w:pPr>
      <w:r>
        <w:rPr>
          <w:rFonts w:ascii="Courier New" w:cs="Courier New" w:eastAsia="Courier New" w:hAnsi="Courier New"/>
          <w:sz w:val="15"/>
          <w:szCs w:val="15"/>
          <w:color w:val="auto"/>
        </w:rPr>
        <w:t>The unaudited pro forma per share data is not necessarily indicative of Lilly's consolidated per share data had the Merger, Guidant transaction, or acquisition of PCS reflected therein actually been consummated at the assumed dates, nor is it necessarily indicative of Lilly's consolidated per share data for any future period. The unaudited pro forma consolidated per share data should be read in conjunction with Lilly's consolidated financial statements and notes thereto incorporated by reference in this Proxy Statement-Prospectus.</w:t>
      </w:r>
    </w:p>
    <w:p>
      <w:pPr>
        <w:spacing w:after="0" w:line="4" w:lineRule="exact"/>
        <w:rPr>
          <w:sz w:val="20"/>
          <w:szCs w:val="20"/>
          <w:color w:val="auto"/>
        </w:rPr>
      </w:pPr>
    </w:p>
    <w:p>
      <w:pPr>
        <w:ind w:left="185" w:right="3299"/>
        <w:spacing w:after="0" w:line="252" w:lineRule="auto"/>
        <w:rPr>
          <w:sz w:val="20"/>
          <w:szCs w:val="20"/>
          <w:color w:val="auto"/>
        </w:rPr>
      </w:pPr>
      <w:r>
        <w:rPr>
          <w:rFonts w:ascii="Courier New" w:cs="Courier New" w:eastAsia="Courier New" w:hAnsi="Courier New"/>
          <w:sz w:val="15"/>
          <w:szCs w:val="15"/>
          <w:color w:val="auto"/>
        </w:rPr>
        <w:t>Additional pro forma financial information, balance sheet and income statement are not presented since IMS does not fall within the definition of a "significant subsidiary" as defined in Rule 1-02 of Regulation S-X.</w:t>
      </w:r>
    </w:p>
    <w:p>
      <w:pPr>
        <w:sectPr>
          <w:pgSz w:w="11900" w:h="16838" w:orient="portrait"/>
          <w:cols w:equalWidth="0" w:num="1">
            <w:col w:w="10225"/>
          </w:cols>
          <w:pgMar w:left="235" w:top="828" w:right="1440" w:bottom="0" w:gutter="0" w:footer="0" w:header="0"/>
        </w:sectPr>
      </w:pPr>
    </w:p>
    <w:bookmarkStart w:id="19" w:name="page20"/>
    <w:bookmarkEnd w:id="19"/>
    <w:p>
      <w:pPr>
        <w:ind w:left="365" w:right="2939" w:hanging="365"/>
        <w:spacing w:after="0" w:line="251"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17, 1995, the Board of Directors of Lilly declared a two-for-one stock split effected in the form of a 100-percent stock dividend payable to shareholders of record at the close of business November 15, 1995. The outstanding and weighted average number of shares of Lilly common stock and per share data have NOT been adjusted to reflect the stock split. The effect of the stock split would be to reduce the Lilly historical and pro forma per share data by 50%.</w:t>
      </w:r>
    </w:p>
    <w:p>
      <w:pPr>
        <w:spacing w:after="0" w:line="175" w:lineRule="exact"/>
        <w:rPr>
          <w:rFonts w:ascii="Courier New" w:cs="Courier New" w:eastAsia="Courier New" w:hAnsi="Courier New"/>
          <w:sz w:val="15"/>
          <w:szCs w:val="15"/>
          <w:color w:val="auto"/>
        </w:rPr>
      </w:pPr>
    </w:p>
    <w:p>
      <w:pPr>
        <w:ind w:left="365" w:right="2939" w:hanging="365"/>
        <w:spacing w:after="0" w:line="251"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financial information of IMS is based on IMS's historical financial information adjusted to reflect the acquisition of IMS by Lilly and the acquisition by IMS of the remaining 51% of a consolidated subsidiary. See "UNAUDITED PRO FORMA FINANCIAL INFORMATION OF IMS" for more details.</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142" w:right="1440" w:bottom="1440" w:gutter="0" w:footer="0" w:header="0"/>
        </w:sectPr>
      </w:pPr>
    </w:p>
    <w:bookmarkStart w:id="20" w:name="page21"/>
    <w:bookmarkEnd w:id="20"/>
    <w:p>
      <w:pPr>
        <w:ind w:left="2760"/>
        <w:spacing w:after="0"/>
        <w:rPr>
          <w:sz w:val="20"/>
          <w:szCs w:val="20"/>
          <w:color w:val="auto"/>
        </w:rPr>
      </w:pPr>
      <w:r>
        <w:rPr>
          <w:rFonts w:ascii="Courier New" w:cs="Courier New" w:eastAsia="Courier New" w:hAnsi="Courier New"/>
          <w:sz w:val="15"/>
          <w:szCs w:val="15"/>
          <w:color w:val="auto"/>
        </w:rPr>
        <w:t>THE SPECIAL MEETING</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DATE AND PLACE</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Special Meeting will be held 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1995, at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 local time, at</w:t>
      </w:r>
    </w:p>
    <w:p>
      <w:pPr>
        <w:spacing w:after="0" w:line="8" w:lineRule="exact"/>
        <w:rPr>
          <w:sz w:val="20"/>
          <w:szCs w:val="20"/>
          <w:color w:val="auto"/>
        </w:rPr>
      </w:pPr>
    </w:p>
    <w:p>
      <w:pPr>
        <w:sectPr>
          <w:pgSz w:w="11900" w:h="16838" w:orient="portrait"/>
          <w:cols w:equalWidth="0" w:num="3">
            <w:col w:w="3400" w:space="660"/>
            <w:col w:w="920" w:space="280"/>
            <w:col w:w="4959"/>
          </w:cols>
          <w:pgMar w:left="240" w:top="650"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MEETING</w:t>
      </w:r>
    </w:p>
    <w:p>
      <w:pPr>
        <w:sectPr>
          <w:pgSz w:w="11900" w:h="16838" w:orient="portrait"/>
          <w:cols w:equalWidth="0" w:num="1">
            <w:col w:w="10219"/>
          </w:cols>
          <w:pgMar w:left="240" w:top="650" w:right="1440" w:bottom="1440" w:gutter="0" w:footer="0" w:header="0"/>
          <w:type w:val="continuous"/>
        </w:sectPr>
      </w:pP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At the Special Meeting, the IMS shareholders will be asked to consider and vote upon the proposed merger of Subsidiary into IMS. The Merger will result in IMS becoming a subsidiary of Lilly, with all of IMS's outstanding voting stock being owned by Lilly and all of IMS's other shareholders owning non-voting Series D Preferred Stock and Series B Preferred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Record Holders of shares of Company Common Stock, Series B Preferred Stock and Series C Preferred Stock at the close of business on the Record Date will be entitled to notice of and to vote at the Special Meeting. Each issued and outstanding share of Company Common Stock, Series B Preferred Stock and Series C Preferred Stock is entitled to one vote per share with respect to the Merger. On the Record Date, there were 6,711,569 shares of Company Common Stock issued and outstanding held by approximately 197 holders, 2,000,000 shares of Series B Preferred Stock issued and outstanding held by approximately 23 holders and 3,500,000 shares of Series C Preferred Stock issued and outstanding all of which were held by wholly-owned subsidiaries of Lilly.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Under Colorado law and the Articles of Incorporation of IMS, the affirmative vote of two-thirds of the outstanding shares of Company Common Stock, Series B Preferred Stock and Series C Preferred Stock, voting together as a single class, and the affirmative vote of two-thirds of the outstanding shares of each of the Series B Preferred Stock and the Series C Preferred Stock, each voting separately as a class, are required to approve the Merger. In addition, pursuant to the Merger Agreement, it is a condition to the consummation of the Merger that the Merger be approved by the affirmative vote of shares representing at least a majority of the voting power of the outstanding shares of Company Common Stock and Series B Preferred Stock that are not owned by Lilly or its subsidiaries.</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As of the Record Date, the directors of IMS and their affiliates (other than Lilly or any subsidiary of Lilly) owned an aggregate of 3,465,184 shares of Company Common Stock, representing approximately 51.6% of the Company Common Stock entitled to vote on the Merger, and 1,581,562 shares of Series B Preferred Stock, representing approximately 79.1% of the Series B Preferred Stock entitled to vote on the Merger. All of these shareholders have agreed with Lilly to vote their shares in favor of the Merger. In addition, Lilly, through its wholly-owned subsidiaries, owns 160,200 shares of Company Common Stock and all of the Series C Preferred Stock and will vote those shares in favor of the Merger. The shares of Company Common Stock, Series B Preferred Stock and Series C Preferred Stock collectively owned by these shareholders and Lilly represent approximately 71.3% of the Company Common Stock, Series B Preferred Stock and Series C Preferred Stock entitled to vote as a class on the Merger. Thus, upon the vote of these shareholders in accordance with such agreements, shareholder approval of the Merger is assured.</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Board of Directors of IMS (with one director absent) has unanimously approved the proposed Merger and recommends approval and adoption of the Merger Agreement by IMS shareholders (except that Dr. Hunt and Mr. Moley, as Lilly's representatives on the Board, abstained from the Board's deliberations and vote). Each of the Boards of Directors of Lilly and Subsidiary, and Lilly, as the sole shareholder of Subsidiary, have approved the proposed Merger. Lilly shareholder approval is not required for the consummation of the Merger.</w:t>
      </w:r>
    </w:p>
    <w:p>
      <w:pPr>
        <w:spacing w:after="0" w:line="35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REVOCABILITY OF PROXIES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Shares of Company Common Stock, Series B Preferred Stock and Series C Preferred Stock represented by a properly executed proxy received by IMS will, unless such proxy is properly revoked prior to the Special Meeting, be voted at the Special Meeting in accordance with the instructions thereon. Shares represented by properly executed proxies that do not contain instructions to the contrary will be voted FOR approval of the proposed Merger and in the discretion of the proxy holder as to any other matter that may properly come before the Special Meeting or any adjournment or postponement thereof. Abstention from voting on the Merger will have the practical effect of voting against the Merger since it is one less vote for approval. The Board of Directors of IMS knows of no other business that will be presented for consideration at the Special Meeting other than the proposal to approve the Merger Agreement and the related matters described in this Proxy Statement-Prospectus. Proxies are being solicited hereby on behalf of the Board of Directors of IMS.</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Any shareholder may revoke his or her proxy at any time before it is voted by executing and delivering to IMS a proxy bearing a later date, by delivering a written notice to the Secretary of IMS stating that the proxy is revoked, or by voting in person at the Special Meeting.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cost of the solicitation of proxies, including expenses incurred by brokerage houses, nominees and fiduciaries in forwarding proxy materials to beneficial owners, will be paid by IMS. In addition to solicitation by mail, officers, directors and regular employees of IMS may solicit proxies by telephone, telegram or by personal interview. Such persons will receive no additional compensation for such services.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22" w:name="page23"/>
    <w:bookmarkEnd w:id="22"/>
    <w:p>
      <w:pPr>
        <w:ind w:left="2120"/>
        <w:spacing w:after="0"/>
        <w:rPr>
          <w:sz w:val="20"/>
          <w:szCs w:val="20"/>
          <w:color w:val="auto"/>
        </w:rPr>
      </w:pPr>
      <w:r>
        <w:rPr>
          <w:rFonts w:ascii="Courier New" w:cs="Courier New" w:eastAsia="Courier New" w:hAnsi="Courier New"/>
          <w:sz w:val="15"/>
          <w:szCs w:val="15"/>
          <w:color w:val="auto"/>
        </w:rPr>
        <w:t>SPECIAL FACTORS TO BE CONSIDERED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APPLICABLE TO IMS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addition to the other information contained elsewhere herein, shareholders of IMS, and particularly those who, if the Merger is approved, choose to receive Series D Preferred Stock, or options or warrants to acquire Series D Preferred Stock, or to hold their shares of Series B Preferred Stock, should carefully consider the risks of holding IMS equity securities, including the following:</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Possible Inability to Pay Dividends or Redeem Preferred Stock. The financial condition of IMS resulting from the factors described below may preclude it under state corporate law from paying dividends on Series B Preferred Stock or Series D Preferred Stock or from redeeming Series D Preferred Stock in accordance with the terms of such securities. Lilly is not obligated to provide additional financing to IMS to permit IMS to pay dividends on preferred stock or to redeem Series D Preferred Stock in the future. Accordingly there can be no assurance that IMS will pay future dividends as they accrue or redeem outstanding Series D Preferred Stock in a timely manner, if ever. However, holders of Series D Preferred Stock who elect to enter into Put/Call Agreements will have the right to require Lilly to purchase such shares as provided in those agreements. See "PUT/CALL AGREEMENTS." Also, persons who acquire Series D Preferred Stock in the Merger or subsequently should be aware that, even if they elect not to enter into Put/Call Agreements, their shares will be subject to redemption by the Company at its election at any time on or after the fifth anniversary of the Merger, thereby terminating their continuing interest in the Company.</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Controlling Shareholder. Upon completion of the Merger, Lilly and/or its affiliates will own 100% of the Company's outstanding voting stock and will be the controlling shareholder of the Company (subject to possible post-Merger issuance of voting stock to others) (see "THE MERGER--Effect of the Merger on Company Options, Warrants and Exchange Rights"). Accordingly, Lilly will be able to control virtually every aspect of the Company's affairs.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Historical Operating Losses and Negative Cash Flow From Operations. As a result of its rapid growth, the investment required to establish its operating networks and the time required for networks to generate positive cash flow, the Company has incurred significant operating and net losses and negative cash flow since its inception. At June 30, 1995, IMS had an accumulated deficit of approximately $29.9 million. The Company had net losses of approximately $3.7 million, $5.9 million and $4.3 million for the fiscal years ended December 31, 1992, 1993 and 1994, respectively, and $6.5 million for the six month period ended June 30, 1995. The Company expects to continue to generate negative cash flow from operating activities while it emphasizes development and expansion of its IMS MEDACOM(R) networks and until its operating networks have established a sponsor base generating sufficient recurring revenue to cover direct network operating expenses and the costs of corporate support and overhead. There can be no assurance that the Company will achieve or sustain profitability in the future.</w:t>
      </w:r>
    </w:p>
    <w:p>
      <w:pPr>
        <w:spacing w:after="0" w:line="184"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Long Sales Cycle; Dependence on Licensing Revenue. The Company's long term recurring cash flow is dependent upon the Company being able to establish a substantial number of sponsors for its various networks and increasing the number of physicians with which the networks have connectivity. The Company normally anticipates that it will take from 12 to 36 months before a new network will generate a positive cash flow. During this period, the Company will expend substantial time, efforts and funds to obtain sponsors for a network, to market to physician subscribers and to increase network usage. If the Company is unable to establish networks with a sufficient number of sponsors to provide positive cash flow, the Company will continue to incur losses in the future. Moreover, pending the establishment of additional recurring revenue from fees paid by sponsors of networks, the Company will rely on fees from the periodic sales of network licenses and fees from existing sponsors. There are no assurances that the Company will be able to generate sufficient cash flow therefrom to meet the Company's cash requirements.</w:t>
      </w:r>
    </w:p>
    <w:p>
      <w:pPr>
        <w:spacing w:after="0" w:line="184" w:lineRule="exact"/>
        <w:rPr>
          <w:sz w:val="20"/>
          <w:szCs w:val="20"/>
          <w:color w:val="auto"/>
        </w:rPr>
      </w:pPr>
    </w:p>
    <w:p>
      <w:pPr>
        <w:ind w:right="3399" w:firstLine="185"/>
        <w:spacing w:after="0" w:line="251" w:lineRule="auto"/>
        <w:rPr>
          <w:sz w:val="20"/>
          <w:szCs w:val="20"/>
          <w:color w:val="auto"/>
        </w:rPr>
      </w:pPr>
      <w:r>
        <w:rPr>
          <w:rFonts w:ascii="Courier New" w:cs="Courier New" w:eastAsia="Courier New" w:hAnsi="Courier New"/>
          <w:sz w:val="15"/>
          <w:szCs w:val="15"/>
          <w:color w:val="auto"/>
        </w:rPr>
        <w:t>Competition. The market for healthcare information systems is intensely competitive. Computerized medical office management and data communication systems are offered to physicians, hospitals, payors and other potential network sponsors by a wide range of vendors, including manufacturers of computer equipment,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50" w:right="1440" w:bottom="1440" w:gutter="0" w:footer="0" w:header="0"/>
        </w:sectPr>
      </w:pPr>
    </w:p>
    <w:bookmarkStart w:id="23" w:name="page24"/>
    <w:bookmarkEnd w:id="23"/>
    <w:p>
      <w:pPr>
        <w:ind w:right="3019"/>
        <w:spacing w:after="0" w:line="251" w:lineRule="auto"/>
        <w:rPr>
          <w:sz w:val="20"/>
          <w:szCs w:val="20"/>
          <w:color w:val="auto"/>
        </w:rPr>
      </w:pPr>
      <w:r>
        <w:rPr>
          <w:rFonts w:ascii="Courier New" w:cs="Courier New" w:eastAsia="Courier New" w:hAnsi="Courier New"/>
          <w:sz w:val="15"/>
          <w:szCs w:val="15"/>
          <w:color w:val="auto"/>
        </w:rPr>
        <w:t>software vendors, hospital information systems companies and systems integrators. In addition, certain claims processing organizations, hospitals, third party administrators, insurers and/or other organizations provide direct computer communication links between the physician and the organization. These business firms have financial and other resources more extensive than those of the Company.</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 relies on copyrights, trademarks and service marks, nondisclosure and noncompetition agreements and technical measures to protect its proprietary rights pertaining to its software products and network technology. Such protection may not preclude competitors from developing networks and software with features similar to those developed by the Company. The Company's business and anticipated future success depend on its technology, expertise and experience, all of which could be duplicated by competitors. There can be no assurance that future competition will not have a material adverse effect on the Company's business, financial condition and results of operations.</w:t>
      </w:r>
    </w:p>
    <w:p>
      <w:pPr>
        <w:spacing w:after="0" w:line="35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addition, the network services industry in general is impacted by evolving standards and technology. The Company's ability to anticipate or guide these standards in the health care sector and to continue to apply advances in computer and telecommunications technology in the operation of its networks will be significant factors in the Company's success. Many of the Company's competitors have significantly greater financial, technical, product development and marketing resources than the Company, and there is no assurance that the Company will remain competitive.</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Consolidation of the Healthcare Industry. The rapid emergence of managed care plans and especially the movement toward risk sharing or capitated provider payment methodologies is resulting in dramatic changes in the healthcare industry. The Company's market is being complicated by the formation of new multi-provider integrated delivery systems in which the goals of payors, provider institutions and hospitals become aligned. Many healthcare providers are consolidating to create larger healthcare delivery enterprises with greater regional market power. As a result, the number of potential sponsors for the Company's networks could be reduced, thereby shrinking the Company's total market.</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Dependence on Key Management and Personnel. The Company depends to a significant extent on certain executive officers and technical personnel. The Company's growth and future success will depend in large part on its ability to attract, motivate and retain highly qualified personnel, in particular, trained and experienced professionals capable of developing, selling and installing healthcare information networks. Competition for such personnel is intense and there can be no assurance that the Company will be successful in hiring, motivating, training or retraining such qualified personnel. The loss of key personnel or the inability to hire or retain qualified personnel could have a material adverse effect on the Company's business, financial condition and results of operations. The Company does not currently maintain any key man life insurance policies on any of its management personnel or employees and does not have employment agreements with most of them.</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Limited Experience in Expanding Networks. Because most of the Company's networks have become operational in the last two years, usage of many of these networks to date has been limited. The Company will depend upon the growth of recurring revenue from these networks as they mature, without which the Company's future results may be adversely affected. The Company's marketing strategy relies heavily on its ability to recruit local and national sponsors willing to pay fees to the Company to communicate with physicians and others using the networks. There is no assurance that this marketing approach will be successful. The Company's marketing efforts have been focused upon convincing hospitals, clinical laboratories, pharmacies, imaging centers and other medical payers and providers to convert from a traditional proprietary communications system approach of paper and phone based communications with physicians to the Company's nonproprietary and open architecture automated network solution. There can be no assurance that these conversions will occur or that the Company's network services will be the method of communication employed by such users.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TO THE MERGER</w:t>
      </w:r>
    </w:p>
    <w:p>
      <w:pPr>
        <w:spacing w:after="0" w:line="185" w:lineRule="exact"/>
        <w:rPr>
          <w:sz w:val="20"/>
          <w:szCs w:val="20"/>
          <w:color w:val="auto"/>
        </w:rPr>
      </w:pPr>
    </w:p>
    <w:p>
      <w:pPr>
        <w:ind w:right="3479" w:firstLine="185"/>
        <w:spacing w:after="0" w:line="252" w:lineRule="auto"/>
        <w:rPr>
          <w:sz w:val="20"/>
          <w:szCs w:val="20"/>
          <w:color w:val="auto"/>
        </w:rPr>
      </w:pPr>
      <w:r>
        <w:rPr>
          <w:rFonts w:ascii="Courier New" w:cs="Courier New" w:eastAsia="Courier New" w:hAnsi="Courier New"/>
          <w:sz w:val="15"/>
          <w:szCs w:val="15"/>
          <w:color w:val="auto"/>
        </w:rPr>
        <w:t>Lilly, through its subsidiary, PCS, has been a shareholder of IMS since November 1994, when Lilly acquired the PCS pharmacy benefits management services business of McKesson. At that time McKesson owned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24" w:name="page25"/>
    <w:bookmarkEnd w:id="24"/>
    <w:p>
      <w:pPr>
        <w:ind w:right="3019"/>
        <w:spacing w:after="0" w:line="250" w:lineRule="auto"/>
        <w:rPr>
          <w:sz w:val="20"/>
          <w:szCs w:val="20"/>
          <w:color w:val="auto"/>
        </w:rPr>
      </w:pPr>
      <w:r>
        <w:rPr>
          <w:rFonts w:ascii="Courier New" w:cs="Courier New" w:eastAsia="Courier New" w:hAnsi="Courier New"/>
          <w:sz w:val="15"/>
          <w:szCs w:val="15"/>
          <w:color w:val="auto"/>
        </w:rPr>
        <w:t>160,200 shares of Company Common Stock, 2,625,000 shares of Series C Preferred Stock and Warrants to buy an aggregate of 875,000 shares of Series C Preferred Stock at prices of $5 to $7 per share. (See "-- Prior Agreements/Relationship of the Parties -- Stock Purchases by McKesson" below.) Each share of Series C Preferred Stock is convertible into one share of Company Common Stock. At the time McKesson also held various agreements with IMS that are described below under "-- Prior Agreements/Relationship of the Parties -- McKesson Sponsorship Agreement" and "-- Prior Agreements/Relationship of the Parties -- McKesson Stockholder's Rights Agreement." By acquiring PCS, Lilly acquired McKesson's IMS shares and Warrants and contract rights. In January 1995, PCS exercised a Warrant to purchase 375,000 shares of Series C Preferred Stock at a price of $5 per share. As a result of the foregoing, since November 1994, Lilly, through PCS, has owned, or had the right to acquire, about 28% of the Company Common Stock on a fully-diluted basis and has been entitled to have two representatives on the IMS Board of Directors. Mr. Kevin Moley, an employee of PCS, has served as a Lilly representative on the IMS Board since November 1994. Mr. Moley served as a McKesson representative on the IMS Board since January 1994 and also served as interim Chief Executive Officer of IMS for the period from July 1994 to December 1994. Dr. Michael Hunt has served as a Lilly representative on the IMS Board since December 1994.</w:t>
      </w:r>
    </w:p>
    <w:p>
      <w:pPr>
        <w:spacing w:after="0" w:line="18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December 1994, Lilly indicated to IMS that it was considering the possibility of proposing a transaction in which Lilly would acquire some or all of the shares of Company Common Stock that it did not already own. At a meeting held on December 20, 1994, the IMS Board established a special committee (the "Special Committee") to consider and explore any proposal received from Lilly for such a transaction, as well as to consider and explore alternative transactions. The Special Committee consisted of Messrs. Charles I. Brown, Alan S. Danson, John W. Hanes, Jr., David R. Holbrooke, James A. Larson and John A. McChesney, none of whom is an officer, employee or affiliate of Lilly and only one of whom, Mr. Brown, is an executive officer of IMS. The Special Committee was authorized to retain a financial advisor and legal counsel. At the request of the Special Committee, IMS retained special legal counsel to work with IMS's regular outside counsel and the investment banking firm of Smith Barney to serve as financial advisor in connection with any proposal from Lilly or other similar alternative transaction.</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On January 16, 1995, representatives of Smith Barney and IMS's legal counsel met with representatives of Lehman Brothers ("Lehman"), Lilly's financial advisors. At that meeting, Lehman indicated that Lilly was aware of IMS's need for working capital. Lehman stated that Lilly would be prepared to make a proposal to acquire the remainder of the shares of IMS it did not own in a cash transaction valued in the $5.50 to $6.50 per share range if IMS were interested in receiving such a proposal. Over the course of the next several weeks, the Special Committee met several times by telephone with its legal and financial advisors to review that possible proposal and to discuss the alternatives that were available to IMS in light of the contract rights that may be held by Lilly as a result of its acquisition of PCS. The alternatives considered by the Special Committee included a merger or other strategic transaction with Lilly or with other possible parties, an initial public offering, a private placement of securities with new or existing investors and the establishment of additional sponsor arrangements. The Special Committee, with the advice of Smith Barney, determined that the value range proposed by Lilly was inadequate and that a proposal in that range would not warrant further exploration. In mid-February, following these meetings, Smith Barney advised Lehman that IMS did not want to pursue a transaction in that value range although it might be willing to consider a proposal for a transaction at a higher value. Lehman also was advised that IMS would begin to explore alternative transactions to raise needed working capital, such as an initial public offering of shares of Company Common Stock.</w:t>
      </w:r>
    </w:p>
    <w:p>
      <w:pPr>
        <w:spacing w:after="0" w:line="188"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In the course of further discussions to see if Lilly would consider proposing a higher value, IMS provided Lilly with certain information about IMS that was not available publicly and that had not previously been made available to IMS shareholders. This information included business plans prepared by IMS's senior management which included forecasts and projections of the future financial performance of IMS. The financial forecasts furnished to Lilly by IMS included annual revenue estimates for 1995 through 1999 of approximately $32 million, $53 million, $82 million, $115 million and $140 million, respectively, and operating profits (before minority interest and provision for income taxes) for the same years at approximately $1 million, $10 million,</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0" w:right="1440" w:bottom="1440" w:gutter="0" w:footer="0" w:header="0"/>
        </w:sectPr>
      </w:pPr>
    </w:p>
    <w:bookmarkStart w:id="25" w:name="page26"/>
    <w:bookmarkEnd w:id="25"/>
    <w:p>
      <w:pPr>
        <w:ind w:right="3019"/>
        <w:spacing w:after="0" w:line="250" w:lineRule="auto"/>
        <w:rPr>
          <w:sz w:val="20"/>
          <w:szCs w:val="20"/>
          <w:color w:val="auto"/>
        </w:rPr>
      </w:pPr>
      <w:r>
        <w:rPr>
          <w:rFonts w:ascii="Courier New" w:cs="Courier New" w:eastAsia="Courier New" w:hAnsi="Courier New"/>
          <w:sz w:val="15"/>
          <w:szCs w:val="15"/>
          <w:color w:val="auto"/>
        </w:rPr>
        <w:t>$22 million, $37 million and $48 million, respectively. Numbers of physicians connected to IMS networks for the same years were forecast to be approximately 33,000, 53,000, 76,000, 98,000 and 114,000, respectively. All of the estimates assumed that at least $27.7 million in additional working capital during the five years would be required and that IMS networks would be established in 27 of the largest 50 markets at the end of 1995, and that networks would be established in the remaining 23 largest markets by the end of 1999. The estimates also assumed that license and related revenue would be generated for 12 new small market networks in each of the five years through 1999. Expenses were projected on the basis of historical cost, given the size and maturity of each projected network. These estimates were prepared by senior management concerning the anticipated future performance of IMS as a stand-alone entity, without giving effect to any offer from Lilly, including the Merger.</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IMS does not as a matter of course make public, or disclose generally to its shareholders, any projections as to future performance or earnings, and the projections set forth above are included in this Proxy Statement-Prospectus only because the information was made available to Lilly by IMS. IMS has informed Lilly that the projections were not prepared with a view to public disclosure or compliance with the published guidelines of the Commission or the guidelines established by the American Institute of Certified Public Accountants regarding projections or forecasts. IMS also has informed Lilly that its financial forecasts are, in general, prepared solely for internal use and capital budgeting and other management decision-making purposes and are subjective in many respects and thus susceptible to various interpretations and periodic revision based on actual experience and business developments. Projected information of this type is based on estimates and assumptions that are inherently subject to significant economic and competitive uncertainties and contingencies, all of which are difficult to predict and many of which are beyond the control of IMS or Lilly and their respective financial advisors. Many of the assumptions upon which the projections were based are dependent upon economic forecasting (both general and specific to IMS's business), which is inherently uncertain and subjective. Accordingly, actual results may vary materially from such projections, and none of IMS or Lilly or their respective financial advisors assumes any responsibility for the accuracy or validity of any of the projections. The inclusion of the foregoing projections should not be regarded as an indication that IMS or Lilly considers such projections an accurate prediction of future events, and Lilly has not relied on them as such.</w:t>
      </w:r>
    </w:p>
    <w:p>
      <w:pPr>
        <w:spacing w:after="0" w:line="36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During March and April of 1995, IMS undertook to explore several alternative transactions aimed at raising working capital. During this period the Special Committee met frequently by telephone with IMS's legal counsel and Smith Barney. Two additional current directors who are members of IMS's senior management, Messrs. Kevin R. Green and James T. Murphy, who were not then directors, participated in many of these meetings by invitation of the Special Committee. Substantial progress was made preparing IMS for an initial public offering that might be effected with Smith Barney serving as lead underwriter. IMS also had discussions with third parties about possible minority investments by such third parties in IMS. At a meeting of the IMS Board on April 21, 1995, the Board heard a presentation from Smith Barney concerning the viability of an initial public offering of IMS stock at that time. Dr. Hunt, one of the members of the IMS Board employed by Lilly, stated that Lilly would prefer to have IMS suspend efforts toward an initial public offering or placement of shares with minority investors and instead explore a transaction in which Lilly would acquire IMS. The Board determined that the working capital needs of IMS would not permit IMS to suspend these financing efforts and authorized management to proceed with preparations for an initial public offering to be consummated as soon as possible and to continue discussions with Lilly or potential minority investors to bridge IMS's working capital needs until the public offering could be completed. Shortly after this meeting, Lilly advised IMS that it believed the contract rights obtained from McKesson provided Lilly a right of prior approval of any sale of stock to one such potential investor, although not over certain other sales or an initial public offering.</w:t>
      </w:r>
    </w:p>
    <w:p>
      <w:pPr>
        <w:spacing w:after="0" w:line="36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On May 1, 1995, Lilly sent a letter to IMS outlining the terms of a proposed transaction Lilly was prepared to discuss with IMS. Under this proposal, Lilly would obtain control of IMS through a series of purchases of Company Common Stock. The proposed transaction contemplated purchases by Lilly from the IMS shareholders at a price of $7.00 per share of Company Common Stock (subject to adjustment) and purchases by Lilly from IMS of newly issued shares ranging in price from $5.25 to $6.00 per share of Company Common Stock (subject to adjustment). Lilly would also commit to make an offer to any remaining holders of Company Common Stock</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28" w:right="1440" w:bottom="1440" w:gutter="0" w:footer="0" w:header="0"/>
        </w:sectPr>
      </w:pPr>
    </w:p>
    <w:bookmarkStart w:id="26" w:name="page27"/>
    <w:bookmarkEnd w:id="26"/>
    <w:p>
      <w:pPr>
        <w:ind w:right="3479"/>
        <w:spacing w:after="0" w:line="252" w:lineRule="auto"/>
        <w:rPr>
          <w:sz w:val="20"/>
          <w:szCs w:val="20"/>
          <w:color w:val="auto"/>
        </w:rPr>
      </w:pPr>
      <w:r>
        <w:rPr>
          <w:rFonts w:ascii="Courier New" w:cs="Courier New" w:eastAsia="Courier New" w:hAnsi="Courier New"/>
          <w:sz w:val="15"/>
          <w:szCs w:val="15"/>
          <w:color w:val="auto"/>
        </w:rPr>
        <w:t>three years after acquisition of control at a price of $8.29 per share of Company Common Stock (calculated based on a $7.00 per share price, plus interest on such amount in the amount of 6% per annum).</w:t>
      </w:r>
    </w:p>
    <w:p>
      <w:pPr>
        <w:spacing w:after="0" w:line="175" w:lineRule="exact"/>
        <w:rPr>
          <w:sz w:val="20"/>
          <w:szCs w:val="20"/>
          <w:color w:val="auto"/>
        </w:rPr>
      </w:pPr>
    </w:p>
    <w:p>
      <w:pPr>
        <w:ind w:right="3219" w:firstLine="185"/>
        <w:spacing w:after="0" w:line="250" w:lineRule="auto"/>
        <w:rPr>
          <w:sz w:val="20"/>
          <w:szCs w:val="20"/>
          <w:color w:val="auto"/>
        </w:rPr>
      </w:pPr>
      <w:r>
        <w:rPr>
          <w:rFonts w:ascii="Courier New" w:cs="Courier New" w:eastAsia="Courier New" w:hAnsi="Courier New"/>
          <w:sz w:val="15"/>
          <w:szCs w:val="15"/>
          <w:color w:val="auto"/>
        </w:rPr>
        <w:t>The Special Committee met with IMS's legal counsel and Smith Barney to discuss this proposed transaction on May 2, 1995. Smith Barney advised the Special Committee that, while the proposed transaction would provide needed working capital to IMS and liquidity to IMS shareholders, the offer appeared to be low and did not include any premium for either control or strategic value. Smith Barney believed that IMS could sell shares in the contemplated initial public offering in the same $7.00 per share range. The Special Committee and its advisors discussed the fact that a transaction with Lilly would eliminate the uncertainty caused by the differing interpretations of Lilly's contract rights and also would eliminate the risk that a financing could not be completed if the business did not achieve projected results in the near term.</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Following this meeting, representatives of IMS and its legal counsel and Smith Barney had further conversations with representatives of Lilly about the proposed transaction. Lilly was advised that the proposed transaction did not provide enough value for the IMS shareholders and that a structure that would result in a tax-free transaction for IMS shareholders was preferred. On May 9, 1995, members of the Special Committee, Messrs. Green and Murphy, IMS's legal counsel and Smith Barney met with representatives of Lilly, Lehman and Lilly's counsel to continue negotiations concerning a possible transaction. Lilly indicated that if the parties could agree on the parameters of a proposed transaction, Lilly would offer to provide interim financing to IMS and thus would ask that IMS suspend efforts toward an initial public offering or other financing. At this meeting the parties agreed to negotiate a non-binding term sheet providing for a transaction that would provide $8.00 per share of Company Common Stock with an opportunity for tax deferral to IMS shareholders and would provide Lilly with control of IMS. Lilly indicated that, as part of any such transaction, it would require that the members of the Board, in their individual capacity as shareholders, enter into appropriate support arrangements aimed at ensuring that the transaction would be consummated. Over the next several weeks the parties negotiated successive drafts of the non-binding term sheet.</w:t>
      </w:r>
    </w:p>
    <w:p>
      <w:pPr>
        <w:spacing w:after="0" w:line="18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On June 12, 1995, Lilly and IMS executed a "Non-Binding Term Sheet" (the "Term Sheet") pursuant to which they agreed to discuss a definitive agreement under which Lilly or an affiliated entity would acquire IMS on terms outlined in the Term Sheet. Those terms with some modifications are reflected in the Merger Agreement.</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Term Sheet did not create any legal obligations, except that (1) IMS agreed that until such time as IMS reasonably determined and notified Lilly that the parties could not reach a definitive agreement, IMS would conduct its business in the ordinary course and any extraordinary transaction material to its business would be discussed with and approved by Lilly; (2) IMS agreed that it would immediately suspend all efforts to finance its business through a public offering or private placement of its shares or otherwise, or to sell IMS or any of its business or assets, until such time as IMS reasonably determined and notified Lilly that the parties could not reach a definitive agreement; and (3) IMS and Lilly agreed that they would keep the proposed transaction strictly confidential. In addition, Lilly agreed to loan IMS $3 million upon execution of the Term Sheet, and IMS agreed to amend the Warrant held by PCS to defer the increase in exercise price of $6 to $7 per share scheduled for July 12, 1995 until 30 days after the earlier of the termination of the definitive agreement and such time as IMS or Lilly reasonably determined and notified the other party that the parties could not reach a definitive agreement.</w:t>
      </w:r>
    </w:p>
    <w:p>
      <w:pPr>
        <w:spacing w:after="0" w:line="36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Upon execution of the Term Sheet, Lilly loaned IMS $3 millon to be repaid on July 1, 1996 with interest at the annual rate of 10%. The loan is subordinated to the indebtedness outstanding on June 12, 1995 and is secured by a pledge of most of the assets of IMS, including shares of subsidiaries. The loan becomes immediately due and payable if IMS breaches the Merger Agreement, subject to certain rights of IMS to cure such breach. On July 27, 1995, Lilly loaned IMS an additional $1 million on the same terms as applied to the June 12 loan.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Following the execution of the Term Sheet, Lilly engaged in a due diligence review of the business and operations of IMS. While this review was ongoing, the parties negotiated the terms of the Merger Agreement. During the course of the extensive negotiations and discussions concerning the Merger Agreement, the Special Committee met frequently by telephone with IMS's legal counsel and Smith Barney and also received periodic</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27" w:name="page28"/>
    <w:bookmarkEnd w:id="27"/>
    <w:p>
      <w:pPr>
        <w:ind w:right="3219"/>
        <w:spacing w:after="0" w:line="252" w:lineRule="auto"/>
        <w:rPr>
          <w:sz w:val="20"/>
          <w:szCs w:val="20"/>
          <w:color w:val="auto"/>
        </w:rPr>
      </w:pPr>
      <w:r>
        <w:rPr>
          <w:rFonts w:ascii="Courier New" w:cs="Courier New" w:eastAsia="Courier New" w:hAnsi="Courier New"/>
          <w:sz w:val="15"/>
          <w:szCs w:val="15"/>
          <w:color w:val="auto"/>
        </w:rPr>
        <w:t>updates from Mr. Brown, who participated actively in such negotiations and discussions as a member of the Special Committee and of senior management of IMS.</w:t>
      </w:r>
    </w:p>
    <w:p>
      <w:pPr>
        <w:spacing w:after="0" w:line="175" w:lineRule="exact"/>
        <w:rPr>
          <w:sz w:val="20"/>
          <w:szCs w:val="20"/>
          <w:color w:val="auto"/>
        </w:rPr>
      </w:pPr>
    </w:p>
    <w:p>
      <w:pPr>
        <w:jc w:val="both"/>
        <w:ind w:right="3019" w:firstLine="185"/>
        <w:spacing w:after="0" w:line="250" w:lineRule="auto"/>
        <w:rPr>
          <w:sz w:val="20"/>
          <w:szCs w:val="20"/>
          <w:color w:val="auto"/>
        </w:rPr>
      </w:pPr>
      <w:r>
        <w:rPr>
          <w:rFonts w:ascii="Courier New" w:cs="Courier New" w:eastAsia="Courier New" w:hAnsi="Courier New"/>
          <w:sz w:val="15"/>
          <w:szCs w:val="15"/>
          <w:color w:val="auto"/>
        </w:rPr>
        <w:t>On August 2, 1995, a meeting of the IMS Board was held at which five members of the Special Committee and Messrs. Green and Murphy were in attendance. One member of the Special Committee was unable to attend and Dr. Hunt and Mr.</w:t>
      </w:r>
    </w:p>
    <w:p>
      <w:pPr>
        <w:spacing w:after="0" w:line="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Moley, as Lilly's representatives on the Board, did not attend except for a brief period during which they were in attendance at the invitation and request of the other members in attendance. Smith Barney and legal counsel reviewed with the Board the terms of the Merger and the Merger Agreement. Smith Barney orally advised the Board that, in its opinion, as of the date of such opinion, the consideration to be received by IMS shareholders (other than Lilly and its subsidiaries) in the Merger was fair to such shareholders from a financial point of view. The Board discussed at length the conditions to the parties' obligations to consummate the Merger and the risk that one or more of those conditions would not be satisfied. In that connection, the Board invited Dr. Hunt and Mr. Moley to join the meeting to discuss with the Board Lilly's expectations and intentions with respect to IMS's employees and its business plans. Dr. Hunt and Mr. Moley assured the Board that Lilly intended to continue to operate the business as an open architecture utility model network (a network available to any user in the medical field for standard fees). Lilly also stated that it did not anticipate any significant personnel changes at that time.</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At Lilly's request, each of the IMS directors, other than Dr. Hunt and Mr. Moley, agreed to enter into support agreements concurrently with the execution of the Merger Agreement. Pursuant to the support agreements, each such person, in his capacity as an IMS shareholder, agreed that until the Merger is consummated or the Merger Agreement is terminated he will not transfer his IMS shares (subject to certain exceptions), will vote his IMS shares in favor of the Merger and will refrain from soliciting or supporting other proposals for the merger or sale of IMS. Each such person also agreed to exchange any shares of Series B Preferred Stock that he owns for cash and/or Series D Preferred Stock as he may elect pursuant to Merger Agreement, and to waive any rights that he may have to register IMS securities under the Securities Act or to require IMS to provide information to facilitate public resales of such securities.</w:t>
      </w:r>
    </w:p>
    <w:p>
      <w:pPr>
        <w:spacing w:after="0" w:line="18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Based on its review and consideration of the proposed Merger and the Merger Agreement, the Board determined that the proposed Merger was fair and reasonable and in the best interests of the Company and its shareholders (other than Lilly and its subsidiaries) and approved the Merger and the Merger Agreement. The Merger Agreement was executed on August 2,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THE PROPOSED MERGER</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Merger is intended to provide IMS with a means to continue to fund the growth of its business and to expand into new markets while providing an opportunity for liquidity to IMS shareholders and continued incentive to management and employees of IMS. As a result of the Merger, future appreciation, if any, of IMS value will accrue to the benefit of Lilly and its shareholders and not to the present shareholders of IMS, whose return will be limited to the fixed dividend on Series D Preferred Stock or Series B Preferred Stock if the shareholder elects to accept or retain such securities in lieu of cash. Future control of IMS and its business will pass from the present Board of Directors of IMS to a new Board of Directors designated by Lilly.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LILLY'S PURPOSE OF THE MERGER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For Lilly, the Merger will provide an opportunity to forge closer ties with health care providers and payers, allowing it to deliver information quickly to people who provide care and make health care decisions. For Lilly, the primary purpose for the Merger is to expand Lilly's pharmaceutical management services by connecting to the existing 25,000 physicians connected to IMS Networks. Lilly intends to utilize the connectivity to provide disease management utilization tools to the existing base and future IMS subscribers. Lilly's desire is to expand its technological intervention capabilities and connectivity to not only physicians but to all disparate sources of the health care community. IMS is expected to play an integral role in the creation and expansion of this health care network. Assuming all IMS shareholders elect to receive cash in the Merger and all holders of Company Options and Warrants elect to receive the net cash value, Lilly would pay approximately $76 million for all such securities. Lilly intends to finance the acquisition through general corporate funds and through borrowings (most likely the private sale of commercial paper to institutional investors).</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RECOMMENDATION OF THE IMS BOARD OF DIRECTORS; FAIRNESS OF THE MERGER</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Board of Directors of IMS (with one director absent) has approved the Merger, determined that the proposed Merger is fair and reasonable and in the best interests of the Company and its shareholders (other than Lilly and its subsidiaries) and recommended that such shareholders approve and adopt the Merger Agreement (except that Dr. Hunt and Mr. Moley, as Lilly's representatives on the Board, abstained from the Board's deliberations and vote). The Board based its recommendation on a number of factors, including the following:</w:t>
      </w:r>
    </w:p>
    <w:p>
      <w:pPr>
        <w:spacing w:after="0" w:line="175" w:lineRule="exact"/>
        <w:rPr>
          <w:sz w:val="20"/>
          <w:szCs w:val="20"/>
          <w:color w:val="auto"/>
        </w:rPr>
      </w:pPr>
    </w:p>
    <w:p>
      <w:pPr>
        <w:ind w:left="180" w:right="321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with respect to the financial condition, results of operations, business and prospects of the Company, and, in particular, the failure of the Company to meet its budgeted results for the year to date and the need for substantial amounts of working capital in the near term.</w:t>
      </w:r>
    </w:p>
    <w:p>
      <w:pPr>
        <w:spacing w:after="0" w:line="176"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oral opinion of Smith Barney, delivered to the Board on August 2, 1995 and subsequently confirmed in writing, that the consideration to be received by IMS's shareholders (other than Lilly) pursuant to the Merger was fair to such shareholders from a financial point of view as of the date of such opinion and its subsidiaries.</w:t>
      </w:r>
    </w:p>
    <w:p>
      <w:pPr>
        <w:spacing w:after="0" w:line="176" w:lineRule="exact"/>
        <w:rPr>
          <w:rFonts w:ascii="Courier New" w:cs="Courier New" w:eastAsia="Courier New" w:hAnsi="Courier New"/>
          <w:sz w:val="15"/>
          <w:szCs w:val="15"/>
          <w:color w:val="auto"/>
        </w:rPr>
      </w:pPr>
    </w:p>
    <w:p>
      <w:pPr>
        <w:ind w:left="180" w:right="321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alternatives to the Merger (including continuing to operate as an independent entity, engaging in another strategic transaction or selling stock publicly or privately), the range of possible values to the Company's shareholders of such alternatives, and the timing and likelihood of actually accomplishing those alternatives.</w:t>
      </w:r>
    </w:p>
    <w:p>
      <w:pPr>
        <w:spacing w:after="0" w:line="176" w:lineRule="exact"/>
        <w:rPr>
          <w:rFonts w:ascii="Courier New" w:cs="Courier New" w:eastAsia="Courier New" w:hAnsi="Courier New"/>
          <w:sz w:val="15"/>
          <w:szCs w:val="15"/>
          <w:color w:val="auto"/>
        </w:rPr>
      </w:pPr>
    </w:p>
    <w:p>
      <w:pPr>
        <w:ind w:left="180" w:right="3219" w:firstLine="184"/>
        <w:spacing w:after="0" w:line="253"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Lilly has reported that it has available liquid assets sufficient to promptly consummate the Merger.</w:t>
      </w:r>
    </w:p>
    <w:p>
      <w:pPr>
        <w:spacing w:after="0" w:line="174" w:lineRule="exact"/>
        <w:rPr>
          <w:rFonts w:ascii="Courier New" w:cs="Courier New" w:eastAsia="Courier New" w:hAnsi="Courier New"/>
          <w:sz w:val="15"/>
          <w:szCs w:val="15"/>
          <w:color w:val="auto"/>
        </w:rPr>
      </w:pPr>
    </w:p>
    <w:p>
      <w:pPr>
        <w:ind w:left="180" w:right="329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amount and form of the consideration to be received thereunder, and the fact that the terms of the Merger Agreement and the consideration paid to shareholders were determined through arm's-length negotiations with the Special Committee and that members of the Special Committee voted unanimously (with one member absent) for approval of the Merger and the Merger Agreement.</w:t>
      </w:r>
    </w:p>
    <w:p>
      <w:pPr>
        <w:spacing w:after="0" w:line="175"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that exists as to the rights Lilly has under the McKesson contracts obtained as part of its acquisition of PCS and the likelihood that such uncertainty would limit the alternatives to the Merger available to IMS and affect the cost and timing of pursuing any such alternative.</w:t>
      </w:r>
    </w:p>
    <w:p>
      <w:pPr>
        <w:spacing w:after="0" w:line="176" w:lineRule="exact"/>
        <w:rPr>
          <w:rFonts w:ascii="Courier New" w:cs="Courier New" w:eastAsia="Courier New" w:hAnsi="Courier New"/>
          <w:sz w:val="15"/>
          <w:szCs w:val="15"/>
          <w:color w:val="auto"/>
        </w:rPr>
      </w:pPr>
    </w:p>
    <w:p>
      <w:pPr>
        <w:ind w:left="740" w:hanging="376"/>
        <w:spacing w:after="0"/>
        <w:tabs>
          <w:tab w:leader="none" w:pos="7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Merger on the Company's employees and its business</w:t>
      </w:r>
    </w:p>
    <w:p>
      <w:pPr>
        <w:spacing w:after="0" w:line="7"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plans.</w:t>
      </w:r>
    </w:p>
    <w:p>
      <w:pPr>
        <w:spacing w:after="0" w:line="184" w:lineRule="exact"/>
        <w:rPr>
          <w:rFonts w:ascii="Courier New" w:cs="Courier New" w:eastAsia="Courier New" w:hAnsi="Courier New"/>
          <w:sz w:val="15"/>
          <w:szCs w:val="15"/>
          <w:color w:val="auto"/>
        </w:rPr>
      </w:pPr>
    </w:p>
    <w:p>
      <w:pPr>
        <w:jc w:val="both"/>
        <w:ind w:left="180" w:right="3119" w:firstLine="184"/>
        <w:spacing w:after="0" w:line="251" w:lineRule="auto"/>
        <w:tabs>
          <w:tab w:leader="none" w:pos="73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willingness of each member of the Board, in his individual capacity as shareholder, to support the Merger and to enter into the support agreements required by Lilly in connection with the proposed Merger Agreement.</w:t>
      </w:r>
    </w:p>
    <w:p>
      <w:pPr>
        <w:spacing w:after="0" w:line="176" w:lineRule="exact"/>
        <w:rPr>
          <w:sz w:val="20"/>
          <w:szCs w:val="20"/>
          <w:color w:val="auto"/>
        </w:rPr>
      </w:pPr>
    </w:p>
    <w:p>
      <w:pPr>
        <w:jc w:val="both"/>
        <w:ind w:right="3399" w:firstLine="185"/>
        <w:spacing w:after="0" w:line="251" w:lineRule="auto"/>
        <w:rPr>
          <w:sz w:val="20"/>
          <w:szCs w:val="20"/>
          <w:color w:val="auto"/>
        </w:rPr>
      </w:pPr>
      <w:r>
        <w:rPr>
          <w:rFonts w:ascii="Courier New" w:cs="Courier New" w:eastAsia="Courier New" w:hAnsi="Courier New"/>
          <w:sz w:val="15"/>
          <w:szCs w:val="15"/>
          <w:color w:val="auto"/>
        </w:rPr>
        <w:t>In view of the wide variety of factors considered in connection with its evaluation of the Merger, the IMS Board found it impracticable to, and did not, quantify or otherwise assign relative weights to the specific factors considered in reaching their decisions.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IMS retained Smith Barney as its financial advisor in connection with the Merger. In connection with such engagement, IMS requested that Smith Barney evaluate the fairness, from a financial point of view, to the IMS shareholders (other than Lilly and its affiliates) of the Cash Election and the Stock Election (collectively, the "Elections") to be offered to such shareholders in the Merger. Smith Barney rendered an oral opinion to the IMS Board on August 2, 1995, which was subsequently confirmed in writing, in each case to the effect that, as of the date of such opinion, the Elections to be offered to the IMS shareholders (other than Lilly and its subsidiaries) in the Merger was fair, from a financial point of view, to such shareholders.</w:t>
      </w:r>
    </w:p>
    <w:p>
      <w:pPr>
        <w:spacing w:after="0" w:line="18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full text of the written opinion of Smith Barney, dated August 2, 1995, which sets forth the assumptions made, procedures followed, matters considered, limitations on and the scope of the review by Smith Barney in rendering its opinion, is attached as Appendix C to this Proxy Statement-Prospectus. SHAREHOLDERS ARE URGED TO READ THE OPINION IN ITS ENTIRETY.</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sectPr>
      </w:pPr>
    </w:p>
    <w:bookmarkStart w:id="29" w:name="page30"/>
    <w:bookmarkEnd w:id="29"/>
    <w:p>
      <w:pPr>
        <w:ind w:right="3019" w:firstLine="185"/>
        <w:spacing w:after="0" w:line="250" w:lineRule="auto"/>
        <w:rPr>
          <w:sz w:val="20"/>
          <w:szCs w:val="20"/>
          <w:color w:val="auto"/>
        </w:rPr>
      </w:pPr>
      <w:r>
        <w:rPr>
          <w:rFonts w:ascii="Courier New" w:cs="Courier New" w:eastAsia="Courier New" w:hAnsi="Courier New"/>
          <w:sz w:val="15"/>
          <w:szCs w:val="15"/>
          <w:color w:val="auto"/>
        </w:rPr>
        <w:t>In connection with rendering its oral opinion and preparing its written and oral presentations to the IMS Board, Smith Barney performed a variety of financial analyses, including those summarized below. The summary set forth below does not purport to be a complete description of the analyses performed by Smith Barney in this regard. Smith Barney's opinion is directed only to the fairness, from a financial point of view, to the IMS shareholders of the consideration to be received by such shareholders in the Merger, does not address the relative merits of the Merger as compared to any alternative business strategies that might exist for IMS or the effect of any other transaction in which IMS may engage nor does it address any other aspect of the Merger. Smith Barney's opinion does not constitute a recommendation to any IMS shareholder as to how such shareholder should vote with respect to the Merger. In addition, Smith Barney was not asked to, and did not, express any opinion as to the relative merits of receiving the cash consideration or the stock consideration in the Merger and, accordingly, Smith Barney's opinion does not constitute a recommendation to any IMS shareholder as to whether to make a Cash Election and receive the cash consideration or not to make a Cash Election and receive the stock consideration. Smith Barney was not asked to, and did not, express any opinion as to (a) what the value of the Series D Preferred Stock actually will be when issued to IMS shareholders pursuant to the Merger or the price at which the Series D Preferred Stock will trade, if at all, subsequent to the Merger, (b) any Election to Retain Series B Preferred Stock or (c) the relative fairness of the Merger to the holders of the Company Common Stock and the holders of the Series B Preferred Stock. The summary of Smith Barney's opinion set forth below is qualified in its entirety by reference to the full text of such opinion attached as Appendix C.</w:t>
      </w:r>
    </w:p>
    <w:p>
      <w:pPr>
        <w:spacing w:after="0" w:line="189"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arriving at its opinion, Smith Barney reviewed the Merger Agreement and held discussions with certain senior officers, directors and other representatives and advisors of IMS concerning the business, operations and prospects of IMS. Smith Barney examined certain business and financial information relating to IMS as well as certain financial forecasts and other data for IMS which were provided to Smith Barney by the management of IMS. Smith Barney reviewed the financial terms of the Merger as set forth in the Merger Agreement in relation to, among other things: IMS's historical and projected earnings and the capitalization and financial condition of IMS. Smith Barney considered, to the extent publicly available, the financial terms of certain other transactions that Smith Barney considered comparable to the Merger and analyzed certain financial and other publicly available information relating to the businesses of other companies whose operations Smith Barney considered comparable to those of IMS. Smith Barney also conducted such other analyses and examinations and considered such other financial, economic and market criteria as Smith Barney deemed necessary to arrive at its opinion.</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rendering its opinion, Smith Barney assumed and relied, without independent verification, upon the accuracy and completeness of all financial and other information publicly available or furnished to or otherwise reviewed by or discussed with Smith Barney. Except as described herein, Smith Barney did not conduct any review or investigation of IMS or Lilly. With respect to financial forecasts and other information provided to or otherwise reviewed by or discussed with Smith Barney, Smith Barney assumed that such forecasts and other information were reasonably prepared on bases that reflected the best currently available estimates and judgments of IMS's management as to the expected future financial performance of IMS. In addition, Smith Barney did not make, nor was it provided with, an independent evaluation or appraisal of the assets, liabilities (contingent or otherwise) or reserves of IMS nor did Smith Barney make any physical inspection of the properties or assets of IMS. No limitations were imposed on Smith Barney with respect to the investigations made or procedures followed by Smith Barney in rendering its opinion. Smith Barney's opinion necessarily is based on financial, stock market and other conditions and circumstances existing and disclosed to Smith Barney as of the date of its opinion.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preparing its opinion to the Board of Directors of IMS, Smith Barney performed a variety of financial and comparative analyses, including those described below. The summary of such analyses does not purport to be a complete description of the analyses underlying Smith Barney's opinion or of its presentations to the IMS Board. The preparation of a fairness opinion is a complex analytical process involving various determinations as to the most appropriate and relevant methods of financial analyses and application of those methods to the particular circumstances and, therefore, such opinion is not readily susceptible to summary description. In arriving at its opinion, Smith Barney did not attribute any particular weight to any analysis or factor considered</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0" w:right="1440" w:bottom="1440" w:gutter="0" w:footer="0" w:header="0"/>
        </w:sectPr>
      </w:pPr>
    </w:p>
    <w:bookmarkStart w:id="30" w:name="page31"/>
    <w:bookmarkEnd w:id="30"/>
    <w:p>
      <w:pPr>
        <w:ind w:right="3019"/>
        <w:spacing w:after="0" w:line="250" w:lineRule="auto"/>
        <w:rPr>
          <w:sz w:val="20"/>
          <w:szCs w:val="20"/>
          <w:color w:val="auto"/>
        </w:rPr>
      </w:pPr>
      <w:r>
        <w:rPr>
          <w:rFonts w:ascii="Courier New" w:cs="Courier New" w:eastAsia="Courier New" w:hAnsi="Courier New"/>
          <w:sz w:val="15"/>
          <w:szCs w:val="15"/>
          <w:color w:val="auto"/>
        </w:rPr>
        <w:t>by it, but rather made qualitative judgments as to the significance of each analysis and factor. Accordingly, Smith Barney believes that its analyses must be considered as a whole and that selecting portions of its analyses or the factors considered by it, without considering all analyses and factors, could create a misleading or incomplete view of the processes underlying such analyses and its opinion. In its analyses, Smith Barney made numerous assumptions with respect to IMS, industry performance, general business, economic, market and financial conditions and other matters, many of which are beyond the control of IMS. The estimates contained in such analyses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may actually be sold. Accordingly, such analyses and estimates are inherently subject to substantial uncertainty.</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Comparable Company Analysis. Using publicly available information, Smith Barney analyzed, among other things, the closing stock prices and market values of the following health care information technology companies: Cerner Corp.; CliniCom, Inc.; CyCare Systems, Inc.; GMIS Inc.; HBO &amp; Company ("HBO"); HCIA, Inc.; Health Management Systems, Inc.; Medaphis Corp.; Medic Computer Systems, Inc.; Medicus Systems Corp.; Phamis, Inc.; and Shared Medical Systems Corp. (collectively, the "Comparable Companies"). Smith Barney compared the results of IMS to the results of the Comparable Companies.</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Smith Barney compared market values as multiples of historical and estimated net income. The high, low and mean multiples of net income of the Comparable Companies for the latest twelve months ("LTM") were 63.3, 19.0 and 40.6. The high, low and mean multiples of estimated 1996 net income of the Comparable Companies were 35.6, 15.8 and 26.1, respectively. Smith Barney also compared the total enterprise values (equity market value plus total debt and the book value of preferred stock, minus cash and cash equivalents) to historical earnings before interest and taxes ("EBIT") and to historical earnings before interest, taxes, depreciation and amortization ("EBITDA") and the total enterprise values plus capitalized leases to historical revenues and to historical earnings before interest, taxes, depreciation, amortization and rent ("EBITDAR"). The high, low and mean multiples of LTM EBIT of the Comparable Companies were 35.3, 11.1 and 24.5, respectively; of EBITDA of the Comparable Companies, 28.4, 8.6 and 17.9, respectively. The high, low and mean multiples of LTM revenues of the Comparable Companies were 6.5, 1.5 and 3.9, respectively; of EBITDAR of the Comparable Companies, 24.7, 8.5 and 16.6, respectively.</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Using a range of representative multiples derived from these calculations of total enterprise value plus capitalized leases to LTM revenues, Smith Barney derived a range of implied equity value of IMS of approximately $67.7 million to $90.6 million, which reflected a range of implied value per share of Company Common Stock (or equivalent) of $4.68 to $6.26. Using a range of representative multiples derived from these calculations of market value to estimated 1996 net income, Smith Barney derived a range of implied equity value of IMS of approximately $69.0 million to $93.4 million, which reflected a range of implied value per share of Company Common Stock (or equivalent) of $4.77 to $6.46.</w:t>
      </w:r>
    </w:p>
    <w:p>
      <w:pPr>
        <w:spacing w:after="0" w:line="182"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Selected Merger and Acquisition Transactions Analysis. Using publicly available information, Smith Barney analyzed the purchase prices and transaction values in the following selected merger and acquisition transactions involving health care information services companies: HBO/CliniCom; HBO/First Data Health System Group; Medaphis Corp./Automation Atwork; Thomson Corp./MEDSTAT Group; HBO/Serving Software; and Inforum Inc./MEDSTAT Systems Inc. (collectively, the "Comparable Transactions").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Smith Barney compared the purchase prices as multiples of historical net income and book value. The high, low and mean multiples of LTM net income were 66.2, 12.0 and 38.6, respectively; of book value, 7.5, 2.5 and 4.5, respectively. Smith Barney also compared transaction values as a multiple of historical revenues and EBIT. The high, low and mean multiples of LTM revenues were 7.9, 1.4 and 4.8, respectively; of LTM EBIT, 49.4, 6.4 and 30.7, respectively.</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0" w:right="1440" w:bottom="1440" w:gutter="0" w:footer="0" w:header="0"/>
        </w:sectPr>
      </w:pPr>
    </w:p>
    <w:bookmarkStart w:id="31" w:name="page32"/>
    <w:bookmarkEnd w:id="31"/>
    <w:p>
      <w:pPr>
        <w:ind w:right="3019" w:firstLine="185"/>
        <w:spacing w:after="0" w:line="251" w:lineRule="auto"/>
        <w:rPr>
          <w:sz w:val="20"/>
          <w:szCs w:val="20"/>
          <w:color w:val="auto"/>
        </w:rPr>
      </w:pPr>
      <w:r>
        <w:rPr>
          <w:rFonts w:ascii="Courier New" w:cs="Courier New" w:eastAsia="Courier New" w:hAnsi="Courier New"/>
          <w:sz w:val="15"/>
          <w:szCs w:val="15"/>
          <w:color w:val="auto"/>
        </w:rPr>
        <w:t>Using a range of representative multiples derived from these calculations of transaction value to LTM revenues, Smith Barney derived a range of implied equity value of IMS of approximately $82.6 million to $110.7 million, which reflected a range of implied value per share of Company Common Stock (or equivalent) of $5.71 to $7.66.</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No company, transaction or business used in the comparable company and selected merger and acquisition transactions analyses is identical to IMS or the Merger. Accordingly, an analysis of the results of the foregoing is not entirely mathematical; rather it involves complex considerations and judgments concerning differences in financial and operating characteristics and other factors that could affect the acquisition or public trading value of the comparable companies or the business segment or company to which they are being compared.</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Discounted Cash Flow Analysis. Smith Barney performed a discounted cash flow analysis of the projected free cash flow of IMS for the fiscal years ended December 31, 1996 through December 31, 1998, assuming, among other things, discount rates of 30%, 35% and 40% and terminal multiples of 1998 EBITDA of</w:t>
      </w:r>
    </w:p>
    <w:p>
      <w:pPr>
        <w:spacing w:after="0" w:line="2" w:lineRule="exact"/>
        <w:rPr>
          <w:sz w:val="20"/>
          <w:szCs w:val="20"/>
          <w:color w:val="auto"/>
        </w:rPr>
      </w:pPr>
    </w:p>
    <w:p>
      <w:pPr>
        <w:jc w:val="both"/>
        <w:ind w:right="3119"/>
        <w:spacing w:after="0" w:line="251" w:lineRule="auto"/>
        <w:rPr>
          <w:sz w:val="20"/>
          <w:szCs w:val="20"/>
          <w:color w:val="auto"/>
        </w:rPr>
      </w:pPr>
      <w:r>
        <w:rPr>
          <w:rFonts w:ascii="Courier New" w:cs="Courier New" w:eastAsia="Courier New" w:hAnsi="Courier New"/>
          <w:sz w:val="15"/>
          <w:szCs w:val="15"/>
          <w:color w:val="auto"/>
        </w:rPr>
        <w:t>5.0, 6.0, 7.0 and 8.0. Utilizing these assumptions, Smith Barney arrived at a range of implied equity value of IMS of approximately $90.6 million to $118.7 million, which reflected a range of implied value per share of Company Common Stock (or equivalent) of $6.26 to $8.21.</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Initial Public Offering Analysis. Smith Barney also analyzed the continued viability and attractiveness of an initial public offering of shares of Company Common Stock. However, Smith Barney concluded that an initial public offering was not viable and was therefore irrelevant in their analysis of the fairness of the consideration to be received by shareholders of IMS in the Merger.</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Smith Barney is a nationally recognized investment banking firm and as part of its investment banking business, Smith Barney is regularly engaged in the valuation of businesses and their securities in connection with mergers and acquisitions, negotiated underwritings, secondary distributions of listed and unlisted securities, private placements and valuations for estate, corporate and other purposes. The Special Committee selected Smith Barney because of Smith Barney's experience in transactions similar to the Merger as well as Smith Barney's knowledge of the health care information services industry generally. Smith Barney assisted IMS in the negotiation of the terms of the Merger, including the structuring of the Merger Consideration, but made no recommendation as to the form and amount of the consideration, other than as set forth in Smith Barney's fairness opinion.</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As compensation for Smith Barney's services as financial advisor to IMS in connection with the Merger, IMS has agreed to pay Smith Barney: (i) a retainer fee of $100,000; (ii) an opinion fee of $500,000, which was payable upon delivery by Smith Barney of its opinion; and (iii) a transaction fee of approximately $ , payable upon consummation of the Merger, against which the retainer fee and the opinion fee will be credited. IMS has also agreed to reimburse Smith Barney for certain expenses incurred in connection with its engagement and to indemnify Smith Barney and its affiliates against certain liabilities, including certain liabilities under the Federal securities laws relating to, arising out of or in connection with its engagement. In the ordinary course of its business, Smith Barney may trade the securities of Lilly for its own account and for the accounts of its customers and, accordingly, may at any time hold a long or short position in such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AGREEMENTS/RELATIONSHIPS OF THE PARTIES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June, 1993, McKesson made its initial investment in IMS by purchasing 50,000 shares of Company Common Stock at $5 per share. In September 1993 McKesson purchased a note in the principal amount of $500,000 convertible into Company Common Stock. Pursuant to a Stock Purchase Agreement, dated January 6, 1994, McKesson purchased 1,250,000 shares of Series C Preferred Stock at a price of $4 per share in January 1994 payable in part by cancellation of the $500,000 convertible note, and purchased 1,000,000 shares at a price of $5 per share in July 1994. Also pursuant to that Agreement, McKesson acquired Warrants to purchase an aggregate of 1,250,000 shares of Series C Preferred Stock at initial exercise prices of $5 to $6 per share. McKesson purchased from an IMS shareholder an additional 110,200 shares of Company Common Stock at $5 per share in April, 1994. PCS exercised a Warrant in November 1994 for 375,000 shares of Series C Preferred</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0" w:right="1440" w:bottom="1440" w:gutter="0" w:footer="0" w:header="0"/>
        </w:sectPr>
      </w:pPr>
    </w:p>
    <w:bookmarkStart w:id="32" w:name="page33"/>
    <w:bookmarkEnd w:id="32"/>
    <w:p>
      <w:pPr>
        <w:ind w:right="3019"/>
        <w:spacing w:after="0" w:line="251" w:lineRule="auto"/>
        <w:rPr>
          <w:sz w:val="20"/>
          <w:szCs w:val="20"/>
          <w:color w:val="auto"/>
        </w:rPr>
      </w:pPr>
      <w:r>
        <w:rPr>
          <w:rFonts w:ascii="Courier New" w:cs="Courier New" w:eastAsia="Courier New" w:hAnsi="Courier New"/>
          <w:sz w:val="15"/>
          <w:szCs w:val="15"/>
          <w:color w:val="auto"/>
        </w:rPr>
        <w:t>Stock at $5 per share. On November 21, 1994, Lilly acquired the PCS pharmacy benefits management services business of McKesson, together with McKesson's IMS shares, Warrants and contract rights. In January 1995, PCS exercised a Warrant for 375,000 additional shares of Series C Preferred Stock, at a price of $5 per share. In October 1995, PCS exercised its sole remaining Warrant and thereby purchased 500,000 shares of Series C Preferred Stock at a price of $6 per share. Lilly has made loans, and is obligated to make additional loans, to the Company. See "PRIOR AGREEMENTS/RELATIONSHIPS OF THE PARTIES--Lilly Loans to IMS."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MCKESSON SPONSORSHIP AGREEMENT</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McKesson and IMS entered into a Network Sponsorship and Participation Agreement, dated November 17, 1993 (the "McKesson Sponsorship Agreement"), under which McKesson was granted various rights to utilize IMS Networks to send and receive information between IMS Network sites and McKesson's clients, and to link IMS Networks to McKesson's transaction processing and data base management infrastructure to send and receive information in support of a variety of services. Under the Agreement, McKesson paid a sponsorship fee of $1 million which was subsequently credited against the purchase of shares of Series C Preferred Stock in July 1994 described above. All of McKesson's rights under this Agreement are now held by PCS as a result of Lilly's acquisition of PCS in November 1994.</w:t>
      </w:r>
    </w:p>
    <w:p>
      <w:pPr>
        <w:spacing w:after="0" w:line="182"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Term. The McKesson Sponsorship Agreement will continue until December 1998 and will be renewed automatically for successive one-year terms unless McKesson cancels the Agreement or fails to make certain minimum payments to IMS.</w:t>
      </w:r>
    </w:p>
    <w:p>
      <w:pPr>
        <w:spacing w:after="0" w:line="176"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Network Services. IMS is obligated to provide certain services to McKesson, including:</w:t>
      </w:r>
    </w:p>
    <w:p>
      <w:pPr>
        <w:spacing w:after="0" w:line="174" w:lineRule="exact"/>
        <w:rPr>
          <w:sz w:val="20"/>
          <w:szCs w:val="20"/>
          <w:color w:val="auto"/>
        </w:rPr>
      </w:pPr>
    </w:p>
    <w:p>
      <w:pPr>
        <w:ind w:left="180" w:right="3119" w:firstLine="184"/>
        <w:spacing w:after="0" w:line="251"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existing IMS Networks located in the top fifty U.S. markets, IMS will provide, or in some cases will use its best efforts to provide, access for McKesson Product Lines to all Subscribers designated by McKesson.</w:t>
      </w:r>
    </w:p>
    <w:p>
      <w:pPr>
        <w:spacing w:after="0" w:line="176" w:lineRule="exact"/>
        <w:rPr>
          <w:rFonts w:ascii="Courier New" w:cs="Courier New" w:eastAsia="Courier New" w:hAnsi="Courier New"/>
          <w:sz w:val="15"/>
          <w:szCs w:val="15"/>
          <w:color w:val="auto"/>
        </w:rPr>
      </w:pPr>
    </w:p>
    <w:p>
      <w:pPr>
        <w:ind w:left="740" w:hanging="376"/>
        <w:spacing w:after="0"/>
        <w:tabs>
          <w:tab w:leader="none" w:pos="7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provide access for the McKesson Product Lines to all</w:t>
      </w:r>
    </w:p>
    <w:p>
      <w:pPr>
        <w:spacing w:after="0" w:line="7" w:lineRule="exact"/>
        <w:rPr>
          <w:rFonts w:ascii="Courier New" w:cs="Courier New" w:eastAsia="Courier New" w:hAnsi="Courier New"/>
          <w:sz w:val="15"/>
          <w:szCs w:val="15"/>
          <w:color w:val="auto"/>
        </w:rPr>
      </w:pPr>
    </w:p>
    <w:p>
      <w:pPr>
        <w:ind w:left="180" w:right="32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Subscribers designated by McKesson in all new IMS Networks established in the top fifty U.S. markets, and McKesson will have the right to become the initial Sponsor for such new IMS Networks.</w:t>
      </w:r>
    </w:p>
    <w:p>
      <w:pPr>
        <w:spacing w:after="0" w:line="174"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provide access for the McKesson Product Lines to all current subscribers designated by McKesson in IMS Networks in secondary markets. IMS and McKesson will negotiate in good faith the terms on which access would be made available to McKesson to new Subscribers in such Networks.</w:t>
      </w:r>
    </w:p>
    <w:p>
      <w:pPr>
        <w:spacing w:after="0" w:line="176" w:lineRule="exact"/>
        <w:rPr>
          <w:rFonts w:ascii="Courier New" w:cs="Courier New" w:eastAsia="Courier New" w:hAnsi="Courier New"/>
          <w:sz w:val="15"/>
          <w:szCs w:val="15"/>
          <w:color w:val="auto"/>
        </w:rPr>
      </w:pPr>
    </w:p>
    <w:p>
      <w:pPr>
        <w:ind w:left="180" w:right="3119" w:firstLine="184"/>
        <w:spacing w:after="0" w:line="252"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provide and maintain for each IMS Network the ComCenter System, related personnel and services needed to support current and future IMS Networks.</w:t>
      </w:r>
    </w:p>
    <w:p>
      <w:pPr>
        <w:spacing w:after="0" w:line="174" w:lineRule="exact"/>
        <w:rPr>
          <w:rFonts w:ascii="Courier New" w:cs="Courier New" w:eastAsia="Courier New" w:hAnsi="Courier New"/>
          <w:sz w:val="15"/>
          <w:szCs w:val="15"/>
          <w:color w:val="auto"/>
        </w:rPr>
      </w:pPr>
    </w:p>
    <w:p>
      <w:pPr>
        <w:ind w:left="180" w:right="3299" w:firstLine="184"/>
        <w:spacing w:after="0" w:line="252"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assist McKesson to develop and implement a plan to recruit prospective subscribers specified by McKesson for access to the McKesson Product Lines.</w:t>
      </w:r>
    </w:p>
    <w:p>
      <w:pPr>
        <w:spacing w:after="0" w:line="174" w:lineRule="exact"/>
        <w:rPr>
          <w:rFonts w:ascii="Courier New" w:cs="Courier New" w:eastAsia="Courier New" w:hAnsi="Courier New"/>
          <w:sz w:val="15"/>
          <w:szCs w:val="15"/>
          <w:color w:val="auto"/>
        </w:rPr>
      </w:pPr>
    </w:p>
    <w:p>
      <w:pPr>
        <w:ind w:left="180" w:right="3119" w:firstLine="184"/>
        <w:spacing w:after="0" w:line="252"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develop and execute a technical implementation plan for each IMS Network, including meetings with appropriate personnel of McKesson and McKesson's clients.</w:t>
      </w:r>
    </w:p>
    <w:p>
      <w:pPr>
        <w:spacing w:after="0" w:line="174" w:lineRule="exact"/>
        <w:rPr>
          <w:rFonts w:ascii="Courier New" w:cs="Courier New" w:eastAsia="Courier New" w:hAnsi="Courier New"/>
          <w:sz w:val="15"/>
          <w:szCs w:val="15"/>
          <w:color w:val="auto"/>
        </w:rPr>
      </w:pPr>
    </w:p>
    <w:p>
      <w:pPr>
        <w:ind w:left="180" w:right="3119" w:firstLine="184"/>
        <w:spacing w:after="0" w:line="252" w:lineRule="auto"/>
        <w:tabs>
          <w:tab w:leader="none" w:pos="73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will be responsible for installation of licensed software and for providing training, support, IMS Network administration and updates and enhancements of licensed software to subscribers sponsored by McKesson.</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Fees. In exchange for the services described above, McKesson is obligated to pay IMS certain message volume fees related to the volume of messages for each subscriber site sponsored by McKesson, plus annual minimum sponsor fees, plus certain installation and training fees. To date, no fees have become payable under the McKesson Sponsorship Agreement and the first $1 million of fees under the Agreement was prepaid by McKesson and is unused as of the date hereof.</w:t>
      </w:r>
    </w:p>
    <w:p>
      <w:pPr>
        <w:spacing w:after="0" w:line="353"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Approval Rights. IMS will not introduce Prescription Benefit Management Services throughout the term of the McKesson Sponsorship Agreement without the approval and except on terms acceptable to McKesson.</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828" w:right="1440" w:bottom="1440" w:gutter="0" w:footer="0" w:header="0"/>
        </w:sectPr>
      </w:pPr>
    </w:p>
    <w:bookmarkStart w:id="33" w:name="page34"/>
    <w:bookmarkEnd w:id="33"/>
    <w:p>
      <w:pPr>
        <w:ind w:right="3299" w:firstLine="185"/>
        <w:spacing w:after="0" w:line="251" w:lineRule="auto"/>
        <w:rPr>
          <w:sz w:val="20"/>
          <w:szCs w:val="20"/>
          <w:color w:val="auto"/>
        </w:rPr>
      </w:pPr>
      <w:r>
        <w:rPr>
          <w:rFonts w:ascii="Courier New" w:cs="Courier New" w:eastAsia="Courier New" w:hAnsi="Courier New"/>
          <w:sz w:val="15"/>
          <w:szCs w:val="15"/>
          <w:color w:val="auto"/>
        </w:rPr>
        <w:t>Database/Information Services. McKesson may elect to use IMS Networks to provide physicians and other health care entities with access to McKesson proprietary data base/information services. Subject to certain limitations, McKesson has the right to capture and compile data transmitted across IMS Networks in connection with McKesson Product Lines and to generate, use and sell compilations, analyses and reports based on such data.</w:t>
      </w:r>
    </w:p>
    <w:p>
      <w:pPr>
        <w:spacing w:after="0" w:line="176"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Obligations of McKesson. McKesson will provide reasonable and appropriate cooperation with IMS's efforts to recruit potential Subscribers, and will provide IMS Network participants with access to the data center of PCS consistent with access customarily provided to PCS clients.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DEFINITIONS IN MCKESSON SPONSORSHIP AGREEMENT.</w:t>
      </w:r>
    </w:p>
    <w:p>
      <w:pPr>
        <w:spacing w:after="0" w:line="18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ComCenter Hardware. "ComCenter Hardware shall mean the message switching</w:t>
      </w:r>
    </w:p>
    <w:p>
      <w:pPr>
        <w:spacing w:after="0" w:line="8"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computer(s), owned by an IMS Network, on which the ComCenter Software runs."</w:t>
      </w:r>
    </w:p>
    <w:p>
      <w:pPr>
        <w:spacing w:after="0" w:line="185"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ComCenter Software. "ComCenter Software shall mean that portion of the IMS-NET Software that resides on the ComCenter Hardware."</w:t>
      </w:r>
    </w:p>
    <w:p>
      <w:pPr>
        <w:spacing w:after="0" w:line="174" w:lineRule="exact"/>
        <w:rPr>
          <w:sz w:val="20"/>
          <w:szCs w:val="20"/>
          <w:color w:val="auto"/>
        </w:rPr>
      </w:pPr>
    </w:p>
    <w:p>
      <w:pPr>
        <w:ind w:right="3299" w:firstLine="185"/>
        <w:spacing w:after="0" w:line="253" w:lineRule="auto"/>
        <w:rPr>
          <w:sz w:val="20"/>
          <w:szCs w:val="20"/>
          <w:color w:val="auto"/>
        </w:rPr>
      </w:pPr>
      <w:r>
        <w:rPr>
          <w:rFonts w:ascii="Courier New" w:cs="Courier New" w:eastAsia="Courier New" w:hAnsi="Courier New"/>
          <w:sz w:val="15"/>
          <w:szCs w:val="15"/>
          <w:color w:val="auto"/>
        </w:rPr>
        <w:t>ComCenter System. "ComCenter System shall mean the ComCenter Software and ComCenter Hardware together."</w:t>
      </w:r>
    </w:p>
    <w:p>
      <w:pPr>
        <w:spacing w:after="0" w:line="174"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IMS Network. "An IMS Network shall mean the ComCenter Hardware, ComCenter Software, IMS-Net Software, Synergy Series Software, Network Interfaces Software, the facility and staff required to provide IMS communications services in a specific market area, and the Sponsors, Subscribers and other participants from and to whom IMS communication services are transmitted in such market area."</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McKesson Product Lines. "Each of the following shall be a McKesson Product Line (collectively, the "McKesson Product Lines"): (i) the Prescription Benefit Management Services transmitted through the IMS Networks; (ii) financial services products offered by McKesson or its direct or indirect subsidiaries; and (iii) other groups of products mutually agreed upon by the parties."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Prescription Benefit Management Services. "Prescription Benefit Management Services shall mean the following services provided by McKesson or its direct or indirect subsidiaries: transaction and medical information services related to prescription drugs. Prescription Benefit Management Services include, but are not limited to, the following: formulary management; quality of care alerts involving drug interactions with other drugs, medical diagnosis, and other health care information; patient drug histories; patient instructions for drug use; electronic prescriptions and refill authorization; clinical information and educational sources related to drugs; information on drug distribution and pricing; clinical trial information; and drug sample management."</w:t>
      </w:r>
    </w:p>
    <w:p>
      <w:pPr>
        <w:spacing w:after="0" w:line="35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Sponsor. "Sponsor shall mean any participant on any IMS Network that pays a fee to IMS (or its subsidiaries) in order to allow communications with a Subscriber. Sponsors include, but are not limited to, hospitals, clinical laboratories, managed care organizations, drug companies, and other payors and providers."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MCKESSON STOCKHOLDER'S RIGHTS AGREEMENT</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connection with McKesson's initial purchase of Series C Preferred Stock, IMS and McKesson executed a Stockholder's Rights Agreement, dated January 6, 1994 (the "McKesson Stockholder's Rights Agreement"). Under that Agreement, McKesson was granted (1) certain information and inspection rights, and rights to register shares of Company Common Stock under the Securities Act; (2) the right to elect two directors of IMS if the Board of Directors consisted of eight directors, or at least 20% of the directors if the Board of Directors consisted of more than eight directors; (3) the right to designate one member of the IMS Operating Company Advisory Board and one member of the IMS Business Development Group Advisory Board; (4) during the period the McKesson Sponsorship Agreement remains in effect, the right to have IMS ensure that any joint venture agreements, or other agreements for the operation of the IMS Networks, provide McKesson access for the McKesson Product Lines to all Subscribers designated by McKesson, and for such access to have the benefit of</w:t>
      </w:r>
    </w:p>
    <w:p>
      <w:pPr>
        <w:spacing w:after="0" w:line="18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50" w:right="1440" w:bottom="1440" w:gutter="0" w:footer="0" w:header="0"/>
        </w:sectPr>
      </w:pPr>
    </w:p>
    <w:bookmarkStart w:id="34" w:name="page35"/>
    <w:bookmarkEnd w:id="34"/>
    <w:p>
      <w:pPr>
        <w:ind w:left="5"/>
        <w:spacing w:after="0"/>
        <w:rPr>
          <w:sz w:val="20"/>
          <w:szCs w:val="20"/>
          <w:color w:val="auto"/>
        </w:rPr>
      </w:pPr>
      <w:r>
        <w:rPr>
          <w:rFonts w:ascii="Courier New" w:cs="Courier New" w:eastAsia="Courier New" w:hAnsi="Courier New"/>
          <w:sz w:val="15"/>
          <w:szCs w:val="15"/>
          <w:color w:val="auto"/>
        </w:rPr>
        <w:t>certain preferred pricing provisions under the McKesson Sponsorship Agreement;</w:t>
      </w:r>
    </w:p>
    <w:p>
      <w:pPr>
        <w:spacing w:after="0" w:line="8" w:lineRule="exact"/>
        <w:rPr>
          <w:sz w:val="20"/>
          <w:szCs w:val="20"/>
          <w:color w:val="auto"/>
        </w:rPr>
      </w:pPr>
    </w:p>
    <w:p>
      <w:pPr>
        <w:ind w:left="5" w:right="3019" w:hanging="5"/>
        <w:spacing w:after="0" w:line="251" w:lineRule="auto"/>
        <w:tabs>
          <w:tab w:leader="none" w:pos="37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cause IMS to spend up to a total of $500,000 for regional or technical development efforts as directed by McKesson; (6) during the period that the McKesson Sponsorship Agreement is in effect, the right to approve the introduction by IMS of any Prescription Benefit Management Services and the terms thereof; and (7) during the period that the McKesson Sponsorship Agreement is in effect, the right to approve, subject to certain exceptions, any joint venture agreement, or other agreement, for the operation of an IMS Network with any entity engaged in a business defined as a McKesson Product Line.</w:t>
      </w:r>
    </w:p>
    <w:p>
      <w:pPr>
        <w:spacing w:after="0" w:line="175" w:lineRule="exact"/>
        <w:rPr>
          <w:sz w:val="20"/>
          <w:szCs w:val="20"/>
          <w:color w:val="auto"/>
        </w:rPr>
      </w:pPr>
    </w:p>
    <w:p>
      <w:pPr>
        <w:ind w:left="5" w:right="3299" w:firstLine="185"/>
        <w:spacing w:after="0" w:line="250" w:lineRule="auto"/>
        <w:rPr>
          <w:sz w:val="20"/>
          <w:szCs w:val="20"/>
          <w:color w:val="auto"/>
        </w:rPr>
      </w:pPr>
      <w:r>
        <w:rPr>
          <w:rFonts w:ascii="Courier New" w:cs="Courier New" w:eastAsia="Courier New" w:hAnsi="Courier New"/>
          <w:sz w:val="15"/>
          <w:szCs w:val="15"/>
          <w:color w:val="auto"/>
        </w:rPr>
        <w:t>Under the McKesson Stockholder's Rights Agreement, McKesson was granted a right of first offer to purchase all or a portion of "New Securities" which IMS may, from time to time, propose to sell. For this purpose, "New Securities" includes, subject to certain exceptions, any capital stock and rights, options or warrants to purchase capital stock and securities convertible into capital stock. The right of first offer does not apply to:</w:t>
      </w:r>
    </w:p>
    <w:p>
      <w:pPr>
        <w:spacing w:after="0" w:line="3" w:lineRule="exact"/>
        <w:rPr>
          <w:sz w:val="20"/>
          <w:szCs w:val="20"/>
          <w:color w:val="auto"/>
        </w:rPr>
      </w:pPr>
    </w:p>
    <w:p>
      <w:pPr>
        <w:ind w:left="5" w:right="3019" w:hanging="5"/>
        <w:spacing w:after="0" w:line="251" w:lineRule="auto"/>
        <w:tabs>
          <w:tab w:leader="none" w:pos="37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persons who were directors, officers, employees or shareholders as of January 6, 1994; (ii) sales of up to 15% of New Securities per investor to accredited individual investors; (iii) sales of up to 15% of New Securities per investor to institutional investors; (iv) any sales of up to 5% per investor of New Securities to significant IMS customers, which means customers generating at least 5% of IMS's annual revenues; or (v) any sales of up to 15% per investor of New Securities to potential investors which the IMS Board of Directors identifies as potential strategic partners of IMS.</w:t>
      </w:r>
    </w:p>
    <w:p>
      <w:pPr>
        <w:spacing w:after="0" w:line="17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However, the exceptions set forth in clauses (i) through (v) do not apply to potential investors which are engaged to any degree, and for clauses (ii) and</w:t>
      </w:r>
    </w:p>
    <w:p>
      <w:pPr>
        <w:spacing w:after="0" w:line="1" w:lineRule="exact"/>
        <w:rPr>
          <w:sz w:val="20"/>
          <w:szCs w:val="20"/>
          <w:color w:val="auto"/>
        </w:rPr>
      </w:pPr>
    </w:p>
    <w:p>
      <w:pPr>
        <w:ind w:left="5" w:right="3119" w:hanging="5"/>
        <w:spacing w:after="0" w:line="251" w:lineRule="auto"/>
        <w:tabs>
          <w:tab w:leader="none" w:pos="55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invested to any degree, in any of the Businesses defined as McKesson Product Lines (as defined in the McKesson Sponsorship Agreement). In addition, if IMS sells New Securities to a purchaser pursuant to clauses (i) through (v), McKesson has the right to purchase capital stock on the same terms as those offered to such purchaser in such amounts as will preserve McKesson's percentage of equity ownership in IMS. Furthermore, McKesson has approval rights for prospective purchasers of New Securities to the extent that they are engaged in any of the businesses defined as McKesson Product Lines.</w:t>
      </w:r>
    </w:p>
    <w:p>
      <w:pPr>
        <w:spacing w:after="0" w:line="17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Nothing in the right of first offer is to constrain IMS's ability, at the sole discretion of its Board of Directors, to effect a public offering of stock. The right of first offer expires upon, and shall not be applicable to, the first sale of Company Common Stock to the public pursuant to a registration statement filed under the Securities Act involving at least 15% of IMS's aggregate outstanding shares after giving effect to the public offering and resulting in gross proceeds of at least $15 million.</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McKesson's right of first offer and approval rights described above are now claimed by Lilly's subsidiary, PCS. IMS has asserted (and PCS has disagreed) that certain of McKesson's rights under the McKesson Stockholder's Rights Agreement could be asserted only by McKesson and that such rights would not be enforceable by Lilly or PCS. If the Merger is effected, this potential dispute will be avoided.</w:t>
      </w:r>
    </w:p>
    <w:p>
      <w:pPr>
        <w:spacing w:after="0" w:line="176"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LILLY LOANS TO IMS</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accordance with the Term Sheet and Merger Agreement, on June 12, 1995, July 27, 1995, August 28, 1995, September 25, 1995, October 17, 1995 and October 25, 1995, Lilly loaned IMS $3 million, $1 million, $1 million, $1.5 million, $1.35 million and $1 million, respectively. Each loan is due and payable upon the earlier of any breach of the Merger Agreement by IMS (subject to certain rights of IMS to cure such breach) or July 1, 1996 with interest at the annual rate of 10%. Each loan is subordinated to the indebtedness outstanding on the date of such loan and is secured by a pledge of most of the assets of IMS, including shares of subsidiaries.</w:t>
      </w:r>
    </w:p>
    <w:p>
      <w:pPr>
        <w:spacing w:after="0" w:line="17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Pursuant to the Merger Agreement, Lilly has agreed to continue to advance to IMS from time to time (subject to certain exceptions), at IMS's request, funds, as required to fund the then current cash requirements of IMS but not</w:t>
      </w:r>
    </w:p>
    <w:p>
      <w:pPr>
        <w:spacing w:after="0" w:line="1"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to exceed $1.5 million per month. Each such advance will be on terms and conditions that are substantially similar to those contained in the earlier loans. IMS and Lilly currently anticipate that the aggregate amount of Lilly's loans to IMS will be approximately $ by the date of the Special Meeting.</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5" w:top="65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ACCOUNTING TREATMENT OF THE MERGER</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Merger will be accounted for as a purchase in accordance with GAAP. Accordingly, a determination of the fair market value of IMS's assets and liabilities will be made in order to allocate the purchase price of the assets acquired and the liabilities assumed. From and after the Effective Date, IMS's results of operations will be included in Lilly's consolidated results of operation.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THE MERGER</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tax treatment of a holder of Company Common Stock or Series B Preferred Stock who elects to exchange such stock for Series D Preferred Stock and enters into a Put/Call Agreement with respect to such stock is uncertain, and is discussed in greater detail below under "CERTAIN FEDERAL INCOME TAX CONSEQUENCES OF THE MERGER--Receipt of Series D Preferred Stock Subject to Put and Call Rights." Any such holder should consult his or her own tax advisor regarding the consequences of the transaction.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Under the Merger Agreement, at the Effective Date, nine senior executives of IMS will each be offered severance agreements with Lilly pursuant to which Lilly will agree not to reduce such executive's rates of compensation or benefits payable to such persons for one year from the Effective Date and will pay an amount equal to one year's base salary if during the one year period such person's employment is terminated by action of IMS for any reason other than for cause or if such person resigns because he is required by IMS to relocate to any office not within reasonable commuting distance from his place of residence. See "THE MERGER AGREEMENT -- Certain Understandings and Agreements."</w:t>
      </w:r>
    </w:p>
    <w:p>
      <w:pPr>
        <w:spacing w:after="0" w:line="18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Certain provisions of the employment arrangement of Kevin R. Green with IMS require IMS to pay to Mr. Green an amount equal to two years' salary under certain circumstances in the event of a change of control of IMS, such as the Merger. See "MANAGEMENT OF IMS -- Certain Transactions." Directors and officers of IMS will be afforded certain future rights to indemnification for liabilities which may arise from service as an officer or director of IMS prior to the Merger.</w:t>
      </w:r>
    </w:p>
    <w:p>
      <w:pPr>
        <w:spacing w:after="0" w:line="176"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NO STOCK EXCHANGE OR NASDAQ LISTING; RESALES OF SERIES D PREFERRED STOCK AND SERIES B PREFERRED STOCK</w:t>
      </w:r>
    </w:p>
    <w:p>
      <w:pPr>
        <w:spacing w:after="0" w:line="17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shares of Series D Preferred Stock will not be listed on any stock exchange or traded on the National Association of Securities Dealers Automated Quotations ("NASDAQ") National Market System. In addition, it is likely that there will be fewer than 300 holders of Series D Preferred Stock and therefore that IMS will not be subject to the reporting requirements of Section 12(g) or 15(d) of the Exchange Act once it has filed its first annual report on Form</w:t>
      </w:r>
    </w:p>
    <w:p>
      <w:pPr>
        <w:spacing w:after="0" w:line="3"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10-K in March 1996. Also, any shares that the holders elect to make subject to Put/Call Agreements will be subject to contractual restrictions on transfer, as described below under "PUT/CALL AGREEMENTS." Accordingly, it is not expected that any trading market will develop for shares of Series D Preferred Stock.</w:t>
      </w:r>
    </w:p>
    <w:p>
      <w:pPr>
        <w:spacing w:after="0" w:line="351"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Subject to the foregoing, the shares of Series D Preferred Stock to be issued in the Merger to persons who elect to receive such shares, and any shares that are subsequently issued upon conversion of Series B Preferred Stock, will be freely transferable, except for any shares received by "affiliates" of IMS, as that term is defined in Rule 405 under the Securities Act at the time of the Merger.</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IMS affiliates may resell such shares of Series D Preferred Stock only in compliance with the resale provisions of Rule 145 under the Securities Act or as otherwise permitted by the Securities Act. Under Rule 145, during the first two years following the Merger, such shares could be sold publicly by an IMS affiliate only if IMS is then making publicly available adequate current information pursuant to Rule 144(c), and if the number of shares to be sold, together with the number of shares sold by such affiliate within the three months preceding such sale, does not exceed one percent of the outstanding shares of Series D Preferred Stock. After such two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0" w:right="1440" w:bottom="1440" w:gutter="0" w:footer="0" w:header="0"/>
        </w:sectPr>
      </w:pPr>
    </w:p>
    <w:bookmarkStart w:id="36" w:name="page37"/>
    <w:bookmarkEnd w:id="36"/>
    <w:p>
      <w:pPr>
        <w:ind w:right="3019"/>
        <w:spacing w:after="0" w:line="250" w:lineRule="auto"/>
        <w:rPr>
          <w:sz w:val="20"/>
          <w:szCs w:val="20"/>
          <w:color w:val="auto"/>
        </w:rPr>
      </w:pPr>
      <w:r>
        <w:rPr>
          <w:rFonts w:ascii="Courier New" w:cs="Courier New" w:eastAsia="Courier New" w:hAnsi="Courier New"/>
          <w:sz w:val="15"/>
          <w:szCs w:val="15"/>
          <w:color w:val="auto"/>
        </w:rPr>
        <w:t>years, such shares could be sold publicly without compliance with the volume limitations if at the time of sale the seller is not an affiliate of IMS provided that IMS continues to make available the information required by Rule 144(c). It is not expected that IMS will be making such information publicly available except during the limited period that it will be subject to the reporting requirements of Section 15(d) of the Exchange Act. After a period of three years following the Merger, such shares could be sold publicly without compliance with the volume and current public information requirements noted above if at the time of sale the seller is not, and has not been for at least three months, an affiliate of IMS. Currently, the only persons expected to be "affiliates" of IMS at the time of the Merger are the officers and directors of IMS, certain members of their families, and certain affiliated entities. Persons who continue to be affiliates of IMS after the Merger would remain subject to the requirement to make public resales in accordance with all of the provisions of Rule 144 while they retain that status.</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Shares of Series D Preferred Stock that are issued subsequent to the Merger upon the conversion of Company Options or Company Warrants may be subject to transfer restrictions under the securities laws, depending on whether the sale of those shares to the holder was registered under the Securities Act, whether such holder is then an affiliate of IMS and whether IMS is then making publicly available adequate current information.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Any shares of Series B Preferred Stock that remain outstanding following the Merger will be subject to the same limitations on transfer described above that apply to Series D Preferred Stock. In addition, the Series B Preferred Stock is currently held by only 23 persons and IMS anticipates that a substantial number of these holders will elect to exchange their shares of Series B Preferred Stock for the Merger Consideration. Seven IMS directors who collectively own more than a majority of the shares of Series B Preferred Stock have already committed to do so. Accordingly, IMS does not expect that any trading market for the shares of Series B Preferred Stock will develop.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AND REGULATORY APPROVALS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connection with exercises of Warrants, Lilly filed a Notification with the Federal Trade Commission and the Department of Justice pursuant to the HSR Act on February 27, 1995, seeking clearance to acquire 50% or more of the voting stock of IMS. No second request for additional information was received and the mandatory waiting period expired on March 29, 1995. As a result, no further action is required under the HSR Act in connection with the Merger provided that the Merger is completed by March 29,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PRICES</w:t>
      </w:r>
    </w:p>
    <w:p>
      <w:pPr>
        <w:spacing w:after="0" w:line="185" w:lineRule="exact"/>
        <w:rPr>
          <w:sz w:val="20"/>
          <w:szCs w:val="20"/>
          <w:color w:val="auto"/>
        </w:rPr>
      </w:pPr>
    </w:p>
    <w:p>
      <w:pPr>
        <w:jc w:val="both"/>
        <w:ind w:right="3299" w:firstLine="185"/>
        <w:spacing w:after="0" w:line="252" w:lineRule="auto"/>
        <w:rPr>
          <w:sz w:val="20"/>
          <w:szCs w:val="20"/>
          <w:color w:val="auto"/>
        </w:rPr>
      </w:pPr>
      <w:r>
        <w:rPr>
          <w:rFonts w:ascii="Courier New" w:cs="Courier New" w:eastAsia="Courier New" w:hAnsi="Courier New"/>
          <w:sz w:val="15"/>
          <w:szCs w:val="15"/>
          <w:color w:val="auto"/>
        </w:rPr>
        <w:t>IMS. No public market exists for the Company Common Stock or the Series B Preferred Stock and, accordingly, market price information is not available for such stock.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Lilly. The</w:t>
            </w:r>
          </w:p>
        </w:tc>
        <w:tc>
          <w:tcPr>
            <w:tcW w:w="60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shares of Lilly Common Stock are listed and principally traded on</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the New York</w:t>
            </w:r>
          </w:p>
        </w:tc>
        <w:tc>
          <w:tcPr>
            <w:tcW w:w="4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 Exchange, Inc. (the "NYSE"). On August</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2, 1995, the last</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full trading</w:t>
            </w:r>
          </w:p>
        </w:tc>
        <w:tc>
          <w:tcPr>
            <w:tcW w:w="60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day prior to the first public announcement of the Merger, the</w:t>
            </w:r>
          </w:p>
        </w:tc>
      </w:tr>
      <w:tr>
        <w:trPr>
          <w:trHeight w:val="177"/>
        </w:trPr>
        <w:tc>
          <w:tcPr>
            <w:tcW w:w="5300" w:type="dxa"/>
            <w:vAlign w:val="bottom"/>
            <w:gridSpan w:val="3"/>
          </w:tcPr>
          <w:p>
            <w:pPr>
              <w:spacing w:after="0"/>
              <w:rPr>
                <w:sz w:val="20"/>
                <w:szCs w:val="20"/>
                <w:color w:val="auto"/>
              </w:rPr>
            </w:pPr>
            <w:r>
              <w:rPr>
                <w:rFonts w:ascii="Courier New" w:cs="Courier New" w:eastAsia="Courier New" w:hAnsi="Courier New"/>
                <w:sz w:val="15"/>
                <w:szCs w:val="15"/>
                <w:color w:val="auto"/>
              </w:rPr>
              <w:t>reported closing price per share of Lilly Common Stock on</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the NYSE Composite</w:t>
            </w: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Tape was $77. On</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 1995, the reported closing price</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per share of Lilly</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41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on the NYSE Composite Tape was $   .</w:t>
            </w:r>
          </w:p>
        </w:tc>
        <w:tc>
          <w:tcPr>
            <w:tcW w:w="1900" w:type="dxa"/>
            <w:vAlign w:val="bottom"/>
          </w:tcPr>
          <w:p>
            <w:pPr>
              <w:spacing w:after="0"/>
              <w:rPr>
                <w:sz w:val="15"/>
                <w:szCs w:val="15"/>
                <w:color w:val="auto"/>
              </w:rPr>
            </w:pPr>
          </w:p>
        </w:tc>
      </w:tr>
      <w:tr>
        <w:trPr>
          <w:trHeight w:val="355"/>
        </w:trPr>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tcPr>
          <w:p>
            <w:pPr>
              <w:jc w:val="right"/>
              <w:ind w:right="1543"/>
              <w:spacing w:after="0"/>
              <w:rPr>
                <w:sz w:val="20"/>
                <w:szCs w:val="20"/>
                <w:color w:val="auto"/>
              </w:rPr>
            </w:pPr>
            <w:r>
              <w:rPr>
                <w:rFonts w:ascii="Courier New" w:cs="Courier New" w:eastAsia="Courier New" w:hAnsi="Courier New"/>
                <w:sz w:val="15"/>
                <w:szCs w:val="15"/>
                <w:color w:val="auto"/>
              </w:rPr>
              <w:t>25</w:t>
            </w:r>
          </w:p>
        </w:tc>
        <w:tc>
          <w:tcPr>
            <w:tcW w:w="190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37" w:name="page38"/>
    <w:bookmarkEnd w:id="37"/>
    <w:p>
      <w:pPr>
        <w:jc w:val="center"/>
        <w:ind w:right="3019"/>
        <w:spacing w:after="0"/>
        <w:rPr>
          <w:sz w:val="20"/>
          <w:szCs w:val="20"/>
          <w:color w:val="auto"/>
        </w:rPr>
      </w:pPr>
      <w:r>
        <w:rPr>
          <w:rFonts w:ascii="Courier New" w:cs="Courier New" w:eastAsia="Courier New" w:hAnsi="Courier New"/>
          <w:sz w:val="15"/>
          <w:szCs w:val="15"/>
          <w:color w:val="auto"/>
        </w:rPr>
        <w:t>THE MERGER AGREEMENT</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following is a brief summary of the Merger Agreement, a copy of which is included as an exhibit to the Registration Statement of which this Proxy Statement-Prospectus is a part and is incorporated herein by reference. Such summary is qualified in its entirety by reference to the Merger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Merger Agreement provides that, upon the terms and subject to the satisfaction or waiver of certain conditions set forth therein, Subsidiary will be merged into IMS, the separate corporate existence of Subsidiary will cease and IMS will continue as the surviving corporation. The Merger will become effective on the Effective Date upon the filing with the Secretary of State of the State of Colorado of duly executed Articles of Merger in accordance with Section 7-111-105 of the Colorado Business Corporation Act.</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Pursuant to the Merger, (i) each outstanding share of Company Common Stock (other than shares held by IMS as treasury shares, shares owned by Lilly or any subsidiary of Lilly, or shares as to which dissenters' rights have been perfected under Colorado law) will be converted into, at the holder's election, either (a) $8.00 in cash, without interest, or (b) one share of Series D Preferred Stock, (ii) each outstanding share of Series B Preferred Stock (other than shares as to which dissenters' rights have been perfected under Colorado law) will either (a) be converted into, at the holder's election, either (1) $5.33 in cash, without interest, plus an amount, in cash, without interest, equal to the amount of all accrued and unpaid dividends on such share of Series B Preferred Stock to the Effective Date or (2) two-thirds of a share of Series D Preferred Stock plus an amount, in cash, without interest, equal to the amount of all accrued and unpaid dividends on such share of Series B Preferred Stock to the Effective Date or (b) remain outstanding (with the amended preferences, limitations and rights set forth in the Articles of Incorporation of the surviving corporation), (iii) each outstanding share of Series C Preferred Stock of the Company will be converted into one share of common stock of the surviving corporation and (iv) each share of common stock of Subsidiary then issued and outstanding will be converted into and become 120,000 shares of common stock of the surviving corporation.</w:t>
      </w:r>
    </w:p>
    <w:p>
      <w:pPr>
        <w:spacing w:after="0" w:line="36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No fractional shares of Series D Preferred Stock will be issued but in lieu thereof cash payments will be made to each holder of Series B Preferred Stock in respect of any fractional share that would otherwise be issuable to such holder (after aggregating all of the shares of Series D Preferred Stock to be issued to such holder) in an amount equal to such fractional part of a share of Series D Preferred Stock multiplied by $8.00. No such holder shall be entitled to dividends, voting rights or any other shareholder right in respect of any fractional share.</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addition, each holder of Company Common Stock, Series B Preferred Stock, Company Options or Company Warrants will be offered the right to enter into a Put/Call Agreement with Lilly with respect to any or all of the shares of Series D Preferred Stock that such holder may acquire. See "PUT/CALL AGREEMENTS."</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If the Merger is adopted by the requisite vote of the shareholders of IMS and certain other conditions to the Merger are satisfied or waived, the Closing will be held promptly thereafter, or if later, on the day three business days following the date on which the last of the required conditions to the Closing has been fulfilled or waived, or at such other time as is agreed upon by Lilly and IMS.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ELECTION PROCEDURES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Subject to the election procedures set forth below, each record holder immediately prior to the Effective Date of shares of Company Common Stock or Series B Preferred Stock (other than Lilly or any subsidiary of Lilly) will be entitled (i) to make a Cash Election for any or all of such shares, or (ii) to make a Stock Election for any or all of such shares. In addition, each record holder immediately prior to the Effective Date of shares of Series B Preferred Stock will be entitled to make an Election to Retain Series B Preferred Stock.</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50" w:right="1440" w:bottom="1440" w:gutter="0" w:footer="0" w:header="0"/>
        </w:sectPr>
      </w:pPr>
    </w:p>
    <w:bookmarkStart w:id="38" w:name="page39"/>
    <w:bookmarkEnd w:id="38"/>
    <w:p>
      <w:pPr>
        <w:ind w:right="3019" w:firstLine="185"/>
        <w:spacing w:after="0" w:line="250" w:lineRule="auto"/>
        <w:rPr>
          <w:sz w:val="20"/>
          <w:szCs w:val="20"/>
          <w:color w:val="auto"/>
        </w:rPr>
      </w:pPr>
      <w:r>
        <w:rPr>
          <w:rFonts w:ascii="Courier New" w:cs="Courier New" w:eastAsia="Courier New" w:hAnsi="Courier New"/>
          <w:sz w:val="15"/>
          <w:szCs w:val="15"/>
          <w:color w:val="auto"/>
        </w:rPr>
        <w:t>Elections must be made by mailing to the Exchange Agent a duly completed Form of Election. To be effective, a Form of Election must be properly completed, signed and submitted to the Exchange Agent and (except if an Election to Retain Series B Stock is made or deemed to have been made), accompanied by the certificates representing the shares of Company Common Stock or Series B Preferred Stock as to which the election is being made (or by an appropriate guarantee of delivery of such certificates by a commercial bank or trust company in the United States or a member of a registered national securities exchange or the National Association of Securities Dealers, Inc.). All duly completed Forms of Election must be received by the Exchange Agent by the Election Deadline. Lilly will have the discretion, which it may delegate in whole or in part to the Exchange Agent, to determine whether Forms of Election have been properly completed, signed and submitted or revoked and to disregard immaterial defects in Forms of Election. The decision of Lilly (or the Exchange Agent) in such matters will be conclusive and binding. Neither Lilly nor the Exchange Agent will be under any obligation to notify any person of any defect in a Form of Election submitted to the Exchange Agent.</w:t>
      </w:r>
    </w:p>
    <w:p>
      <w:pPr>
        <w:spacing w:after="0" w:line="36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 HOLDER OF COMPANY COMMON STOCK OR SERIES B PREFERRED STOCK WHO DOES NOT SUBMIT A PROPERLY COMPLETED AND SIGNED FORM OF ELECTION WHICH IS RECEIVED BY THE EXCHANGE AGENT PRIOR TO THE ELECTION DEADLINE WILL BE DEEMED TO HAVE MADE A CASH ELECTION, IN THE CASE OF A HOLDER OF COMPANY COMMON STOCK, AND AN ELECTION TO RETAIN SERIES B PREFERRED STOCK, IN THE CASE OF A HOLDER OF SERIES B PREFERRED STOCK. If Lilly or the Exchange Agent determines that any purported Cash Election, Stock Election or Election to Retain Series B Preferred Stock was not properly made, the shareholder making such purported Election will be deemed to have made a Cash Election, in the case of a holder of Company Common Stock, and an Election to Retain Series B Preferred Stock, in the case of Series B Preferred Stock.</w:t>
      </w:r>
    </w:p>
    <w:p>
      <w:pPr>
        <w:spacing w:after="0" w:line="18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An election may be revoked, but only by written notice received by the Exchange Agent prior to the Election Deadline. Upon any such revocation, unless a duly completed Form of Election is thereafter submitted in accordance with the procedures described herein, such shares will be deemed to be Cash Election shares, in the case of Company Common Stock, and Election to Retain Series B Preferred Stock shares, in the case of Series B Preferred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EXCHANGE OF CERTIFICATES</w:t>
      </w:r>
    </w:p>
    <w:p>
      <w:pPr>
        <w:spacing w:after="0" w:line="185"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IMS SHAREHOLDERS THAT WISH TO SUBMIT A FORM OF ELECTION SHOULD DELIVER THEIR STOCK CERTIFICATES TOGETHER WITH SUCH FORM OF ELECTION OR PROVIDE FOR, AND COMPLY WITH THE REQUIREMENTS OF, GUARANTEED DELIVERY.</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Lilly will instruct the Exchange Agent to mail to each holder of record (other than (x) holders of dissenting shares or (y) Lilly or any subsidiary of Lilly) of a certificate or certificates which immediately prior to the Effective Date evidenced outstanding shares of Company Common Stock or Series B Preferred Stock (the "Certificates"), (i) a letter of transmittal, (ii) instructions for use in effecting the surrender of the Certificates in exchange for certificates evidencing shares of Series D Preferred Stock or cash and (iii) a Form of Election. With respect to a holder of a Certificate, other than a Certificate representing Series B Preferred Stock for which a valid Election to Retain Series B Preferred Stock, or a deemed Election to Retain Series B Preferred Stock, has been made, upon surrender of a Certificate for cancellation to the Exchange Agent together with such letter of transmittal, duly executed and such other customary documents as may be required pursuant to such instructions, the holder of such Certificate will be entitled to receive in exchange therefor (A) certificates evidencing that number of shares of Series D Preferred Stock which such holder has the right to receive in respect of the shares of Company Common Stock or Series B Preferred Stock formerly evidenced by such Certificate, (B) cash which such holder is entitled to receive, (C) cash in lieu of a fractional share of Series D Preferred Stock which such holder is entitled to receive and (D) any dividends or other distributions to which such holder is entitled, and the Certificate so surrendered will be cancelled; provided, however, that as to any holder who executed a Put/Call Agreement with respect to any shares of Series D Preferred Stock, the certificates evidencing such shares will be delivered to the Escrow Agent under the Escrow Agreement contemplated by the Put/Call Agreements. In the event of a transfer of ownership of shares which is not registered in the transfer records of the Company, for transferees who elect to receive the Merger Consideration, a certificate evidencing the proper number of shares</w:t>
      </w:r>
    </w:p>
    <w:p>
      <w:pPr>
        <w:spacing w:after="0" w:line="3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50" w:right="1440" w:bottom="1440" w:gutter="0" w:footer="0" w:header="0"/>
        </w:sectPr>
      </w:pPr>
    </w:p>
    <w:bookmarkStart w:id="39" w:name="page40"/>
    <w:bookmarkEnd w:id="39"/>
    <w:p>
      <w:pPr>
        <w:ind w:right="3119"/>
        <w:spacing w:after="0" w:line="250" w:lineRule="auto"/>
        <w:rPr>
          <w:sz w:val="20"/>
          <w:szCs w:val="20"/>
          <w:color w:val="auto"/>
        </w:rPr>
      </w:pPr>
      <w:r>
        <w:rPr>
          <w:rFonts w:ascii="Courier New" w:cs="Courier New" w:eastAsia="Courier New" w:hAnsi="Courier New"/>
          <w:sz w:val="15"/>
          <w:szCs w:val="15"/>
          <w:color w:val="auto"/>
        </w:rPr>
        <w:t>of Series D Preferred Stock and/or cash may be issued and/or paid to that transferee if the Certificate evidencing such transferred shares is presented to the Exchange Agent, accompanied by all documents required to evidence and effect such transfer and by evidence that any applicable stock transfer taxes have been paid. Until surrendered, each Certificate, other than a Certificate representing shares of Series B Preferred Stock for which a valid Election to Retain Series B Preferred Stock, or a deemed Election to Retain Series B Stock, has been made, will be deemed at any time after the Effective Date to evidence only the right to receive upon such surrender the appropriate Merger Consideration.</w:t>
      </w:r>
    </w:p>
    <w:p>
      <w:pPr>
        <w:spacing w:after="0" w:line="18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No dividends or other distributions declared or made with respect to Series D Preferred Stock will be paid to the holder of any unsurrendered Certificate with respect to the shares of Series D Preferred Stock evidenced thereby, and no other part of the Merger Consideration will be paid to any such holder until the holder of such Certificate surrenders such Certificate. No interest will accrue or be paid on the Merger Consideration.</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All shares of Series D Preferred Stock issued and cash paid upon conversion of the shares of Company Common Stock or Series B Preferred Stock in accordance with the terms of the Merger Agreement will be deemed to have been issued or paid in full satisfaction of all rights pertaining to such shares of Company Common Stock or Series B Preferred Stock. On the Effective Date, each holder of a certificate or certificates up to that time representing shares of Company Common Stock or Series B Preferred Stock, other than a holder of a certificate or certificates representing Series B Preferred Stock for which a valid Election to Retain Series B Preferred Stock, or a deemed Election to Retain Series B Preferred Stock, has been made, will cease to have any rights as a shareholder of the Company and will not be deemed to be a shareholder of, or be entitled to any rights of a shareholder with respect to, the surviving corporation but thereafter will have only the rights described herein.</w:t>
      </w:r>
    </w:p>
    <w:p>
      <w:pPr>
        <w:spacing w:after="0" w:line="183"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Neither Lilly nor IMS will be liable to any shareholder for any shares or cash in respect of shares delivered to a public official pursuant to any applicable abandoned property, escheat or similar law. In the event any Certificate has been lost, stolen or destroyed, upon the making of an affidavit of that fact by the person claiming such certificate to be lost, stolen or destroyed and, if required by the Company, the posting by such person of a bond in a form and an amount specified by Lilly and reasonably acceptable to the Company as indemnity against any claim that may be made against it with respect to such Certificate, the Exchange Agent will issue in exchange for such lost, stolen or destroyed Certificate the Merger Consideration, without any interest or dividends or other payments thereon, upon due surrender of and deliverable in respect of such Certificate pursuant to the Merger Agreement.</w:t>
      </w:r>
    </w:p>
    <w:p>
      <w:pPr>
        <w:spacing w:after="0" w:line="18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IMS will be entitled to deduct and withhold from the consideration otherwise payable pursuant to the Merger Agreement such amounts as IMS is required to deduct and withhold with respect to the making of such payment under the Internal Revenue Code (the "Code"), or any provision of state, local or foreign tax law.</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After the Effective Date, there will be no transfers on the stock transfer books of the Company of any shares of Company Common Stock, other than any shares of Company Common Stock held by Lilly or any subsidiary of Lilly, or any shares of Series B Preferred Stock which were outstanding immediately prior to the Effective Date other than shares of Series B Preferred Stock for which a valid Election to Retain Series B Stock, or a deemed Election to Retain Series B Stock, has been made. If, after the Effective Date, Certificates formerly representing shares of Company Common Stock which were outstanding immediately prior to the Effective Date, other than any shares of Company Common Stock held by Lilly or any subsidiary of Lilly, or shares of Series B Preferred Stock which were outstanding immediately prior to the Effective Date (for which a valid Election to Retain Series B Stock has not been made or deemed to be made) are presented to the Company or the Exchange Agent, they will be cancelled and (subject to applicable abandoned property, escheat and similar laws and, in the case of Dissenting Shares, subject to applicable law) exchanged for Merger Consideration.</w:t>
      </w:r>
    </w:p>
    <w:p>
      <w:pPr>
        <w:spacing w:after="0" w:line="184" w:lineRule="exact"/>
        <w:rPr>
          <w:sz w:val="20"/>
          <w:szCs w:val="20"/>
          <w:color w:val="auto"/>
        </w:rPr>
      </w:pPr>
    </w:p>
    <w:p>
      <w:pPr>
        <w:ind w:left="1480" w:right="3119" w:hanging="1383"/>
        <w:spacing w:after="0" w:line="253" w:lineRule="auto"/>
        <w:rPr>
          <w:sz w:val="20"/>
          <w:szCs w:val="20"/>
          <w:color w:val="auto"/>
        </w:rPr>
      </w:pPr>
      <w:r>
        <w:rPr>
          <w:rFonts w:ascii="Courier New" w:cs="Courier New" w:eastAsia="Courier New" w:hAnsi="Courier New"/>
          <w:sz w:val="15"/>
          <w:szCs w:val="15"/>
          <w:color w:val="auto"/>
        </w:rPr>
        <w:t>SHAREHOLDERS SHOULD SEND IN THEIR SHARE CERTIFICATES ONLY WITH THE LETTER OF TRANSMITTAL AND NOT WITH THEIR PROXY CARDS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5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EFFECT OF THE MERGER ON COMPANY OPTIONS, WARRANTS AND EXCHANGE RIGHTS.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Each holder of outstanding Company Options on the Effective Date will have the right immediately following the Merger to elect to have such Company Options converted, in whole or in part, into (i) the right to receive $8.00 in cash, without interest, for each share of Company Common Stock for which such Company Option was exercisable as of the Effective Date (except that in lieu of paying the exercise price of such Company Option, the holder thereof may elect to net the amount of the exercise price against and to that extent reduce the $8.00 otherwise receivable), or (ii) the right to purchase for the same exercise price one share of Series D Preferred Stock for each share of Company Common Stock for which such Company Option was exercisable as of the Effective Date, or (iii) fully vested Lilly Options to acquire shares of Lilly Common Stock under the 1994 Lilly Stock Plan. Any election pursuant to clause (ii) above must be for a whole number of shares of Series D Preferred Stock.</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Each Company Option for which an election to convert into Lilly Options is duly made will be converted as follows: each such Company Option will become a Lilly Option with an exercise price that bears the same relationship to the fair market value of Lilly Common Stock on the Effective Date (as such value is determined under the 1994 Lilly Stock Plan) as the exercise price of the Company Option bears to $8.00, and the number of shares subject to the Lilly Option will be the number that results in the Lilly Option having the same aggregate "spread" as existed on the Company Option. (For this purpose, the aggregate "spread" on the Company Option shall be (x) the difference between $8.00 and the exercise price of the Company Option multiplied by (y) the number of shares subject to the Company Option; and the aggregate "spread" on the Lilly Option shall be (x) the difference between the exercise price of the Lilly Option and the fair market value of Lilly Common Stock on the Effective Date multiplied by (y) the number of shares subject to the Lilly Option.) By way of illustration, if a holder owns a Company Option on 100 shares of Company Common Stock at an exercise price of $2.00 per share, then the aggregate "spread" is $600, i.e., ($8.00 - $2.00) X 100. If the fair market value of Lilly Common Stock on the Effective Date is $80 per share, the exercise price of the Lilly Option will be $20, i.e., 2/8 = 20/80, and the number of Lilly shares subject to the Lilly Option will be 10, i.e., the aggregate "spread" of $600 divided by the per share "spread" of $60 under the Lilly Option. The other terms and conditions of the Lilly Option will, to the extent practicable and permitted under the 1994 Lilly Stock Plan, be substantially the same as the Company Option for which the Lilly Option is substituted. Notwithstanding the foregoing, no Lilly Option to purchase a fractional share of Lilly Common Stock will be issued to a holder of a Company Option. In lieu thereof, a cash payment will be made in respect of any such Lilly Option that would otherwise be issuable to such holder (after aggregating all of the Lilly Options to be issued to such holder) in an amount equal to such fractional part of a Lilly Option multiplied by the "spread" on a Lilly Option for one share of Lilly Common Stock.</w:t>
      </w:r>
    </w:p>
    <w:p>
      <w:pPr>
        <w:spacing w:after="0" w:line="191"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Each holder of outstanding Company Warrants on the Effective Date (other than warrants owned by Lilly or any of its subsidiaries) will have the right to elect to have such Company Warrants converted into (i) the right to receive $8.00 in cash, without interest, for each share of Company Common Stock for which such Company Warrant was exercisable as of the Effective Date (except that in lieu of paying the exercise price of such Company Warrant, the holder thereof may elect to net the amount of the exercise price against and to that extent reduce the $8.00 otherwise receivable) or (ii) the right to purchase for the same exercise price one share of Series D Preferred Stock for each share of Company Common Stock for which such Company Warrant was exercisable as of the Effective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A Form</w:t>
            </w:r>
          </w:p>
        </w:tc>
        <w:tc>
          <w:tcPr>
            <w:tcW w:w="2860" w:type="dxa"/>
            <w:vAlign w:val="bottom"/>
          </w:tcPr>
          <w:p>
            <w:pPr>
              <w:ind w:left="40"/>
              <w:spacing w:after="0"/>
              <w:rPr>
                <w:sz w:val="20"/>
                <w:szCs w:val="20"/>
                <w:color w:val="auto"/>
              </w:rPr>
            </w:pPr>
            <w:r>
              <w:rPr>
                <w:rFonts w:ascii="Courier New" w:cs="Courier New" w:eastAsia="Courier New" w:hAnsi="Courier New"/>
                <w:sz w:val="15"/>
                <w:szCs w:val="15"/>
                <w:color w:val="auto"/>
              </w:rPr>
              <w:t>of Election for use by holders</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Company Options and Company</w:t>
            </w:r>
          </w:p>
        </w:tc>
      </w:tr>
      <w:tr>
        <w:trPr>
          <w:trHeight w:val="177"/>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Warrants will be mailed separately to holders thereof. To be</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effective, a Form</w:t>
            </w:r>
          </w:p>
        </w:tc>
      </w:tr>
      <w:tr>
        <w:trPr>
          <w:trHeight w:val="177"/>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of Election must be properly completed,</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signed and received by the Exchange</w:t>
            </w:r>
          </w:p>
        </w:tc>
      </w:tr>
      <w:tr>
        <w:trPr>
          <w:trHeight w:val="177"/>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Agent by the Election Deadline. HOLDERS</w:t>
            </w:r>
          </w:p>
        </w:tc>
        <w:tc>
          <w:tcPr>
            <w:tcW w:w="3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COMPANY OPTIONS OR COMPANY WARRANTS</w:t>
            </w:r>
          </w:p>
        </w:tc>
      </w:tr>
      <w:tr>
        <w:trPr>
          <w:trHeight w:val="177"/>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WHO DO NOT PROPERLY COMPLETE AND RETURN</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THE FORM OF ELECTION</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BY THE ELECTION</w:t>
            </w:r>
          </w:p>
        </w:tc>
      </w:tr>
      <w:tr>
        <w:trPr>
          <w:trHeight w:val="177"/>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DEADLINE WILL BE DEEMED TO HAVE ELECTED</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TO RECEIVE THE LILLY</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OPTIONS IN THE</w:t>
            </w:r>
          </w:p>
        </w:tc>
      </w:tr>
      <w:tr>
        <w:trPr>
          <w:trHeight w:val="177"/>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CASE OF A COMPANY OPTION, OR THE RIGHT TO PURCHASE SHARES OF</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SERIES D</w:t>
            </w:r>
          </w:p>
        </w:tc>
      </w:tr>
      <w:tr>
        <w:trPr>
          <w:trHeight w:val="177"/>
        </w:trPr>
        <w:tc>
          <w:tcPr>
            <w:tcW w:w="364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 IN THE CASE OF COMPANY</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WARRANTS.</w:t>
            </w:r>
          </w:p>
        </w:tc>
        <w:tc>
          <w:tcPr>
            <w:tcW w:w="1620" w:type="dxa"/>
            <w:vAlign w:val="bottom"/>
          </w:tcPr>
          <w:p>
            <w:pPr>
              <w:spacing w:after="0"/>
              <w:rPr>
                <w:sz w:val="15"/>
                <w:szCs w:val="15"/>
                <w:color w:val="auto"/>
              </w:rPr>
            </w:pPr>
          </w:p>
        </w:tc>
      </w:tr>
    </w:tbl>
    <w:p>
      <w:pPr>
        <w:spacing w:after="0" w:line="183"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addition, each holder of a Company Option or a Company Warrant will be offered the right to enter into a Put/Call Agreement with Lilly with respect to any and all of the shares of Series D Preferred Stock that such holder may acquire. See "PUT/CALL AGREEMENTS."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828" w:right="1440" w:bottom="1440" w:gutter="0" w:footer="0" w:header="0"/>
        </w:sectPr>
      </w:pPr>
    </w:p>
    <w:bookmarkStart w:id="41" w:name="page42"/>
    <w:bookmarkEnd w:id="41"/>
    <w:p>
      <w:pPr>
        <w:ind w:left="5" w:right="3019" w:firstLine="185"/>
        <w:spacing w:after="0" w:line="250" w:lineRule="auto"/>
        <w:rPr>
          <w:sz w:val="20"/>
          <w:szCs w:val="20"/>
          <w:color w:val="auto"/>
        </w:rPr>
      </w:pPr>
      <w:r>
        <w:rPr>
          <w:rFonts w:ascii="Courier New" w:cs="Courier New" w:eastAsia="Courier New" w:hAnsi="Courier New"/>
          <w:sz w:val="15"/>
          <w:szCs w:val="15"/>
          <w:color w:val="auto"/>
        </w:rPr>
        <w:t>Under a joint venture agreement with IMS, Blue Cross and Blue Shield of Arizona, Inc. ("BCBSAZ"), as limited partner in the joint venture, has the right to elect to exchange all or part of its rights to profit allocations in the joint venture for shares of Company Common Stock. The number of shares is to be determined by dividing $3.5 million by the market price of Company Common Stock at the time of exchange. This right is available to BCBSAZ at any time until three years and 120 days after commencement of the initial public offering of equity securities of the Company. It is possible that BCBSAZ will exercise this right after the Merger, with the result that BCBSAZ would own Company Common Stock after the Merger with a value at the time of issuance of $3.5 million.</w:t>
      </w:r>
    </w:p>
    <w:p>
      <w:pPr>
        <w:spacing w:after="0" w:line="182"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Lilly reserves the right to cause the Company to issue Company Common Stock or other securities, whether voting or non-voting, following the Merger at any time or from time to time to Lilly or third parties for any proper corporate purpose.</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REPRESENTATIONS AND WARRANTIES</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Merger Agreement contains various representations and warranties of IMS as to, among other things: (i) the due organization, valid existence and good standing of IMS and its subsidiaries; (ii) the capitalization of IMS; (iii) the minute books and stock books of IMS and certain of its subsidiaries; (iv) the authorization, execution and delivery of the Merger Agreement and certain ancillary agreements, the validity and enforceability thereof against IMS, the noncontravention thereby of the articles or certificate of incorporation or by-laws (or other organizational documents) of IMS or any subsidiary or affiliated entity, or the Company Options or Company Warrants, or any note, bond, mortgage, indenture, deed of trust, license, partnership agreement, joint venture agreement, collaborative arrangement or relationship or any contract, commitment or agreement or other instrument or obligation or with any order, writ, injunction, decree, statute, rule or regulation and the absence of requirements for any consents, approvals, notices or registrations to be obtained or filed in connection with the Merger; (v) possession of licenses, permits and authorizations and compliance with applicable laws; (vi) the preparation of, and presentation of certain information in, the financial statements of IMS and its subsidiaries; (vii) the absence of undisclosed liabilities; (vii) the absence of certain changes or events since May 31, 1995; (viii) tax matters; (ix) the ownership or lease of properties and assets; (x) accounts receivable; (xi) the number of physicians connected to IMS networks; (xii) the existence and enforceability of certain contracts;</w:t>
      </w:r>
    </w:p>
    <w:p>
      <w:pPr>
        <w:spacing w:after="0" w:line="10" w:lineRule="exact"/>
        <w:rPr>
          <w:sz w:val="20"/>
          <w:szCs w:val="20"/>
          <w:color w:val="auto"/>
        </w:rPr>
      </w:pPr>
    </w:p>
    <w:p>
      <w:pPr>
        <w:ind w:left="645" w:hanging="645"/>
        <w:spacing w:after="0"/>
        <w:tabs>
          <w:tab w:leader="none" w:pos="64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matters; (xiv) pending or threatened litigation;</w:t>
      </w:r>
    </w:p>
    <w:p>
      <w:pPr>
        <w:spacing w:after="0" w:line="7" w:lineRule="exact"/>
        <w:rPr>
          <w:rFonts w:ascii="Courier New" w:cs="Courier New" w:eastAsia="Courier New" w:hAnsi="Courier New"/>
          <w:sz w:val="15"/>
          <w:szCs w:val="15"/>
          <w:color w:val="auto"/>
        </w:rPr>
      </w:pPr>
    </w:p>
    <w:p>
      <w:pPr>
        <w:ind w:left="5" w:right="3679" w:hanging="5"/>
        <w:spacing w:after="0" w:line="250" w:lineRule="auto"/>
        <w:tabs>
          <w:tab w:leader="none" w:pos="46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(xvi) accuracy of information provided to Lilly; (xvii) employee benefit plans; (xviii) personnel and labor matters;</w:t>
      </w:r>
    </w:p>
    <w:p>
      <w:pPr>
        <w:ind w:left="545" w:hanging="545"/>
        <w:spacing w:after="0"/>
        <w:tabs>
          <w:tab w:leader="none" w:pos="54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 (xx) transactions involving affiliates of IMS;</w:t>
      </w:r>
    </w:p>
    <w:p>
      <w:pPr>
        <w:spacing w:after="0" w:line="7" w:lineRule="exact"/>
        <w:rPr>
          <w:rFonts w:ascii="Courier New" w:cs="Courier New" w:eastAsia="Courier New" w:hAnsi="Courier New"/>
          <w:sz w:val="15"/>
          <w:szCs w:val="15"/>
          <w:color w:val="auto"/>
        </w:rPr>
      </w:pPr>
    </w:p>
    <w:p>
      <w:pPr>
        <w:ind w:left="5" w:right="3759" w:hanging="5"/>
        <w:spacing w:after="0" w:line="252" w:lineRule="auto"/>
        <w:tabs>
          <w:tab w:leader="none" w:pos="55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financial advisor; (xxii) fees owed to brokers or finders; and (xxiii) powers of attorney and suretyships of IMS or any subsidiary.</w:t>
      </w:r>
    </w:p>
    <w:p>
      <w:pPr>
        <w:spacing w:after="0" w:line="17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The Merger Agreement also contains representations and warranties of each of Lilly and Subsidiary as to, among other things: (i) their due organization, valid existence and good standing; and (ii) their authorization, execution and delivery of the Merger Agreement and certain ancillary agreements, the validity and enforceability thereof against Lilly and Subsidiary and the noncontravention thereby of the Articles of Incorporation or By-Laws of Lilly or Subsidiary, or of any order, writ, injunction, decree, statute, rule or regulation and the absence of requirements for any consents, approvals, notices or registrations to be obtained or filed in connection with the Merger.</w:t>
      </w:r>
    </w:p>
    <w:p>
      <w:pPr>
        <w:spacing w:after="0" w:line="352"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The Merger Agreement also contains representations and warranties of Lilly as to, among other things: (i) the accuracy and completeness of information provided by Lilly; (ii) fees owed to brokers or finders; and (iii) the absence of any intention to engage in certain restricted transactions.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CERTAIN UNDERSTANDINGS AND AGREEMENTS</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CONDUCT OF THE IMS BUSINESS PRIOR TO EFFECTIVE TIME</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IMS has agreed that, except as set forth on the Disclosure Schedule to the Merger Agreement or as expressly contemplated by the Merger Agreement, during the period from the date of the Merger Agreement to the Effective Date, the business of IMS and its Controlled Subsidiaries and Controlled Affiliated Entities (each as defined in the Merger Agreement) will be conducted only in the ordinary and usual course consistent with past practices, that IMS will use and will cause each of its Controlled Subsidiaries, and any Controlled Affiliated Entities, to use best efforts to maintain and preserve and, as appropriate in the ordinary course of business, further</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5" w:top="828" w:right="1440" w:bottom="1440" w:gutter="0" w:footer="0" w:header="0"/>
        </w:sectPr>
      </w:pPr>
    </w:p>
    <w:bookmarkStart w:id="42" w:name="page43"/>
    <w:bookmarkEnd w:id="42"/>
    <w:p>
      <w:pPr>
        <w:ind w:left="5" w:right="3019"/>
        <w:spacing w:after="0" w:line="250" w:lineRule="auto"/>
        <w:rPr>
          <w:sz w:val="20"/>
          <w:szCs w:val="20"/>
          <w:color w:val="auto"/>
        </w:rPr>
      </w:pPr>
      <w:r>
        <w:rPr>
          <w:rFonts w:ascii="Courier New" w:cs="Courier New" w:eastAsia="Courier New" w:hAnsi="Courier New"/>
          <w:sz w:val="15"/>
          <w:szCs w:val="15"/>
          <w:color w:val="auto"/>
        </w:rPr>
        <w:t>their respective business relationships and business prospects, and to keep available the services of its directors, officers and employees, and that neither IMS nor any Controlled Subsidiary, nor any Controlled Affiliated Entity, will take any of the following actions or permit to occur any of the following events without the prior written consent of Lilly: (i) except pursuant to Company Options and Company Warrants, issue or sell, agree to issue or sell or authorize the issuance or sale of any shares of its capital stock or the capital stock of any subsidiary or other securities exchangeable for or convertible into shares of capital stock of the Company or any subsidiary or grant any options or rights to acquire any shares of capital stock of the Company or any subsidiary or amend any currently outstanding Company Options or Company Warrants or other rights or securities of IMS or any subsidiary; (ii) purchase or otherwise acquire, directly or indirectly, any shares of capital stock of the Company or any subsidiary or any securities exchangeable for or convertible into shares of capital stock of the Company or any subsidiary; (iii) declare or pay any dividends on capital stock of the Company or any subsidiary not wholly-owned by IMS, except that IMS may declare immediately prior to the Effective Date a cash dividend on the Series B Preferred Stock in an amount equal to all accrued and unpaid dividends to the time of declaration; (iv) enter into any material transaction relating to IMS or any subsidiary or affiliated entity, including, without limitation, any material joint venture, partnership, sponsorship or network licensing arrangements or relationships, or modify or effect material changes to any existing material joint venture, partnership, sponsorship or network licensing arrangements or relationships; (v) merge or consolidate with, purchase substantially all of the assets of, or otherwise acquire any business or any proprietorship, firm, association, corporation or other business organization or division thereof; (vi) make any change in the respective banking or safety deposit box arrangements of IMS and its Controlled Subsidiaries; (vii) grant any powers of attorney, except in connection with patent and trademark applications and prosecutions, and in the ordinary course of business; (viii) increase or decrease the rates of direct compensation payable or to become payable to their respective officers, employees, agents or consultants, other than routine increases or decreases made in the ordinary course of business, or grant, make or agree to any bonus, service award or other like benefit for any such officer, employee, agent or consultant, or make or agree to any welfare, pension, retirement or similar payment or arrangement, except payments made pursuant to the existing agreements or plans described in the Disclosure Schedule to the Merger Agreement and except payments or arrangements agreed to in the ordinary course of business and consistent with past practice or as required by law; (ix) amend or change the articles or certificate of incorporation or by-laws (or other organizational documents) of IMS or certain of its subsidiaries or affiliated entities; (x) issue or sell any promissory notes, bonds or other corporate debt securities of IMS or certain of its subsidiaries or affiliated entities or otherwise incur any indebtedness for borrowed money except (a) in the ordinary course of business,</w:t>
      </w:r>
    </w:p>
    <w:p>
      <w:pPr>
        <w:spacing w:after="0" w:line="20" w:lineRule="exact"/>
        <w:rPr>
          <w:sz w:val="20"/>
          <w:szCs w:val="20"/>
          <w:color w:val="auto"/>
        </w:rPr>
      </w:pPr>
    </w:p>
    <w:p>
      <w:pPr>
        <w:ind w:left="5" w:right="3019" w:hanging="5"/>
        <w:spacing w:after="0" w:line="250" w:lineRule="auto"/>
        <w:tabs>
          <w:tab w:leader="none" w:pos="3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their existing lines of credit as of the date of the Merger Agreement or (c) pursuant to Section 7.15 of the Merger Agreement (relating to funds to be advanced by Lilly to fund the current cash requirements of IMS); (xi) discharge or satisfy any lien, charge or encumbrance or pay any obligation or liability, absolute or contingent, other than current liabilities and the current portion of bank debt as shown on the balance sheet of the Company at May 31, 1995 and current liabilities incurred since that date in the ordinary course of business; (xii) mortgage, pledge or subject to lien, charge or any other encumbrance, any of their respective assets, tangible or intangible, except pursuant to existing lines of credit or Section 7.15 of the Merger Agreement (relating to funds to be advanced by Lilly to fund the current cash requirements of IMS); (xiii) lend any money of IMS or any certain of its subsidiaries or affiliated entities or otherwise pledge the credit of IMS or certain of its subsidiaries or affiliated entities, or sell, assign or transfer any of the tangible assets or cancel any debts or claims of IMS or certain of its subsidiaries or affiliated entities, except in each case in the ordinary course of business; (xiv) cancel, amend, terminate, waive, or sell, assign or transfer any material intellectual property; (xv) waive any rights of substantial value, whether or not in the ordinary course of business; (xvi) settle or otherwise compromise any material litigation against IMS or certain of its subsidiaries or affiliated entities; (xvii) reclassify any shares of its capital stock; (xviii) enter into any collective bargaining agreement; (xix) make expenditures for items deemed to be capital items under generally accepted accounting principles, of more than $25,000 in any one case or $125,000 in the aggregate; (xx) change its method of accounting or accounting practice; (xxi) enter into any contract, agreement, or understanding to cause or allow any of the foregoing; or (xxii) cause any other event or condition of any character which in any one case or in the aggregate would reasonably be expected to have a material adverse effect.</w:t>
      </w:r>
    </w:p>
    <w:p>
      <w:pPr>
        <w:spacing w:after="0" w:line="368"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5"/>
          </w:cols>
          <w:pgMar w:left="235" w:top="650" w:right="1440" w:bottom="1440" w:gutter="0" w:footer="0" w:header="0"/>
        </w:sectPr>
      </w:pPr>
    </w:p>
    <w:bookmarkStart w:id="43" w:name="page44"/>
    <w:bookmarkEnd w:id="43"/>
    <w:p>
      <w:pPr>
        <w:ind w:right="3019" w:firstLine="185"/>
        <w:spacing w:after="0" w:line="250" w:lineRule="auto"/>
        <w:rPr>
          <w:sz w:val="20"/>
          <w:szCs w:val="20"/>
          <w:color w:val="auto"/>
        </w:rPr>
      </w:pPr>
      <w:r>
        <w:rPr>
          <w:rFonts w:ascii="Courier New" w:cs="Courier New" w:eastAsia="Courier New" w:hAnsi="Courier New"/>
          <w:sz w:val="15"/>
          <w:szCs w:val="15"/>
          <w:color w:val="auto"/>
        </w:rPr>
        <w:t>IMS has further agreed that, prior to the Effective Date, it will and will cause certain of its subsidiaries or affiliated entities to: (i) use its best efforts to duly comply with all laws applicable to them and to the conduct of their businesses in all material respects and all laws applicable to the transactions contemplated by the Merger Agreement; (ii) use its best efforts to maintain in full force and effect its insurance policies (or policies providing substantially the same coverage); (iii) use its best efforts to take such action as may reasonably be necessary to preserve its properties wherever located, including, but not limited to, all steps reasonably necessary to maintain its material intellectual property and any pending applications therefor, and any other intangible assets which are material to their businesses; (iv) maintain its books and records in accordance with generally accepted accounting principles and in the usual, regular and ordinary manner; and (v) promptly advise Lilly in writing of any occurrence or event, including, without limitation, the commencement or threat of any litigation, which individually or in the aggregate has had or might reasonably be expected to have a material adverse effect.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OTHER AGREEMENTS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Pursuant to the Merger Agreement, IMS has agreed to take all action necessary in accordance with applicable law and its Articles of Incorporation and By-Laws to convene the Special Meeting as promptly as practicable to consider and vote upon the approval and adoption of the Merger Agreement and to consider and vote upon such other matters as may be necessary to effectuate the transactions provided for therein. The Board of Directors of IMS has resolved to recommend, and except as the Board of Directors determines in good faith, based on the advice of outside counsel to IMS, is required to satisfy its fiduciary duties, IMS has agreed that the Board of Directors will continue to recommend, and will take all lawful action to solicit proxies for and otherwise obtain, such approval and adoption. Lilly has agreed to vote, or cause its subsidiaries to vote, any shares of capital stock of the Company held by Lilly or such subsidiaries and entitled to vote in favor of the approval and adoption of the Merger Agreement and the transactions contemplated thereby.</w:t>
      </w:r>
    </w:p>
    <w:p>
      <w:pPr>
        <w:spacing w:after="0" w:line="361"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IMS has agreed that neither it nor any of its subsidiaries or Controlled Affiliated Entities or any of their respective employees, agents or representatives (including, without limitation, its investment bankers) will, directly or indirectly, solicit or enter into any agreement or understanding with, or otherwise encourage inquiries or proposals from, or furnish any non-public information concerning IMS or any subsidiary or affiliated entity to, any person or entity other than Lilly or a representative thereof with respect to the acquisition (by purchase, merger or otherwise) of any or all of the capital stock of IMS or any subsidiary or affiliated entity or any or all of the assets of IMS or any of its subsidiaries or affiliated entities or any other material corporate transactions relating to IMS or its subsidiaries or affiliated entities; provided, however, that IMS may engage in discussions or negotiations with a third party who, unsolicited, seeks to initiate such discussions or negotiations and may pursuant to confidentiality agreements furnish such party information concerning IMS and its business, properties and assets, provided that the Board of Directors of IMS will conclude in good faith on the basis of the advice of IMS's outside counsel that such action is necessary to satisfy the fiduciary duties of the Board of Directors. Should IMS receive an unsolicited offer for such a transaction, or obtain information that such an offer is likely to be made, IMS has agreed to provide Lilly with prompt notice thereof, including the identity of the prospective offeror and the terms and conditions of such offer.</w:t>
      </w:r>
    </w:p>
    <w:p>
      <w:pPr>
        <w:spacing w:after="0" w:line="187"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Lilly, Subsidiary and the Company have agreed to use, and the Company has agreed to cause its Controlled Subsidiaries and Controlled Affiliated Entities to use, their best efforts to take, or cause to be taken, all action, and to do, or cause to be done, all things necessary, proper or advisable under applicable laws and regulations to consummate and make effective the Merger, including, without limitation, using their best efforts to satisfy the conditions to the Merger described under "-- Conditions to the Merger" below.</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Lilly has agreed to advance to the Company from time to time, subject to certain conditions, at the Company's request, funds, as required to fund the then current cash requirements of the Company but not to exceed $1.5 million per month. See "SPECIAL FACTORS TO BE CONSIDERED -- Prior Agreements/Relationships of the Parties -- Lilly Loans to IMS."</w:t>
      </w:r>
    </w:p>
    <w:p>
      <w:pPr>
        <w:spacing w:after="0" w:line="3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50" w:right="1440" w:bottom="1440" w:gutter="0" w:footer="0" w:header="0"/>
        </w:sectPr>
      </w:pPr>
    </w:p>
    <w:bookmarkStart w:id="44" w:name="page45"/>
    <w:bookmarkEnd w:id="44"/>
    <w:p>
      <w:pPr>
        <w:ind w:right="3019" w:firstLine="185"/>
        <w:spacing w:after="0" w:line="250" w:lineRule="auto"/>
        <w:rPr>
          <w:sz w:val="20"/>
          <w:szCs w:val="20"/>
          <w:color w:val="auto"/>
        </w:rPr>
      </w:pPr>
      <w:r>
        <w:rPr>
          <w:rFonts w:ascii="Courier New" w:cs="Courier New" w:eastAsia="Courier New" w:hAnsi="Courier New"/>
          <w:sz w:val="15"/>
          <w:szCs w:val="15"/>
          <w:color w:val="auto"/>
        </w:rPr>
        <w:t>In addition, Lilly has agreed to offer to enter into agreements at or prior to the Closing with specified members of IMS's management under which the Company would agree not to reduce such person's respective rates of compensation and benefits for the one year period beginning on the Effective Date and Lilly would pay, or cause the Company to pay, such person an amount equal to one year's base salary if during the one-year period beginning on the Effective Date such person's employment is terminated by action of the Company for any reason other than for cause or such person resigns because he is required by the Company to relocate to any office not within reasonable commuting distance of his or her residence. Such agreement will also contain a non-compete provision for the period during which such person is receiving such severance payments. See "SPECIAL FACTORS TO BE CONSIDERED -- Interests of Certain Persons in the Merger."</w:t>
      </w:r>
    </w:p>
    <w:p>
      <w:pPr>
        <w:spacing w:after="0" w:line="183"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Lilly has agreed that it will not, prior to the third anniversary of the Closing, engage in or cause, or otherwise permit to occur, a merger (other than the Merger) or other extraordinary transaction that would result in the holders of the Series D Preferred Stock being deemed for Federal income tax purposes to have sold their shares of Series D Preferred Stock in such merger or other extraordinary transaction.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respective obligations of each of Lilly, Subsidiary and IMS to effect the Merger are subject to the fulfillment or waiver, at or prior to the Effective Date, of certain conditions, including: (i) the approval of the Merger by IMS shareholders; (ii) the receipt of all consents, authorizations, orders and approvals of, and filings and registrations with, any federal or state governmental authority that are required for the consummation by each of Lilly, Subsidiary and IMS of the transactions provided for in the Merger Agreement; the effectiveness of the Registration Statement under the Securities Act and the absence of any stop orders in effect or proceedings commenced seeking such a stop order; (iii) the absence of any claim, action, suit, order or other proceeding, pending or threatened by any public authority or private person before any court, agency or governmental or administrative body or other entity of competent jurisdiction which, in the reasonable opinion of Lilly or IMS, creates any substantial likelihood that the consummation of the Merger will be restrained, enjoined or otherwise prevented or that any material damages will be recovered or other material relief obtained as a result of the Merger or as a result of any agreement entered into in connection with, or as a condition precedent to, the consummation of the Merger; (iv) the receipt at the Special Meeting of the affirmative vote of shares representing at least a majority of the voting power of the outstanding shares of the Company Common Stock and Series B Preferred Stock that are not owned by Lilly or its subsidiaries for the Merger Agreement and the Merger.</w:t>
      </w:r>
    </w:p>
    <w:p>
      <w:pPr>
        <w:spacing w:after="0" w:line="187"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obligations of Lilly and Subsidiary to effect the Merger are further subject to the fulfillment or waiver, at or prior to the Effective Date, of certain additional conditions, including: (i) the accuracy of the representations and warranties of IMS in all material respects on the Effective Date; (ii) the performance in all material respects of each of the obligations of IMS on the Effective Date; (iii) the taking of all action required to be taken by, or on the part of, IMS to authorize the execution, delivery and performance of the Merger Agreement and the consummation of the transactions contemplated thereby; (iv) the receipt of certain opinions of counsel; (v) the exercise by the holders of not more than 10% of the total number of shares of Company Common Stock or Series B Preferred Stock of dissenters' rights; (vi) the absence of litigation, except with respect to the matters disclosed in the Disclosure Schedule to the Merger Agreement, which in the reasonable opinion of Lilly creates any reasonable possibility of material interference with the ability of Lilly, through representatives designated by it, to manage following the Effective Date the business theretofore conducted by IMS and its subsidiaries; (vii) the receipt by Lilly on or prior to the Effective Date of a statement pursuant to Section 1445(b)(2) of the Code and Treasury Regulations Section 1.1445-2(c)(3) thereunder, certifying that the shares of capital stock of the Company do not constitute a "U.S. real property interest" for purposes of Sections 897 and 1445 of the Code and the Treasury Regulations thereunder; and (vii) the satisfaction of certain conditions regarding the Company's joint venture arrangements (which requirements have now been satisfied or waived).</w:t>
      </w:r>
    </w:p>
    <w:p>
      <w:pPr>
        <w:spacing w:after="0" w:line="36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obligation of IMS to effect the Merger is further subject to the fulfillment, at or prior to the Effective Date, of certain additional conditions, including: (i) the accuracy of the representations and warranties of Lilly and Subsidiary in all material respects on the Effective Date; (ii) the performance in all material respects of each</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50" w:right="1440" w:bottom="1440" w:gutter="0" w:footer="0" w:header="0"/>
        </w:sectPr>
      </w:pPr>
    </w:p>
    <w:bookmarkStart w:id="45" w:name="page46"/>
    <w:bookmarkEnd w:id="45"/>
    <w:p>
      <w:pPr>
        <w:ind w:right="3119"/>
        <w:spacing w:after="0" w:line="251" w:lineRule="auto"/>
        <w:rPr>
          <w:sz w:val="20"/>
          <w:szCs w:val="20"/>
          <w:color w:val="auto"/>
        </w:rPr>
      </w:pPr>
      <w:r>
        <w:rPr>
          <w:rFonts w:ascii="Courier New" w:cs="Courier New" w:eastAsia="Courier New" w:hAnsi="Courier New"/>
          <w:sz w:val="15"/>
          <w:szCs w:val="15"/>
          <w:color w:val="auto"/>
        </w:rPr>
        <w:t>of the obligations of Lilly and Subsidiary on; (iii) the taking of all action required to be taken by, or on the part of, Lilly and Subsidiary to authorize the execution, delivery and performance of the Merger Agreement and the consummation of the transactions contemplated thereby; (iv) the receipt of certain opinions of counsel; and (v) the execution by Lilly of Put/Call Agreements with each holder of shares of capital stock the Company, Company Options or Company Warrants who will have elected to enter into such Agreements.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MODIFICATION</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provisions of the Merger Agreement may be amended or supplemented by written agreement of Lilly, Subsidiary and IMS at any time prior to the Effective Date; provided, however, that after adoption of the Merger Agreement by the shareholders of IMS, no material amendment or supplement may be made unless such amendment or supplement is also adopted by the shareholders of IMS.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Merger Agreement may be terminated at any time prior to the Effective Date: (i) by mutual consent of Lilly, Subsidiary and IMS; (ii) by Lilly and Subsidiary, or by IMS, respectively, if, at or before the Effective Date, any condition set forth in the Merger Agreement for the benefit of Lilly and Subsidiary or IMS, respectively, will not have been timely met and such failure will not have been cured or eliminated, or by its nature cannot be cured or eliminated; (iii) by Lilly and Subsidiary, or by IMS if the Closing will not have occurred on or before December 31, 1995, or such later date as may have been agreed upon by Lilly, Subsidiary and IMS or as is provided for in the Merger Agreement in connection with Lilly's right to delay or suspend the effectiveness of the Registration Statement; (iv) by Lilly and Subsidiary, or by IMS, respectively, if any representation or warranty made in the Merger Agreement for the benefit of Lilly and Subsidiary or IMS, respectively, or in any certificate, schedule or document furnished to Lilly and Subsidiary or IMS, respectively, pursuant to the Merger Agreement, if qualified as to materiality, is untrue in any respect, or, if not so qualified, is untrue in any material respect, or IMS or Lilly and Subsidiary, respectively, have defaulted in any material respect in the performance of any obligation under the Merger Agreement; (v) by Lilly and Subsidiary if the IMS Board fails to recommend that the IMS shareholders approve the Merger or fails to submit the Merger to the shareholders for their approval; or (vi) by Lilly and Subsidiary if the shareholders of IMS have voted upon and not approved the Merger.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OF THE PARTIES UPON TERMINATION</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the event that the Merger Agreement is terminated pursuant to one of the items set forth above under "-- Termination," the Merger Agreement will terminate and there will be no other liability on the part of Lilly and Subsidiary or IMS to each other (except liability relating to a breach of confidentiality, liability of each party to pay its own expenses and liability for the termination fee).</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In the event of a termination by Lilly and Subsidiary pursuant to clause (iv), (v) or (vi) above under "-- Termination," or a termination by IMS pursuant to clause (iv) above under "-- Termination," the terminating party will be paid by wire transfer in immediately available funds a fee of $4 million (subject to any credit against such amount payable by Lilly of the principal and interest amounts payable by IMS to Lilly pursuant to the loans made by Lilly).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85"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All costs and expenses incurred in connection with the Merger Agreement and the transactions contemplated thereby will be paid by the party incurring such expenses.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OFFICERS AND DIRECTORS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Pursuant to the Merger Agreement, from and after the Effective Date, IMS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indemnify and hold harmless each director and officer of IMS (and each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person's personal representative, estate, heirs, testator or intestate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50" w:right="1440" w:bottom="1440" w:gutter="0" w:footer="0" w:header="0"/>
        </w:sectPr>
      </w:pPr>
    </w:p>
    <w:bookmarkStart w:id="46" w:name="page47"/>
    <w:bookmarkEnd w:id="46"/>
    <w:p>
      <w:pPr>
        <w:ind w:right="3019"/>
        <w:spacing w:after="0" w:line="250" w:lineRule="auto"/>
        <w:rPr>
          <w:sz w:val="20"/>
          <w:szCs w:val="20"/>
          <w:color w:val="auto"/>
        </w:rPr>
      </w:pPr>
      <w:r>
        <w:rPr>
          <w:rFonts w:ascii="Courier New" w:cs="Courier New" w:eastAsia="Courier New" w:hAnsi="Courier New"/>
          <w:sz w:val="15"/>
          <w:szCs w:val="15"/>
          <w:color w:val="auto"/>
        </w:rPr>
        <w:t>successors) against any costs or expenses (including reasonable attorney's fees), judgments, fines, losses, claims, damages, liabilities and amounts paid in settlement in connection with any actual or threatened claim, action, suit, proceeding or investigation arising out of matters existing or occurring on or prior to the Effective Date (including without limitation any which arise out of or relate to the transactions contemplated by the Merger Agreement), whether asserted or claimed prior to, or on or after, the Effective Date, in accordance with the indemnification provisions of the Articles of Incorporation and the By-Laws of IMS immediately following the Merger in the same manner and to the same extent as if such person were a director or officer of IMS following the Merger.</w:t>
      </w:r>
    </w:p>
    <w:p>
      <w:pPr>
        <w:spacing w:after="0" w:line="18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PUT/CALL AGREEMENTS</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following is a brief summary of the terms of the form of Put/Call Agreement, a copy of which is attached as Appendix B to this Proxy Statement-Prospectus and is incorporated herein by reference. Such summary is qualified in its entirety by reference to the Put/Call Agreement.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Lilly will offer each holder of Company Common Stock, Series B Preferred Stock, Company Options or Company Warrants (a "Holder") the opportunity to enter into a Put/Call Agreement that would apply to any or all of the Holder's shares of Series D Preferred Stock as the Holder may elect (the "Subject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 RIGHT</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Under a Put/Call Agreement, a Holder will have the right to require Lilly to purchase any or all of the Holder's Subject Shares during each of two Put Periods at a price of $8.00 per share, plus any unpaid dividends accrued to the purchase date (the "Purchase Price").</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initial Put Period shall be a period of at least 10 business days beginning on the first anniversary of the Merger; the second Put Period shall be a period of at least 10 business days beginning approximately 30 months after the Merger. However, Lilly will have the right to defer commencement of a Put Period, or to suspend a Put Period that has commenced, or to defer the making of purchases pursuant to the exercise of a Put in order to permit compliance with all applicable laws; provided, however, that Lilly will use its commercially reasonable efforts to cause such compliance so as to avoid or minimize any such deferral or suspension, except that if commencement or continuation of a Put Period, or the making of purchases pursuant to the exercise of a Put, would require the disclosure to the Holder of information about IMS or Lilly that, in Lilly's reasonable judgment, it is not then in the best interests of IMS or Lilly to disclose, Lilly may, in its discretion, defer the commencement of, or may suspend, the Put Period or defer such purchases, for up to 90 days.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 RIGHT</w:t>
      </w:r>
    </w:p>
    <w:p>
      <w:pPr>
        <w:spacing w:after="0" w:line="185"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Under a Put/Call Agreement, Lilly will have the right to require a Holder to sell any or all of the Holder's Subject Shares to Lilly at the Purchase Price in whole at any time or in part from time to time after the third anniversary of the Merger.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ESCROW</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stock certificates representing the Subject Shares will bear a restrictive legend and must be deposited into an escrow accompanied by an undated stock power endorsed in blank relating to the Subject Shares. To that end, the Exchange Agent will, following the Merger, deliver directly to the Escrow Agent the certificates for any Subject Shares issued in the Merger. The escrowed certificates will be held in the escrow pending possible purchase by Lilly pursuant to the put/call rights, but if for any reason the Escrow Agreement has not been terminated by December 31, 2001, the Escrow Agent shall promptly release the escrowed shares to the Holders.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50"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TRANSFERS OF SUBJECT SHARES</w:t>
      </w:r>
    </w:p>
    <w:p>
      <w:pPr>
        <w:spacing w:after="0" w:line="185" w:lineRule="exact"/>
        <w:rPr>
          <w:sz w:val="20"/>
          <w:szCs w:val="20"/>
          <w:color w:val="auto"/>
        </w:rPr>
      </w:pPr>
    </w:p>
    <w:p>
      <w:pPr>
        <w:jc w:val="both"/>
        <w:ind w:right="3119" w:firstLine="185"/>
        <w:spacing w:after="0" w:line="251" w:lineRule="auto"/>
        <w:rPr>
          <w:sz w:val="20"/>
          <w:szCs w:val="20"/>
          <w:color w:val="auto"/>
        </w:rPr>
      </w:pPr>
      <w:r>
        <w:rPr>
          <w:rFonts w:ascii="Courier New" w:cs="Courier New" w:eastAsia="Courier New" w:hAnsi="Courier New"/>
          <w:sz w:val="15"/>
          <w:szCs w:val="15"/>
          <w:color w:val="auto"/>
        </w:rPr>
        <w:t>The Holder will have the right to sell, assign, donate, pledge or otherwise transfer or encumber any or all of the Subject Shares and any related rights and obligations under the Put/Call Agreement only with Lilly's prior written consent. Lilly will grant such consent provided that:</w:t>
      </w:r>
    </w:p>
    <w:p>
      <w:pPr>
        <w:spacing w:after="0" w:line="176" w:lineRule="exact"/>
        <w:rPr>
          <w:sz w:val="20"/>
          <w:szCs w:val="20"/>
          <w:color w:val="auto"/>
        </w:rPr>
      </w:pPr>
    </w:p>
    <w:p>
      <w:pPr>
        <w:ind w:left="740" w:hanging="376"/>
        <w:spacing w:after="0"/>
        <w:tabs>
          <w:tab w:leader="none" w:pos="7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transferee shall have executed and delivered an agreement</w:t>
      </w:r>
    </w:p>
    <w:p>
      <w:pPr>
        <w:spacing w:after="0" w:line="7" w:lineRule="exact"/>
        <w:rPr>
          <w:rFonts w:ascii="Courier New" w:cs="Courier New" w:eastAsia="Courier New" w:hAnsi="Courier New"/>
          <w:sz w:val="15"/>
          <w:szCs w:val="15"/>
          <w:color w:val="auto"/>
        </w:rPr>
      </w:pPr>
    </w:p>
    <w:p>
      <w:pPr>
        <w:ind w:left="180"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satisfactory to Lilly confirming that the Subject Shares being transferred will remain subject to the Put/Call Agreement;</w:t>
      </w:r>
    </w:p>
    <w:p>
      <w:pPr>
        <w:spacing w:after="0" w:line="174" w:lineRule="exact"/>
        <w:rPr>
          <w:rFonts w:ascii="Courier New" w:cs="Courier New" w:eastAsia="Courier New" w:hAnsi="Courier New"/>
          <w:sz w:val="15"/>
          <w:szCs w:val="15"/>
          <w:color w:val="auto"/>
        </w:rPr>
      </w:pPr>
    </w:p>
    <w:p>
      <w:pPr>
        <w:ind w:left="180" w:right="3479" w:firstLine="184"/>
        <w:spacing w:after="0" w:line="251"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the Subject Shares being transferred remain deposited in the escrow and the transferee shall have executed and delivered to the Escrow Agent an undated stock power for those Subject Shares (subject to certain exceptions where the transfer is a bona fide pledge);</w:t>
      </w:r>
    </w:p>
    <w:p>
      <w:pPr>
        <w:spacing w:after="0" w:line="176" w:lineRule="exact"/>
        <w:rPr>
          <w:rFonts w:ascii="Courier New" w:cs="Courier New" w:eastAsia="Courier New" w:hAnsi="Courier New"/>
          <w:sz w:val="15"/>
          <w:szCs w:val="15"/>
          <w:color w:val="auto"/>
        </w:rPr>
      </w:pPr>
    </w:p>
    <w:p>
      <w:pPr>
        <w:ind w:left="180" w:right="3219" w:firstLine="184"/>
        <w:spacing w:after="0" w:line="251" w:lineRule="auto"/>
        <w:tabs>
          <w:tab w:leader="none" w:pos="91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 is reasonably satisfied that the transfer will comply with all applicable securities laws and other legal requirements and will not result in the outstanding Series D Preferred Stock being held of record by 500 or more persons within the meaning of Section 12(g) of the Exchange Act, as amended, and the rules and regulations thereunder.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RESTRICTIONS ON LILLY</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existence of any Put/Call Agreement will not impair or restrict in any way Lilly's right, following the Merger, to transfer all or any of its interest in IMS or to cause IMS to merge, sell its assets or engage in other extraordinary transactions, including, without limitation, transactions that would result in the cashing out of Series D Preferred Stock or the exchange of Series D Preferred Stock for other securities, except that prior to the third anniversary of the Merger Lilly will not cause IMS to engage in a merger or other extraordinary transaction that would result in a Holder's being deemed for Federal income tax purposes to have sold Subject Shares in such merger or other extraordinary transaction. Lilly will represent that, as of the date of the Put/Call Agreement, it has no present intention to cause IMS to engage in such a merger or other extraordinary transaction prior to the fifth anniversary of the Merger.</w:t>
      </w:r>
    </w:p>
    <w:p>
      <w:pPr>
        <w:spacing w:after="0" w:line="183"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If pursuant to a merger, consolidation, recapitalization, reorganization, sale of substantially all of the assets or other such transaction involving IMS, the outstanding shares of Series D Preferred Stock are converted into or exchanged for cash, property or securities of IMS or any other issuer, then the put and call rights shall apply to such cash, property or securities and the Purchase Price and other terms of the Put/Call Agreement shall be subject to appropriate adjustment, so as to preserve unchanged to the fullest extent possible the rights and obligations of the parties to the Put/Call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SUBMISSION TO JURISDICTION</w:t>
      </w:r>
    </w:p>
    <w:p>
      <w:pPr>
        <w:spacing w:after="0" w:line="185"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Any action or proceeding arising out of a Put/Call Agreement may be heard and determined by any state or federal court sitting in the State of Colorado.</w:t>
      </w:r>
    </w:p>
    <w:p>
      <w:pPr>
        <w:spacing w:after="0" w:line="174"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AMENDMENT TO THE ARTICLES OF INCORPORATION OF IMS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Approval of the Merger by IMS shareholders will include approval of an amendment to the Articles of Incorporation of IMS (as amended, the "New Charter") set forth in the Articles of Merger, effective upon consummation of the Merger, as described below. The following is a summary of such amendments, and is qualified in its entirety by reference to the Articles of Merger which are attached hereto as Appendix A to this Proxy Statement-Prospectus. For a more complete description of the preferences, limitations and relative rights of the capital stock of IMS following the Merger, see "DESCRIPTION OF CAPITAL STOCK OF IMS."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185" w:lineRule="exact"/>
        <w:rPr>
          <w:sz w:val="20"/>
          <w:szCs w:val="20"/>
          <w:color w:val="auto"/>
        </w:rPr>
      </w:pPr>
    </w:p>
    <w:p>
      <w:pPr>
        <w:jc w:val="both"/>
        <w:ind w:right="3119" w:firstLine="185"/>
        <w:spacing w:after="0" w:line="252" w:lineRule="auto"/>
        <w:rPr>
          <w:sz w:val="20"/>
          <w:szCs w:val="20"/>
          <w:color w:val="auto"/>
        </w:rPr>
      </w:pPr>
      <w:r>
        <w:rPr>
          <w:rFonts w:ascii="Courier New" w:cs="Courier New" w:eastAsia="Courier New" w:hAnsi="Courier New"/>
          <w:sz w:val="15"/>
          <w:szCs w:val="15"/>
          <w:color w:val="auto"/>
        </w:rPr>
        <w:t>The New Charter changes the total authorized capital of IMS from 25,000,000 shares of common stock, without par value, and 7,000,000 shares of preferred stock, $0.01 par value, to 20,000,000 shares of common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50" w:right="1440" w:bottom="1440" w:gutter="0" w:footer="0" w:header="0"/>
        </w:sectPr>
      </w:pPr>
    </w:p>
    <w:bookmarkStart w:id="48" w:name="page49"/>
    <w:bookmarkEnd w:id="48"/>
    <w:p>
      <w:pPr>
        <w:jc w:val="both"/>
        <w:ind w:right="3119"/>
        <w:spacing w:after="0" w:line="253" w:lineRule="auto"/>
        <w:rPr>
          <w:sz w:val="20"/>
          <w:szCs w:val="20"/>
          <w:color w:val="auto"/>
        </w:rPr>
      </w:pPr>
      <w:r>
        <w:rPr>
          <w:rFonts w:ascii="Courier New" w:cs="Courier New" w:eastAsia="Courier New" w:hAnsi="Courier New"/>
          <w:sz w:val="15"/>
          <w:szCs w:val="15"/>
          <w:color w:val="auto"/>
        </w:rPr>
        <w:t>stock, without par value, 2,000,000 shares of Series B Preferred Stock, $1.00 par value and 12,000,000 shares of Series D Preferred Stock, $0.01 par value.</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New Charter will also establish the Series D Preferred Stock with the preferences, limitations and relative rights as described under "DESCRIPTION OF IMS CAPITAL STOCK -- Series D Preferred Stock." Inasmuch as, pursuant to terms of the Merger, the Series C Preferred Stock will be converted into shares of common stock of IMS, references to the Series C Preferred Stock have been eliminated from the New Charter.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Under the New Charter, following the Merger, holders of Series B Preferred Stock and Series D Preferred Stock will have no voting rights other than those voting rights required by the Colorado Business Corporation Act and other than, in the case of Series D Preferred Stock, rights to elect directors following certain failures in the payment of dividends and the redemption of the Series D Preferred Stock. Prior to the Merger, holders of the Series B Preferred Stock have voting rights identical and equal to the voting rights of the Company Common Stock.</w:t>
      </w:r>
    </w:p>
    <w:p>
      <w:pPr>
        <w:spacing w:after="0" w:line="175"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In addition, the New Charter explicitly reduces the vote required for any matter that pursuant to the Colorado Corporation Code (as in effect immediately prior to July 1, 1994) required a two-thirds vote of all of the outstanding shares of the corporation entitled to vote or all of the outstanding shares of each class where class voting was required to only a majority of all the votes entitled to be cast on the matter by each voting group entitled to vote separately on the matter.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Under the New Charter, following the Merger, the Series B Preferred Stock and the Series D Preferred Stock will be parity stock in respect of the rights to payments upon the liquidation, dissolution or winding-up of IMS. Prior to the Merger, the rights of the holders of Series B Preferred Stock upon the liquidation, dissolution and winding-up of IMS are superior to similar rights for all other classes of IMS capital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8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The Articles of Incorporation of IMS prior to the Merger provide that the Series B Preferred Stock is convertible into Company Common Stock. However, they also provide that, upon a merger of IMS with another entity, the shares of Series B Preferred Stock shall, after such merger, be convertible into the kind and number of shares of stock or other securities or property to which such holder would have been entitled if, immediately prior to such merger, such holder had converted his shares of Series B Preferred Stock into Company Common Stock. Accordingly, following the Merger, shares of Series B Preferred Stock will be convertible into, at the holder's option, either $5.33 in cash, without interest, or two-thirds of a share of Series D Preferred Stock (subject to possible redemption thereafter by the Company in accordance with the terms of the Series D Preferred Stock).</w:t>
      </w:r>
    </w:p>
    <w:p>
      <w:pPr>
        <w:spacing w:after="0" w:line="18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COMPARISON OF SHAREHOLDER RIGHTS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following is a summary of the material differences between the rights of IMS shareholders prior to the Merger and following the Merger. As IMS is the surviving corporation in the Merger with Subsidiary, the differences arise from the New Charter set forth in the Articles of Merger, to be effective upon consummation of the Merger (a copy of which is attached hereto as Appendix A to this Proxy Statement-Prospectus), as well as from the new By-Laws ("New By-Laws") to be adopted by IMS following the Merger. This summary does not purport to be a complete statement of the rights of holders of Company Common Stock and Series B Preferred Stock following the Merger under, and is qualified in its entirety by reference to, Colorado law, as well as the Articles of Merger and the By-Laws in effect prior to and following the Merger. For a description of the rights preferences, limitations and relative rights of the capital stock of IMS following the Merger, see "DESCRIPTION OF CAPITAL STOCK OF IMS."</w:t>
      </w:r>
    </w:p>
    <w:p>
      <w:pPr>
        <w:spacing w:after="0" w:line="200" w:lineRule="exact"/>
        <w:rPr>
          <w:sz w:val="20"/>
          <w:szCs w:val="20"/>
          <w:color w:val="auto"/>
        </w:rPr>
      </w:pPr>
    </w:p>
    <w:p>
      <w:pPr>
        <w:spacing w:after="0" w:line="3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5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VOTING RIGHTS</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New Charter explicitly reduces the vote required for any matter that pursuant to the Colorado Corporation Code (as in effect immediately prior to July 1, 1994) required a two-thirds vote of all of the outstanding shares of the corporation entitled to vote or all of the outstanding shares of each class where class voting was required to only a majority of all the votes entitled to be cast on the matter by each voting group entitled to vote separately on the matter.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SHAREHOLDER MEETINGS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the By-Laws of IMS in effect prior to the Merger, written notice of each meeting of the shareholders was required to be given to each shareholder of record not less than 10 nor more than 50 days before the date of the meeting. The New By-Laws have changed the notice requirement to not less than 10 nor more than 60 days before the date of the meeting. In addition, the New By-Laws add a provision that at least 20 days notice be given if a sale, lease, exchange or other disposition of all or substantially all of the property and assets of the Company not in the usual and regular course of business is to be voted 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CONFLICTING INTEREST TRANSACTIONS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Colorado law and the New By-Laws contain provisions relating to certain conflicting interest transactions and the approval of such transactions by the Board of Directors. The Board of Directors or a committee thereof cannot authorize a loan by the Company to a director of the Company or to an entity in which a director of the Company is a director or officer or has a financial interest, or a guaranty by the Company of an obligation of a director of the Company or of an obligation of an entity in which a director of the Company is a director or officer or has a financial interest, until at least 10 days after written notice of the proposed authorization of the loan or guaranty has been given to the shareholders who would be entitled to vote thereon if the issue of the loan or guaranty were submitted to a vote of shareholders.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FOR EXTRAORDINARY MATTERS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Generally, only the common stock is entitled to vote on matters submitted to a shareholder vote. However, the New By-Laws provide that if a voting group is entitled to vote separately on a particular proposal, then such a proposal must be approved by a majority of all the votes entitled to be cast by such voting group. Under Colorado law, holders of the shares of a particular class are entitled to vote as a separate voting group on an amendment to the articles of incorporation or on a merger which (a) increases or decreases the aggregate number of authorized shares of that class, (b) effects an exchange or reclassification of all or part of the shares of the class into shares of another class, (c) effects an exchange or reclassification, or create the right of exchange, of all or part of the shares of another class into shares of the class, (d) changes the designation, preferences, limitations or relative rights of all or part of the shares of the class, (e) changes the shares of all or part of the class into a different number of shares of the same class, (f) creates a new class of shares having rights or preferences with respect to distributions or dissolutions that are prior, superior or substantially equal to the shares of the class, (g) increases the rights, preferences, or number of authorized shares of any class that, after giving effect to the amendment, have rights or preferences with respect to distributions or to dissolution that are prior, superior or substantially equal to the shares of the class, (h) limits or denies an existing preemptive right of all or a part of the shares of the class, and (i) cancels or otherwise affects rights to distributions or dividends that have accumulated but have not yet been declared on all or part of the shares of the class.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Articles of Incorporation in effect prior to the Merger state that the Company possesses and may exercise all powers of indemnification of directors, officers, employees, agents and other persons, and all powers and authority incidental thereto without regard to whether or not such powers and authority are provided for by Colorado law. Although the New Charter does not provide for indemnification, the New By-Laws provide that the Company will indemnify any person who was, is or is threatened to be made a named defendant or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50" w:right="1440" w:bottom="1440" w:gutter="0" w:footer="0" w:header="0"/>
        </w:sectPr>
      </w:pPr>
    </w:p>
    <w:bookmarkStart w:id="50" w:name="page51"/>
    <w:bookmarkEnd w:id="50"/>
    <w:p>
      <w:pPr>
        <w:ind w:right="3119"/>
        <w:spacing w:after="0" w:line="250" w:lineRule="auto"/>
        <w:rPr>
          <w:sz w:val="20"/>
          <w:szCs w:val="20"/>
          <w:color w:val="auto"/>
        </w:rPr>
      </w:pPr>
      <w:r>
        <w:rPr>
          <w:rFonts w:ascii="Courier New" w:cs="Courier New" w:eastAsia="Courier New" w:hAnsi="Courier New"/>
          <w:sz w:val="15"/>
          <w:szCs w:val="15"/>
          <w:color w:val="auto"/>
        </w:rPr>
        <w:t>respondent in a proceeding because the person is or was a director against specified liabilities incurred in, related to, or as a result of, the proceeding to the fullest extent permitted by law, including without limitation in circumstances in which, in the absence of a provision to the contrary in the by-laws, indemnification would be discretionary under the Colorado Business Corporation Act, if (a) the person conducted himself or herself in good faith; (b) the person reasonably believed: (i) in the case of conduct in an official capacity with the Company, that his or her conduct was in the Company's best interests; and (ii) in all other cases, that his or her conduct was at least not opposed to the Company's best interests; and (c) in the case of any criminal proceeding, the person had no reasonable cause to believe his or her conduct was unlawful.</w:t>
      </w:r>
    </w:p>
    <w:p>
      <w:pPr>
        <w:spacing w:after="0" w:line="183"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In accordance with Colorado law, the New By-Laws provide that the Company will not indemnify a director under the provisions described above in connection with a proceeding by or in the right of the Company in which the director was adjudged liable to the Company or in connection with any other proceeding charging that the director derived an improper personal benefit, whether or not involving action in an official capacity, in which proceeding the director was adjudged liable on the basis that he or she derived an improper personal benefit.</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addition to the foregoing, the New By-Laws provide that the Company will indemnify a person who was wholly successful, on the merits or otherwise, in the defense of any proceeding to which the person was a party because the person is or was a director, against reasonable expenses incurred by him or her in connection with the proceeding.</w:t>
      </w:r>
    </w:p>
    <w:p>
      <w:pPr>
        <w:spacing w:after="0" w:line="176" w:lineRule="exact"/>
        <w:rPr>
          <w:sz w:val="20"/>
          <w:szCs w:val="20"/>
          <w:color w:val="auto"/>
        </w:rPr>
      </w:pPr>
    </w:p>
    <w:p>
      <w:pPr>
        <w:ind w:right="3119" w:firstLine="185"/>
        <w:spacing w:after="0" w:line="252" w:lineRule="auto"/>
        <w:rPr>
          <w:sz w:val="20"/>
          <w:szCs w:val="20"/>
          <w:color w:val="auto"/>
        </w:rPr>
      </w:pPr>
      <w:r>
        <w:rPr>
          <w:rFonts w:ascii="Courier New" w:cs="Courier New" w:eastAsia="Courier New" w:hAnsi="Courier New"/>
          <w:sz w:val="15"/>
          <w:szCs w:val="15"/>
          <w:color w:val="auto"/>
        </w:rPr>
        <w:t>In addition, the New By-Laws provide that the Company will indemnify an officer, employee, fiduciary or agent of the Company to the same extent as to a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HOLDERS OF SERIES B PREFERRED STOCK</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Under the New Charter, following the Merger, holders of Series B Preferred Stock and Series D Preferred Stock will have no voting rights other than those voting rights required by the Colorado Business Corporation Act and other than, in the case of the Series D Preferred Stock, rights to elect directors following certain failures in the payment of dividends and the redemption of the Series D Preferred Stock. Prior to the Merger, holders of the Series B Preferred Stock have voting rights identical and equal to the voting rights of the Company Common Stock.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LIQUIDATION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Under the New Charter, following the Merger, the Series B Preferred Stock and the Series D Preferred Stock will be parity stock in respect of the rights to payments upon the liquidation, dissolution or winding-up of IMS. Prior to the Merger, the rights of the holders of Series B Preferred Stock upon the liquidation, dissolution and winding-up of IMS are superior to similar rights for all other classes of IMS capital stock.</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 RIGHTS</w:t>
      </w:r>
    </w:p>
    <w:p>
      <w:pPr>
        <w:spacing w:after="0" w:line="18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The Articles of Incorporation of IMS prior to the Merger provide that the Series B Preferred Stock is convertible into Company Common Stock. However, they also provide that, upon a merger of IMS with another entity, the shares of Series B Preferred Stock shall, after such merger, be convertible into the kind and number of shares of stock or other securities or property to which such holder would have been entitled if, immediately prior to such merger, such holder had converted his shares of Series B Preferred Stock into Company Common Stock. Accordingly, following the Merger, shares of Series B Preferred Stock will be convertible into, at the holder's option, either $5.33 in cash, without interest, or two-thirds of a share of Series D Preferred Stock.</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50" w:right="1440" w:bottom="1440" w:gutter="0" w:footer="0" w:header="0"/>
        </w:sectPr>
      </w:pPr>
    </w:p>
    <w:bookmarkStart w:id="51" w:name="page52"/>
    <w:bookmarkEnd w:id="51"/>
    <w:p>
      <w:pPr>
        <w:ind w:left="2020"/>
        <w:spacing w:after="0"/>
        <w:rPr>
          <w:sz w:val="20"/>
          <w:szCs w:val="20"/>
          <w:color w:val="auto"/>
        </w:rPr>
      </w:pPr>
      <w:r>
        <w:rPr>
          <w:rFonts w:ascii="Courier New" w:cs="Courier New" w:eastAsia="Courier New" w:hAnsi="Courier New"/>
          <w:sz w:val="15"/>
          <w:szCs w:val="15"/>
          <w:color w:val="auto"/>
        </w:rPr>
        <w:t>DESCRIPTION OF CAPITAL STOCK OF IMS</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following are summaries of the terms of the capital stock of IMS following the consummation of the Merger, including the amendment to the Articles of Incorporation described in "AMENDMENT TO THE ARTICLES OF INCORPORATION OF IMS." Such summaries are qualified in their entirety by reference to the provisions of the Articles of Incorporation of IMS to be in effect following the Merger, which can be found in the Articles of Merger, which is attached as Exhibit A to the Merger Agreement which is attached as Appendix A to this Proxy Statement-Prospectus.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STOCK</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Following the Merger, the aggregate number of shares that IMS shall have authority to issue is 20,000,000 shares of common stock, without par value, 12,000,000 shares of Series D Preferred Stock, $0.01 par value, and 2,000,000 shares of Series B Preferred Stock, $1.00 par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Following the Merger, each shareholder of record of common stock entitled to vote will have one vote for each share of such stock standing in his name on the books of the corporation, except that in the election of directors such holder will have the right to vote such number of shares for as many persons as there are directors to be elected. Cumulative voting will not be allowed in the election of directors or for any other purpose. Pursuant to the Merger Agreement, immediately following the Merger, all the common stock of IMS will be held by Lilly.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 PREFERRED STOCK</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RANK</w:t>
      </w:r>
    </w:p>
    <w:p>
      <w:pPr>
        <w:spacing w:after="0" w:line="185"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Shares of Series D Preferred Stock will have a preference over shares of IMS's common stock upon liquidation, dissolution or winding-up of IMS.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Holders of Series D Preferred Stock will be entitled to receive, if, as and when declared by the Board of Directors out of funds legally available therefor, cumulative cash dividends at an annual rate of $0.62 per share, in preference to and in priority over any dividends with respect to the common stock of IMS. Dividends will begin to accrue and be cumulative (regardless of whether such dividends have been declared by the Board of Directors) beginning on the date of issuance, and will be payable annually in arrears each December 31 until and unless redeemed by IMS.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RIGHTS</w:t>
      </w:r>
    </w:p>
    <w:p>
      <w:pPr>
        <w:spacing w:after="0" w:line="185" w:lineRule="exact"/>
        <w:rPr>
          <w:sz w:val="20"/>
          <w:szCs w:val="20"/>
          <w:color w:val="auto"/>
        </w:rPr>
      </w:pPr>
    </w:p>
    <w:p>
      <w:pPr>
        <w:ind w:right="3119" w:firstLine="185"/>
        <w:spacing w:after="0" w:line="252" w:lineRule="auto"/>
        <w:rPr>
          <w:sz w:val="20"/>
          <w:szCs w:val="20"/>
          <w:color w:val="auto"/>
        </w:rPr>
      </w:pPr>
      <w:r>
        <w:rPr>
          <w:rFonts w:ascii="Courier New" w:cs="Courier New" w:eastAsia="Courier New" w:hAnsi="Courier New"/>
          <w:sz w:val="15"/>
          <w:szCs w:val="15"/>
          <w:color w:val="auto"/>
        </w:rPr>
        <w:t>Outstanding shares of Series D Preferred Stock will have no voting rights other than voting rights required by the Colorado Business Corporation Act or as otherwise provided below.</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Whenever, at any time or times, dividends payable on any share or shares of Series D Preferred Stock are in arrears in an amount equal to at least two full annual dividends (whether or not declared and whether or not consecutive and whether or not funds are legally available for such dividends), the holders of record of the outstanding Series D Preferred Stock will have the exclusive right, voting separately as a single class, to elect one director of IMS at a special meeting of shareholders of IMS or at IMS's next annual meeting of shareholders, and at each subsequent annual meeting of shareholders. At elections for such director, the holders of shares of Series D Preferred Stock will be entitled to cast one vote for each share held.</w:t>
      </w:r>
    </w:p>
    <w:p>
      <w:pPr>
        <w:spacing w:after="0" w:line="182" w:lineRule="exact"/>
        <w:rPr>
          <w:sz w:val="20"/>
          <w:szCs w:val="20"/>
          <w:color w:val="auto"/>
        </w:rPr>
      </w:pPr>
    </w:p>
    <w:p>
      <w:pPr>
        <w:jc w:val="both"/>
        <w:ind w:right="3579" w:firstLine="185"/>
        <w:spacing w:after="0" w:line="252" w:lineRule="auto"/>
        <w:rPr>
          <w:sz w:val="20"/>
          <w:szCs w:val="20"/>
          <w:color w:val="auto"/>
        </w:rPr>
      </w:pPr>
      <w:r>
        <w:rPr>
          <w:rFonts w:ascii="Courier New" w:cs="Courier New" w:eastAsia="Courier New" w:hAnsi="Courier New"/>
          <w:sz w:val="15"/>
          <w:szCs w:val="15"/>
          <w:color w:val="auto"/>
        </w:rPr>
        <w:t>Upon a failure by IMS to redeem any shares of Series D Preferred Stock pursuant to any demand duly made pursuant to a holder's redemption right discussed in "-- Redemption -- At the Option of Holders" below</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50" w:right="1440" w:bottom="1440" w:gutter="0" w:footer="0" w:header="0"/>
        </w:sectPr>
      </w:pPr>
    </w:p>
    <w:bookmarkStart w:id="52" w:name="page53"/>
    <w:bookmarkEnd w:id="52"/>
    <w:p>
      <w:pPr>
        <w:ind w:right="3019"/>
        <w:spacing w:after="0" w:line="250" w:lineRule="auto"/>
        <w:rPr>
          <w:sz w:val="20"/>
          <w:szCs w:val="20"/>
          <w:color w:val="auto"/>
        </w:rPr>
      </w:pPr>
      <w:r>
        <w:rPr>
          <w:rFonts w:ascii="Courier New" w:cs="Courier New" w:eastAsia="Courier New" w:hAnsi="Courier New"/>
          <w:sz w:val="15"/>
          <w:szCs w:val="15"/>
          <w:color w:val="auto"/>
        </w:rPr>
        <w:t>(whether or not such failure results from IMS's failure to have sufficient funds legally available for such redemption), then the holders of record of the Series D Preferred Stock will have, as their sole remedy in respect of such failure, the exclusive right, voting separately as a single class, to elect the smallest number of directors of IMS that will constitute a majority of the authorized number of members of the Board of Directors (including new directorships created) at a special meeting of shareholders of IMS or at IMS's next annual meeting of shareholders, and at each subsequent annual meeting of shareholders. At elections for such directors, the holders of shares of Series D Preferred Stock will be entitled to cast one vote for each share held. If such holders exercise such right to elect a majority of the directors, then following the election of such directors and during the period in which a majority of the directors are persons elected by such holders (or the successors of such directors), IMS will be required to redeem all of the shares of Series D Preferred Stock for which redemption was duly demanded as soon as practicable if and to the extent that funds are legally available therefor.</w:t>
      </w:r>
    </w:p>
    <w:p>
      <w:pPr>
        <w:spacing w:after="0" w:line="36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Upon the vesting of a right of the holders of the Series D Preferred Stock to elect any directors, the maximum authorized number of members of the Board will be automatically increased, (i) in case of a right because of a failure to pay dividends, by one and, (ii) in the case of a right because of a failure to redeem, by the maximum number of members of the Board of Directors immediately up to that time authorized (but excluding from such maximum number the member, if any, authorized because of a failure to pay dividends), plus one, and the vacancy or vacancies so created will be filled by vote of the holders of the outstanding Series D Preferred Stock as set forth below. A special meeting of the shareholders of IMS then entitled to vote will be called by the Chairman of the Board of Directors or the President or the Secretary of IMS, if requested in writing by the holders of record of not less than 25% of the Series D Preferred Stock then outstanding. At such special meeting, or, if such special meeting will not have been called, then at the next annual meeting of shareholders of IMS, the holders of the Series D Preferred Stock will elect, voting as above provided, a director or directors to fill such vacancy or vacancies created by the automatic increase in the number of members of the Board of Directors. At any and all such meetings for such election, the holders of a majority of the outstanding shares of the Series D Preferred Stock will be necessary to constitute a quorum for such election, whether present in person or by proxy, and such director or directors will be elected by the vote of at least a plurality of shares held by such shareholders present or represented at the meeting. Any director elected by holders of the Series D Preferred Stock pursuant to this Section may be removed at any annual or special meeting, by vote of a majority of the outstanding shares of the Series D Preferred Stock, with or without cause. In case a director so elected will vacate such position, such vacancy may be filled by unanimous agreement of the remaining directors so elected, or their successors then in office, if any, or may be filled in the same manner as is provided above for the initial election of a director by the holders of the Series D Preferred Stock.</w:t>
      </w:r>
    </w:p>
    <w:p>
      <w:pPr>
        <w:spacing w:after="0" w:line="368"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right of the holders of the Series D Preferred Stock, voting separately as a class, to elect one director of the Board because of a failure to pay dividends will continue until, and only until, such time as all arrears in dividends (whether or not declared) on the Series D Preferred Stock will have been paid or declared and set apart for payment, at which time such right will terminate, except as expressly provided by law, subject to revesting in the event of each and every subsequent failure of the character above-mentioned. The right of such holders, voting separately as a class, to elect directors because of a failure to redeem will continue until, and only until, such time as IMS has redeemed all of the shares of Series D Preferred Stock for which redemption was duly demanded at which time such right will terminate, except as expressly provided by law. Upon any termination of the right of the holders of the Series D Preferred Stock as a class to vote for a director or directors as herein provided, the term of office of any such director or directors then in office will terminate immediately.</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REDEMPTION</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At the Option of Holders. During the period of 30 days beginning on the fifth anniversary of the Effective Date, any one or more holders of shares of Series D Preferred Stock, at the option of such holders, may demand that IMS redeem any or all of their shares of Series D Preferred Stock at a redemption price of $8.00 per share, plus an amount equal to all accrued and unpaid dividends thereon (whether or not declared) to and including the date of redemption. Such demand will be made by delivering to IMS at its principal executive offices a written demand during the 30-day period. Such demand must specify the number of shares to be redeemed and will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50" w:right="1440" w:bottom="1440" w:gutter="0" w:footer="0" w:header="0"/>
        </w:sectPr>
      </w:pPr>
    </w:p>
    <w:bookmarkStart w:id="53" w:name="page54"/>
    <w:bookmarkEnd w:id="53"/>
    <w:p>
      <w:pPr>
        <w:ind w:left="5" w:right="3019"/>
        <w:spacing w:after="0" w:line="250" w:lineRule="auto"/>
        <w:rPr>
          <w:sz w:val="20"/>
          <w:szCs w:val="20"/>
          <w:color w:val="auto"/>
        </w:rPr>
      </w:pPr>
      <w:r>
        <w:rPr>
          <w:rFonts w:ascii="Courier New" w:cs="Courier New" w:eastAsia="Courier New" w:hAnsi="Courier New"/>
          <w:sz w:val="15"/>
          <w:szCs w:val="15"/>
          <w:color w:val="auto"/>
        </w:rPr>
        <w:t>irrevocable, except with the consent of IMS. Following receipt of any such demand, IMS may, at its option, choose to redeem, or not to redeem, shares in accordance with such demand and the provisions described herein. If shares are to be so redeemed, IMS will fix a redemption date that will be not later than 90 days after such fifth anniversary. IMS will give notice of redemption by first class mail, postage prepaid, mailed not less than 20 days prior to the date fixed for redemption to the holders whose shares are to be redeemed at their respective addresses appearing on the stock books of IMS. Notice so mailed will be conclusively presumed to have been duly given whether or not actually received. Such notice must state: (i) the date fixed for redemption;</w:t>
      </w:r>
    </w:p>
    <w:p>
      <w:pPr>
        <w:spacing w:after="0" w:line="4" w:lineRule="exact"/>
        <w:rPr>
          <w:sz w:val="20"/>
          <w:szCs w:val="20"/>
          <w:color w:val="auto"/>
        </w:rPr>
      </w:pPr>
    </w:p>
    <w:p>
      <w:pPr>
        <w:ind w:left="5" w:right="3019" w:hanging="5"/>
        <w:spacing w:after="0" w:line="250" w:lineRule="auto"/>
        <w:tabs>
          <w:tab w:leader="none" w:pos="4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 (iii) the number of shares of Series D Preferred Stock to be redeemed and if less than all the shares held by such holder are to be redeemed, the number of shares to be so redeemed from such holder; (iv) the place where certificates for such shares are to be surrendered for payment of the redemption price; and (v) that after the close of business on such date fixed for redemption the shares to be so redeemed will not accrue dividends. If IMS does not redeem all of the shares of Series D Preferred Stock for which redemption has been duly demanded, the sole remedy of the holders of such shares in respect of such failure to redeem will be the exercise of the voting rights described under "-- Voting Rights" above. For these purposes, IMS will be considered to have redeemed any shares for which redemption has been duly demanded if such shares are thereafter purchased by IMS or any person or entity that then owns, directly or indirectly, at least 50% of IMS's then outstanding common stock.</w:t>
      </w:r>
    </w:p>
    <w:p>
      <w:pPr>
        <w:spacing w:after="0" w:line="184" w:lineRule="exact"/>
        <w:rPr>
          <w:sz w:val="20"/>
          <w:szCs w:val="20"/>
          <w:color w:val="auto"/>
        </w:rPr>
      </w:pPr>
    </w:p>
    <w:p>
      <w:pPr>
        <w:ind w:left="5" w:right="3219" w:firstLine="185"/>
        <w:spacing w:after="0" w:line="251" w:lineRule="auto"/>
        <w:rPr>
          <w:sz w:val="20"/>
          <w:szCs w:val="20"/>
          <w:color w:val="auto"/>
        </w:rPr>
      </w:pPr>
      <w:r>
        <w:rPr>
          <w:rFonts w:ascii="Courier New" w:cs="Courier New" w:eastAsia="Courier New" w:hAnsi="Courier New"/>
          <w:sz w:val="15"/>
          <w:szCs w:val="15"/>
          <w:color w:val="auto"/>
        </w:rPr>
        <w:t>At the Option of IMS. On and after the fifth anniversary of the Effective Date, IMS, at its option, may redeem any or all shares of Series D Preferred Stock at a redemption price of $8.00 per share, plus an amount equal to all accrued and unpaid dividends thereon (whether or not declared) to and including the date of redemption.</w:t>
      </w:r>
    </w:p>
    <w:p>
      <w:pPr>
        <w:spacing w:after="0" w:line="176" w:lineRule="exact"/>
        <w:rPr>
          <w:sz w:val="20"/>
          <w:szCs w:val="20"/>
          <w:color w:val="auto"/>
        </w:rPr>
      </w:pPr>
    </w:p>
    <w:p>
      <w:pPr>
        <w:ind w:left="5" w:right="3119" w:firstLine="185"/>
        <w:spacing w:after="0" w:line="250" w:lineRule="auto"/>
        <w:rPr>
          <w:sz w:val="20"/>
          <w:szCs w:val="20"/>
          <w:color w:val="auto"/>
        </w:rPr>
      </w:pPr>
      <w:r>
        <w:rPr>
          <w:rFonts w:ascii="Courier New" w:cs="Courier New" w:eastAsia="Courier New" w:hAnsi="Courier New"/>
          <w:sz w:val="15"/>
          <w:szCs w:val="15"/>
          <w:color w:val="auto"/>
        </w:rPr>
        <w:t>Redemption Procedures. If IMS redeems less than all of the shares for which demands for redemption were duly made, or if less than all of the outstanding shares of Series D Preferred Stock are to be redeemed at the option of IMS, the shares to be redeemed will be selected pro rata (subject to rounding to avoid fractional shares) as nearly as practicable or by lot, or by such other method as IMS's Board may determine to be equitable; provided, however, that if IMS is proposing to redeem shares at its option and any shares for which demands for redemption were duly made have not been redeemed, then priority will be given to the redemption of such shares for which such demands were duly made.</w:t>
      </w:r>
    </w:p>
    <w:p>
      <w:pPr>
        <w:spacing w:after="0" w:line="182"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Notice of any redemption at the option of IMS will be given by first class mail, postage prepaid, mailed not less than 30 nor more than 60 days prior to the date fixed for redemption to the holders of record of the Series D Preferred Stock to be redeemed at their respective addresses appearing on the stock books of IMS. The IMS Board will fix a record date for determining holders of record who are entitled to receive notice of any redemption, not more than 10 days prior to the mailing of such notice. Notice so mailed will be conclusively presumed to have been duly given whether or not actually received. Such notice will state: (i) the date fixed for redemption; (ii) the redemption price; (iii) the number of shares of Series D Preferred Stock to be redeemed and if less than all the shares held by such holder are to be redeemed, the number of shares to be so redeemed from such holder; (iv) the place where certificates for such shares are to be surrendered for payment of the redemption price; and (v) that after the close of business on such date fixed for redemption the shares to be so redeemed will not accrue dividends.</w:t>
      </w:r>
    </w:p>
    <w:p>
      <w:pPr>
        <w:spacing w:after="0" w:line="184"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Upon surrender in accordance with the notice of redemption, the certificate for any shares of Series D Preferred Stock so redeemed (duly endorsed or accompanied by appropriate instruments of transfer, if so required by IMS in such notice), the holders of record of such shares will be entitled to receive the redemption price, without interest. In case fewer than all the shares represented by any such certificate are redeemed, a new certificate will be issued representing the unredeemed shares without cost to the holder thereof.</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Notice of redemption having been mailed as provided above, from and after the redemption date (unless default will be made by IMS in providing money for the payment of the redemption price) dividends on the shares of the Series D Preferred Stock called for redemption will cease to accrue, and said shares will no longer</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5"/>
          </w:cols>
          <w:pgMar w:left="235" w:top="650" w:right="1440" w:bottom="1440" w:gutter="0" w:footer="0" w:header="0"/>
        </w:sectPr>
      </w:pPr>
    </w:p>
    <w:bookmarkStart w:id="54" w:name="page55"/>
    <w:bookmarkEnd w:id="54"/>
    <w:p>
      <w:pPr>
        <w:ind w:right="3579"/>
        <w:spacing w:after="0" w:line="252" w:lineRule="auto"/>
        <w:rPr>
          <w:sz w:val="20"/>
          <w:szCs w:val="20"/>
          <w:color w:val="auto"/>
        </w:rPr>
      </w:pPr>
      <w:r>
        <w:rPr>
          <w:rFonts w:ascii="Courier New" w:cs="Courier New" w:eastAsia="Courier New" w:hAnsi="Courier New"/>
          <w:sz w:val="15"/>
          <w:szCs w:val="15"/>
          <w:color w:val="auto"/>
        </w:rPr>
        <w:t>be deemed to be outstanding, and all rights of the holders thereof as shareholders of IMS (except the right to receive from IMS the redemption price) will cease.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PREEMPTIVE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No holder of Series D Preferred Stock will, because of such holder's ownership of such stock, have a preemptive right to purchase, subscribe for or take any part of any capital stock of IMS nor will any such holder have a preemptive right to purchase, subscribe for or take any part of notes, debentures, bonds or any other securities of IMS, including, but not limited to, securities convertible into or carrying options or warrants to purchase capital stock of IMS.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LIQUIDATION PREFERENCE</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Upon any voluntary or involuntary liquidation, dissolution or winding-up of IMS, the holders of the Series D Preferred Stock will be entitled to receive out of the assets of IMS available for distribution to shareholders, before any distribution of assets is made to the holders of shares of common stock, an amount in cash equal to $8.00 per share, plus an amount equal to all accumulated and unpaid dividends on such shares of Series D Preferred Stock to and including the date of such liquidation, dissolution or winding-up. If, upon any voluntary or involuntary liquidation, dissolution or winding-up of IMS, the amounts payable with respect to the Series D Preferred Stock and any parity stock are not paid in full, the holders of the Series D Preferred Stock and such parity stock will share ratably in any such distribution of assets of IMS in proportion to the full respective preferential amounts (including accumulated and unpaid dividends) to which they are entitled. After payment to the holders of the Series D Preferred Stock (including accumulated and unpaid dividends) described in this paragraph, the holders of Series D Preferred Stock will be entitled to no further participation in any distribution of assets of IMS.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 RIGHTS</w:t>
      </w:r>
    </w:p>
    <w:p>
      <w:pPr>
        <w:spacing w:after="0" w:line="185"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Holders of the Series D Preferred Stock will have no rights to convert the Series D Preferred Stock into any other class of capital stock of IMS.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CANCELLATION OF REDEEMED SHARES</w:t>
      </w:r>
    </w:p>
    <w:p>
      <w:pPr>
        <w:spacing w:after="0" w:line="185" w:lineRule="exact"/>
        <w:rPr>
          <w:sz w:val="20"/>
          <w:szCs w:val="20"/>
          <w:color w:val="auto"/>
        </w:rPr>
      </w:pPr>
    </w:p>
    <w:p>
      <w:pPr>
        <w:jc w:val="both"/>
        <w:ind w:left="80" w:right="3859" w:firstLine="92"/>
        <w:spacing w:after="0" w:line="253" w:lineRule="auto"/>
        <w:rPr>
          <w:sz w:val="20"/>
          <w:szCs w:val="20"/>
          <w:color w:val="auto"/>
        </w:rPr>
      </w:pPr>
      <w:r>
        <w:rPr>
          <w:rFonts w:ascii="Courier New" w:cs="Courier New" w:eastAsia="Courier New" w:hAnsi="Courier New"/>
          <w:sz w:val="15"/>
          <w:szCs w:val="15"/>
          <w:color w:val="auto"/>
        </w:rPr>
        <w:t>All shares of Series D Preferred Stock redeemed as described in "-- Redemption" above will be cancelled and will not be issuable by IMS.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OTHER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shares of Series D Preferred Stock will not have any preferences, voting powers or relative, participating or other special rights except as set forth above and in the Articles of Incorporation or as otherwise required by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B PREFERRED STOCK</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Series B Preferred Stock will earn cumulative dividends at a rate of 10% of the Par Value (i.e., $.10 per share annually), which will be payable quarterly each September 30, December 31, March 31 and June 30 until and unless converted as provided under "-- Conversion" below. All payments of dividends on the Series B Preferred Stock and the outstanding Series D Preferred Stock will be made in pari passu among the holders of the Series D Preferred Stock and the holders of the Series B Preferred Stock and no holder of Series D Preferred Stock or holder of Series B Preferred Stock will be preferred over the other. See "-- Series D Preferred Stock" above.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VOTING RIGHTS</w:t>
      </w:r>
    </w:p>
    <w:p>
      <w:pPr>
        <w:spacing w:after="0" w:line="185" w:lineRule="exact"/>
        <w:rPr>
          <w:sz w:val="20"/>
          <w:szCs w:val="20"/>
          <w:color w:val="auto"/>
        </w:rPr>
      </w:pPr>
    </w:p>
    <w:p>
      <w:pPr>
        <w:jc w:val="both"/>
        <w:ind w:right="3299" w:firstLine="185"/>
        <w:spacing w:after="0" w:line="252" w:lineRule="auto"/>
        <w:rPr>
          <w:sz w:val="20"/>
          <w:szCs w:val="20"/>
          <w:color w:val="auto"/>
        </w:rPr>
      </w:pPr>
      <w:r>
        <w:rPr>
          <w:rFonts w:ascii="Courier New" w:cs="Courier New" w:eastAsia="Courier New" w:hAnsi="Courier New"/>
          <w:sz w:val="15"/>
          <w:szCs w:val="15"/>
          <w:color w:val="auto"/>
        </w:rPr>
        <w:t>Outstanding shares of Series B Preferred Stock will have no voting rights other than such voting rights as will be required by the Colorado Business Corporation Act.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50" w:right="1440" w:bottom="1440" w:gutter="0" w:footer="0" w:header="0"/>
        </w:sectPr>
      </w:pPr>
    </w:p>
    <w:bookmarkStart w:id="55" w:name="page56"/>
    <w:bookmarkEnd w:id="55"/>
    <w:p>
      <w:pPr>
        <w:ind w:left="180"/>
        <w:spacing w:after="0"/>
        <w:rPr>
          <w:sz w:val="20"/>
          <w:szCs w:val="20"/>
          <w:color w:val="auto"/>
        </w:rPr>
      </w:pPr>
      <w:r>
        <w:rPr>
          <w:rFonts w:ascii="Courier New" w:cs="Courier New" w:eastAsia="Courier New" w:hAnsi="Courier New"/>
          <w:sz w:val="15"/>
          <w:szCs w:val="15"/>
          <w:color w:val="auto"/>
        </w:rPr>
        <w:t>PREEMPTIVE OR PURCHASE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Holders of Series B Preferred Stock will not have preemptive rights to purchase, subscribe for or take any part of any capital stock of IMS nor will any such holders have preemptive rights to purchase, subscribe for or take any part of notes, debentures, bonds or any other securities of IMS, including, but not limited to, securities convertible into or carrying options or warrants to purchase capital stock of IMS.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RIGHTS ON LIQUIDATION, DISSOLUTION AND WINDING-UP OF IMS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Upon any liquidation, dissolution or winding-up of IMS, the holders of the Series B Preferred Stock will be entitled to be paid, before any distribution or payment is made to the holders of the outstanding common stock, an amount in cash equal to $1.00 per share plus accrued and unpaid dividends (the "Series B Liquidation Value"), and the holders of the Series B Preferred Stock will not be entitled to any further or additional payment. However, each share of Series B Preferred Stock will be convertible into two-thirds of a share of Series D Preferred Stock and thus, if converted, would thereafter be entitled to $5.33, plus accrued and unpaid dividends on the Series D Preferred Stock, upon any liquidation, dissolution or winding up of IMS. See "Series B Preferred Stock--Conversion" and "Series D Preferred Stock--Liquidation Preference." The Series B Preferred Stock and the Series D Preferred Stock will be parity stock in respect of rights to payment upon liquidation, dissolution or winding-up.</w:t>
      </w:r>
    </w:p>
    <w:p>
      <w:pPr>
        <w:spacing w:after="0" w:line="3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CONVERSION</w:t>
      </w:r>
    </w:p>
    <w:p>
      <w:pPr>
        <w:spacing w:after="0" w:line="185"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The holders of the Series B Preferred Stock will have conversion rights as follows (the "Series B Conversion Rights"):</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Right to Convert. Each share of Series B Preferred Stock will be convertible, at the option of the holder thereof, at any time, into either (i) the Series B Liquidation Value, payable in cash, of the Series B Preferred Stock on the date of conversion, without interest, or (ii) two-thirds of a share of the Series D Preferred Stock (subject to possible redemption thereafter by the Company in accordance with the terms of the Series D Preferred Stock).</w:t>
      </w:r>
    </w:p>
    <w:p>
      <w:pPr>
        <w:spacing w:after="0" w:line="35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Mechanics of Conversion. Before any holders of Series B Preferred Stock will be entitled to convert their shares into cash or shares of Series D Preferred Stock, such holder must surrender the certificate or certificates therefor, duly endorsed, and must give written notice to IMS that such holder elects to convert the shares into cash or Series D Preferred Stock. IMS will, as soon as practicable thereafter, either pay the required cash to the holder of Series B Preferred Stock or issue and deliver to such holder of Series B Preferred Stock a certificate or certificates for the number of shares of Series D Preferred Stock to which such holder will be entitled. Such shares of Series D Preferred Stock will be subject to redemption by the Company as described above in "-- Series D Preferred Stock -- Redemption."</w:t>
      </w:r>
    </w:p>
    <w:p>
      <w:pPr>
        <w:spacing w:after="0" w:line="18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Fractional Shares. No fractional shares of Series D Preferred Stock will be issued upon conversion of the Series B Preferred Stock. Fractional shares will not be issued; and, in lieu of fractional shares to which the holder would otherwise be entitled, IMS will pay cash equal to said fraction multiplied by 150% of the Series B Liquidation Value of a share of the Series B Preferred Stock.</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Changes in Series D Preferred Stock. IMS will not issue any shares of Series D Preferred Stock other than those shares issued in connection with the Merger or any shares subsequently issued upon conversion of Series B Preferred Stock as provided above or upon exercise of the Company Options and the Company Warrants contemplated by the Articles of Merger.</w:t>
      </w:r>
    </w:p>
    <w:p>
      <w:pPr>
        <w:spacing w:after="0" w:line="176"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number of shares of Series D Preferred Stock outstanding at any time after the Effective Date may not be increased by a stock dividend payable in shares of Series D Preferred Stock or by a subdivision or split-up of shares of Series D Preferred Stock.</w:t>
      </w:r>
    </w:p>
    <w:p>
      <w:pPr>
        <w:spacing w:after="0" w:line="176" w:lineRule="exact"/>
        <w:rPr>
          <w:sz w:val="20"/>
          <w:szCs w:val="20"/>
          <w:color w:val="auto"/>
        </w:rPr>
      </w:pPr>
    </w:p>
    <w:p>
      <w:pPr>
        <w:ind w:right="3399" w:firstLine="185"/>
        <w:spacing w:after="0" w:line="252" w:lineRule="auto"/>
        <w:rPr>
          <w:sz w:val="20"/>
          <w:szCs w:val="20"/>
          <w:color w:val="auto"/>
        </w:rPr>
      </w:pPr>
      <w:r>
        <w:rPr>
          <w:rFonts w:ascii="Courier New" w:cs="Courier New" w:eastAsia="Courier New" w:hAnsi="Courier New"/>
          <w:sz w:val="15"/>
          <w:szCs w:val="15"/>
          <w:color w:val="auto"/>
        </w:rPr>
        <w:t>The number of shares of Series D Preferred Stock outstanding at any time after the Effective Date may not be decreased by a combination of the outstanding shares of Series D Preferred Stock.</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If at any time after the Effective Date there occurs any capital reorganization, or any reclassification of the capital stock of IMS (other than a change in par value or as a result of a stock dividend or subdivision, split-up or combination of shares), or the consolidation or merger of IMS with or into another person (other than a consolidation or merger in which IMS is the continuing entity and which does not result in any change in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50" w:right="1440" w:bottom="1440" w:gutter="0" w:footer="0" w:header="0"/>
        </w:sectPr>
      </w:pPr>
    </w:p>
    <w:bookmarkStart w:id="56" w:name="page57"/>
    <w:bookmarkEnd w:id="56"/>
    <w:p>
      <w:pPr>
        <w:ind w:right="3019"/>
        <w:spacing w:after="0" w:line="250" w:lineRule="auto"/>
        <w:rPr>
          <w:sz w:val="20"/>
          <w:szCs w:val="20"/>
          <w:color w:val="auto"/>
        </w:rPr>
      </w:pPr>
      <w:r>
        <w:rPr>
          <w:rFonts w:ascii="Courier New" w:cs="Courier New" w:eastAsia="Courier New" w:hAnsi="Courier New"/>
          <w:sz w:val="15"/>
          <w:szCs w:val="15"/>
          <w:color w:val="auto"/>
        </w:rPr>
        <w:t>Series D Preferred Stock), or the sale or other disposition of all or substantially all of the properties and assets of IMS as an entity to any other person, the shares of Series B Preferred Stock will, after such reorganization, reclassification, consolidation, merger, sale or other disposition, be convertible into the kind and number of shares of stock or other securities or property of IMS or of the entity resulting from such consolidation or surviving such merger or to which such properties and assets will have been sold or otherwise disposed to which such holder would have been entitled if, immediately prior to such reorganization, reclassification, consolidation, merger, sale or other disposition, such holder had converted his shares of Series B Preferred Stock into Series D Preferred Stock. The provisions of this paragraph similarly apply to successive reorganizations, reclassifications, consolidations, mergers, sales or other dispositions.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NOTICES OF RECORD DATE</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the event of any taking by IMS of a record of the holders of any class of securities for the purpose of determining the holders thereof who are entitled to receive any dividend (other than a cash dividend) or other distribution, IMS will mail to each holder of Series B Preferred Stock, at least 20 days prior to the specified date, a notice specifying the date on which any such record is to be taken for the purpose of such dividend or distribution.</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RESERVATION OF STOCK ISSUABLE UPON CONVERSION</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IMS will at all times reserve and keep available out of its authorized but unissued shares of Series D Preferred Stock solely for the purpose of effecting the conversion of the shares of Series B Preferred Stock such number of its shares of Series D Preferred Stock as will from time to time be sufficient to effect the conversion of all outstanding shares of the Series B Preferred Stock.</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PROTECTIVE PROVISIONS</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For as long as any of the Series B Preferred Stock is outstanding, IMS will not, without first obtaining the approval (by vote or written consent, as provided by law) of the holders of at least 51% of the outstanding shares of Series B Preferred Stock, alter or change the rights, preferences or privileges of the Series B Preferred Stock.</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 REISSUANCE OF PREFERRED STOCK</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No share or shares of Series B Preferred Stock acquired by IMS by reason of redemption, purchase, conversion or otherwise will be reissued, and all such shares will be cancelled, retired and eliminated from the shares that IMS will be authorized to issue.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AMENDMENT AND WAIVER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Amendments, modifications or waivers of any of the above terms of the Series B Preferred Stock will be binding and effective if the prior written consent of holders of at least 51% of the Series B Preferred Stock outstanding at the time such action is taken is obtained; provided that no such action will change (a) the rate at which or the manner in which dividends on the Series B Preferred Stock accrue or the times at which such dividends become payable, unless the prior written consent of the holders of at least 91% of the Series B Preferred Stock then outstanding is obtained, (b) the Series B Conversion Rights or the number of shares or class of stock into which the Series B Preferred Stock is convertible, unless the prior written consent of the holders of at least 91% of the Series B Preferred Stock then outstanding is obtained or (c) the percentage required to approve any change described in clauses (a) and (b) above, unless the prior written consent of the holders of at least 91% of the Series B Preferred Stock then outstanding is obtained.</w:t>
      </w:r>
    </w:p>
    <w:p>
      <w:pPr>
        <w:spacing w:after="0" w:line="3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50" w:right="1440" w:bottom="1440" w:gutter="0" w:footer="0" w:header="0"/>
        </w:sectPr>
      </w:pPr>
    </w:p>
    <w:bookmarkStart w:id="57" w:name="page58"/>
    <w:bookmarkEnd w:id="57"/>
    <w:p>
      <w:pPr>
        <w:ind w:left="1200"/>
        <w:spacing w:after="0"/>
        <w:rPr>
          <w:sz w:val="20"/>
          <w:szCs w:val="20"/>
          <w:color w:val="auto"/>
        </w:rPr>
      </w:pPr>
      <w:r>
        <w:rPr>
          <w:rFonts w:ascii="Courier New" w:cs="Courier New" w:eastAsia="Courier New" w:hAnsi="Courier New"/>
          <w:sz w:val="15"/>
          <w:szCs w:val="15"/>
          <w:color w:val="auto"/>
        </w:rPr>
        <w:t>CERTAIN FEDERAL INCOME TAX CONSEQUENCES OF THE MERGER</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following discussion is a summary of the principal federal income tax consequences of the Merger to holders of IMS stock, warrants and options. The discussion is applicable to persons who hold their stock (or warrants) as capital assets and to persons who received their options in consideration for personal services rendered to IMS. The discussion assumes that the IMS stock is not, and the Series D Preferred Stock will not be, traded on an established securities market or an over-the-counter market or quoted in an interdealer quotation system. The discussion is based on laws, regulations, rulings and decisions currently in effect, all of which are subject to change (which change could apply retroactively). Certain of the consequences described below are based on provisions of the Code that have not yet been the subject of final regulations or other definitive guidance by the Internal Revenue Service. The discussion does not take account of rules that are applicable to persons that are subject to special treatment under the Code, including without limitation, foreign persons. The discussion also does not address state, local or foreign tax consequences of the Merger. The following discussion is based on the advice of Dewey Ballantine, counsel to Lilly, and Cleary, Gottlieb, Steen &amp; Hamilton, counsel to the Special Committee of the Board of Directors of IMS, who have rendered opinions to their respective clients that the discussion constitutes a fair summary of the principal federal income tax consequences of the Merger to holders of IMS stock, warrants and options. However, opinions of counsel are not binding on the Internal Revenue Service, and no rulings have been or will be requested from the Internal Revenue Service with respect to the tax consequences of the Merger. Each holder of IMS stock should consult his or her own tax advisor as to the specific tax consequences of the Merger to that holder.</w:t>
      </w:r>
    </w:p>
    <w:p>
      <w:pPr>
        <w:spacing w:after="0" w:line="189"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Receipt of Cash. A holder of Company Common Stock or Series B Preferred Stock (or Company Warrants) who elects to receive cash in exchange for all or a portion of his or her IMS stock (or Company Warrants) will recognize taxable gain or loss for federal income tax purposes with respect to those shares (or Company Warrants) in an amount equal to the difference between (a) the amount of the cash received by such holder (including any cash received in respect of accrued dividends on the Series B Preferred Stock) and (b) the holder's adjusted tax basis in the shares of IMS stock (or Company Warrants) surrendered in exchange therefor. Such gain or loss will be long-term capital gain or loss if such IMS stock (or Company Warrants) are considered to have been held for more than one year.</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Receipt of Series D Preferred Stock Without Entering Into Put/Call Agreement. The exchange of all or a portion of a holder's Company Common Stock or Series B Preferred Stock for Series D Preferred Stock by a holder who elects not to have such stock subject to a Put/Call Agreement should be treated as part of a tax-free reorganization under Section 368(a)(1)(E) of the Code. Accordingly, such holder should not recognize taxable gain or loss for federal income tax purposes with respect to those shares of IMS stock exchanged for Series D Preferred Stock, except that a holder of Series B Preferred Stock should recognize taxable gain (but not loss) equal to the lesser of (i) the amount of any accrued dividends on the Series B Preferred Stock that is received by such holder in connection with the Merger and (ii) the excess, if any, of (a) the amount realized by such holder (in general, the sum of the fair market value of the Series D Preferred Stock and the amount received in respect of such accrued dividends) over (b) the holder's adjusted tax basis in the shares of Series B Preferred Stock exchanged therefor. The aggregate tax basis of the Series D Preferred Stock received in the exchange should be equal to the basis of the IMS stock exchanged therefor, decreased by the amount of cash received in respect of accrued dividends on the Series B Preferred Stock and increased by the amount of taxable gain recognized.</w:t>
      </w:r>
    </w:p>
    <w:p>
      <w:pPr>
        <w:spacing w:after="0" w:line="18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Receipt of Series D Preferred Stock Subject to Put/Call Agreement. The federal income tax treatment of the exchange of all or a portion of a holder's IMS stock for Series D Preferred Stock by a holder who elects to have such stock subject to a Put/Call Agreement is uncertain. The transaction could be treated generally as a nontaxable exchange of stock for stock pursuant to a tax-free reorganization of IMS, or it could be treated as a taxable exchange of IMS stock for a deferred payment obligation issued by Lilly. Based on the relevant facts and circumstances, however, the better view is that the transaction should be treated generally as a nontaxable exchange of stock for stock pursuant to a reorganization described in Section 368(a)(1)(E) of the Code. Consistent with that view, Lilly and IMS intend to treat the transaction in accordance with its form and the Series D Preferred Stock that is subject to a Put/Call Agreement as constituting stock of IMS that is owned by the holder</w:t>
      </w:r>
    </w:p>
    <w:p>
      <w:pPr>
        <w:spacing w:after="0" w:line="3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50" w:right="1440" w:bottom="1440" w:gutter="0" w:footer="0" w:header="0"/>
        </w:sectPr>
      </w:pPr>
    </w:p>
    <w:bookmarkStart w:id="58" w:name="page59"/>
    <w:bookmarkEnd w:id="58"/>
    <w:p>
      <w:pPr>
        <w:ind w:right="3019"/>
        <w:spacing w:after="0" w:line="251" w:lineRule="auto"/>
        <w:rPr>
          <w:sz w:val="20"/>
          <w:szCs w:val="20"/>
          <w:color w:val="auto"/>
        </w:rPr>
      </w:pPr>
      <w:r>
        <w:rPr>
          <w:rFonts w:ascii="Courier New" w:cs="Courier New" w:eastAsia="Courier New" w:hAnsi="Courier New"/>
          <w:sz w:val="15"/>
          <w:szCs w:val="15"/>
          <w:color w:val="auto"/>
        </w:rPr>
        <w:t>of the Series D Preferred Stock, and neither Lilly nor IMS will claim an interest deduction with respect thereto. (The tax consequences of the possible treatment as a taxable deferred payment sale are described below under "Alternative Characterization".) In addition, while the characterization of the put and call rights with Lilly under the Put/Call Agreement is not free from doubt, they should be viewed as a property right that is separate from the Series D Preferred Stock.</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If the transaction is treated generally as a nontaxable exchange, the consequences to such a holder should be similar to those described under "Receipt of Series D Preferred Stock Without Entering Into Put/Call Agreement" above, except that such a holder should recognize taxable gain (but possibly not loss) for federal income tax purposes in respect of the net fair market value (if any) to the holder of the put and call rights with Lilly. Any such gain or loss should be long-term capital gain or loss if such IMS stock is considered to have been held for more than one year. The aggregate tax basis of the Series D Preferred Stock received in the exchange should generally be equal to the basis of the IMS stock exchanged therefor, subject to possible adjustment in respect of the put and call rights with Lilly. The holder's tax basis in the put rights should be equal to their fair market value.</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Holders of IMS stock who receive Series D Preferred Stock that is subject to a Put/Call Agreement will be treated for federal income tax purposes as entering into a "conversion transaction" as defined in Section 1258(c) of the Code. As a result, in the absence of regulations or other guidance to the contrary, any amount that otherwise would be treated as capital gain arising from the disposition of the Series D Preferred Stock (or from the expiration or termination of the call options with Lilly) will be treated instead as ordinary income to the extent that the gain does not exceed the amount of interest income that would have accrued on the holder's net investment in the conversion transaction. For this purpose, the net investment is equal to the fair market value of the Series D Preferred Stock plus the net fair market value of the put and call rights (if any) at the time of the Merger, and the interest on such net investment is computed by utilizing a rate equal to 120 percent of the applicable Federal rate (which is based on prevailing market interest rates on U.S. Government debt instruments having a maturity comparable to that of the conversion transaction). Under regulations that have not yet been issued, the amount of gain that is recharacterized as ordinary income should be reduced to reflect ordinary income received in respect of the conversion transaction, including dividend income.</w:t>
      </w:r>
    </w:p>
    <w:p>
      <w:pPr>
        <w:spacing w:after="0" w:line="18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Discount Preferred Stock. If and to the extent that the fair market value of the Series D Preferred Stock received in the Merger (as determined without taking account of any put and call options with Lilly) is less than $8.00 per share (i.e., the Series D Preferred Stock's redemption price at maturity), the Series D Preferred Stock will have an issue price that is less than its redemption price at maturity. Under Section 305(c) of the Code, in general (subject to regulations that have not yet been issued in final form), a holder of such stock will be deemed to receive distributions from IMS, equal in the aggregate to the difference between the issue price and the redemption price at maturity of such Series D Preferred Stock, on a constant yield basis over the life of the Series D Preferred Stock. Such a deemed distribution will be taxable to a holder of the Series D Preferred Stock as ordinary dividend income to the extent of the current and accumulated earnings and profits of IMS in the year of the deemed distribution. A holder's adjusted tax basis in the Series D Preferred Stock will be increased by the amount of such dividend income recognized by the holder. To the extent that the amount of the deemed distributions is greater than the current and accumulated earnings and profits of IMS, the deemed distributions will be treated as a non-taxable return of capital (to the extent of the holder's basis in the Series D Preferred Stock) and there should be no net effect on a holder's tax basis in those shares as a result of such deemed distributions. If and to the extent such deemed distributions exceed the holder's tax basis in the Series D Preferred Stock, they will be treated as taxable gain.</w:t>
      </w:r>
    </w:p>
    <w:p>
      <w:pPr>
        <w:spacing w:after="0" w:line="188"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Alternative Characterization. The Internal Revenue Service may take the position that the exchange of IMS stock for Series D Preferred Stock by a holder who elects to have such stock subject to a Put/Call Agreement should be treated as a taxable purchase of IMS stock by Lilly in exchange for its deferred payment obligation rather than as a nontaxable exchange pursuant to a tax-free reorganization. In that case, a holder of IMS stock will recognize taxable gain or loss equal to the difference between (a) the amount realized (in general, the sum of $8.00 per share of Series D Preferred Stock plus the amount of any payment received in respect 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50" w:right="1440" w:bottom="1440" w:gutter="0" w:footer="0" w:header="0"/>
        </w:sectPr>
      </w:pPr>
    </w:p>
    <w:bookmarkStart w:id="59" w:name="page60"/>
    <w:bookmarkEnd w:id="59"/>
    <w:p>
      <w:pPr>
        <w:ind w:right="3019"/>
        <w:spacing w:after="0" w:line="251" w:lineRule="auto"/>
        <w:rPr>
          <w:sz w:val="20"/>
          <w:szCs w:val="20"/>
          <w:color w:val="auto"/>
        </w:rPr>
      </w:pPr>
      <w:r>
        <w:rPr>
          <w:rFonts w:ascii="Courier New" w:cs="Courier New" w:eastAsia="Courier New" w:hAnsi="Courier New"/>
          <w:sz w:val="15"/>
          <w:szCs w:val="15"/>
          <w:color w:val="auto"/>
        </w:rPr>
        <w:t>accrued dividends on the Series B Preferred Stock) and (b) the holder's adjusted tax basis in the shares of IMS stock exchanged therefor. Such gain or loss will be long-term capital gain or loss if such IMS stock is considered to have been held for more than one year.</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Under the foregoing characterization, unless a holder elects to recognize gain in the taxable year of the Merger, the exchange of IMS stock for a deferred payment obligation (i.e., the Series D Preferred Stock subject to the Put/Call Agreement) issued by Lilly should be eligible for installment sale treatment under Section 453 of the Code. In general, such installment sale gain would be recognized proportionally as proceeds are received by the holder upon a redemption or other disposition of the deferred payment obligation or upon a pledge of the deferred payment obligation to secure a loan. Under Section 453A of the Code, a holder who reports such gain on the installment method generally would be required to pay to the Internal Revenue Service interest on the deferred tax liability if the sales price of the IMS stock by such holder exceeds $150,000 and the face amount of all installment obligations held by the taxpayer which arose during, and are outstanding as of the close of, the taxable year exceeds $5 million.</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Election to Retain Series B Preferred Stock. A holder of Series B Preferred Stock who elects to retain such stock will not recognize any taxable gain or loss in respect of such stock at the time of the Merger. Upon a subsequent redemption of such stock for cash or a conversion of such stock into Series D Preferred Stock, the tax consequences to the holder generally will be as described under "Receipt of Cash", "Receipt of Series D Preferred Stock Without Entering Into Put/Call Agreement," "Receipt of Preferred Stock Subject to Put/Call Agreement" and "Accrued Dividend on Series B Preferred", as the case may be, except that (x) payments of accrued dividends will be taxable as ordinary income to the extent of the current and accumulated earnings and profits of IMS for the taxable year and (y) in the case of a conversion of the Series B Preferred Stock into Series D Preferred Stock, the risk that such conversion will be treated as described in "Alternative Characterization" is probably greater than the risk of such treatment to a holder who acquires such stock at the time of the Merger.</w:t>
      </w:r>
    </w:p>
    <w:p>
      <w:pPr>
        <w:spacing w:after="0" w:line="184"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Accrued Dividend on Series B Preferred. IMS believes that it will have no accumulated or current earnings and profits for the taxable year in which the Merger takes place. Accordingly, any accrued dividend on the Series B Preferred Stock that is paid at the time of the Merger should be treated as a non-taxable return of capital that reduces the holder's tax basis in the Series B Preferred Stock (to the extent thereof) and, to the extent such accrued dividend exceeds such tax basis, it will be treated as taxable gain. Such gain will be long-term capital gain if the Series B Preferred Stock is considered to have been held for more than one year.</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Cash in Lieu of Fractional Shares. In the event that a holder of IMS stock receives, in the Merger, cash in lieu of a fractional share of IMS stock, such holder will recognize taxable gain or loss in an amount equal to the difference between (a) the amount of such cash and (b) the portion of the holder's adjusted tax basis in the IMS stock that is allocable to such fractional share. Such gain loss will be long-term capital gain or loss if such IMS stock is considered to have been held for more than one year.</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Exercise of Warrants. A holder of Company Warrants who exercises his or her warrants so as to receive (or be deemed to receive) Company Common Stock and elects to receive Series D Preferred Stock pursuant to the Merger generally should be subject to the same federal income tax consequences as described above, except that (i) the holder's initial tax basis in the Company Common Stock received (or deemed to be received) upon exercise of the warrants generally will equal the exercise price plus the holder's tax basis in the warrants, and (ii) the holder's holding period in the Company Common Stock will begin on the exercise date of the warrants.</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Exchange of Warrants. A holder of Company Warrants who elects to exchange all or a portion of his or her warrants for warrants in respect of Series D Preferred Stock should recognize taxable gain or loss for federal income tax purposes in an amount equal to the difference between (a) the fair market value of the warrants in respect of Series D Preferred Stock received by such holder and (b) the adjusted basis of the Company Warrants surrendered in exchange therefor. Such gain or loss will be long-term capital gain or loss if the Company Warrants are considered to have been held for more than one year. The holding period of warrants in respect of Series D Preferred Stock received in the exchange will begin the day after the exchange.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28" w:right="1440" w:bottom="1440" w:gutter="0" w:footer="0" w:header="0"/>
        </w:sectPr>
      </w:pPr>
    </w:p>
    <w:bookmarkStart w:id="60" w:name="page61"/>
    <w:bookmarkEnd w:id="60"/>
    <w:p>
      <w:pPr>
        <w:ind w:right="3019" w:firstLine="185"/>
        <w:spacing w:after="0" w:line="250" w:lineRule="auto"/>
        <w:rPr>
          <w:sz w:val="20"/>
          <w:szCs w:val="20"/>
          <w:color w:val="auto"/>
        </w:rPr>
      </w:pPr>
      <w:r>
        <w:rPr>
          <w:rFonts w:ascii="Courier New" w:cs="Courier New" w:eastAsia="Courier New" w:hAnsi="Courier New"/>
          <w:sz w:val="15"/>
          <w:szCs w:val="15"/>
          <w:color w:val="auto"/>
        </w:rPr>
        <w:t>Treatment of Series D Preferred Stock. Assuming the Series D Preferred Stock is respected as stock of IMS for federal income tax purposes (see "Receipt of Series D Preferred Stock Subject to Put/Call Agreement" and "Alternative Characterization" above), distributions in respect of such stock will be taxable as ordinary dividend income to the extent of the current and accumulated earnings and profits of IMS for the taxable year. To the extent that the amount of such distributions is greater than the current and accumulated earnings and profits of IMS, the distributions will be treated as a non-taxable return of capital that reduces the holder's tax basis in such stock (to the extent thereof), and to the extent the distributions exceed such tax basis they will be treated as taxable gain. See also "Discount Preferred Stock" above. In general, a corporate holder of Series D Preferred Stock that is subject to a Put/Call Agreement will not be eligible for the dividends received deduction.</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Subject to the preceding discussion (including the discussion of conversion transactions under Section 1258 of the Code), gain or loss on the sale, exchange, or redemption of the Series D Preferred Stock generally will be capital gain or loss. Such gain or loss will be long-term capital gain or loss if the Series D Preferred Stock is considered to have been held for more than one year. The holding period of the Series D Preferred Stock received by a holder of Company Common Stock or Series B Preferred Stock generally will include the period during which the shares of Company Common Stock or Series B Preferred Stock, respectively, surrendered in exchange therefor were held, assuming the exchange is treated as part of a tax-free reorganization under Section 368(a)(1)(E) of the Code. See "Exercise of Warrants" above for a discussion of the holding period of a holder of warrants who receives stock upon the exercise of those warrants.</w:t>
      </w:r>
    </w:p>
    <w:p>
      <w:pPr>
        <w:spacing w:after="0" w:line="183"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Treatment of Stock Options -- Cash Out of Option. Each holder of a Company Option who received the option in connection with his or her performance of personal services for IMS (an "Optionee") and who elects to receive cash in exchange for the option will be required to recognize compensation taxable as ordinary income for federal income tax purposes in an amount equal to the amount of cash received.</w:t>
      </w:r>
    </w:p>
    <w:p>
      <w:pPr>
        <w:spacing w:after="0" w:line="176" w:lineRule="exact"/>
        <w:rPr>
          <w:sz w:val="20"/>
          <w:szCs w:val="20"/>
          <w:color w:val="auto"/>
        </w:rPr>
      </w:pPr>
    </w:p>
    <w:p>
      <w:pPr>
        <w:ind w:right="3019" w:firstLine="179"/>
        <w:spacing w:after="0" w:line="251" w:lineRule="auto"/>
        <w:tabs>
          <w:tab w:leader="none" w:pos="4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to Lilly Option. An Optionee who elects to have his or her Company Option converted into a Lilly Option should not be required to recognize income for federal income tax purposes as a result of such conversion. Rather, the Optionee will generally be required to recognize compensation taxable as ordinary income for federal income tax purposes at the time of the exercise of the Lilly Option.</w:t>
      </w:r>
    </w:p>
    <w:p>
      <w:pPr>
        <w:spacing w:after="0" w:line="175" w:lineRule="exact"/>
        <w:rPr>
          <w:rFonts w:ascii="Courier New" w:cs="Courier New" w:eastAsia="Courier New" w:hAnsi="Courier New"/>
          <w:sz w:val="15"/>
          <w:szCs w:val="15"/>
          <w:color w:val="auto"/>
        </w:rPr>
      </w:pPr>
    </w:p>
    <w:p>
      <w:pPr>
        <w:ind w:left="460" w:hanging="281"/>
        <w:spacing w:after="0"/>
        <w:tabs>
          <w:tab w:leader="none" w:pos="4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to Option to Purchase Series D Preferred Stock Without</w:t>
      </w:r>
    </w:p>
    <w:p>
      <w:pPr>
        <w:spacing w:after="0" w:line="7" w:lineRule="exact"/>
        <w:rPr>
          <w:rFonts w:ascii="Courier New" w:cs="Courier New" w:eastAsia="Courier New" w:hAnsi="Courier New"/>
          <w:sz w:val="15"/>
          <w:szCs w:val="15"/>
          <w:color w:val="auto"/>
        </w:rPr>
      </w:pPr>
    </w:p>
    <w:p>
      <w:pPr>
        <w:ind w:right="30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Into Put/Call Agreement. An Optionee who elects to have his or her Company Option converted into an option to purchase Series D Preferred Stock and who elects not to have the Put/Call Agreement apply to such stock should not be required to recognize income for federal income tax purposes with respect to the converted option prior to the exercise of the option. At the time of the exercise of the option, the Optionee would be required to recognize compensation taxable as ordinary income for federal income tax purposes equal to the excess of the fair market value of such stock at the time of exercise over the exercise price of the option and the Optionee will have a basis in the stock equal to the sum of the exercise price plus the amount of income required to be recognized. The Optionee's holding period in the stock will begin on the exercise date of the option. See "Discount Preferred Stock" and "Treatment of Series D Preferred Stock" above with respect to the treatment of Series D Preferred Stock received by an Optionee pursuant to the exercise of an option. In the event that an option is redeemed for cash, the Optionee will be required to recognize compensation taxable as ordinary income in an amount equal to the amount of cash received upon redemption.</w:t>
      </w:r>
    </w:p>
    <w:p>
      <w:pPr>
        <w:spacing w:after="0" w:line="362" w:lineRule="exact"/>
        <w:rPr>
          <w:rFonts w:ascii="Courier New" w:cs="Courier New" w:eastAsia="Courier New" w:hAnsi="Courier New"/>
          <w:sz w:val="15"/>
          <w:szCs w:val="15"/>
          <w:color w:val="auto"/>
        </w:rPr>
      </w:pPr>
    </w:p>
    <w:p>
      <w:pPr>
        <w:ind w:right="3119" w:firstLine="179"/>
        <w:spacing w:after="0" w:line="250" w:lineRule="auto"/>
        <w:tabs>
          <w:tab w:leader="none" w:pos="4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to Option to Purchase Series D Preferred Stock With Put/Call Agreement. Although the federal income tax consequences from such conversion are not free from doubt, an Optionee who elects to have his or her Company Option converted into an option to purchase Series D Preferred Stock and who elects to have the Put/Call Agreement apply to such stock probably would not be required to recognize income for federal income tax purposes with respect to the converted option prior to the exercise of the option. At the time of the exercise of the option, the Optionee would be required to recognize compensation taxable as ordinary income for federal income tax purposes equal to the excess of the fair market value of such stock at the time of exercise over the exercise price of the option and the Optionee will have a basis in the stock equal to the sum of the exercise price plus the amount of income required to be recognized. The Optionee's holding period in the stock</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50" w:right="1440" w:bottom="1440" w:gutter="0" w:footer="0" w:header="0"/>
        </w:sectPr>
      </w:pPr>
    </w:p>
    <w:bookmarkStart w:id="61" w:name="page62"/>
    <w:bookmarkEnd w:id="61"/>
    <w:p>
      <w:pPr>
        <w:ind w:right="3019"/>
        <w:spacing w:after="0" w:line="251" w:lineRule="auto"/>
        <w:rPr>
          <w:sz w:val="20"/>
          <w:szCs w:val="20"/>
          <w:color w:val="auto"/>
        </w:rPr>
      </w:pPr>
      <w:r>
        <w:rPr>
          <w:rFonts w:ascii="Courier New" w:cs="Courier New" w:eastAsia="Courier New" w:hAnsi="Courier New"/>
          <w:sz w:val="15"/>
          <w:szCs w:val="15"/>
          <w:color w:val="auto"/>
        </w:rPr>
        <w:t>will begin on the exercise date of the option. See "Discount Preferred Stock" and "Treatment of Series D Preferred Stock" above with respect to the treatment of Series D Preferred Stock received by an Optionee pursuant to the exercise of an option. In the event that an option is redeemed for cash, the Optionee will be required to recognize compensation taxable as ordinary income in an amount equal to the amount of cash received upon redemption.</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It is possible that an Optionee who elects to have his or her option converted into an option to purchase Series D Preferred Stock and who elects to have a Put/Call Agreement apply to such stock would be required to recognize income for federal income tax purposes at the time that the Optionee's 12-month or 30-month put rights become exercisable. If the alternative treatment described in this paragraph applies, the Optionee would be required to recognize compensation taxable as ordinary income for federal income tax purposes at the time that the applicable put right becomes exercisable in an amount equal to the excess, if any, of (i) the amount that could be received by the Optionee if the Optionee put the stock to Lilly at such time over (ii) the sum of the exercise price of the Option and, with respect to the 30-month put right, any amount previously recognized by the Optionee as compensation with respect to the option. The Optionee would also be required to recognize compensation taxable as ordinary income at the time that he or she exercises the option equal to the excess, if any, of (i) the fair market value at the time of exercise of the stock subject to the option over (ii) the sum of the exercise price of the option and any amount previously recognized by the Optionee as compensation with respect to the option. If, at the time that the option is exercised, the excess of the fair market value of the stock subject thereto over the exercise price thereof is less than the amount of income previously recognized by the Optionee with respect to the option, the Optionee would not be entitled to a deduction for federal income tax purposes with respect to such difference, but may be entitled to take a capital loss with respect thereto, although the ability to take such loss is not free from doubt.</w:t>
      </w:r>
    </w:p>
    <w:p>
      <w:pPr>
        <w:spacing w:after="0" w:line="188" w:lineRule="exact"/>
        <w:rPr>
          <w:sz w:val="20"/>
          <w:szCs w:val="20"/>
          <w:color w:val="auto"/>
        </w:rPr>
      </w:pPr>
    </w:p>
    <w:p>
      <w:pPr>
        <w:ind w:right="3019" w:firstLine="179"/>
        <w:spacing w:after="0" w:line="251" w:lineRule="auto"/>
        <w:tabs>
          <w:tab w:leader="none" w:pos="46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Employment Tax. In general, any amount required to be recognized as compensation taxable as ordinary income with respect to an option will also be treated as wages for purposes of the health insurance portion of FICA withholding taxes, and for other federal employment tax purposes.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RIGHTS OF DISSENTING SHAREHOLDERS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Pursuant to the terms of the Merger Agreement, if holders of capital stock of IMS have exercised dissenters' rights in connection with the Merger in accordance with the provisions of Article 113 of the Colorado Business Corporation Act ("Article 113"), any Dissenting Shares (as defined below) will not be converted into the Merger Consideration but will be converted into the right to receive such consideration as may be determined to be due with respect to such Dissenting Shares pursuant to the laws of the State of Colorado.</w:t>
      </w:r>
    </w:p>
    <w:p>
      <w:pPr>
        <w:spacing w:after="0" w:line="35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following summary of the provisions of Article 113 is not intended to be a complete statement of such provisions and is qualified in its entirety by reference to the full text of Article 113, a copy of which is attached to this Proxy Statement-Prospectus as Appendix D and is incorporated herein by reference.</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If the Merger is approved by the required vote of IMS's shareholders and is not abandoned or terminated, each holder of shares of Company Common Stock or Series B Preferred Stock who does not vote in favor of the Merger and who follows the procedures set forth in Article 113 will be entitled to have his shares of Company Common Stock or Series B Preferred Stock purchased by IMS for cash at their Fair Value (as defined below). The "Fair Value" of shares of Company Common Stock or Series B Preferred Stock will be determined as of the day before the first announcement of the terms of the proposed Merger, excluding any appreciation or depreciation in anticipation of the proposed Merger, except to the extent that exclusion would be inequitable. The shares of Company Common Stock or Series B Preferred Stock with respect to which holders have perfected their purchase demand in accordance with Article 113 and have not effectively withdrawn or lost such rights are referred to in this Proxy Statement-Prospectus as the "Dissenting Shares."</w:t>
      </w:r>
    </w:p>
    <w:p>
      <w:pPr>
        <w:spacing w:after="0" w:line="184"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Prior to the vote taken to approve the proposed Merger at the Special Meeting, a shareholder who wishes to assert dissenters' rights must (a) deliver written notice to IMS of his intent to demand payment for shares if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50" w:right="1440" w:bottom="1440" w:gutter="0" w:footer="0" w:header="0"/>
        </w:sectPr>
      </w:pPr>
    </w:p>
    <w:bookmarkStart w:id="62" w:name="page63"/>
    <w:bookmarkEnd w:id="62"/>
    <w:p>
      <w:pPr>
        <w:ind w:right="3019"/>
        <w:spacing w:after="0" w:line="251" w:lineRule="auto"/>
        <w:rPr>
          <w:sz w:val="20"/>
          <w:szCs w:val="20"/>
          <w:color w:val="auto"/>
        </w:rPr>
      </w:pPr>
      <w:r>
        <w:rPr>
          <w:rFonts w:ascii="Courier New" w:cs="Courier New" w:eastAsia="Courier New" w:hAnsi="Courier New"/>
          <w:sz w:val="15"/>
          <w:szCs w:val="15"/>
          <w:color w:val="auto"/>
        </w:rPr>
        <w:t>proposed Merger is approved and (b) not vote any of his shares in favor of the proposed Merger. Within 10 days after approval of the Merger by IMS's shareholders, IMS must mail a notice of such approval (the "Approval Notice") to all shareholders who are entitled to demand payment for their shares under Article 113, together with a copy of Article 113 and a form for demanding payment. If a shareholder's shares are held of record by a third party (for example, a broker), the record holder must either assert the dissenters' rights or must consent to the beneficial owner's assertion of dissenters' rights.</w:t>
      </w:r>
    </w:p>
    <w:p>
      <w:pPr>
        <w:spacing w:after="0" w:line="35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 shareholder of IMS electing to exercise dissenters' rights must, within 30 days after the date on which the Approval Notice is mailed to such shareholder, demand in writing from IMS the purchase of his or her shares of Company capital stock and payment to the shareholder of their Fair Value and must submit the certificate(s) representing the Dissenting Shares to IMS in accordance with the terms of the Approval Notice. A shareholder who does not demand payment and deposit share certificates as required by the date set in the Approval Notice is not entitled to payment for shares under Article 113. A holder who elects to exercise dissenters' rights should mail or deliver his or her written demand for payment to IMS at its principal offices directed to the attention of James A. Larson, Secretary. The demand should specify the holder's name and mailing address, the number of shares of Company Common Stock or Series B Preferred Stock owned by such shareholder and state that such holder is demanding purchase of his or her shares in payment of their Fair Value. Upon the later of the Effective Time and receipt by IMS of each payment demand made pursuant to Article 113, IMS must pay the amount IMS estimates to be the Fair Value of the Dissenting Shares, plus interest at the rate of interest then paid by IMS on its principal bank loans, to each dissenter who has complied with the requirements of Article 113 and who has not yet received payment, together with certain financial information of IMS, an explanation of how interest was calculated and a copy of Article 113.</w:t>
      </w:r>
    </w:p>
    <w:p>
      <w:pPr>
        <w:spacing w:after="0" w:line="187"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Any holder of Dissenting Shares who has not accepted an offer made by IMS may, within 30 days after IMS first offered payment for his or her shares, notify IMS in writing of his or her own estimate of the Fair Value of his or her shares and demand payment of the estimated amount, plus interest, less any payment made under Article 113, if (i) the holder of Dissenting Shares believes that the amount offered or paid by IMS under Article 113 is less than the Fair Value of the shares, or that the interest due was incorrectly calculated, (ii) IMS fails to make payment within 60 days after the date set by IMS as the date by which it must receive the payment demand, or (iii) IMS, having failed to consummate the proposed Merger, does not return share certificates deposited by a holder as required by Article 113. If IMS and the shareholder fail to agree upon the Fair Value of the shares, then within 60 days after receiving the payment demand IMS must petition the District Court of Jefferson County (the "Court") to determine the Fair Value of such holder's shares of Company capital stock. If IMS does not commence the proceeding within the 60-day period, it must pay each holder of Dissenting Shares whose demand remains unresolved the amount demanded. IMS must make all holders of Dissenting Shares whose demands remain unresolved parties to the proceeding as an action against their shares. The Court may appoint one or more persons as appraisers to receive evidence and recommend a decision on the question of Fair Value. Each holder of Dissenting Shares made a party to the proceeding is entitled to judgment for the amount, if any, by which the Court finds that the Fair Value of his or her shares, plus interest, exceeds the amount paid by IMS.</w:t>
      </w:r>
    </w:p>
    <w:p>
      <w:pPr>
        <w:spacing w:after="0" w:line="36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If any holder of shares of Company Common Stock or Series B Preferred Stock who demands the purchase of his or her shares under Article 113 fails to perfect, or effectively withdraws or loses his or her right to, such purchase, the shares of such holder will be converted into the right to receive the Merger Consideration, in the case of the Company Common Stock, or be deemed to have made an Election to Retain Series B Preferred Stock in the case of the Series B Preferred Stock, each in accordance with the Merger Agreement.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50" w:right="1440" w:bottom="1440" w:gutter="0" w:footer="0" w:header="0"/>
        </w:sectPr>
      </w:pPr>
    </w:p>
    <w:bookmarkStart w:id="63" w:name="page64"/>
    <w:bookmarkEnd w:id="63"/>
    <w:p>
      <w:pPr>
        <w:ind w:left="1565"/>
        <w:spacing w:after="0"/>
        <w:rPr>
          <w:sz w:val="20"/>
          <w:szCs w:val="20"/>
          <w:color w:val="auto"/>
        </w:rPr>
      </w:pPr>
      <w:r>
        <w:rPr>
          <w:rFonts w:ascii="Courier New" w:cs="Courier New" w:eastAsia="Courier New" w:hAnsi="Courier New"/>
          <w:sz w:val="15"/>
          <w:szCs w:val="15"/>
          <w:color w:val="auto"/>
        </w:rPr>
        <w:t>SELECTED CONSOLIDATED FINANCIAL DATA OF LILLY</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(IN MILLIONS, EXCEPT OTHER DATA AND PER SHARE AMOUNTS)</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following selected consolidated financial data for the five years ended December 31, 1994 are derived from consolidated financial statements of Lilly which have been audited by Ernst &amp; Young LLP, independent auditors. The financial data for the six months ended June 30, 1995 and June 30, 1994 are derived from unaudited consolidated financial statements. The consolidated financial data for the six-month periods ended June 30, 1995 and June 30, 1994 include all adjustments, consisting of normal recurring accruals, which Lilly considers necessary for a fair presentation of the consolidated financial position and consolidated results of operations for these periods. Operating results for the six months ended June 30, 1995 are not necessarily indicative of the results that may be expected for the entire year ending December 31, 1995. The following data should be read in conjunction with the information concerning Lilly incorporated by reference in this Proxy Statement-Prospectus.</w:t>
      </w:r>
    </w:p>
    <w:p>
      <w:pPr>
        <w:spacing w:after="0" w:line="200" w:lineRule="exact"/>
        <w:rPr>
          <w:sz w:val="20"/>
          <w:szCs w:val="20"/>
          <w:color w:val="auto"/>
        </w:rPr>
      </w:pPr>
    </w:p>
    <w:p>
      <w:pPr>
        <w:spacing w:after="0" w:line="33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SIX MONTHS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ENDED JUNE 30,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spacing w:after="0"/>
              <w:rPr>
                <w:sz w:val="15"/>
                <w:szCs w:val="15"/>
                <w:color w:val="auto"/>
              </w:rPr>
            </w:pPr>
          </w:p>
        </w:tc>
        <w:tc>
          <w:tcPr>
            <w:tcW w:w="6000" w:type="dxa"/>
            <w:vAlign w:val="bottom"/>
            <w:gridSpan w:val="16"/>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5"/>
                <w:szCs w:val="15"/>
                <w:color w:val="auto"/>
              </w:rPr>
            </w:pP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1994</w:t>
            </w:r>
          </w:p>
        </w:tc>
        <w:tc>
          <w:tcPr>
            <w:tcW w:w="8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1993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4"/>
              </w:rPr>
              <w:t>1992</w:t>
            </w:r>
          </w:p>
        </w:tc>
        <w:tc>
          <w:tcPr>
            <w:tcW w:w="140" w:type="dxa"/>
            <w:vAlign w:val="bottom"/>
          </w:tcPr>
          <w:p>
            <w:pPr>
              <w:spacing w:after="0"/>
              <w:rPr>
                <w:sz w:val="15"/>
                <w:szCs w:val="15"/>
                <w:color w:val="auto"/>
              </w:rPr>
            </w:pPr>
          </w:p>
        </w:tc>
        <w:tc>
          <w:tcPr>
            <w:tcW w:w="7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1991</w:t>
            </w:r>
          </w:p>
        </w:tc>
        <w:tc>
          <w:tcPr>
            <w:tcW w:w="10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1990</w:t>
            </w:r>
          </w:p>
        </w:tc>
      </w:tr>
      <w:tr>
        <w:trPr>
          <w:trHeight w:val="177"/>
        </w:trPr>
        <w:tc>
          <w:tcPr>
            <w:tcW w:w="230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$3,332.1</w:t>
            </w:r>
          </w:p>
        </w:tc>
        <w:tc>
          <w:tcPr>
            <w:tcW w:w="8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9"/>
              </w:rPr>
              <w:t>$2,655.9</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$5,711.6</w:t>
            </w:r>
          </w:p>
        </w:tc>
        <w:tc>
          <w:tcPr>
            <w:tcW w:w="9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$5,198.5</w:t>
            </w:r>
          </w:p>
        </w:tc>
        <w:tc>
          <w:tcPr>
            <w:tcW w:w="920" w:type="dxa"/>
            <w:vAlign w:val="bottom"/>
            <w:gridSpan w:val="3"/>
          </w:tcPr>
          <w:p>
            <w:pPr>
              <w:jc w:val="right"/>
              <w:ind w:right="63"/>
              <w:spacing w:after="0"/>
              <w:rPr>
                <w:sz w:val="20"/>
                <w:szCs w:val="20"/>
                <w:color w:val="auto"/>
              </w:rPr>
            </w:pPr>
            <w:r>
              <w:rPr>
                <w:rFonts w:ascii="Courier New" w:cs="Courier New" w:eastAsia="Courier New" w:hAnsi="Courier New"/>
                <w:sz w:val="15"/>
                <w:szCs w:val="15"/>
                <w:color w:val="auto"/>
              </w:rPr>
              <w:t>$4,963.1</w:t>
            </w:r>
          </w:p>
        </w:tc>
        <w:tc>
          <w:tcPr>
            <w:tcW w:w="8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$4,533.4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4,179.0</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income taxes and</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964.5</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893.3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1,698.6</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662.8</w:t>
            </w:r>
          </w:p>
        </w:tc>
        <w:tc>
          <w:tcPr>
            <w:tcW w:w="140" w:type="dxa"/>
            <w:vAlign w:val="bottom"/>
          </w:tcPr>
          <w:p>
            <w:pPr>
              <w:spacing w:after="0"/>
              <w:rPr>
                <w:sz w:val="15"/>
                <w:szCs w:val="15"/>
                <w:color w:val="auto"/>
              </w:rPr>
            </w:pPr>
          </w:p>
        </w:tc>
        <w:tc>
          <w:tcPr>
            <w:tcW w:w="7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w w:val="98"/>
              </w:rPr>
              <w:t>1,193.5</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8"/>
              </w:rPr>
              <w:t>1,626.3</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1,418.1</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operations before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684.8</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619.9</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1,185.1</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842.5</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8"/>
              </w:rPr>
              <w:t>1,166.1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1,022.7</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net of tax.............</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35.5</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148.6</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104.6</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before cumulative</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effect of changes in</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accounting principles..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720.3</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677.3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1,286.1</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827.6</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8"/>
              </w:rPr>
              <w:t>1,314.7</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1,127.3</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principles, net of tax.</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(118.9)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720.3</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677.3</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1,286.1</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708.7</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w w:val="98"/>
              </w:rPr>
              <w:t>1,314.7</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1,127.3</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Ratio of earnings to</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fixed charges(1).......</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7.0x</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19.6x</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14.0x</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7.6x</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11.7x</w:t>
            </w:r>
          </w:p>
        </w:tc>
        <w:tc>
          <w:tcPr>
            <w:tcW w:w="140" w:type="dxa"/>
            <w:vAlign w:val="bottom"/>
          </w:tcPr>
          <w:p>
            <w:pPr>
              <w:spacing w:after="0"/>
              <w:rPr>
                <w:sz w:val="15"/>
                <w:szCs w:val="15"/>
                <w:color w:val="auto"/>
              </w:rPr>
            </w:pPr>
          </w:p>
        </w:tc>
        <w:tc>
          <w:tcPr>
            <w:tcW w:w="7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19.1x</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15.7x</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PER-SHARE DATA(2):</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2.37</w:t>
            </w:r>
          </w:p>
        </w:tc>
        <w:tc>
          <w:tcPr>
            <w:tcW w:w="180" w:type="dxa"/>
            <w:vAlign w:val="bottom"/>
          </w:tcPr>
          <w:p>
            <w:pPr>
              <w:jc w:val="right"/>
              <w:ind w:right="3"/>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3.99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(loss) from dis-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continued operations...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changes in accounting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principles.............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2.49</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4.45</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4.50</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Cash dividends declared.</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1.29</w:t>
            </w:r>
          </w:p>
        </w:tc>
        <w:tc>
          <w:tcPr>
            <w:tcW w:w="180" w:type="dxa"/>
            <w:vAlign w:val="bottom"/>
          </w:tcPr>
          <w:p>
            <w:pPr>
              <w:spacing w:after="0"/>
              <w:rPr>
                <w:sz w:val="15"/>
                <w:szCs w:val="15"/>
                <w:color w:val="auto"/>
              </w:rPr>
            </w:pPr>
          </w:p>
        </w:tc>
        <w:tc>
          <w:tcPr>
            <w:tcW w:w="6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1.25</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c>
          <w:tcPr>
            <w:tcW w:w="22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2.255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4"/>
              </w:rPr>
              <w:t>2.05</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887"/>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6"/>
          </w:tcPr>
          <w:p>
            <w:pPr>
              <w:jc w:val="right"/>
              <w:ind w:right="243"/>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3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c>
          <w:tcPr>
            <w:tcW w:w="5080" w:type="dxa"/>
            <w:vAlign w:val="bottom"/>
            <w:gridSpan w:val="14"/>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5"/>
                <w:szCs w:val="15"/>
                <w:color w:val="auto"/>
              </w:rPr>
            </w:pPr>
          </w:p>
        </w:tc>
        <w:tc>
          <w:tcPr>
            <w:tcW w:w="6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4"/>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$4,410.3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$3,962.3</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$3,697.1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$3,006.0</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$2,939.3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w w:val="98"/>
              </w:rPr>
              <w:t>2,501.3</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6,219.3</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6,133.6</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1,726.3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1,594.7</w:t>
            </w:r>
          </w:p>
        </w:tc>
        <w:tc>
          <w:tcPr>
            <w:tcW w:w="2400" w:type="dxa"/>
            <w:vAlign w:val="bottom"/>
            <w:gridSpan w:val="7"/>
          </w:tcPr>
          <w:p>
            <w:pPr>
              <w:jc w:val="right"/>
              <w:ind w:right="483"/>
              <w:spacing w:after="0"/>
              <w:rPr>
                <w:sz w:val="20"/>
                <w:szCs w:val="20"/>
                <w:color w:val="auto"/>
              </w:rPr>
            </w:pPr>
            <w:r>
              <w:rPr>
                <w:rFonts w:ascii="Courier New" w:cs="Courier New" w:eastAsia="Courier New" w:hAnsi="Courier New"/>
                <w:sz w:val="15"/>
                <w:szCs w:val="15"/>
                <w:color w:val="auto"/>
              </w:rPr>
              <w:t>1,576.8   1,704.8</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4,467.6</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4,411.5</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4,200.2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4,072.1</w:t>
            </w:r>
          </w:p>
        </w:tc>
        <w:tc>
          <w:tcPr>
            <w:tcW w:w="2400" w:type="dxa"/>
            <w:vAlign w:val="bottom"/>
            <w:gridSpan w:val="7"/>
          </w:tcPr>
          <w:p>
            <w:pPr>
              <w:jc w:val="right"/>
              <w:ind w:right="483"/>
              <w:spacing w:after="0"/>
              <w:rPr>
                <w:sz w:val="20"/>
                <w:szCs w:val="20"/>
                <w:color w:val="auto"/>
              </w:rPr>
            </w:pPr>
            <w:r>
              <w:rPr>
                <w:rFonts w:ascii="Courier New" w:cs="Courier New" w:eastAsia="Courier New" w:hAnsi="Courier New"/>
                <w:sz w:val="15"/>
                <w:szCs w:val="15"/>
                <w:color w:val="auto"/>
              </w:rPr>
              <w:t>3,782.5   2,936.7</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15,097.2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14,507.4</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9,623.6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8,672.8</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8,298.6</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w w:val="98"/>
              </w:rPr>
              <w:t>7,142.8</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3,169.2</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2,724.4</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524.8</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591.2</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690.2</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w w:val="98"/>
              </w:rPr>
              <w:t>1,239.5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current liabili-</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ties...................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2,484.0</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2,945.1</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2,403.2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1,807.4</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1,581.8</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w w:val="98"/>
              </w:rPr>
              <w:t>1,578.1</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2,102.1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2,125.8</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835.2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582.3</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395.5</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277.0</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noncurrent liabil-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ities..................</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1,368.1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1,356.5</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1,291.6</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799.8</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665.0</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580.7</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5,973.8</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5,355.6</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4,568.8</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4,892.1</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4,966.1</w:t>
            </w:r>
          </w:p>
        </w:tc>
        <w:tc>
          <w:tcPr>
            <w:tcW w:w="280" w:type="dxa"/>
            <w:vAlign w:val="bottom"/>
          </w:tcPr>
          <w:p>
            <w:pPr>
              <w:spacing w:after="0"/>
              <w:rPr>
                <w:sz w:val="15"/>
                <w:szCs w:val="15"/>
                <w:color w:val="auto"/>
              </w:rPr>
            </w:pP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w w:val="98"/>
              </w:rPr>
              <w:t>3,467.5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Borrowings as a percent-</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age of total capital-</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ization(3).............</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22.9%</w:t>
            </w:r>
          </w:p>
        </w:tc>
        <w:tc>
          <w:tcPr>
            <w:tcW w:w="9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19.3%</w:t>
            </w:r>
          </w:p>
        </w:tc>
        <w:tc>
          <w:tcPr>
            <w:tcW w:w="110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17.9%</w:t>
            </w:r>
          </w:p>
        </w:tc>
        <w:tc>
          <w:tcPr>
            <w:tcW w:w="120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30.4%</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Book value per share(2).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18.35</w:t>
            </w:r>
          </w:p>
        </w:tc>
        <w:tc>
          <w:tcPr>
            <w:tcW w:w="80" w:type="dxa"/>
            <w:vAlign w:val="bottom"/>
          </w:tcPr>
          <w:p>
            <w:pPr>
              <w:spacing w:after="0"/>
              <w:rPr>
                <w:sz w:val="15"/>
                <w:szCs w:val="15"/>
                <w:color w:val="auto"/>
              </w:rPr>
            </w:pPr>
          </w:p>
        </w:tc>
        <w:tc>
          <w:tcPr>
            <w:tcW w:w="9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15.61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16.72</w:t>
            </w:r>
          </w:p>
        </w:tc>
        <w:tc>
          <w:tcPr>
            <w:tcW w:w="10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16.97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483"/>
              <w:spacing w:after="0"/>
              <w:rPr>
                <w:sz w:val="20"/>
                <w:szCs w:val="20"/>
                <w:color w:val="auto"/>
              </w:rPr>
            </w:pPr>
            <w:r>
              <w:rPr>
                <w:rFonts w:ascii="Courier New" w:cs="Courier New" w:eastAsia="Courier New" w:hAnsi="Courier New"/>
                <w:sz w:val="15"/>
                <w:szCs w:val="15"/>
                <w:color w:val="auto"/>
              </w:rPr>
              <w:t>12.98</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right="3019" w:hanging="365"/>
        <w:spacing w:after="0" w:line="251" w:lineRule="auto"/>
        <w:tabs>
          <w:tab w:leader="none" w:pos="36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the sum of income from continuing operations before income taxes and cumulative effect of changes in accounting principles and fixed charges excluding capitalized interest by fixed charges. Fixed charges represent interest on</w:t>
      </w:r>
    </w:p>
    <w:p>
      <w:pPr>
        <w:sectPr>
          <w:pgSz w:w="11900" w:h="16838" w:orient="portrait"/>
          <w:cols w:equalWidth="0" w:num="1">
            <w:col w:w="10225"/>
          </w:cols>
          <w:pgMar w:left="235" w:top="650" w:right="1440" w:bottom="0" w:gutter="0" w:footer="0" w:header="0"/>
        </w:sectPr>
      </w:pPr>
    </w:p>
    <w:bookmarkStart w:id="64" w:name="page65"/>
    <w:bookmarkEnd w:id="64"/>
    <w:p>
      <w:pPr>
        <w:ind w:left="365"/>
        <w:spacing w:after="0"/>
        <w:rPr>
          <w:sz w:val="20"/>
          <w:szCs w:val="20"/>
          <w:color w:val="auto"/>
        </w:rPr>
      </w:pPr>
      <w:r>
        <w:rPr>
          <w:rFonts w:ascii="Courier New" w:cs="Courier New" w:eastAsia="Courier New" w:hAnsi="Courier New"/>
          <w:sz w:val="15"/>
          <w:szCs w:val="15"/>
          <w:color w:val="auto"/>
        </w:rPr>
        <w:t>indebtedness from continuing operations.</w:t>
      </w:r>
    </w:p>
    <w:p>
      <w:pPr>
        <w:spacing w:after="0" w:line="185" w:lineRule="exact"/>
        <w:rPr>
          <w:sz w:val="20"/>
          <w:szCs w:val="20"/>
          <w:color w:val="auto"/>
        </w:rPr>
      </w:pPr>
    </w:p>
    <w:p>
      <w:pPr>
        <w:ind w:left="365" w:right="3219" w:hanging="365"/>
        <w:spacing w:after="0" w:line="251" w:lineRule="auto"/>
        <w:tabs>
          <w:tab w:leader="none" w:pos="3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17, 1995, the Board of Directors of Lilly declared a two-for-one stock split effected in the form of a 100-percent stock dividend payable to shareholders of record at the close of business November 15, 1995. The outstanding and weighted average number of shares of Lilly common stock and per share data have not been adjusted to reflect the stock split. The effect of the stock split would be to reduce the Lilly historical and pro forma per share data by 50%.</w:t>
      </w:r>
    </w:p>
    <w:p>
      <w:pPr>
        <w:spacing w:after="0" w:line="175" w:lineRule="exact"/>
        <w:rPr>
          <w:rFonts w:ascii="Courier New" w:cs="Courier New" w:eastAsia="Courier New" w:hAnsi="Courier New"/>
          <w:sz w:val="15"/>
          <w:szCs w:val="15"/>
          <w:color w:val="auto"/>
        </w:rPr>
      </w:pPr>
    </w:p>
    <w:p>
      <w:pPr>
        <w:ind w:left="365" w:right="3219" w:hanging="365"/>
        <w:spacing w:after="0" w:line="253" w:lineRule="auto"/>
        <w:tabs>
          <w:tab w:leader="none" w:pos="3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percentage is computed by dividing the sum of short-term borrowings and long-term debt by total capitalization.</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5"/>
          </w:cols>
          <w:pgMar w:left="235" w:top="142" w:right="1440" w:bottom="1440" w:gutter="0" w:footer="0" w:header="0"/>
        </w:sectPr>
      </w:pPr>
    </w:p>
    <w:bookmarkStart w:id="65" w:name="page66"/>
    <w:bookmarkEnd w:id="65"/>
    <w:p>
      <w:pPr>
        <w:jc w:val="center"/>
        <w:ind w:right="3014"/>
        <w:spacing w:after="0"/>
        <w:rPr>
          <w:sz w:val="20"/>
          <w:szCs w:val="20"/>
          <w:color w:val="auto"/>
        </w:rPr>
      </w:pPr>
      <w:r>
        <w:rPr>
          <w:rFonts w:ascii="Courier New" w:cs="Courier New" w:eastAsia="Courier New" w:hAnsi="Courier New"/>
          <w:sz w:val="15"/>
          <w:szCs w:val="15"/>
          <w:color w:val="auto"/>
        </w:rPr>
        <w:t>CAPITALIZATION OF IMS FOLLOWING THE MERGER</w:t>
      </w:r>
    </w:p>
    <w:p>
      <w:pPr>
        <w:spacing w:after="0" w:line="185" w:lineRule="exact"/>
        <w:rPr>
          <w:sz w:val="20"/>
          <w:szCs w:val="20"/>
          <w:color w:val="auto"/>
        </w:rPr>
      </w:pPr>
    </w:p>
    <w:p>
      <w:pPr>
        <w:ind w:left="5" w:right="3219" w:firstLine="185"/>
        <w:spacing w:after="0" w:line="251" w:lineRule="auto"/>
        <w:rPr>
          <w:sz w:val="20"/>
          <w:szCs w:val="20"/>
          <w:color w:val="auto"/>
        </w:rPr>
      </w:pPr>
      <w:r>
        <w:rPr>
          <w:rFonts w:ascii="Courier New" w:cs="Courier New" w:eastAsia="Courier New" w:hAnsi="Courier New"/>
          <w:sz w:val="15"/>
          <w:szCs w:val="15"/>
          <w:color w:val="auto"/>
        </w:rPr>
        <w:t>The following unaudited table sets forth the capitalization of the Company as of June 30, 1995 and as adjusted to give effect to the Merger. The table below assumes push-down accounting methodology will be utilized and that holders of (i) 50% and (ii) 100%, respectively, of all outstanding Company Common Stock (other than shares held by Lilly) and Series B Preferred Stock elect to receive Series D Preferred Stock in accordance with the conversion terms as described in the terms of the Merger.</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JUNE 30, 1995</w:t>
            </w:r>
          </w:p>
        </w:tc>
        <w:tc>
          <w:tcPr>
            <w:tcW w:w="2080" w:type="dxa"/>
            <w:vAlign w:val="bottom"/>
          </w:tcPr>
          <w:p>
            <w:pPr>
              <w:spacing w:after="0"/>
              <w:rPr>
                <w:sz w:val="14"/>
                <w:szCs w:val="14"/>
                <w:color w:val="auto"/>
              </w:rPr>
            </w:pPr>
          </w:p>
        </w:tc>
      </w:tr>
      <w:tr>
        <w:trPr>
          <w:trHeight w:val="177"/>
        </w:trPr>
        <w:tc>
          <w:tcPr>
            <w:tcW w:w="2300" w:type="dxa"/>
            <w:vAlign w:val="bottom"/>
          </w:tcPr>
          <w:p>
            <w:pPr>
              <w:spacing w:after="0"/>
              <w:rPr>
                <w:sz w:val="15"/>
                <w:szCs w:val="15"/>
                <w:color w:val="auto"/>
              </w:rPr>
            </w:pPr>
          </w:p>
        </w:tc>
        <w:tc>
          <w:tcPr>
            <w:tcW w:w="5540" w:type="dxa"/>
            <w:vAlign w:val="bottom"/>
            <w:gridSpan w:val="4"/>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AS ADJUSTED</w:t>
            </w:r>
          </w:p>
        </w:tc>
        <w:tc>
          <w:tcPr>
            <w:tcW w:w="2080" w:type="dxa"/>
            <w:vAlign w:val="bottom"/>
          </w:tcPr>
          <w:p>
            <w:pPr>
              <w:spacing w:after="0"/>
              <w:rPr>
                <w:sz w:val="15"/>
                <w:szCs w:val="15"/>
                <w:color w:val="auto"/>
              </w:rPr>
            </w:pP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ACTUAL</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(50% CONVERTED)</w:t>
            </w:r>
          </w:p>
        </w:tc>
        <w:tc>
          <w:tcPr>
            <w:tcW w:w="2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 CONVERTED)</w:t>
            </w:r>
          </w:p>
        </w:tc>
      </w:tr>
      <w:tr>
        <w:trPr>
          <w:trHeight w:val="177"/>
        </w:trPr>
        <w:tc>
          <w:tcPr>
            <w:tcW w:w="2300" w:type="dxa"/>
            <w:vAlign w:val="bottom"/>
          </w:tcPr>
          <w:p>
            <w:pPr>
              <w:spacing w:after="0"/>
              <w:rPr>
                <w:sz w:val="15"/>
                <w:szCs w:val="15"/>
                <w:color w:val="auto"/>
              </w:rPr>
            </w:pP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3,245,155</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$ 3,245,155</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$ 3,245,155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SERIES D REDEEMABLE PRE-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FERRED STOCK, $0.01 par</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value; 12,000,000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5,398,518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10,797,035 shares to be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outstanding as adjust-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ed, respectively.......</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37,130,066(1)(3)(5)</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74,260,132(6)(7)(8)</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Series B Preferred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Stock, $1 par value;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2,000,000 shares autho-</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rized, issued and out-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standing before the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Merger; 2,000,000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shares authorized and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zero shares outstanding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as adjusted............</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2,000,000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Series C Preferred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Stock, $1 par value;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5,000,000 shares autho-</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rized, 3,000,000 shares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issued and outstanding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before the Merger; no</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Series C Preferred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Stock exists as adjust-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ed.....................</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13,750,000</w:t>
            </w:r>
          </w:p>
        </w:tc>
        <w:tc>
          <w:tcPr>
            <w:tcW w:w="21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w:t>
            </w:r>
          </w:p>
        </w:tc>
        <w:tc>
          <w:tcPr>
            <w:tcW w:w="20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Common stock, no par</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value; 25,000,000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6,577,162 shares issued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and outstanding before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the Merger; 20,000,000</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shares authorized,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15,160,200 shares out-</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standing as adjusted...</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8,947,591</w:t>
            </w:r>
          </w:p>
        </w:tc>
        <w:tc>
          <w:tcPr>
            <w:tcW w:w="2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53,081,066(1)(2)</w:t>
            </w:r>
          </w:p>
        </w:tc>
        <w:tc>
          <w:tcPr>
            <w:tcW w:w="2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15,951,000(2)(4)</w:t>
            </w:r>
          </w:p>
        </w:tc>
      </w:tr>
      <w:tr>
        <w:trPr>
          <w:trHeight w:val="177"/>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(6)(7)(8)</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Capital contributions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from joint ventures....</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6,508,230</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(29,905,317)</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Less Stock subscriptions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and joint venturers'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contributions receiv-</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able...................</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15"/>
                <w:szCs w:val="15"/>
                <w:color w:val="auto"/>
              </w:rPr>
            </w:pP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 stockholders' eq-</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uity (deficit).........</w:t>
            </w:r>
          </w:p>
        </w:tc>
        <w:tc>
          <w:tcPr>
            <w:tcW w:w="18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1,250,504</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53,081,066</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15,951,000</w:t>
            </w:r>
          </w:p>
        </w:tc>
      </w:tr>
      <w:tr>
        <w:trPr>
          <w:trHeight w:val="177"/>
        </w:trPr>
        <w:tc>
          <w:tcPr>
            <w:tcW w:w="2300" w:type="dxa"/>
            <w:vAlign w:val="bottom"/>
          </w:tcPr>
          <w:p>
            <w:pPr>
              <w:spacing w:after="0"/>
              <w:rPr>
                <w:sz w:val="15"/>
                <w:szCs w:val="15"/>
                <w:color w:val="auto"/>
              </w:rPr>
            </w:pP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4,495,659</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$93,456,287</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$93,456,287</w:t>
            </w:r>
          </w:p>
        </w:tc>
      </w:tr>
      <w:tr>
        <w:trPr>
          <w:trHeight w:val="177"/>
        </w:trPr>
        <w:tc>
          <w:tcPr>
            <w:tcW w:w="2300" w:type="dxa"/>
            <w:vAlign w:val="bottom"/>
          </w:tcPr>
          <w:p>
            <w:pPr>
              <w:spacing w:after="0"/>
              <w:rPr>
                <w:sz w:val="15"/>
                <w:szCs w:val="15"/>
                <w:color w:val="auto"/>
              </w:rPr>
            </w:pPr>
          </w:p>
        </w:tc>
        <w:tc>
          <w:tcPr>
            <w:tcW w:w="13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019" w:hanging="365"/>
        <w:spacing w:after="0" w:line="250" w:lineRule="auto"/>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50% of the outstanding shares of Series B Preferred Stock are each converted to two-thirds of a share of Series D Preferred Stock; assumes that cumulative undeclared preferred dividends of $1,400,000 are paid at the Effective Date of the Merger by Lilly, which is treated as a capital contribution to IMS; and assumes that the remaining 1,000,000 shares of Series B Preferred Stock are redeemed for cash of $5,330,000 paid by Lilly and which is treated as a capital contribution to IMS. Assumes no holders of Series B Preferred Stock elect to hold such shares following the Merger as the return on Series D Preferred Stock would be substantially higher than the return available by continuing to hold Series B Preferred Stock.</w:t>
      </w:r>
    </w:p>
    <w:p>
      <w:pPr>
        <w:spacing w:after="0" w:line="182" w:lineRule="exact"/>
        <w:rPr>
          <w:rFonts w:ascii="Courier New" w:cs="Courier New" w:eastAsia="Courier New" w:hAnsi="Courier New"/>
          <w:sz w:val="15"/>
          <w:szCs w:val="15"/>
          <w:color w:val="auto"/>
        </w:rPr>
      </w:pPr>
    </w:p>
    <w:p>
      <w:pPr>
        <w:ind w:left="365" w:right="3299" w:hanging="365"/>
        <w:spacing w:after="0" w:line="250" w:lineRule="auto"/>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Series C Preferred Stock are converted 1:1 into 3,000,000 shares of Common Stock.</w:t>
      </w:r>
    </w:p>
    <w:p>
      <w:pPr>
        <w:jc w:val="both"/>
        <w:ind w:left="365" w:right="3119" w:hanging="365"/>
        <w:spacing w:after="0" w:line="253" w:lineRule="auto"/>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50% of shares of Company Common Stock outstanding as of June 30, 1995, other than 160,200 shares of Company Common Stock (at a cost of</w:t>
      </w:r>
    </w:p>
    <w:p>
      <w:pPr>
        <w:sectPr>
          <w:pgSz w:w="11900" w:h="16838" w:orient="portrait"/>
          <w:cols w:equalWidth="0" w:num="1">
            <w:col w:w="10225"/>
          </w:cols>
          <w:pgMar w:left="235" w:top="650" w:right="1440" w:bottom="0" w:gutter="0" w:footer="0" w:header="0"/>
        </w:sectPr>
      </w:pPr>
    </w:p>
    <w:bookmarkStart w:id="66" w:name="page67"/>
    <w:bookmarkEnd w:id="66"/>
    <w:p>
      <w:pPr>
        <w:jc w:val="both"/>
        <w:ind w:left="365" w:right="3119"/>
        <w:spacing w:after="0" w:line="250" w:lineRule="auto"/>
        <w:rPr>
          <w:sz w:val="20"/>
          <w:szCs w:val="20"/>
          <w:color w:val="auto"/>
        </w:rPr>
      </w:pPr>
      <w:r>
        <w:rPr>
          <w:rFonts w:ascii="Courier New" w:cs="Courier New" w:eastAsia="Courier New" w:hAnsi="Courier New"/>
          <w:sz w:val="15"/>
          <w:szCs w:val="15"/>
          <w:color w:val="auto"/>
        </w:rPr>
        <w:t>$801,000) held by Lilly, are converted on a 1:1 basis to shares of Series D Preferred Stock. The remaining 50% of shares of Company Common Stock is assumed to have been surrendered at the Effective Date of the Merger for $8.00 per share in cash from Lilly for total proceeds of $25,667,848.</w:t>
      </w:r>
    </w:p>
    <w:p>
      <w:pPr>
        <w:spacing w:after="0" w:line="2" w:lineRule="exact"/>
        <w:rPr>
          <w:sz w:val="20"/>
          <w:szCs w:val="20"/>
          <w:color w:val="auto"/>
        </w:rPr>
      </w:pPr>
    </w:p>
    <w:p>
      <w:pPr>
        <w:ind w:left="365" w:right="3219" w:hanging="365"/>
        <w:spacing w:after="0" w:line="252"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Trans-IMS shares are converted 1:120,000 to 12,000,000 shares of Company Common Stock. Assumes that no capital is attributed to shares issued upon conversion of Trans-IMS shares.</w:t>
      </w:r>
    </w:p>
    <w:p>
      <w:pPr>
        <w:spacing w:after="0" w:line="174"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50% of outstanding options and warrants are converted to options to purchase an equivalent number of shares of Series D Preferred Stock resulting in options and warrants for 1,523,120 new shares of Series D Preferred Stock. The remaining 50% of outstanding options and warrants are assumed to be surrendered at the Effective Date of the Merger for $8.00 per option and warrant, net of the exercise price, totaling $6,132,218.</w:t>
      </w:r>
    </w:p>
    <w:p>
      <w:pPr>
        <w:spacing w:after="0" w:line="353" w:lineRule="exact"/>
        <w:rPr>
          <w:rFonts w:ascii="Courier New" w:cs="Courier New" w:eastAsia="Courier New" w:hAnsi="Courier New"/>
          <w:sz w:val="15"/>
          <w:szCs w:val="15"/>
          <w:color w:val="auto"/>
        </w:rPr>
      </w:pPr>
    </w:p>
    <w:p>
      <w:pPr>
        <w:ind w:left="365" w:right="3019" w:hanging="365"/>
        <w:spacing w:after="0" w:line="250"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all shares of Series B Preferred Stock are converted to two-thirds of a share of Series D Preferred Stock at $5.33 per share or $10,660,000; additionally, assumes cumulative undeclared preferred dividends of $1,400,000 on Series B Preferred Stock are paid at the Effective Date of the Merger by Lilly, which is treated as a capital contribution to IMS. Assumes no holders of shares of Series B Preferred Stock elect to hold such shares following the Merger as the return on Series D Preferred Stock would be substantially higher than the return available by continuing to hold Series B Preferred Stock.</w:t>
      </w:r>
    </w:p>
    <w:p>
      <w:pPr>
        <w:spacing w:after="0" w:line="3" w:lineRule="exact"/>
        <w:rPr>
          <w:rFonts w:ascii="Courier New" w:cs="Courier New" w:eastAsia="Courier New" w:hAnsi="Courier New"/>
          <w:sz w:val="15"/>
          <w:szCs w:val="15"/>
          <w:color w:val="auto"/>
        </w:rPr>
      </w:pPr>
    </w:p>
    <w:p>
      <w:pPr>
        <w:ind w:left="365" w:right="3299" w:hanging="365"/>
        <w:spacing w:after="0" w:line="251"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all shares of Company Common Stock outstanding as of June 30, 1995, other than 160,200 common shares held by Lilly (at a cost of $801,000), are converted on a 1:1 basis to 6,416,962 shares of Series D Preferred Stock at a $8.00 per share effective price for a total of $51,335,696.</w:t>
      </w:r>
    </w:p>
    <w:p>
      <w:pPr>
        <w:spacing w:after="0" w:line="176" w:lineRule="exact"/>
        <w:rPr>
          <w:rFonts w:ascii="Courier New" w:cs="Courier New" w:eastAsia="Courier New" w:hAnsi="Courier New"/>
          <w:sz w:val="15"/>
          <w:szCs w:val="15"/>
          <w:color w:val="auto"/>
        </w:rPr>
      </w:pPr>
    </w:p>
    <w:p>
      <w:pPr>
        <w:ind w:left="365" w:right="3119" w:hanging="365"/>
        <w:spacing w:after="0" w:line="251" w:lineRule="auto"/>
        <w:tabs>
          <w:tab w:leader="none" w:pos="36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all outstanding options and warrants are converted to options to purchase an equivalent number of shares of Series D Preferred Stock resulting in options and warrants for the purchase of 3,046,240 shares of Series D Preferred Stock at an effective price of $8.00 per option and warrant net of the exercise price for a total of $12,264,436. Assumes no option holders elect to receive options to purchase Lilly shares in lieu of options to purchase Series D Preferred Stock.</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5"/>
          </w:cols>
          <w:pgMar w:left="235" w:top="142" w:right="1440" w:bottom="1440" w:gutter="0" w:footer="0" w:header="0"/>
        </w:sectPr>
      </w:pPr>
    </w:p>
    <w:bookmarkStart w:id="67" w:name="page68"/>
    <w:bookmarkEnd w:id="67"/>
    <w:p>
      <w:pPr>
        <w:ind w:left="540"/>
        <w:spacing w:after="0"/>
        <w:rPr>
          <w:sz w:val="20"/>
          <w:szCs w:val="20"/>
          <w:color w:val="auto"/>
        </w:rPr>
      </w:pPr>
      <w:r>
        <w:rPr>
          <w:rFonts w:ascii="Courier New" w:cs="Courier New" w:eastAsia="Courier New" w:hAnsi="Courier New"/>
          <w:sz w:val="15"/>
          <w:szCs w:val="15"/>
          <w:color w:val="auto"/>
        </w:rPr>
        <w:t>UNAUDITED PRO FORMA CONSOLIDATED STATEMENT OF INCOME OF LILLY</w:t>
      </w:r>
    </w:p>
    <w:p>
      <w:pPr>
        <w:spacing w:after="0" w:line="185"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The following unaudited pro forma consolidated statement of income of Lilly has been prepared to reflect the effect of the disposition of Guidant and the acquisition of PCS as if these transactions had been consummated on January 1, 1994.</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unaudited pro forma consolidated statement of income and related earnings per share data for the year ended December 31, 1994 is based on Lilly's historical results from continuing operations adjusted to reflect the impact of the transactions as if they had occurred on January 1, 1994. The effect of the disposition of Guidant Corporation reduced the number of shares of Lilly Common Stock outstanding and the weighted average number of shares of Lilly Common Stock outstanding used in the earnings per share calculations.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unaudited pro forma consolidated statement of income is not necessarily indicative of Lilly's consolidated results of operations had the disposition of Guidant or acquisition of PCS reflected therein actually been consummated at the assumed dates, nor is it necessarily indicative of Lilly's consolidated results of operations for any future period. The unaudited pro forma consolidated statement of income should be read in conjunction with Lilly's consolidated financial statements and notes thereto incorporated by reference in this Proxy Statement--Prospectus.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828" w:right="1440" w:bottom="1440" w:gutter="0" w:footer="0" w:header="0"/>
        </w:sectPr>
      </w:pPr>
    </w:p>
    <w:bookmarkStart w:id="68" w:name="page69"/>
    <w:bookmarkEnd w:id="68"/>
    <w:p>
      <w:pPr>
        <w:jc w:val="center"/>
        <w:ind w:right="3474"/>
        <w:spacing w:after="0"/>
        <w:rPr>
          <w:sz w:val="20"/>
          <w:szCs w:val="20"/>
          <w:color w:val="auto"/>
        </w:rPr>
      </w:pPr>
      <w:r>
        <w:rPr>
          <w:rFonts w:ascii="Courier New" w:cs="Courier New" w:eastAsia="Courier New" w:hAnsi="Courier New"/>
          <w:sz w:val="15"/>
          <w:szCs w:val="15"/>
          <w:color w:val="auto"/>
        </w:rPr>
        <w:t>UNAUDITED PRO FORMA CONSOLIDATED STATEMENT OF INCOME OF LILLY</w:t>
      </w:r>
    </w:p>
    <w:p>
      <w:pPr>
        <w:spacing w:after="0" w:line="185"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3240" w:type="dxa"/>
            <w:vAlign w:val="bottom"/>
            <w:gridSpan w:val="5"/>
          </w:tcPr>
          <w:p>
            <w:pPr>
              <w:jc w:val="right"/>
              <w:ind w:right="303"/>
              <w:spacing w:after="0"/>
              <w:rPr>
                <w:sz w:val="20"/>
                <w:szCs w:val="20"/>
                <w:color w:val="auto"/>
              </w:rPr>
            </w:pPr>
            <w:r>
              <w:rPr>
                <w:rFonts w:ascii="Courier New" w:cs="Courier New" w:eastAsia="Courier New" w:hAnsi="Courier New"/>
                <w:sz w:val="15"/>
                <w:szCs w:val="15"/>
                <w:color w:val="auto"/>
              </w:rPr>
              <w:t>YEAR ENDED DECEMBER 31, 1994</w:t>
            </w:r>
          </w:p>
        </w:tc>
      </w:tr>
      <w:tr>
        <w:trPr>
          <w:trHeight w:val="177"/>
        </w:trPr>
        <w:tc>
          <w:tcPr>
            <w:tcW w:w="4140" w:type="dxa"/>
            <w:vAlign w:val="bottom"/>
          </w:tcPr>
          <w:p>
            <w:pPr>
              <w:spacing w:after="0"/>
              <w:rPr>
                <w:sz w:val="15"/>
                <w:szCs w:val="15"/>
                <w:color w:val="auto"/>
              </w:rPr>
            </w:pPr>
          </w:p>
        </w:tc>
        <w:tc>
          <w:tcPr>
            <w:tcW w:w="324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2360" w:type="dxa"/>
            <w:vAlign w:val="bottom"/>
            <w:gridSpan w:val="3"/>
          </w:tcPr>
          <w:p>
            <w:pPr>
              <w:jc w:val="right"/>
              <w:ind w:right="163"/>
              <w:spacing w:after="0"/>
              <w:rPr>
                <w:sz w:val="20"/>
                <w:szCs w:val="20"/>
                <w:color w:val="auto"/>
              </w:rPr>
            </w:pPr>
            <w:r>
              <w:rPr>
                <w:rFonts w:ascii="Courier New" w:cs="Courier New" w:eastAsia="Courier New" w:hAnsi="Courier New"/>
                <w:sz w:val="15"/>
                <w:szCs w:val="15"/>
                <w:color w:val="auto"/>
              </w:rPr>
              <w:t>HISTORICAL ADJUSTMENTS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414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 sales...................................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$5,711.6</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$ 178.7 (2)</w:t>
            </w:r>
          </w:p>
        </w:tc>
        <w:tc>
          <w:tcPr>
            <w:tcW w:w="8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$5,890.3</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Cost of sales...............................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1,679.7</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w:t>
            </w: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1,774.4</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Research and development....................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838.7</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838.7</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Acquired research...........................</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58.4</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58.4</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Marketing and administrative................</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1,398.3</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w:t>
            </w: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1,446.2</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Special charges.............................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66.0</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66.0</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(income)/expense--net.................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303.1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w:t>
            </w: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275.0</w:t>
            </w:r>
          </w:p>
        </w:tc>
      </w:tr>
      <w:tr>
        <w:trPr>
          <w:trHeight w:val="177"/>
        </w:trPr>
        <w:tc>
          <w:tcPr>
            <w:tcW w:w="4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4,013.0</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445.7</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4,458.7</w:t>
            </w:r>
          </w:p>
        </w:tc>
      </w:tr>
      <w:tr>
        <w:trPr>
          <w:trHeight w:val="177"/>
        </w:trPr>
        <w:tc>
          <w:tcPr>
            <w:tcW w:w="4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continuing operations before in-</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come taxes.................................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1,698.6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(267.0)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1,431.6</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513.5</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(71.1)(2)</w:t>
            </w:r>
          </w:p>
        </w:tc>
        <w:tc>
          <w:tcPr>
            <w:tcW w:w="1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442.4</w:t>
            </w:r>
          </w:p>
        </w:tc>
      </w:tr>
      <w:tr>
        <w:trPr>
          <w:trHeight w:val="177"/>
        </w:trPr>
        <w:tc>
          <w:tcPr>
            <w:tcW w:w="4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continuing operations...........</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$1,185.1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c>
          <w:tcPr>
            <w:tcW w:w="32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989.2</w:t>
            </w:r>
          </w:p>
        </w:tc>
      </w:tr>
      <w:tr>
        <w:trPr>
          <w:trHeight w:val="177"/>
        </w:trPr>
        <w:tc>
          <w:tcPr>
            <w:tcW w:w="4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Earnings per share from continuing opera-</w:t>
            </w: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tions(1)...................................</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4.10</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3.63</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019" w:hanging="365"/>
        <w:spacing w:after="0" w:line="250" w:lineRule="auto"/>
        <w:tabs>
          <w:tab w:leader="none" w:pos="3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effect of the disposition of Guidant as if it had occurred at the beginning of the period presented. Unaudited pro forma earnings per share from continuing operations is calculated using the level of participation in the Guidant exchange offer. The Guidant exchange offer effectively reduced the weighted average number of shares outstanding by the number of shares of Lilly Common Stock exchanged for shares of Guidant Common Stock. This reduction in outstanding shares results in an increase in earnings per share from continuing operations. Also, earnings per share from continuing operations for the year ended December 31, 1994 has been reduced by $.72 to reflect Lilly's acquisition of PCS as if it had occurred as of January 1, 1994. (See note 2 hereto.)</w:t>
      </w:r>
    </w:p>
    <w:p>
      <w:pPr>
        <w:spacing w:after="0" w:line="182"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adjustments to reflect the impact of the PCS operations for the pre-acquisition period beginning January 1, 1994 to November 21, 1994, the acquisition date. These adjustments include the amortization of the excess purchase price over the book value of the PCS net assets (goodwill), assumed additional interest expense related to the issuance of debt for the purchase of PCS and the related tax effect of these adjustments based on the statutory tax rates in effect during the period. The goodwill amortization and interest expense adjustments, included in other income, amounted to $87.2 million and $216.2 million, respectively.</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5"/>
          </w:cols>
          <w:pgMar w:left="235" w:top="828" w:right="1440" w:bottom="1440" w:gutter="0" w:footer="0" w:header="0"/>
        </w:sectPr>
      </w:pPr>
    </w:p>
    <w:bookmarkStart w:id="69" w:name="page70"/>
    <w:bookmarkEnd w:id="69"/>
    <w:p>
      <w:pPr>
        <w:ind w:left="540"/>
        <w:spacing w:after="0"/>
        <w:rPr>
          <w:sz w:val="20"/>
          <w:szCs w:val="20"/>
          <w:color w:val="auto"/>
        </w:rPr>
      </w:pPr>
      <w:r>
        <w:rPr>
          <w:rFonts w:ascii="Courier New" w:cs="Courier New" w:eastAsia="Courier New" w:hAnsi="Courier New"/>
          <w:sz w:val="15"/>
          <w:szCs w:val="15"/>
          <w:color w:val="auto"/>
        </w:rPr>
        <w:t>UNAUDITED PRO FORMA CONSOLIDATED FINANCIAL INFORMATION OF IMS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following unaudited pro forma consolidated balance sheet of IMS as of June 30, 1995, and the unaudited pro forma consolidated statements of operations of IMS for the six months ended June 30, 1995 and the year ended December 31, 1994, have been prepared to reflect the effect of the Merger contemplated by this Proxy Statement Prospectus as well as the acquisition of the remaining 51% interest of Medical Communication Network, Inc. ("MCN") from Unihealth America Ventures ("Unihealth"). The MCN acquisition was consummated on October 20, 1995. The unaudited pro forma consolidated financial information is based on the historical consolidated financial statements of IMS adjusted to reflect the investment in IMS by Lilly as well as the MCN acquisition under the assumptions and adjustments set forth in the Notes to unaudited pro forma consolidated financial information of IMS.</w:t>
      </w:r>
    </w:p>
    <w:p>
      <w:pPr>
        <w:spacing w:after="0" w:line="183"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The unaudited pro forma consolidated balance sheet of IMS assumes that these transactions occurred on June 30, 1995 and the unaudited pro forma consolidated income statements of IMS assume these transactions occurred on January 1, 1994.</w:t>
      </w:r>
    </w:p>
    <w:p>
      <w:pPr>
        <w:spacing w:after="0" w:line="350"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MCN transaction represents the purchase by IMS of the ownership interest in MCN from Unihealth. The purchase price was $4,350,000 of which $1,900,000 is contingent upon MCN receiving extensions to eight existing Network Services Agreements with hospitals owned by Unihealth. As a result, the purchase price reflected in the unaudited pro forma consolidated financial information of IMS is $2,450,000. Of the total purchase price, Unihealth received $3,350,000 in cash at closing and $1,000,000 was placed in escrow at a bank. The funding for this purchase was provided by Lilly through the exercise of a warrant to purchase 500,000 shares of Series C Preferred Stock for $3,000,000 and an additional loan to IMS of $1,350,000.</w:t>
      </w:r>
    </w:p>
    <w:p>
      <w:pPr>
        <w:spacing w:after="0" w:line="182"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The Lilly transaction is reflected herein based on the terms and conditions described elsewhere in this Proxy Statement-Prospectus.</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unaudited pro forma consolidated financial information of IMS may not be indicative of the results that actually would have occurred if these transactions had occurred on the dates indicated or which may be obtained in the future. The unaudited pro forma consolidated financial information of IMS should be read in conjunction with the historical consolidated financial statements and accompanying notes for IMS.</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28" w:right="1440" w:bottom="1440" w:gutter="0" w:footer="0" w:header="0"/>
        </w:sectPr>
      </w:pPr>
    </w:p>
    <w:bookmarkStart w:id="70" w:name="page71"/>
    <w:bookmarkEnd w:id="70"/>
    <w:p>
      <w:pPr>
        <w:jc w:val="center"/>
        <w:ind w:right="3319"/>
        <w:spacing w:after="0"/>
        <w:rPr>
          <w:sz w:val="20"/>
          <w:szCs w:val="20"/>
          <w:color w:val="auto"/>
        </w:rPr>
      </w:pPr>
      <w:r>
        <w:rPr>
          <w:rFonts w:ascii="Courier New" w:cs="Courier New" w:eastAsia="Courier New" w:hAnsi="Courier New"/>
          <w:sz w:val="15"/>
          <w:szCs w:val="15"/>
          <w:color w:val="auto"/>
        </w:rPr>
        <w:t>UNAUDITED PRO FORMA CONSOLIDATED BALANCE SHEET OF IMS</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AS OF JUNE 30, 1995</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HISTORICAL</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PRO FORMA</w:t>
            </w:r>
          </w:p>
        </w:tc>
        <w:tc>
          <w:tcPr>
            <w:tcW w:w="50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1995</w:t>
            </w: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ADJUSTMENTS</w:t>
            </w:r>
          </w:p>
        </w:tc>
        <w:tc>
          <w:tcPr>
            <w:tcW w:w="50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703"/>
              <w:spacing w:after="0"/>
              <w:rPr>
                <w:sz w:val="20"/>
                <w:szCs w:val="20"/>
                <w:color w:val="auto"/>
              </w:rPr>
            </w:pPr>
            <w:r>
              <w:rPr>
                <w:rFonts w:ascii="Courier New" w:cs="Courier New" w:eastAsia="Courier New" w:hAnsi="Courier New"/>
                <w:sz w:val="15"/>
                <w:szCs w:val="15"/>
                <w:color w:val="auto"/>
                <w:w w:val="99"/>
              </w:rPr>
              <w:t>ASSETS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$ 1,317,791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1,317,791</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Contract and other receivables.....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3,102,600</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3,102,600</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Deposits...........................</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1,900,000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1,900,000</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1,218,184</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1,218,184</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5,638,575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7,538,575</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CONTRACTS RECEIVABLES, long-term por-</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tion................................</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1,005,956</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1,005,956</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EQUIPMENT AND FURNITURE, net.........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4,645,488</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4,645,488</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EXCESS OF PURCHASE PRICE OVER TANGI-</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BLE</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2,352,655</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91,313,283</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NET ASSETS ACQUIRED..................</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88,960,628</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814,211</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814,211</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$12,104,230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$105,317,513</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860" w:type="dxa"/>
            <w:vAlign w:val="bottom"/>
            <w:gridSpan w:val="4"/>
          </w:tcPr>
          <w:p>
            <w:pPr>
              <w:jc w:val="right"/>
              <w:ind w:right="443"/>
              <w:spacing w:after="0"/>
              <w:rPr>
                <w:sz w:val="20"/>
                <w:szCs w:val="20"/>
                <w:color w:val="auto"/>
              </w:rPr>
            </w:pPr>
            <w:r>
              <w:rPr>
                <w:rFonts w:ascii="Courier New" w:cs="Courier New" w:eastAsia="Courier New" w:hAnsi="Courier New"/>
                <w:sz w:val="15"/>
                <w:szCs w:val="15"/>
                <w:color w:val="auto"/>
              </w:rPr>
              <w:t>LIABILITIES AND STOCKHOLDERS' EQUITY</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$1,377,495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1,377,495</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Deferred contracts payable.........</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2,686,837</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2,686,837</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 current liabilities..........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2,186,213</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2,186,213</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6,250,545</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6,250,545</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LONG-TERM DEFERRED CONTRACT REVENUE..</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712,414</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712,414</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3,121,378</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1,350,000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4,471,378</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OTHER LONG-TERM LIABILITIES..........</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769,389</w:t>
            </w:r>
          </w:p>
        </w:tc>
        <w:tc>
          <w:tcPr>
            <w:tcW w:w="140" w:type="dxa"/>
            <w:vAlign w:val="bottom"/>
          </w:tcPr>
          <w:p>
            <w:pPr>
              <w:spacing w:after="0"/>
              <w:rPr>
                <w:sz w:val="15"/>
                <w:szCs w:val="15"/>
                <w:color w:val="auto"/>
              </w:rPr>
            </w:pP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(97,345)(1)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672,044</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SERIES D REDEEMABLE PREFERRED STOCK..</w:t>
            </w:r>
          </w:p>
        </w:tc>
        <w:tc>
          <w:tcPr>
            <w:tcW w:w="13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74,260,132</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74,260,132</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Series B voting preferred stock....</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2,000,000</w:t>
            </w:r>
          </w:p>
        </w:tc>
        <w:tc>
          <w:tcPr>
            <w:tcW w:w="140" w:type="dxa"/>
            <w:vAlign w:val="bottom"/>
          </w:tcPr>
          <w:p>
            <w:pPr>
              <w:spacing w:after="0"/>
              <w:rPr>
                <w:sz w:val="15"/>
                <w:szCs w:val="15"/>
                <w:color w:val="auto"/>
              </w:rPr>
            </w:pP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(2,000,000)(2)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Series C preferred stock...........</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13,750,000</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(16,750,000)(2)</w:t>
            </w: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8,947,591</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18,951,000</w:t>
            </w:r>
          </w:p>
        </w:tc>
      </w:tr>
      <w:tr>
        <w:trPr>
          <w:trHeight w:val="177"/>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16,750,000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5"/>
                <w:szCs w:val="15"/>
                <w:color w:val="auto"/>
              </w:rPr>
            </w:pPr>
          </w:p>
        </w:tc>
      </w:tr>
      <w:tr>
        <w:trPr>
          <w:trHeight w:val="177"/>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15"/>
                <w:szCs w:val="15"/>
                <w:color w:val="auto"/>
              </w:rPr>
            </w:pPr>
          </w:p>
        </w:tc>
      </w:tr>
      <w:tr>
        <w:trPr>
          <w:trHeight w:val="177"/>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(9,146,591)(2)</w:t>
            </w:r>
          </w:p>
        </w:tc>
        <w:tc>
          <w:tcPr>
            <w:tcW w:w="1020" w:type="dxa"/>
            <w:vAlign w:val="bottom"/>
          </w:tcPr>
          <w:p>
            <w:pPr>
              <w:spacing w:after="0"/>
              <w:rPr>
                <w:sz w:val="15"/>
                <w:szCs w:val="15"/>
                <w:color w:val="auto"/>
              </w:rPr>
            </w:pPr>
          </w:p>
        </w:tc>
      </w:tr>
      <w:tr>
        <w:trPr>
          <w:trHeight w:val="177"/>
        </w:trPr>
        <w:tc>
          <w:tcPr>
            <w:tcW w:w="34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Capital contributions from joint</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6,508,230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venturers.........................</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(1,000,000)(1)</w:t>
            </w:r>
          </w:p>
        </w:tc>
        <w:tc>
          <w:tcPr>
            <w:tcW w:w="1020" w:type="dxa"/>
            <w:vAlign w:val="bottom"/>
          </w:tcPr>
          <w:p>
            <w:pPr>
              <w:spacing w:after="0"/>
              <w:rPr>
                <w:sz w:val="15"/>
                <w:szCs w:val="15"/>
                <w:color w:val="auto"/>
              </w:rPr>
            </w:pPr>
          </w:p>
        </w:tc>
      </w:tr>
      <w:tr>
        <w:trPr>
          <w:trHeight w:val="177"/>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(5,508,230)(2)</w:t>
            </w: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(29,905,317)</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29,905,317</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Less-Stock subscriptions and joint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venturers</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contributions receivable............</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1,250,504</w:t>
            </w:r>
          </w:p>
        </w:tc>
        <w:tc>
          <w:tcPr>
            <w:tcW w:w="140" w:type="dxa"/>
            <w:vAlign w:val="bottom"/>
          </w:tcPr>
          <w:p>
            <w:pPr>
              <w:spacing w:after="0"/>
              <w:rPr>
                <w:sz w:val="15"/>
                <w:szCs w:val="15"/>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18,951,000</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$12,104,230</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$105,317,513</w:t>
            </w:r>
          </w:p>
        </w:tc>
      </w:tr>
      <w:tr>
        <w:trPr>
          <w:trHeight w:val="177"/>
        </w:trPr>
        <w:tc>
          <w:tcPr>
            <w:tcW w:w="340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2580" w:right="3399" w:hanging="2029"/>
        <w:spacing w:after="0" w:line="253" w:lineRule="auto"/>
        <w:rPr>
          <w:sz w:val="20"/>
          <w:szCs w:val="20"/>
          <w:color w:val="auto"/>
        </w:rPr>
      </w:pPr>
      <w:r>
        <w:rPr>
          <w:rFonts w:ascii="Courier New" w:cs="Courier New" w:eastAsia="Courier New" w:hAnsi="Courier New"/>
          <w:sz w:val="15"/>
          <w:szCs w:val="15"/>
          <w:color w:val="auto"/>
        </w:rPr>
        <w:t>See accompanying Notes to Unaudited Pro Forma Consolidated Financial Information of IMS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828" w:right="1440" w:bottom="1440" w:gutter="0" w:footer="0" w:header="0"/>
        </w:sectPr>
      </w:pPr>
    </w:p>
    <w:bookmarkStart w:id="71" w:name="page72"/>
    <w:bookmarkEnd w:id="71"/>
    <w:p>
      <w:pPr>
        <w:jc w:val="center"/>
        <w:ind w:right="3399"/>
        <w:spacing w:after="0"/>
        <w:rPr>
          <w:sz w:val="20"/>
          <w:szCs w:val="20"/>
          <w:color w:val="auto"/>
        </w:rPr>
      </w:pPr>
      <w:r>
        <w:rPr>
          <w:rFonts w:ascii="Courier New" w:cs="Courier New" w:eastAsia="Courier New" w:hAnsi="Courier New"/>
          <w:sz w:val="15"/>
          <w:szCs w:val="15"/>
          <w:color w:val="auto"/>
        </w:rPr>
        <w:t>UNAUDITED PRO FORMA CONSOLIDATED STATEMENTS OF OPERATIONS OF IMS</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FOR THE SIX MONTHS ENDED JUNE 30, 1995</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3460" w:type="dxa"/>
            <w:vAlign w:val="bottom"/>
          </w:tcPr>
          <w:p>
            <w:pPr>
              <w:spacing w:after="0"/>
              <w:rPr>
                <w:sz w:val="15"/>
                <w:szCs w:val="15"/>
                <w:color w:val="auto"/>
              </w:rPr>
            </w:pPr>
          </w:p>
        </w:tc>
        <w:tc>
          <w:tcPr>
            <w:tcW w:w="1200" w:type="dxa"/>
            <w:vAlign w:val="bottom"/>
          </w:tcPr>
          <w:p>
            <w:pPr>
              <w:jc w:val="center"/>
              <w:ind w:right="103"/>
              <w:spacing w:after="0"/>
              <w:rPr>
                <w:sz w:val="20"/>
                <w:szCs w:val="20"/>
                <w:color w:val="auto"/>
              </w:rPr>
            </w:pPr>
            <w:r>
              <w:rPr>
                <w:rFonts w:ascii="Courier New" w:cs="Courier New" w:eastAsia="Courier New" w:hAnsi="Courier New"/>
                <w:sz w:val="15"/>
                <w:szCs w:val="15"/>
                <w:color w:val="auto"/>
              </w:rPr>
              <w:t>JUNE 30,</w:t>
            </w:r>
          </w:p>
        </w:tc>
        <w:tc>
          <w:tcPr>
            <w:tcW w:w="1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460" w:type="dxa"/>
            <w:vAlign w:val="bottom"/>
          </w:tcPr>
          <w:p>
            <w:pPr>
              <w:spacing w:after="0"/>
              <w:rPr>
                <w:sz w:val="15"/>
                <w:szCs w:val="15"/>
                <w:color w:val="auto"/>
              </w:rPr>
            </w:pP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99"/>
              </w:rPr>
              <w:t>1995</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ADJUSTMENTS</w:t>
            </w:r>
          </w:p>
        </w:tc>
        <w:tc>
          <w:tcPr>
            <w:tcW w:w="12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4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Network service agreement revenue.. $ 5,436,113</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5,436,113</w:t>
            </w: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Network license agreement revenue..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1,371,400</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1,371,400</w:t>
            </w: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Network license service revenue....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1,122,503</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1,122,503</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7,930,016</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7,930,016</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Salaries payroll taxes and bene-</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fits..............................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8,477,812</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8,477,812</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Facilities, general and administra-</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tive..............................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2,430,190</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2,430,190</w:t>
            </w:r>
          </w:p>
        </w:tc>
      </w:tr>
      <w:tr>
        <w:trPr>
          <w:trHeight w:val="177"/>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tive..............................</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3,418,612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120,627 (3)</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8,032,783</w:t>
            </w:r>
          </w:p>
        </w:tc>
      </w:tr>
      <w:tr>
        <w:trPr>
          <w:trHeight w:val="177"/>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4,493,544 (4)</w:t>
            </w:r>
          </w:p>
        </w:tc>
        <w:tc>
          <w:tcPr>
            <w:tcW w:w="1240" w:type="dxa"/>
            <w:vAlign w:val="bottom"/>
          </w:tcPr>
          <w:p>
            <w:pPr>
              <w:spacing w:after="0"/>
              <w:rPr>
                <w:sz w:val="15"/>
                <w:szCs w:val="15"/>
                <w:color w:val="auto"/>
              </w:rPr>
            </w:pP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14,326,614</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18,940,785</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LOSS FROM OPERATIONS.................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(6,396,598)</w:t>
            </w:r>
          </w:p>
        </w:tc>
        <w:tc>
          <w:tcPr>
            <w:tcW w:w="1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(11,010,769)</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17,802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(67,500)(5)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(27,198)</w:t>
            </w:r>
          </w:p>
        </w:tc>
      </w:tr>
      <w:tr>
        <w:trPr>
          <w:trHeight w:val="177"/>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22,500 (6)</w:t>
            </w:r>
          </w:p>
        </w:tc>
        <w:tc>
          <w:tcPr>
            <w:tcW w:w="1240" w:type="dxa"/>
            <w:vAlign w:val="bottom"/>
          </w:tcPr>
          <w:p>
            <w:pPr>
              <w:spacing w:after="0"/>
              <w:rPr>
                <w:sz w:val="15"/>
                <w:szCs w:val="15"/>
                <w:color w:val="auto"/>
              </w:rPr>
            </w:pP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17,802</w:t>
            </w:r>
          </w:p>
        </w:tc>
        <w:tc>
          <w:tcPr>
            <w:tcW w:w="1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(27,198)</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 IN OP-</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ERATIONS OF SUBSIDIARIES............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(6,378,796)</w:t>
            </w:r>
          </w:p>
        </w:tc>
        <w:tc>
          <w:tcPr>
            <w:tcW w:w="1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(11,037,967)</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MINORITY INTEREST IN INCOME FROM OP-</w:t>
            </w:r>
          </w:p>
        </w:tc>
        <w:tc>
          <w:tcPr>
            <w:tcW w:w="1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ERATIONS OF SUBSIDIARIES............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(84,868)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19,913 (7)</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(64,955)</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$(6,463,664)</w:t>
            </w:r>
          </w:p>
        </w:tc>
        <w:tc>
          <w:tcPr>
            <w:tcW w:w="1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$(11,102,922)</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NET LOSS PER COMMON SHARE............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($0.71)</w:t>
            </w:r>
          </w:p>
        </w:tc>
      </w:tr>
      <w:tr>
        <w:trPr>
          <w:trHeight w:val="177"/>
        </w:trPr>
        <w:tc>
          <w:tcPr>
            <w:tcW w:w="3460" w:type="dxa"/>
            <w:vAlign w:val="bottom"/>
          </w:tcPr>
          <w:p>
            <w:pPr>
              <w:spacing w:after="0"/>
              <w:rPr>
                <w:sz w:val="15"/>
                <w:szCs w:val="15"/>
                <w:color w:val="auto"/>
              </w:rPr>
            </w:pP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6,563,019</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15,660,200</w:t>
            </w:r>
          </w:p>
        </w:tc>
      </w:tr>
      <w:tr>
        <w:trPr>
          <w:trHeight w:val="177"/>
        </w:trPr>
        <w:tc>
          <w:tcPr>
            <w:tcW w:w="346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2580" w:right="3399" w:hanging="2029"/>
        <w:spacing w:after="0" w:line="253" w:lineRule="auto"/>
        <w:rPr>
          <w:sz w:val="20"/>
          <w:szCs w:val="20"/>
          <w:color w:val="auto"/>
        </w:rPr>
      </w:pPr>
      <w:r>
        <w:rPr>
          <w:rFonts w:ascii="Courier New" w:cs="Courier New" w:eastAsia="Courier New" w:hAnsi="Courier New"/>
          <w:sz w:val="15"/>
          <w:szCs w:val="15"/>
          <w:color w:val="auto"/>
        </w:rPr>
        <w:t>See accompanying Notes to Unaudited Pro Forma Consolidated Financial Information of IMS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828" w:right="1440" w:bottom="1440" w:gutter="0" w:footer="0" w:header="0"/>
        </w:sectPr>
      </w:pPr>
    </w:p>
    <w:bookmarkStart w:id="72" w:name="page73"/>
    <w:bookmarkEnd w:id="72"/>
    <w:p>
      <w:pPr>
        <w:jc w:val="center"/>
        <w:ind w:right="3319"/>
        <w:spacing w:after="0"/>
        <w:rPr>
          <w:sz w:val="20"/>
          <w:szCs w:val="20"/>
          <w:color w:val="auto"/>
        </w:rPr>
      </w:pPr>
      <w:r>
        <w:rPr>
          <w:rFonts w:ascii="Courier New" w:cs="Courier New" w:eastAsia="Courier New" w:hAnsi="Courier New"/>
          <w:sz w:val="15"/>
          <w:szCs w:val="15"/>
          <w:color w:val="auto"/>
        </w:rPr>
        <w:t>UNAUDITED PRO FORMA CONSOLIDATED STATEMENT OF OPERATIONS OF IMS</w:t>
      </w:r>
    </w:p>
    <w:p>
      <w:pPr>
        <w:spacing w:after="0" w:line="18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FOR THE YEAR ENDED DECEMBER 31, 1994</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spacing w:after="0"/>
              <w:rPr>
                <w:sz w:val="14"/>
                <w:szCs w:val="14"/>
                <w:color w:val="auto"/>
              </w:rPr>
            </w:pP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PRO FORMA</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DECEMBER 31,</w:t>
            </w:r>
          </w:p>
        </w:tc>
        <w:tc>
          <w:tcPr>
            <w:tcW w:w="14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PRO FORMA</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ADJUSTMENTS</w:t>
            </w:r>
          </w:p>
        </w:tc>
        <w:tc>
          <w:tcPr>
            <w:tcW w:w="13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Network service agreement revenue.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$ 7,456,654</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7,456,654</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Network license agreement revenue.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10,057,983</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10,057,983</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Network license service revenue...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365,726</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365,726</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17,880,363</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17,880,363</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Salaries, payroll taxes and bene-</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fits.............................</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11,838,793</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11,838,793</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Facilities and other..............</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4,451,233</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4,451,233</w:t>
            </w:r>
          </w:p>
        </w:tc>
      </w:tr>
      <w:tr>
        <w:trPr>
          <w:trHeight w:val="177"/>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 administra-</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tive.............................</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5,848,436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241,254 (3)</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15,076,778</w:t>
            </w:r>
          </w:p>
        </w:tc>
      </w:tr>
      <w:tr>
        <w:trPr>
          <w:trHeight w:val="177"/>
        </w:trPr>
        <w:tc>
          <w:tcPr>
            <w:tcW w:w="3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8,987,088 (4)</w:t>
            </w:r>
          </w:p>
        </w:tc>
        <w:tc>
          <w:tcPr>
            <w:tcW w:w="1320" w:type="dxa"/>
            <w:vAlign w:val="bottom"/>
          </w:tcPr>
          <w:p>
            <w:pPr>
              <w:spacing w:after="0"/>
              <w:rPr>
                <w:sz w:val="15"/>
                <w:szCs w:val="15"/>
                <w:color w:val="auto"/>
              </w:rPr>
            </w:pP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22,138,462</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31,366,804</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LOSS FROM OPERATIONS................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(4,258,099)</w:t>
            </w:r>
          </w:p>
        </w:tc>
        <w:tc>
          <w:tcPr>
            <w:tcW w:w="1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(13,486,441)</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INCOME (EXPENSES):</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159,599</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(135,000)(5)</w:t>
            </w: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69,599</w:t>
            </w:r>
          </w:p>
        </w:tc>
      </w:tr>
      <w:tr>
        <w:trPr>
          <w:trHeight w:val="177"/>
        </w:trPr>
        <w:tc>
          <w:tcPr>
            <w:tcW w:w="3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45,000 (6)</w:t>
            </w:r>
          </w:p>
        </w:tc>
        <w:tc>
          <w:tcPr>
            <w:tcW w:w="1320" w:type="dxa"/>
            <w:vAlign w:val="bottom"/>
          </w:tcPr>
          <w:p>
            <w:pPr>
              <w:spacing w:after="0"/>
              <w:rPr>
                <w:sz w:val="15"/>
                <w:szCs w:val="15"/>
                <w:color w:val="auto"/>
              </w:rPr>
            </w:pP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159,599</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69,599</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LOSS BEFORE MINORITY INTEREST IN OP-</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ERATIONS OF SUBSIDIARIES...........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(4,098,500)</w:t>
            </w:r>
          </w:p>
        </w:tc>
        <w:tc>
          <w:tcPr>
            <w:tcW w:w="1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(13,416,842)</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3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143"/>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MINORITY INTEREST IN INCOME FROM OP-</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ERATIONS OF SUBSIDIARIES...........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(153,281)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58,326 (7)</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(94,955)</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 LOSS............................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$(4,251,781)</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$(13,511,797)</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 LOSS PER COMMON SHARE...........</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($0.73)</w:t>
            </w:r>
          </w:p>
        </w:tc>
        <w:tc>
          <w:tcPr>
            <w:tcW w:w="1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7"/>
        </w:trPr>
        <w:tc>
          <w:tcPr>
            <w:tcW w:w="3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OUTSTANDING........................</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6,099,120</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15,660,200</w:t>
            </w:r>
          </w:p>
        </w:tc>
      </w:tr>
      <w:tr>
        <w:trPr>
          <w:trHeight w:val="177"/>
        </w:trPr>
        <w:tc>
          <w:tcPr>
            <w:tcW w:w="3400" w:type="dxa"/>
            <w:vAlign w:val="bottom"/>
          </w:tcPr>
          <w:p>
            <w:pPr>
              <w:spacing w:after="0"/>
              <w:rPr>
                <w:sz w:val="15"/>
                <w:szCs w:val="15"/>
                <w:color w:val="auto"/>
              </w:rPr>
            </w:pP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5"/>
                <w:szCs w:val="15"/>
                <w:color w:val="auto"/>
              </w:rPr>
            </w:pPr>
          </w:p>
        </w:tc>
        <w:tc>
          <w:tcPr>
            <w:tcW w:w="13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2580" w:right="3399" w:hanging="2029"/>
        <w:spacing w:after="0" w:line="253" w:lineRule="auto"/>
        <w:rPr>
          <w:sz w:val="20"/>
          <w:szCs w:val="20"/>
          <w:color w:val="auto"/>
        </w:rPr>
      </w:pPr>
      <w:r>
        <w:rPr>
          <w:rFonts w:ascii="Courier New" w:cs="Courier New" w:eastAsia="Courier New" w:hAnsi="Courier New"/>
          <w:sz w:val="15"/>
          <w:szCs w:val="15"/>
          <w:color w:val="auto"/>
        </w:rPr>
        <w:t>See accompanying Notes to Unaudited Pro Forma Consolidated Financial Information of IMS</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28" w:right="1440" w:bottom="1440" w:gutter="0" w:footer="0" w:header="0"/>
        </w:sectPr>
      </w:pPr>
    </w:p>
    <w:bookmarkStart w:id="73" w:name="page74"/>
    <w:bookmarkEnd w:id="73"/>
    <w:p>
      <w:pPr>
        <w:ind w:left="180"/>
        <w:spacing w:after="0"/>
        <w:rPr>
          <w:sz w:val="20"/>
          <w:szCs w:val="20"/>
          <w:color w:val="auto"/>
        </w:rPr>
      </w:pPr>
      <w:r>
        <w:rPr>
          <w:rFonts w:ascii="Courier New" w:cs="Courier New" w:eastAsia="Courier New" w:hAnsi="Courier New"/>
          <w:sz w:val="15"/>
          <w:szCs w:val="15"/>
          <w:color w:val="auto"/>
        </w:rPr>
        <w:t>NOTES TO UNAUDITED PRO FORMA CONSOLIDATED FINANCIAL INFORMATION OF IMS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unaudited pro forma financial information of IMS was prepared to reflect the acquisition of IMS by Lilly and the acquisition of MCN by IMS. Lilly's cost of the acquisition of $75,660,132 has been pushed down to the unaudited pro forma consolidated financial information of IMS. The identifiable assets and liabilities of IMS have been reflected at their estimated fair market values as of June 30, 1995. The excess of the Lilly purchase price over tangible net assets acquired has been recorded as such on the unaudited pro forma consolidated balance sheet. The allocation of this asset to identifiable intangible assets will be completed prior to December 31, 1995. For purposes of the unaudited pro forma consolidated information, the excess of the purchase price over the tangible net assets acquired is being amortized over its estimated useful life of ten years. The purchase of MCN has been accounted for as a purchase with the net assets acquired reflected at their fair market values. The excess of the purchase price over the fair value of MCN's tangible net assets is similarly recorded as excess of purchase price over tangible net assets acquired and is being amortized over its estimated useful life of ten years.</w:t>
      </w:r>
    </w:p>
    <w:p>
      <w:pPr>
        <w:spacing w:after="0" w:line="185" w:lineRule="exact"/>
        <w:rPr>
          <w:sz w:val="20"/>
          <w:szCs w:val="20"/>
          <w:color w:val="auto"/>
        </w:rPr>
      </w:pPr>
    </w:p>
    <w:p>
      <w:pPr>
        <w:ind w:right="3299" w:firstLine="179"/>
        <w:spacing w:after="0" w:line="251"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acquisition of MCN's remaining 51% interest, including the cash funded by Lilly in the form of debt and the purchase of Series C Preferred Stock, the deposit for the contingent MCN purchase price and the elimination of MCN's minority interest from the historical Consolidated Balance Sheet.</w:t>
      </w:r>
    </w:p>
    <w:p>
      <w:pPr>
        <w:spacing w:after="0" w:line="176" w:lineRule="exact"/>
        <w:rPr>
          <w:rFonts w:ascii="Courier New" w:cs="Courier New" w:eastAsia="Courier New" w:hAnsi="Courier New"/>
          <w:sz w:val="15"/>
          <w:szCs w:val="15"/>
          <w:color w:val="auto"/>
        </w:rPr>
      </w:pPr>
    </w:p>
    <w:p>
      <w:pPr>
        <w:ind w:right="3019" w:firstLine="179"/>
        <w:spacing w:after="0" w:line="251"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acquisition of IMS by Lilly as contemplated by the Merger. The purchase price has been pushed down to the financial statements of IMS. As a result, the assets, liabilities and stockholders' equity associated with the Lilly acquisition have been adjusted to reflect Lilly's purchase price. The pro forma adjustments to the Series D Redeemable Preferred Stock and the amounts included in Stockholder's Equity are described in detail in the footnotes in the table entitled "CAPITALIZATION OF IMS FOLLOWING THE MERGER" assuming 100% of the securities are converted.</w:t>
      </w:r>
    </w:p>
    <w:p>
      <w:pPr>
        <w:spacing w:after="0" w:line="175"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amortization of the MCN acquisition excess of purchase price over tangible net assets acquired calculated as of January 1, 1994, over its estimated useful life of ten years.</w:t>
      </w:r>
    </w:p>
    <w:p>
      <w:pPr>
        <w:spacing w:after="0" w:line="174"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amortization of the Lilly acquisition contemplated by the Merger excess of purchase price over tangible net assets acquired calculated as of January 1, 1994, over its estimated useful life of ten years.</w:t>
      </w:r>
    </w:p>
    <w:p>
      <w:pPr>
        <w:spacing w:after="0" w:line="174" w:lineRule="exact"/>
        <w:rPr>
          <w:rFonts w:ascii="Courier New" w:cs="Courier New" w:eastAsia="Courier New" w:hAnsi="Courier New"/>
          <w:sz w:val="15"/>
          <w:szCs w:val="15"/>
          <w:color w:val="auto"/>
        </w:rPr>
      </w:pPr>
    </w:p>
    <w:p>
      <w:pPr>
        <w:ind w:right="3119" w:firstLine="179"/>
        <w:spacing w:after="0" w:line="253"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IMS interest expense incurred at a rate of 10% in connection with the $1,350,000 borrowed from Lilly to complete the MCN acquisition.</w:t>
      </w:r>
    </w:p>
    <w:p>
      <w:pPr>
        <w:spacing w:after="0" w:line="174" w:lineRule="exact"/>
        <w:rPr>
          <w:rFonts w:ascii="Courier New" w:cs="Courier New" w:eastAsia="Courier New" w:hAnsi="Courier New"/>
          <w:sz w:val="15"/>
          <w:szCs w:val="15"/>
          <w:color w:val="auto"/>
        </w:rPr>
      </w:pPr>
    </w:p>
    <w:p>
      <w:pPr>
        <w:ind w:right="3119" w:firstLine="179"/>
        <w:spacing w:after="0" w:line="253"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earned interest income on the $1,000,000 escrowed deposit at an assumed annual rate of 4.5%.</w:t>
      </w:r>
    </w:p>
    <w:p>
      <w:pPr>
        <w:spacing w:after="0" w:line="174" w:lineRule="exact"/>
        <w:rPr>
          <w:rFonts w:ascii="Courier New" w:cs="Courier New" w:eastAsia="Courier New" w:hAnsi="Courier New"/>
          <w:sz w:val="15"/>
          <w:szCs w:val="15"/>
          <w:color w:val="auto"/>
        </w:rPr>
      </w:pPr>
    </w:p>
    <w:p>
      <w:pPr>
        <w:ind w:right="3219" w:firstLine="179"/>
        <w:spacing w:after="0" w:line="253" w:lineRule="auto"/>
        <w:tabs>
          <w:tab w:leader="none" w:pos="5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historical minority interest recorded by IMS for the earnings of MCN for the periods presented.</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828" w:right="1440" w:bottom="1440" w:gutter="0" w:footer="0" w:header="0"/>
        </w:sectPr>
      </w:pPr>
    </w:p>
    <w:bookmarkStart w:id="74" w:name="page75"/>
    <w:bookmarkEnd w:id="74"/>
    <w:p>
      <w:pPr>
        <w:ind w:left="1840"/>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FINANCIAL CONDITION AND RESULTS OF OPERATIONS OF IMS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 develops and operates computer based communication networks that automate routine and specialized text, voice, data and image exchanges from hospitals, managed care organizations, clinical laboratories, pharmaceutical companies, pharmacy chains and other healthcare providers to physicians. The networks, generally referred to as IMS MEDACOM(R) Networks, enable such healthcare entities ("sponsors") to be linked with participating physician offices and physicians to be linked to each other to facilitate the exchange of clinical, financial and administrative information related to the delivery of healthcare services.</w:t>
      </w:r>
    </w:p>
    <w:p>
      <w:pPr>
        <w:spacing w:after="0" w:line="17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Sponsors pay various fees to utilize an IMS MEDACOM(R) Network to communicate with selected physicians or other network users in a given market on a single network (a "local" sponsor) or on several networks (a "national" sponsor). Physicians are not charged fees to participate on a network for basic network communication services and generally are designated for participation on a network, with the approval of the physician, by a sponsor seeking to improve communication with certain physicians. Generally, licenses to physicians for the proprietary IMS software installed at the physician practice sites on devices owned by physicians are directly maintained with IMS.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IMS markets its software and networks under three general arrangements.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LARGE MARKETS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26 of the largest 50 metropolitan markets in the United States, the Company operates, directly or under a contract with a local network partner, IMS MEDACOM(R) Networks in which all healthcare providers, suppliers, payors and others in the market have an opportunity to utilize the network for various aspects of medical communication needs. The "open architecture" networks may be utilized by any sponsor which intends to communicate with physicians or other sponsors in the market area under a "network services agreement" ("NSA"). Under an NSA, local sponsors contract with IMS or the network, for implementation of an individualized automated communications plan utilizing the network for an annual fee determined by either (a) the size of the sponsoring institution and scope of the network design, or (b) the volume and characteristics of communications with designated physician sites or other external sites (pharmacies, clinics, ancillary treatment services, etc.). In addition to annual sponsor fees, IMS may receive implementation fees, as well as incremental development and deployment fees for custom software interfaces or workstation applications as requested by the sponsor. The typical term for an NSA is five years, though shorter participation commitments are available under significantly higher fee structures. Most NSAs include general renewal upon expiration at increased or renegotiated fees. NSA revenue is recognized as earned monthly by prorating the fixed annual fee while certain custom development or implementation fees are recognized upon project completion.</w:t>
      </w:r>
    </w:p>
    <w:p>
      <w:pPr>
        <w:spacing w:after="0" w:line="187"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The Company intends to aggressively pursue the development of open architecture IMS MEDACOM(R) Networks in at least the 50 largest metropolitan markets, measured by the number of practicing physicians in the market.</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SMALLER MARKET NETWORKS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selected smaller markets (typically those with less than 1,500 practicing physicians), a local healthcare service provider or management entity contracts with IMS to receive a license of IMS technology and to implement a network under a network license agreement ("NLA"). Under an NLA, the licensee generally receives a nonexclusive license to use the IMS proprietary software for a fixed period, generally a five year term with annual renewals thereafter. The licensee can operate a network on its own or retain IMS to manage the</w:t>
      </w:r>
    </w:p>
    <w:p>
      <w:pPr>
        <w:spacing w:after="0" w:line="35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50" w:right="1440" w:bottom="1440" w:gutter="0" w:footer="0" w:header="0"/>
        </w:sectPr>
      </w:pPr>
    </w:p>
    <w:bookmarkStart w:id="75" w:name="page76"/>
    <w:bookmarkEnd w:id="75"/>
    <w:p>
      <w:pPr>
        <w:ind w:right="3119"/>
        <w:spacing w:after="0" w:line="251" w:lineRule="auto"/>
        <w:rPr>
          <w:sz w:val="20"/>
          <w:szCs w:val="20"/>
          <w:color w:val="auto"/>
        </w:rPr>
      </w:pPr>
      <w:r>
        <w:rPr>
          <w:rFonts w:ascii="Courier New" w:cs="Courier New" w:eastAsia="Courier New" w:hAnsi="Courier New"/>
          <w:sz w:val="15"/>
          <w:szCs w:val="15"/>
          <w:color w:val="auto"/>
        </w:rPr>
        <w:t>network. All physician site licenses under an NLA are with the Company so the Company retains the right in most cases to permit other local sponsors or licensees or national sponsors to communicate with the NLA physicians. At the Company's option, the NLA licensee receives a negotiated portion of local and national sponsorship fees in the nonexclusive territory to implement the network service.</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Typically, NLA licensees pay fees at approximately 50% of the corresponding aggregate five-year fees under an NSA, and include a defined obligation for the NLA licensee to staff, operate, market and support the local network and attain physician participation.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NLA license fee is recognized as revenue in the year in which the NLA licensee receives the installation of the network software. Any technology support and maintenance fees associated with the NLA are recognized on a prorated monthly basis. In addition, the Company may receive implementation fees that are recognized as earned. Other NLA revenue sources include optional monthly management services fees for services provided by the Company, generally at the election of the NLA licensee, to provide network oversight and operation, and custom development or new services implementation fees that are recognized upon project completion.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NATIONAL SPONSORS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National network sponsors enter into national sponsor agreements ("NSPA") pursuant to which the licensee is afforded the right to communicate with designated physicians or other users in various networks. Typically, the NSPA provides fees determined as an annual charge per physician or other recipient of the communication or of the sites to which the communication is directed, usually based upon the sponsor's communication application and annualized communications volumes, with annual minimum fees. As the number of national sponsors increase, the Company expects that incremental recurring revenue will increase as will profit margin as there is minimal additional expense incurred and most of the significant operations/expenses related to network usage are covered by fees paid by local sponsors. The Company recognizes the annual minimum fees prorated monthly until actual network communication fees exceed the minimum.</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50"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following discussion of the results of operations and financial condition of the Company should be read in conjunction with the Company's Consolidated Financial Statements and Notes thereto included elsewhere in this Proxy Statement-Prospectus. The table below sets forth certain items of revenue and expenses reflected in the Company's income statement and the percentages of total revenue represented by the items.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SIX MONTHS</w:t>
            </w:r>
          </w:p>
        </w:tc>
        <w:tc>
          <w:tcPr>
            <w:tcW w:w="700" w:type="dxa"/>
            <w:vAlign w:val="bottom"/>
          </w:tcPr>
          <w:p>
            <w:pPr>
              <w:spacing w:after="0"/>
              <w:rPr>
                <w:sz w:val="14"/>
                <w:szCs w:val="14"/>
                <w:color w:val="auto"/>
              </w:rPr>
            </w:pPr>
          </w:p>
        </w:tc>
      </w:tr>
      <w:tr>
        <w:trPr>
          <w:trHeight w:val="177"/>
        </w:trPr>
        <w:tc>
          <w:tcPr>
            <w:tcW w:w="230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5"/>
                <w:szCs w:val="15"/>
                <w:color w:val="auto"/>
              </w:rPr>
            </w:pPr>
          </w:p>
        </w:tc>
        <w:tc>
          <w:tcPr>
            <w:tcW w:w="2400" w:type="dxa"/>
            <w:vAlign w:val="bottom"/>
            <w:gridSpan w:val="3"/>
          </w:tcPr>
          <w:p>
            <w:pPr>
              <w:jc w:val="right"/>
              <w:ind w:right="423"/>
              <w:spacing w:after="0"/>
              <w:rPr>
                <w:sz w:val="20"/>
                <w:szCs w:val="20"/>
                <w:color w:val="auto"/>
              </w:rPr>
            </w:pPr>
            <w:r>
              <w:rPr>
                <w:rFonts w:ascii="Courier New" w:cs="Courier New" w:eastAsia="Courier New" w:hAnsi="Courier New"/>
                <w:sz w:val="15"/>
                <w:szCs w:val="15"/>
                <w:color w:val="auto"/>
              </w:rPr>
              <w:t>ENDED JUNE 30,</w:t>
            </w:r>
          </w:p>
        </w:tc>
        <w:tc>
          <w:tcPr>
            <w:tcW w:w="700" w:type="dxa"/>
            <w:vAlign w:val="bottom"/>
          </w:tcPr>
          <w:p>
            <w:pPr>
              <w:spacing w:after="0"/>
              <w:rPr>
                <w:sz w:val="15"/>
                <w:szCs w:val="15"/>
                <w:color w:val="auto"/>
              </w:rPr>
            </w:pPr>
          </w:p>
        </w:tc>
      </w:tr>
      <w:tr>
        <w:trPr>
          <w:trHeight w:val="177"/>
        </w:trPr>
        <w:tc>
          <w:tcPr>
            <w:tcW w:w="230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100" w:type="dxa"/>
            <w:vAlign w:val="bottom"/>
            <w:gridSpan w:val="4"/>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1993</w:t>
            </w:r>
          </w:p>
        </w:tc>
        <w:tc>
          <w:tcPr>
            <w:tcW w:w="700" w:type="dxa"/>
            <w:vAlign w:val="bottom"/>
          </w:tcPr>
          <w:p>
            <w:pPr>
              <w:spacing w:after="0"/>
              <w:rPr>
                <w:sz w:val="15"/>
                <w:szCs w:val="15"/>
                <w:color w:val="auto"/>
              </w:rPr>
            </w:pPr>
          </w:p>
        </w:tc>
        <w:tc>
          <w:tcPr>
            <w:tcW w:w="820" w:type="dxa"/>
            <w:vAlign w:val="bottom"/>
          </w:tcPr>
          <w:p>
            <w:pPr>
              <w:ind w:left="420"/>
              <w:spacing w:after="0"/>
              <w:rPr>
                <w:sz w:val="20"/>
                <w:szCs w:val="20"/>
                <w:color w:val="auto"/>
              </w:rPr>
            </w:pPr>
            <w:r>
              <w:rPr>
                <w:rFonts w:ascii="Courier New" w:cs="Courier New" w:eastAsia="Courier New" w:hAnsi="Courier New"/>
                <w:sz w:val="15"/>
                <w:szCs w:val="15"/>
                <w:color w:val="auto"/>
              </w:rPr>
              <w:t>1994</w:t>
            </w:r>
          </w:p>
        </w:tc>
        <w:tc>
          <w:tcPr>
            <w:tcW w:w="740" w:type="dxa"/>
            <w:vAlign w:val="bottom"/>
          </w:tcPr>
          <w:p>
            <w:pPr>
              <w:spacing w:after="0"/>
              <w:rPr>
                <w:sz w:val="15"/>
                <w:szCs w:val="15"/>
                <w:color w:val="auto"/>
              </w:rPr>
            </w:pP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w w:val="94"/>
              </w:rPr>
              <w:t>1994</w:t>
            </w:r>
          </w:p>
        </w:tc>
        <w:tc>
          <w:tcPr>
            <w:tcW w:w="800" w:type="dxa"/>
            <w:vAlign w:val="bottom"/>
          </w:tcPr>
          <w:p>
            <w:pPr>
              <w:spacing w:after="0"/>
              <w:rPr>
                <w:sz w:val="15"/>
                <w:szCs w:val="15"/>
                <w:color w:val="auto"/>
              </w:rPr>
            </w:pP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spacing w:after="0"/>
              <w:rPr>
                <w:sz w:val="15"/>
                <w:szCs w:val="15"/>
                <w:color w:val="auto"/>
              </w:rPr>
            </w:pPr>
          </w:p>
        </w:tc>
      </w:tr>
      <w:tr>
        <w:trPr>
          <w:trHeight w:val="177"/>
        </w:trPr>
        <w:tc>
          <w:tcPr>
            <w:tcW w:w="2300" w:type="dxa"/>
            <w:vAlign w:val="bottom"/>
          </w:tcPr>
          <w:p>
            <w:pPr>
              <w:spacing w:after="0"/>
              <w:rPr>
                <w:sz w:val="15"/>
                <w:szCs w:val="15"/>
                <w:color w:val="auto"/>
              </w:rPr>
            </w:pPr>
          </w:p>
        </w:tc>
        <w:tc>
          <w:tcPr>
            <w:tcW w:w="16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SALES AND FEE</w:t>
            </w: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REVENUE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Network Service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Agreement revenue.....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$ 5,131</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65.8%</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$ 7,457</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41.7%</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$ 3,261</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52.4%</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$ 5,436</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68.5%</w:t>
            </w: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Network License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Agreement revenue.....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2,550</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32.7%</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10,058</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56.3%</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2,893</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1,371</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17.3%</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Network License Service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revenue...............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366</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69</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1,123</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14.2%</w:t>
            </w:r>
          </w:p>
        </w:tc>
      </w:tr>
      <w:tr>
        <w:trPr>
          <w:trHeight w:val="177"/>
        </w:trPr>
        <w:tc>
          <w:tcPr>
            <w:tcW w:w="23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revenue.........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7,794</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100.0%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17,881</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6,223</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7,930</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Salaries, payroll taxes</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and benefits..........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7,205</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92.4%</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11,839</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66.2%</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4,689</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75.3%</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8,478</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106.9%</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Facilities.............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1,679</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3,187</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1,364</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21.9%</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2,377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w:t>
            </w: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administrative........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2,609</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5,848</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32.7%</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2,246</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3,419</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43.1%</w:t>
            </w: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Costs of subsidiary</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litigation............</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1,659</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21.3%</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785</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714</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Reorganization costs...</w:t>
            </w: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479</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w:t>
            </w:r>
          </w:p>
        </w:tc>
      </w:tr>
      <w:tr>
        <w:trPr>
          <w:trHeight w:val="177"/>
        </w:trPr>
        <w:tc>
          <w:tcPr>
            <w:tcW w:w="23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 expenses........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13,152</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168.7%</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22,138</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123.8%</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9,013</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144.7%</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14,327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180.7%</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LOSS FROM OPERATIONS....</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(5,358) (68.7)%</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(4,258) (23.8)%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(2,790) (44.7)%</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(6,397) (80.7)%</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Interest income........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343</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Interest expenses......</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Loss on dissolution of</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partnership...........</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8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w:t>
            </w:r>
          </w:p>
        </w:tc>
        <w:tc>
          <w:tcPr>
            <w:tcW w:w="78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0.0%</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Other, net.............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w:t>
            </w:r>
          </w:p>
        </w:tc>
      </w:tr>
      <w:tr>
        <w:trPr>
          <w:trHeight w:val="177"/>
        </w:trPr>
        <w:tc>
          <w:tcPr>
            <w:tcW w:w="23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Total other income</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(expense)............</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LOSS BEFORE MINORITY</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INTEREST IN OPERATION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OF SUBSIDIARIES........</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(5,752) (73.8)%</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(4,098) (22.9)%</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(2,734) (43.8)%</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(6,379) (80.5)%</w:t>
            </w:r>
          </w:p>
        </w:tc>
      </w:tr>
      <w:tr>
        <w:trPr>
          <w:trHeight w:val="177"/>
        </w:trPr>
        <w:tc>
          <w:tcPr>
            <w:tcW w:w="230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INCOME FROM OPERATIONS</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OF SUBSIDIARIES........</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23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NET LOSS................</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(5,936) (76.1)%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(4,252)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(2,791) (44.7)%</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(6,464) (81.4)%</w:t>
            </w:r>
          </w:p>
        </w:tc>
      </w:tr>
      <w:tr>
        <w:trPr>
          <w:trHeight w:val="177"/>
        </w:trPr>
        <w:tc>
          <w:tcPr>
            <w:tcW w:w="230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7"/>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1995 COMPARED TO SIX MONTHS ENDED JUNE 30, 1994</w:t>
      </w:r>
    </w:p>
    <w:p>
      <w:pPr>
        <w:spacing w:after="0" w:line="185" w:lineRule="exact"/>
        <w:rPr>
          <w:sz w:val="20"/>
          <w:szCs w:val="20"/>
          <w:color w:val="auto"/>
        </w:rPr>
      </w:pPr>
    </w:p>
    <w:p>
      <w:pPr>
        <w:ind w:right="3219" w:firstLine="185"/>
        <w:spacing w:after="0" w:line="250" w:lineRule="auto"/>
        <w:rPr>
          <w:sz w:val="20"/>
          <w:szCs w:val="20"/>
          <w:color w:val="auto"/>
        </w:rPr>
      </w:pPr>
      <w:r>
        <w:rPr>
          <w:rFonts w:ascii="Courier New" w:cs="Courier New" w:eastAsia="Courier New" w:hAnsi="Courier New"/>
          <w:sz w:val="15"/>
          <w:szCs w:val="15"/>
          <w:color w:val="auto"/>
        </w:rPr>
        <w:t>Net Sales and Fee Revenue. Total revenue increased $1.7 million (27%) from $6.2 million in 1994 to $7.9 million for the first half of 1995. Sponsor revenue under Network Service Agreements increased 67%, however, from $3.3 million in the first half of 1994 to $5.4 million in the first half of 1995, reflecting an increased number of operating networks, a greater number of sponsors participating in the networks and a substantial increase in the number of physicians with which networks are connected. Sponsorship revenue under NSAs increased in each quarter for the last 10 fiscal quarters, again reflecting the growth of the Company's IMS MEDACOM(R) networks. The Company anticipates continued expansion of both the number of NSAs and networks in operation and plans to emphasize such growth in the next one to two years.</w:t>
      </w:r>
    </w:p>
    <w:p>
      <w:pPr>
        <w:spacing w:after="0" w:line="182" w:lineRule="exact"/>
        <w:rPr>
          <w:sz w:val="20"/>
          <w:szCs w:val="20"/>
          <w:color w:val="auto"/>
        </w:rPr>
      </w:pPr>
    </w:p>
    <w:p>
      <w:pPr>
        <w:ind w:right="3219" w:firstLine="185"/>
        <w:spacing w:after="0" w:line="250" w:lineRule="auto"/>
        <w:rPr>
          <w:sz w:val="20"/>
          <w:szCs w:val="20"/>
          <w:color w:val="auto"/>
        </w:rPr>
      </w:pPr>
      <w:r>
        <w:rPr>
          <w:rFonts w:ascii="Courier New" w:cs="Courier New" w:eastAsia="Courier New" w:hAnsi="Courier New"/>
          <w:sz w:val="15"/>
          <w:szCs w:val="15"/>
          <w:color w:val="auto"/>
        </w:rPr>
        <w:t>Revenue from Network License Agreements declined from $2.9 million in the first half of 1994 to $1.4 million in the first half of 1995. The 1994 first half was exceptionally strong, reflecting recognition of substantial revenue from the sale of a network license for Hawaii in the first half of 1994 and several other smaller licenses. In the first half of 1995, the Company completed only two license sale transactions which reflects the historical fluctuation in this revenue as network licenses sold in smaller markets are unpredictable in nature and generally require 12 to 18 months from the time the licensee initially indicates interest in a network until the sale is completed and the initial network installation is in place.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50" w:right="1440" w:bottom="549" w:gutter="0" w:footer="0" w:header="0"/>
        </w:sectPr>
      </w:pPr>
    </w:p>
    <w:bookmarkStart w:id="77" w:name="page78"/>
    <w:bookmarkEnd w:id="77"/>
    <w:p>
      <w:pPr>
        <w:ind w:right="3019" w:firstLine="185"/>
        <w:spacing w:after="0" w:line="251" w:lineRule="auto"/>
        <w:rPr>
          <w:sz w:val="20"/>
          <w:szCs w:val="20"/>
          <w:color w:val="auto"/>
        </w:rPr>
      </w:pPr>
      <w:r>
        <w:rPr>
          <w:rFonts w:ascii="Courier New" w:cs="Courier New" w:eastAsia="Courier New" w:hAnsi="Courier New"/>
          <w:sz w:val="15"/>
          <w:szCs w:val="15"/>
          <w:color w:val="auto"/>
        </w:rPr>
        <w:t>Network license service revenue increased from $69,000 in the first half of 1994 to $1.1 million in the first half of 1995, reflecting increased management service fees, implementation fees and recognition of a portion of initial license fees sold in previous periods. Service revenue tends to reflect services provided to licensees and sponsors that became participants on networks in previous periods and therefor should tend to increase as the number of licenses for which IMS will provide network management increases and as the number of sponsors under NSAs increase.</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Salaries and Benefits. Salaries and benefits increased approximately $3.8 million or 81% in the first half of 1995 compared to the first half of 1994, and due to only slightly increased revenue in the first half of 1995, salaries and benefits represented 107% of revenue in the first half of 1995 compared to 75% of revenue in the first half of 1994. The substantial increase reflects an increase in the number of employees from 146 at the beginning of 1994 to 275 at the beginning of 1995.</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Facilities and Related Expenses. Facilities and related expenses are composed of rent, equipment, maintenance and depreciation, telephone, utilities, insurance and taxes. Facilities expenses increased $1.0 million over the first half of 1994 to $2.4 million for the first half of 1995, or 74%. The Company incurred increases due to opening of additional administrative offices in Denver in January 1995 and opening more field offices. Rent and related facilities expenses in 1995 for the San Diego office closed at the end of 1994 were charged to reorganization in 1994 and are not included in the first half 1995 facilities expenses, although such expenses were paid in 1995. Telephone expenses increased 137% over the comparable period in 1994, reflecting substantially increased network traffic.</w:t>
      </w:r>
    </w:p>
    <w:p>
      <w:pPr>
        <w:spacing w:after="0" w:line="18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Selling, General and Administrative. Selling, general and administrative ("SG&amp;A") expenses include travel and entertainment, marketing, sales and promotion expenses and other uncategorized expenses. SG&amp;A expenses increased approximately $1.2 million, or 52%, in the first half of 1995 compared to the first half of 1994. Travel and related selling expenses increased due to the Company's transition to a national sales force in late 1994 and other SG&amp;A expenses increased as the level of activities rose due to the Company's growth.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1994 COMPARED TO YEAR ENDED DECEMBER 31, 1993</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Net Sales and Fee Revenue. Net sales and fee revenue increased approximately $10.1 million or 128% from 1993 to 1994. The growth in net sales and fee revenue is attributable to an increase in the number of NSAs and to an increase in revenue per contract. The number of hospital NSAs increased from 76 in 1993 to 109 in 1994, or 43%, and other NSAs increased from 38 at the end of 1993 to 66 in 1994, or 74%. Revenue from hospital NSAs increased from $5.1 million in 1993 to $7.5 million in 1994, or 47%. Revenue from other sponsor NSAs and from NLAs increased from $2.7 million in 1993 to $10.4 million in 1994, or 285%.</w:t>
      </w:r>
    </w:p>
    <w:p>
      <w:pPr>
        <w:spacing w:after="0" w:line="35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Salaries and Benefits. Salaries and benefits increased $4.6 million or 64%, for fiscal 1994 compared to fiscal 1993. Salaries and benefits as a percentage of revenue were 66% in 1994 compared to 92% in 1993 because revenue was substantially higher in 1994. The increase in salaries and benefits was due to the addition of field, technical and corporate employees required to support the increase in NSAs, installation of NLAs and to enhance network software. The Company also transitioned to a national sales force in late 1994, increasing the selling staff from eight at the end of 1993 to 14 at the end of 1994.</w:t>
      </w:r>
    </w:p>
    <w:p>
      <w:pPr>
        <w:spacing w:after="0" w:line="35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Facilities and Related Expenses. Facilities expenses increased approximately $1.5 million to $3.2 million in 1994, or 90%. These expenses increased principally from increased costs for rent, depreciation and telephone expenses, new field offices and depreciation from increased computer equipment purchases as a result of an increase in the number of sponsor contracts. Telephone expenses, including long distance charges, increased 114% due to the large increase in the number of network messages transmitted over phone lines.</w:t>
      </w:r>
    </w:p>
    <w:p>
      <w:pPr>
        <w:spacing w:after="0" w:line="176" w:lineRule="exact"/>
        <w:rPr>
          <w:sz w:val="20"/>
          <w:szCs w:val="20"/>
          <w:color w:val="auto"/>
        </w:rPr>
      </w:pPr>
    </w:p>
    <w:p>
      <w:pPr>
        <w:ind w:right="3579" w:firstLine="185"/>
        <w:spacing w:after="0" w:line="251" w:lineRule="auto"/>
        <w:rPr>
          <w:sz w:val="20"/>
          <w:szCs w:val="20"/>
          <w:color w:val="auto"/>
        </w:rPr>
      </w:pPr>
      <w:r>
        <w:rPr>
          <w:rFonts w:ascii="Courier New" w:cs="Courier New" w:eastAsia="Courier New" w:hAnsi="Courier New"/>
          <w:sz w:val="15"/>
          <w:szCs w:val="15"/>
          <w:color w:val="auto"/>
        </w:rPr>
        <w:t>Selling, General and Administrative. SG&amp;A were $5.8 million or 33% of revenue for 1994 compared to $2.6 million or 34% of revenue for 1993, representing an increase of $3.2 million, or 124%. The increase included travel and related expenses which increased approximately 100% to $1.65 million, marketing sales and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50" w:right="1440" w:bottom="1440" w:gutter="0" w:footer="0" w:header="0"/>
        </w:sectPr>
      </w:pPr>
    </w:p>
    <w:bookmarkStart w:id="78" w:name="page79"/>
    <w:bookmarkEnd w:id="78"/>
    <w:p>
      <w:pPr>
        <w:ind w:right="3119"/>
        <w:spacing w:after="0" w:line="251" w:lineRule="auto"/>
        <w:rPr>
          <w:sz w:val="20"/>
          <w:szCs w:val="20"/>
          <w:color w:val="auto"/>
        </w:rPr>
      </w:pPr>
      <w:r>
        <w:rPr>
          <w:rFonts w:ascii="Courier New" w:cs="Courier New" w:eastAsia="Courier New" w:hAnsi="Courier New"/>
          <w:sz w:val="15"/>
          <w:szCs w:val="15"/>
          <w:color w:val="auto"/>
        </w:rPr>
        <w:t>promotions which increased 58% to approximately $.8 million and executive training services in 1994 for which there were no similar expenditures in the prior year. Substantially all the increases were related generally to the Company's increased business activity in 1994.</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Cost of Subsidiary Litigation. Litigation involving the Company, two subsidiaries and certain directors was commenced in 1992. The cost of this litigation was substantial and materially affected the Company's cash flow and loss for 1992, 1993 and 1994. Costs of litigation, representing professional fees and expenses and the cost of indemnifying a director, were $1.7 million in 1993 and $785,000 in 1994 when the litigation was substantially concluded. The litigation resulted in judgment in favor of the Company and the directors following trials. The Company is not currently involved in any material litigation.</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Reorganization Costs. In 1994, the Company closed its San Diego office and charged the costs to expenses for 1994. Approximately $100,000 of the $479,000 of expenses relate to net leasehold expenses which will be paid over the remaining term of the lease and approximately $280,000 represents expenses and severance compensation to be paid in 1995 to the former chairman and founder of the Company who continued on as a director following the reorganization.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Company has incurred and expects to continue to incur significant operating and net losses and to continue to generate negative cash flow from operating activities while it emphasizes development and enhancement of networks and until the Company establishes sufficient sponsor revenue for each network. In view of the anticipated negative cash flow from operating activities and the cash required for the continuing development of the Company's products and services, the expansion of existing networks and the construction and acquisition of new networks, the Company will require substantial amounts of capital for the balance of fiscal 1995 and the foreseeable future from outside sources.</w:t>
      </w:r>
    </w:p>
    <w:p>
      <w:pPr>
        <w:spacing w:after="0" w:line="18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IMS had working capital of $617,000 at December 31, 1994 compared to a working capital deficit of $612,000 at June 30, 1995. At June 30, 1995, IMS had $1,318,000 cash and cash equivalents on hand compared to $1,358,000 at December 31, 1994. This increase was attributable to sale of receivables remaining under NLAs, and borrowings from Lilly. IMS's contract receivables at December 31, 1994 was $6,803,000 compared to $3,103,000 at June 30, 1995, again because of sales of contract receivables.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Company had an accumulated deficit of approximately $23.4 million at December 31, 1994 and approximately $29.9 million at June 30, 1995. Since December 31, 1994, the Company has funded operations primarily through $4 million in borrowings from Lilly and $1.9 million from the exercise by Lilly of a warrant to purchase 375,000 shares of Series C Preferred Stock (see "SPECIAL FACTORS TO BE CONSIDERED --Background to the Merger"), and $4.3 million from the sale of receivables under network license and service agreements to financial institutions on a discounted cash flow basis. In addition, the Company has used portions of a $1 million line of credit which is secured by guarantees of certain directors and of which there was no amount outstanding as of June 30, 1995.</w:t>
      </w:r>
    </w:p>
    <w:p>
      <w:pPr>
        <w:spacing w:after="0" w:line="182" w:lineRule="exact"/>
        <w:rPr>
          <w:sz w:val="20"/>
          <w:szCs w:val="20"/>
          <w:color w:val="auto"/>
        </w:rPr>
      </w:pPr>
    </w:p>
    <w:p>
      <w:pPr>
        <w:jc w:val="both"/>
        <w:ind w:right="3119" w:firstLine="185"/>
        <w:spacing w:after="0" w:line="251" w:lineRule="auto"/>
        <w:rPr>
          <w:sz w:val="20"/>
          <w:szCs w:val="20"/>
          <w:color w:val="auto"/>
        </w:rPr>
      </w:pPr>
      <w:r>
        <w:rPr>
          <w:rFonts w:ascii="Courier New" w:cs="Courier New" w:eastAsia="Courier New" w:hAnsi="Courier New"/>
          <w:sz w:val="15"/>
          <w:szCs w:val="15"/>
          <w:color w:val="auto"/>
        </w:rPr>
        <w:t>The Company believes that the relationship with Lilly created by the Merger will add financial credibility to the Company as well as add direct financing from Lilly through either future debt or equity capital infusions from Lilly. Consequently, the Company anticipates a more rapid growth pattern than if the Merger were not consummated.</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If the Merger is not consummated, which is not expected, IMS would continue to fund its operations with revenue from operations, sale of equity securities, sale of contract receivables and potential debt financing. The failure to obtain sufficient amounts from such future financing efforts would result in the delay or abandonment of some or all of the Company's development and expansion plans which could have a material adverse effect on the Company's business and competitive position.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50" w:right="1440" w:bottom="1440" w:gutter="0" w:footer="0" w:header="0"/>
        </w:sectPr>
      </w:pPr>
    </w:p>
    <w:bookmarkStart w:id="79" w:name="page80"/>
    <w:bookmarkEnd w:id="79"/>
    <w:p>
      <w:pPr>
        <w:ind w:left="2940"/>
        <w:spacing w:after="0"/>
        <w:rPr>
          <w:sz w:val="20"/>
          <w:szCs w:val="20"/>
          <w:color w:val="auto"/>
        </w:rPr>
      </w:pPr>
      <w:r>
        <w:rPr>
          <w:rFonts w:ascii="Courier New" w:cs="Courier New" w:eastAsia="Courier New" w:hAnsi="Courier New"/>
          <w:sz w:val="15"/>
          <w:szCs w:val="15"/>
          <w:color w:val="auto"/>
        </w:rPr>
        <w:t>BUSINESS OF IMS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Founded in 1985, the Company develops and operates computerized medical communication networks that link participants in the healthcare delivery system to deliver routine and specialized messages in automated format. The Company's networks provide a practical means for healthcare providers and payers to develop integrated information delivery management programs. Healthcare, and especially the individual physician's practice of medicine, generates prolific requirements for multi-location, multi-system clinical, financial and administrative communications and information transfer. The Company believes that it is a leading provider of physician-focused, multi-participant, multi-media, bi-directional automated healthcare communications through a common user connection based on total number of communications delivered, variety of communications, number of physician participants, number and variety of connected host healthcare information systems, number of institutions (hospitals, managed care plans, clinical laboratories, ancillary care providers and healthcare information and administrative services) and number of operational networks and markets served.</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first IMS medical communication network was deployed in 1988. Since that time, IMS has developed networks in more than 43 areas across the United States. IMS has pioneered the concept of "open" architecture (available on a fee-for-use basis regardless of the user's affiliation) medical communication networks (the "IMS MEDACOM(R) Networks").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IMS MEDACOM(R) Networks connect healthcare information systems and departmental workstations utilizing proprietary network controller software and proprietary message handling software on personal computers at the user's site. IMS MEDACOM(R) networks increase the timeliness and accuracy of clinical communications, ease the burden of compliance with managed care and financial transaction requirements and reduce the information management burden for physicians, hospitals and other network users. Also, unlimited communication between all physicians in a given network is available. The Company estimates that over 30 million total messages were delivered over IMS MEDACOM(R) Networks in 1994.</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Company's core set of three software connectivity tools are: RELAY(TM), which provides a system integration of diverse formats; ComCenter, the network switch which distributes messages among network users; and PC-COM, the software on each workstation which enables the user to access the network. These software components are installed as a network in each healthcare market area in which the Company operates. A local operations staff of IMS employees manages the connectivity of the various communications software of network users, provides on-going training and workstation support and works with network sponsors to continually expand their services and applications provided to physicians and other users over the network.</w:t>
      </w:r>
    </w:p>
    <w:p>
      <w:pPr>
        <w:spacing w:after="0" w:line="18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Physicians gain access to networks at no cost. Network sponsors are healthcare institutions, organizations and services which communicate regularly with physicians in the normal course of business. Sponsors pay annual network communications or license fees that typically relate to the number of physicians the sponsor chooses to reach on the network. As more sponsors pay for network connectivity, the Company receives additional license and implementation fees and more physicians are connected. Growing numbers of sponsors and physicians on networks lead to increased usage and acceptance and, ultimately, revenue to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Changes and cost containment pressures in the nation's healthcare system are placing new demands on providers and payers. An aging population, advances in technology and the rapid growth of managed care have all resulted in increased demand for the timely and cost-effective collection, analysis, management, sharing and communication of information among healthcare providers and between them and payers. This change has caused a reorientation of the role of healthcare information systems from transaction processing of episodic health service events to active decision support and cumulative tracking and reporting of comprehensive, multi-point courses of care. In response, an entirely new sub-industry has been created-integrated healthcare communication networking.</w:t>
      </w:r>
    </w:p>
    <w:p>
      <w:pPr>
        <w:spacing w:after="0" w:line="200" w:lineRule="exact"/>
        <w:rPr>
          <w:sz w:val="20"/>
          <w:szCs w:val="20"/>
          <w:color w:val="auto"/>
        </w:rPr>
      </w:pPr>
    </w:p>
    <w:p>
      <w:pPr>
        <w:spacing w:after="0" w:line="33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50" w:right="1440" w:bottom="1440" w:gutter="0" w:footer="0" w:header="0"/>
        </w:sectPr>
      </w:pPr>
    </w:p>
    <w:bookmarkStart w:id="80" w:name="page81"/>
    <w:bookmarkEnd w:id="80"/>
    <w:p>
      <w:pPr>
        <w:ind w:right="3019" w:firstLine="185"/>
        <w:spacing w:after="0" w:line="251" w:lineRule="auto"/>
        <w:rPr>
          <w:sz w:val="20"/>
          <w:szCs w:val="20"/>
          <w:color w:val="auto"/>
        </w:rPr>
      </w:pPr>
      <w:r>
        <w:rPr>
          <w:rFonts w:ascii="Courier New" w:cs="Courier New" w:eastAsia="Courier New" w:hAnsi="Courier New"/>
          <w:sz w:val="15"/>
          <w:szCs w:val="15"/>
          <w:color w:val="auto"/>
        </w:rPr>
        <w:t>The physician's office is now the focal point of hundreds of monthly communication "transactions." Historically, the healthcare industry focused on automation of provider claims submissions. In fact, in medical practices, there are multiple communications, clinical and administrative messages and information exchanges required to fulfill the service that results in just one payment claim submission to a payer. While there are estimated to be approximately 2.5 billion claims that flow from providers to payers annually, the Company believes that the total physician-focused medical communications volume is eight to ten times as large.</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Not only must physicians deal with increasing amounts of information, they also must manage and synthesize inputs from, and reply appropriately to, an ever more diverse group of other service providers, payers and intermediaries. These institutions and referral services recognize the need to improve communication with physicians, the patients they serve and the employers who ultimately fund a significant portion of the medical services. The driving force behind this need is concern for the timely delivery of quality patient care. In today's environment, healthcare depends upon efficient information management and communication transactions.</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 estimates that nationwide there are 570,000 private practicing physicians engaged in direct patient care within approximately 200,000 medical practices. Approximately 50% of these physicians practice in the largest 50 markets. Further, approximately 70% of the practices are somewhat automated with either an in-office computer or a link into a computer service. Most of these computers today can be characterized as medical practice management systems with applications limited to various levels of sophistication in patient, scheduling, billing and accounting processes.</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While vitally important to the administrative operation of a medical practice, billing and patient account management activities address only a portion of a physician's practice automation and communication requirements. Other automated systems and services should directly support the provision of clinical care, before, during and following the patient encounter. Most of these communications are presently nonintegrated, nonautomated media: voice, printed text, facsimile, clinical graphic printouts and handwritten notations with the attendant problems of routing delays, filing mistakes, recipient unavailability, transcription errors and other mechanical management problems. The Company's IMS MEDACOM(R) Networks improve the physician's professional service environment by (i) simplifying information access, (ii) eliminating delivery delays, (iii) integrating diverse communications and data sources into a common and easy-to-use format at the point-of-care, and (iv) providing automated access to the full range of clinical referral and support services typically required by the physician. Ultimately, communications with hospitals, other service providers and payers, such as insurance companies or managed care providers, are improved, thereby increasing efficiency and quality of care and helping to hold costs down.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Other attempts to address these challenges usually result in proprietary, single function automated communication between physicians and other entities (such as a laboratory or a managed care provider), with no ability or right to link with others. The technologies have ranged from simplistic transaction telephone terminals, to dedicated fax machines, smart modem printers, uni-directional communication software protocols or the in-office installation of single purpose mainframe terminals or personal computers. Because these efforts each addressed only the specific needs of one entity in linking with the physician and the applications were driven from the perspective of large institutional information systems departments, they are often characterized by difficulty of use and require that the physician's office staff install and learn to operate a variety of incompatible devices and communications protocols. The result has often been limited deployment and minimal use.</w:t>
      </w:r>
    </w:p>
    <w:p>
      <w:pPr>
        <w:spacing w:after="0" w:line="183"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With the rapid emergence of managed care and the movement toward risk sharing or "capitated" provider payment methodologies, integration of healthcare delivery will be accelerated. Essentially, healthcare payers are forcing healthcare providers to assume the economic risks of healthcare.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This change creates increased provider dependence upon information and multi-point communications. There is now a demand for new and more sophisticated information processing systems at the point of care, accessible, as appropriate, by other providers and by payers. Basic systems which served practice automation during the past decade are of decreasing value in the evolving practice environment. To participate fully in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50" w:right="1440" w:bottom="1440" w:gutter="0" w:footer="0" w:header="0"/>
        </w:sectPr>
      </w:pPr>
    </w:p>
    <w:bookmarkStart w:id="81" w:name="page82"/>
    <w:bookmarkEnd w:id="81"/>
    <w:p>
      <w:pPr>
        <w:ind w:right="3019"/>
        <w:spacing w:after="0" w:line="251" w:lineRule="auto"/>
        <w:rPr>
          <w:sz w:val="20"/>
          <w:szCs w:val="20"/>
          <w:color w:val="auto"/>
        </w:rPr>
      </w:pPr>
      <w:r>
        <w:rPr>
          <w:rFonts w:ascii="Courier New" w:cs="Courier New" w:eastAsia="Courier New" w:hAnsi="Courier New"/>
          <w:sz w:val="15"/>
          <w:szCs w:val="15"/>
          <w:color w:val="auto"/>
        </w:rPr>
        <w:t>managed care world, physician offices must be able to record, store, analyze and distribute clinical information, automate the processing and communication of third-party reimbursement transactions, validate patient eligibility and comply with health plan formulated treatment regimens, pharmaceutical therapies and governmental regulation.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Medical practice is further complicated by the formation of new multi-provider integrated delivery systems ("IDS") to address full capitation of the medical treatment risk for entire patient populations. IDS' create a new need for automated medical communications to coordinate care across diverse and otherwise unrelated providers. With integrated delivery, goals of payers, provider institutions and hospitals become aligned with an emphasis on coordination, cooperation, information sharing and mutual accountability to achieve the organizational, operational and financial goals of the participants.</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Physician practices, and in particular primary care practices, are positioned at the apex for implementing the IDS strategies. The Company believes that these industry factors will continue to position physicians as the focal point for constructing true integrated healthcare delivery and cause hospitals, payers and physician organizations to seek access to open architecture, automated medical communication networks which fulfill the efficient communication needs of all participants.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Company's objective is to be the leading provider of physician-focused automated medical communication networks and services which deliver decision-critical information to the healthcare industry. IMS MEDACOM(R) Network services are designed to improve healthcare information technology to assist physicians, other healthcare providers and payers to better manage all aspects of patient care through the application of efficient, accurate and timely communication. The Company's strategy includes the following key elements:</w:t>
      </w:r>
    </w:p>
    <w:p>
      <w:pPr>
        <w:spacing w:after="0" w:line="176" w:lineRule="exact"/>
        <w:rPr>
          <w:sz w:val="20"/>
          <w:szCs w:val="20"/>
          <w:color w:val="auto"/>
        </w:rPr>
      </w:pPr>
    </w:p>
    <w:p>
      <w:pPr>
        <w:ind w:left="360" w:right="3219" w:hanging="181"/>
        <w:spacing w:after="0" w:line="250" w:lineRule="auto"/>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on Physician Office Requirements: The Company attracts physician participation on networks by emphasizing ease of use, minimal investment and immediate and relevant value to the practice. There is no charge to physicians for the Company's software, installation, training, on-going support or messages and communications services. A physician can use an existing office computer to serve as the IMS MEDACOM(R) Network communications workstation ("NCW") with the Company's PC-Com(TM) software. The Company believes that its physician focus creates an on-going relationship and alliance that will accelerate the attraction of network sponsors and generate new network uses and applications with potential revenue sources for the Company.</w:t>
      </w:r>
    </w:p>
    <w:p>
      <w:pPr>
        <w:spacing w:after="0" w:line="182" w:lineRule="exact"/>
        <w:rPr>
          <w:sz w:val="20"/>
          <w:szCs w:val="20"/>
          <w:color w:val="auto"/>
        </w:rPr>
      </w:pPr>
    </w:p>
    <w:p>
      <w:pPr>
        <w:ind w:left="360" w:right="3299" w:hanging="181"/>
        <w:spacing w:after="0" w:line="251" w:lineRule="auto"/>
        <w:tabs>
          <w:tab w:leader="none" w:pos="3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IMS MEDACOM(R) Networks in Additional Markets: The Company is working to develop owned and operated IMS MEDACOM(R) Networks in the largest 50 markets (based on numbers of practicing physicians); and become the "utility" for computerized medical communications across the entire spectrum of healthcare delivery in the market area. In smaller markets, the Company licenses the operation of its IMS MEDACOM(R) Networks to one or more qualified local operators.</w:t>
      </w:r>
    </w:p>
    <w:p>
      <w:pPr>
        <w:spacing w:after="0" w:line="176" w:lineRule="exact"/>
        <w:rPr>
          <w:sz w:val="20"/>
          <w:szCs w:val="20"/>
          <w:color w:val="auto"/>
        </w:rPr>
      </w:pPr>
    </w:p>
    <w:p>
      <w:pPr>
        <w:ind w:left="360" w:right="3119" w:hanging="181"/>
        <w:spacing w:after="0" w:line="251" w:lineRule="auto"/>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Additional Sponsors to Existing Networks: In the largest 50 markets in which the Company establishes IMS MEDACOM(R) Networks, the addition of local sponsors generates both significant financial leverage and attracts additional physician participation which in turn increases the importance of the network in the local market. The addition of national sponsors which communicate with physicians across several IMS MEDACOM(R) Networks also add leveraged revenue for the Company in both operated and licensed networks.</w:t>
      </w:r>
    </w:p>
    <w:p>
      <w:pPr>
        <w:spacing w:after="0" w:line="175" w:lineRule="exact"/>
        <w:rPr>
          <w:sz w:val="20"/>
          <w:szCs w:val="20"/>
          <w:color w:val="auto"/>
        </w:rPr>
      </w:pPr>
    </w:p>
    <w:p>
      <w:pPr>
        <w:ind w:left="360" w:right="3219" w:hanging="181"/>
        <w:spacing w:after="0" w:line="251" w:lineRule="auto"/>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and Services Leadership: The Company has established a single method of access for physicians and other users. This method combines open architecture, ease of use and bi-directional communications and employs a common look and feel for network users. The system is simple, utilizes whatever computer operating system is in place and is easily upgradable. The Company intends to extend this presence and reputation for successful new service integration into higher speed transmissions, more complex system interfaces and an array of physician "desktop" information management services.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50"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HEALTH CARE INDUSTRY INFORMATION NEEDS</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Today 60% of health care occurs outside the hospital and 80% of health system patient encounters begin in the community physician's office. Consequently, a great deal of patient care information must be relayed in a timely manner between geographically disparate locations. For example, primary care physicians confer with specialists; pharmacists communicate with physicians; managed care providers require pre-authorizations before procedures are scheduled and referrals authorized; and hospital staff consult with physicians, insurers, home care agencies and other providers. The volume of information that must be exchanged within a health care community is increasing exponentially and the stakeholders in health care systems are becoming more diverse.</w:t>
      </w:r>
    </w:p>
    <w:p>
      <w:pPr>
        <w:spacing w:after="0" w:line="182"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As early as 1985, there were attempts to provide communication links between physicians and hospitals. Most of these early attempts failed for a variety of reasons:</w:t>
      </w:r>
    </w:p>
    <w:p>
      <w:pPr>
        <w:spacing w:after="0" w:line="175" w:lineRule="exact"/>
        <w:rPr>
          <w:sz w:val="20"/>
          <w:szCs w:val="20"/>
          <w:color w:val="auto"/>
        </w:rPr>
      </w:pPr>
    </w:p>
    <w:p>
      <w:pPr>
        <w:ind w:left="360" w:right="3299" w:hanging="181"/>
        <w:spacing w:after="0" w:line="253"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systems were closed, requiring expensive investments in proprietary equipment that was limited in use and cumbersome to access;</w:t>
      </w:r>
    </w:p>
    <w:p>
      <w:pPr>
        <w:spacing w:after="0" w:line="174" w:lineRule="exact"/>
        <w:rPr>
          <w:sz w:val="20"/>
          <w:szCs w:val="20"/>
          <w:color w:val="auto"/>
        </w:rPr>
      </w:pPr>
    </w:p>
    <w:p>
      <w:pPr>
        <w:ind w:left="360" w:right="3299" w:hanging="181"/>
        <w:spacing w:after="0" w:line="252" w:lineRule="auto"/>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networks appeared to be self-serving because they were installed by hospitals or other entities for limited specialized uses; and only provided for hospital-physician communication; and</w:t>
      </w:r>
    </w:p>
    <w:p>
      <w:pPr>
        <w:spacing w:after="0" w:line="175" w:lineRule="exact"/>
        <w:rPr>
          <w:sz w:val="20"/>
          <w:szCs w:val="20"/>
          <w:color w:val="auto"/>
        </w:rPr>
      </w:pPr>
    </w:p>
    <w:p>
      <w:pPr>
        <w:ind w:left="360" w:right="3119" w:hanging="181"/>
        <w:spacing w:after="0" w:line="251"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available over the network did not include important clinical data such as test results or X-rays, and lacked features such as physician-to-physician voice messaging, electronic signature and continuing medical education programs.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IMS created IMS MEDACOM(R) Networks to fulfill the need for an effective, easy-to-use communication system available to all users on all equipment. IMS's proprietary networks improve the efficiency and effectiveness of medical communication and information management.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 MEDACOM(R) NETWORK</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Design</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 network to support the electronic exchange of text, voice, graphics and images in the health care industry must be highly reliable and provide connectivity to any computer system in use by both subscribers and sponsors. The Company provides this service through proprietary software which can run on most hardware, and which is delivered by a full range of field operational services, all of which it has developed since 1985.</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Each IMS MEDACOM(R) Network has at its core the ComCenter, a communications controller and switch which hosts proprietary IMS software. The participants in a local healthcare delivery system can be connected as a network through the ComCenter to automate routine and specialized communications. The network converts transactions such as clinical results reporting, referral notifications, admission forms, medical transcriptions, consultant reports, clinical monitor tracings, medical records, calendars, prescriptions, third party claims and managed care encounter protocols from mail, fax, phone or courier distribution to a common computerized, bi-directional pathway. Physician offices (subscribers) join the network at no cost for the service when the Company's proprietary workstation software ("PC-COM") is installed on their computer. Healthcare institutions, such as hospitals, pay annual communications and license fees to become network sponsors with the right to communicate electronically with their designated group of physicians. The sponsors link into the local IMS MEDACOM(R) Network using both interfaces to their own proprietary automated systems with the Company's RELAY(TM) software and an unlimited site license for PC-COM to enable in-house computers across their organization to become network communication workstations ("NCWs"). Each institutional department or function of the hospital can format standard automated transactions for an unlimited range of routine communications to physicians or other network participants using the Company's proprietary computer protocols (Script) and imbedding the Scripts in the subscriber NCWs under a multi-level directory-driven communications module.</w:t>
      </w:r>
    </w:p>
    <w:p>
      <w:pPr>
        <w:spacing w:after="0" w:line="188" w:lineRule="exact"/>
        <w:rPr>
          <w:sz w:val="20"/>
          <w:szCs w:val="20"/>
          <w:color w:val="auto"/>
        </w:rPr>
      </w:pPr>
    </w:p>
    <w:p>
      <w:pPr>
        <w:ind w:right="3399" w:firstLine="185"/>
        <w:spacing w:after="0" w:line="252" w:lineRule="auto"/>
        <w:rPr>
          <w:sz w:val="20"/>
          <w:szCs w:val="20"/>
          <w:color w:val="auto"/>
        </w:rPr>
      </w:pPr>
      <w:r>
        <w:rPr>
          <w:rFonts w:ascii="Courier New" w:cs="Courier New" w:eastAsia="Courier New" w:hAnsi="Courier New"/>
          <w:sz w:val="15"/>
          <w:szCs w:val="15"/>
          <w:color w:val="auto"/>
        </w:rPr>
        <w:t>The ComCenter maintains the network directory of users, message ordering system and transaction log. In the largest 50 markets, each ComCenter is installed in a centrally located office leased by the Company that</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50" w:right="1440" w:bottom="1440" w:gutter="0" w:footer="0" w:header="0"/>
        </w:sectPr>
      </w:pPr>
    </w:p>
    <w:bookmarkStart w:id="83" w:name="page84"/>
    <w:bookmarkEnd w:id="83"/>
    <w:p>
      <w:pPr>
        <w:ind w:right="3299"/>
        <w:spacing w:after="0" w:line="251" w:lineRule="auto"/>
        <w:rPr>
          <w:sz w:val="20"/>
          <w:szCs w:val="20"/>
          <w:color w:val="auto"/>
        </w:rPr>
      </w:pPr>
      <w:r>
        <w:rPr>
          <w:rFonts w:ascii="Courier New" w:cs="Courier New" w:eastAsia="Courier New" w:hAnsi="Courier New"/>
          <w:sz w:val="15"/>
          <w:szCs w:val="15"/>
          <w:color w:val="auto"/>
        </w:rPr>
        <w:t>houses an IMS network staff which develops, coordinates and supports the network. The network staff also provides training with scheduled classes covering all aspects of network use and benefits along with new sponsor and subscriber orientation and specialty training covering new sponsor applications or network enhancements.</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The networks do not process data or provide and operate value-added data management or storage applications. The IMS strategy is focused on connectivity, message delivery, automated message handling systems, facilitating functional systems integration initiatives and enabling the practical implementation of multi-provider organized delivery systems. During 1995 the Company deployed its ComCenter NT software, based upon the MicroSoft Windows NT(R) network operating system, to enhance its core strategy, gain flexibility in scaling ComCenters and to add communications options such as on-line sessions, "near-time" automated response host inquires and single point access for national sponsors communicating across multiple networks.</w:t>
      </w:r>
    </w:p>
    <w:p>
      <w:pPr>
        <w:spacing w:after="0" w:line="182"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The IMS MEDACOM(R) Network provides multi-platform functionality. The RELAY(TM) software enables the network to permit sponsors to automate virtually any communication to any network user from any host computer system that can generate a print stream. Utilizing RELAY(TM), the Company has connected networks with healthcare information systems sold by all of the major computer or software vendors. The majority of the NCWs on the Company's various networks are IBM-compatible, DOS-based personal computers, either stand-alone units or as participants on a local area network. The Company's software can also be installed on computers operating under other operating systems, such as UNIX, ZENIX and AIX. The Company has designed a Microsoft Windows(R) based operating system version for its software which is scheduled for release to network users during the first half of 1996.</w:t>
      </w:r>
    </w:p>
    <w:p>
      <w:pPr>
        <w:spacing w:after="0" w:line="183"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 key feature of IMS MEDACOM(R) Networks is that communication for every NCW is bi-directional. As opposed to general purpose E-mail systems, or special purpose EDI applications (such as electronic claims submission), the IMS MEDACOM(R) Network permits a message to be launched to or from a designated NCW. In this way, network participants are assured that their network messages have been received at the destination and the receiver can process the message instantly because it is resident as electronic media on the NCW.</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IMS MEDACOM(R) Networks connect participants using modems and basic phone lines, and because the highest volume message is usually clinical results from a local source, the majority of communication occurs within the telephone company's local area, eliminating most long distance charges for network participants. Where higher-speed bandwidth (such as fiber optic cable) is available and desired by network participants, the entire suite of IMS MEDACOM(R) Network software is compatible with other transmission media.</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Using an IMS Network</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A key design consideration for the IMS MEDACOM(R) Network is simplicity of use. The use of menus, help facilities, graphic highlights and consistent colors contributes to a high level of acceptance and utilization by physicians, office staff and other participants.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Using the Company's updated operating software, information sent on a network is routed over dial-up telephone lines through a network ComCenter computer which utilizes Microsoft Windows NT(C) client-server technology and hosts IMS message switching software. The updated network ComCenter allows for a wide variety of connection and integration with the many information systems currently being used in the health care industry and lends itself well to the open architecture networks of IMS.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Each Network participant requires a computer workstation, which is an IBM-PC or fully compatible DOS personal computer (or other computer and operating system), running PC-Com(TM), the IMS MEDACOM(R) communications software. The network's multi-platform functionality allows Network participants to use existing computer equipment as Network workstations. These workstations communicate with the network ComCenter through modems and phone lines.</w:t>
      </w:r>
    </w:p>
    <w:p>
      <w:pPr>
        <w:spacing w:after="0" w:line="176"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To communicate using an IMS MEDACOM(R) Network, a sender creates a message and sends it from his personal computer. Using IMS's proprietary software, his computer then automatically dials the phone number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650" w:right="1440" w:bottom="1440" w:gutter="0" w:footer="0" w:header="0"/>
        </w:sectPr>
      </w:pPr>
    </w:p>
    <w:bookmarkStart w:id="84" w:name="page85"/>
    <w:bookmarkEnd w:id="84"/>
    <w:p>
      <w:pPr>
        <w:ind w:right="3119"/>
        <w:spacing w:after="0" w:line="251" w:lineRule="auto"/>
        <w:rPr>
          <w:sz w:val="20"/>
          <w:szCs w:val="20"/>
          <w:color w:val="auto"/>
        </w:rPr>
      </w:pPr>
      <w:r>
        <w:rPr>
          <w:rFonts w:ascii="Courier New" w:cs="Courier New" w:eastAsia="Courier New" w:hAnsi="Courier New"/>
          <w:sz w:val="15"/>
          <w:szCs w:val="15"/>
          <w:color w:val="auto"/>
        </w:rPr>
        <w:t>of the network ComCenter and sends the message. Once the ComCenter has received a message, it checks its directory to ensure that the message is being sent to the appropriate computer and then dials the phone number of the recipient. When that computer answers, the ComCenter automatically forwards the message to the recipient's computer. Unless using one of the on-line options, the sender is not directly linked to the recipient computer. This solves most of the security issues associated with interactive electronic communications.</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Messages are automatically delivered to the recipient's computer hard disk drive 24 hours per day, without operator intervention. The network ComCenter maintains a directory of all of the Network sponsors and subscribers which can be easily updated. In addition to the name, address and office telephone number of the physician, directory space is provided to list the physician's practice specialties and other profile information. Directory updates are automatically distributed to all IMS MEDACOM(R) Network members.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Participants' workstation computers are not restricted to Network functions. The network software operates "in the background" while the computer may be used for other clinical, financial and administrative applications. If an IMS MEDACOM(R) message is received while the computer is in use, a waiting messages display appears in the upper right-hand corner of the computer screen. The operator can quickly read the new message without leaving the application he or she is in at that time. In a similar fashion, after a message has been created, the operator can continue with other work while the transmission to the network ComCenter takes place in the background.</w:t>
      </w:r>
    </w:p>
    <w:p>
      <w:pPr>
        <w:spacing w:after="0" w:line="175" w:lineRule="exact"/>
        <w:rPr>
          <w:sz w:val="20"/>
          <w:szCs w:val="20"/>
          <w:color w:val="auto"/>
        </w:rPr>
      </w:pPr>
    </w:p>
    <w:p>
      <w:pPr>
        <w:jc w:val="both"/>
        <w:ind w:right="3119" w:firstLine="185"/>
        <w:spacing w:after="0" w:line="251" w:lineRule="auto"/>
        <w:rPr>
          <w:sz w:val="20"/>
          <w:szCs w:val="20"/>
          <w:color w:val="auto"/>
        </w:rPr>
      </w:pPr>
      <w:r>
        <w:rPr>
          <w:rFonts w:ascii="Courier New" w:cs="Courier New" w:eastAsia="Courier New" w:hAnsi="Courier New"/>
          <w:sz w:val="15"/>
          <w:szCs w:val="15"/>
          <w:color w:val="auto"/>
        </w:rPr>
        <w:t>If the operator chooses to process waiting messages, a screen is displayed that shows all of the new messages, who sent them, to whom they are addressed and the date and time at which they were sent. The subject of the message is also displayed.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Customizing the Network</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One of the powerful features of the IMS MEDACOM(R) Network is that it allows for network messages to contain attached data files, such as voice messages, medical images or text from a word processor. This permits the recipient to handle the appropriate disposition of the transmitted material. Text files, such as those that might come from a word processor, can be printed or copied to a disk for processing. After the operator has printed the message and processed any attached files, the system can automatically send an acknowledgment to the message originator, indicating that the message was received and processed. Message forward and reply functions are also available.</w:t>
      </w:r>
    </w:p>
    <w:p>
      <w:pPr>
        <w:spacing w:after="0" w:line="352"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Customized screens can be created for different types of messages, such as hospital pre-admissions, patient referrals and eligibility. In addition, a network sponsor can elect to broadcast a message to all its participants on the network or to create a list of people to whom a single message is to be sent. This latter facility might be used, for example, by a hospital to send the next day's surgery schedule to all surgeons.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Sources of Network Revenue</w:t>
      </w:r>
    </w:p>
    <w:p>
      <w:pPr>
        <w:spacing w:after="0" w:line="185" w:lineRule="exact"/>
        <w:rPr>
          <w:sz w:val="20"/>
          <w:szCs w:val="20"/>
          <w:color w:val="auto"/>
        </w:rPr>
      </w:pPr>
    </w:p>
    <w:p>
      <w:pPr>
        <w:ind w:right="3479" w:firstLine="185"/>
        <w:spacing w:after="0" w:line="251" w:lineRule="auto"/>
        <w:rPr>
          <w:sz w:val="20"/>
          <w:szCs w:val="20"/>
          <w:color w:val="auto"/>
        </w:rPr>
      </w:pPr>
      <w:r>
        <w:rPr>
          <w:rFonts w:ascii="Courier New" w:cs="Courier New" w:eastAsia="Courier New" w:hAnsi="Courier New"/>
          <w:sz w:val="15"/>
          <w:szCs w:val="15"/>
          <w:color w:val="auto"/>
        </w:rPr>
        <w:t>There are generally three levels of participation on IMS MEDACOM(R) Networks: national sponsors, local sponsors and physician subscribers. Sponsors pay various fixed and message related fees to "communicate" with selected physician Subscribers or other network users.</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Local Sponsors. Local sponsors include local organizations that desire to use a network to improve the quality of their services to physicians, improve the efficiency of their operations and strengthen relationships with physicians or other users. Such organizations include hospitals, clinics, specialists, imaging centers, home care agencies, independent pharmacies, transcription services, etc. These entities enter into one to five year network services agreements and pay annual fees and other charges for network use.</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National Sponsors. National sponsors include healthcare organizations or providers that desire to communicate with a wide range of physicians or other network users in multiple markets. Such organizations include pharmaceutical companies, clinical laboratories, pharmacy chains, managed care/insurance companies,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50" w:right="1440" w:bottom="1440" w:gutter="0" w:footer="0" w:header="0"/>
        </w:sectPr>
      </w:pPr>
    </w:p>
    <w:bookmarkStart w:id="85" w:name="page86"/>
    <w:bookmarkEnd w:id="85"/>
    <w:p>
      <w:pPr>
        <w:jc w:val="both"/>
        <w:ind w:left="5" w:right="3119"/>
        <w:spacing w:after="0" w:line="252" w:lineRule="auto"/>
        <w:rPr>
          <w:sz w:val="20"/>
          <w:szCs w:val="20"/>
          <w:color w:val="auto"/>
        </w:rPr>
      </w:pPr>
      <w:r>
        <w:rPr>
          <w:rFonts w:ascii="Courier New" w:cs="Courier New" w:eastAsia="Courier New" w:hAnsi="Courier New"/>
          <w:sz w:val="15"/>
          <w:szCs w:val="15"/>
          <w:color w:val="auto"/>
        </w:rPr>
        <w:t>medical publishers, etc., and usually are also sponsors of more than one, and generally all, other IMS medical information networks located throughout the United States.</w:t>
      </w:r>
    </w:p>
    <w:p>
      <w:pPr>
        <w:spacing w:after="0" w:line="17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Physician Subscribers. Each physician or medical practice is a key influence or client for a wide range of local and national sponsors. Physician subscribers create revenue by attracting local and national sponsors which pay to use the network to communicate with subscribers. Although some sponsors' fees are dependent upon the number of physicians with which communication is sought, no network revenue is provided by physicians.</w:t>
      </w:r>
    </w:p>
    <w:p>
      <w:pPr>
        <w:spacing w:after="0" w:line="176"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Network Support</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Company provides extensive centralized network monitoring, field and sponsor staff training, technical implementation resources and real time support from its Golden, Colorado offices. The network services division delivers: (a) network design services including on-site sponsor requirement evaluations and RELAY(TM) specification development; (b) RELAY(TM) and other interface programming, testing and installation; (c) call-in support with direct technician interfaces who operate an automated problem logging, tracking, resolution and follow-up system; and (d) a national training center, housed in a separate, purpose-built facility with a curriculum that covers a Company orientation, the industry, the Company's technology and products, policies and procedures and a variety of application and programming credentialing.</w:t>
      </w:r>
    </w:p>
    <w:p>
      <w:pPr>
        <w:spacing w:after="0" w:line="183"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IMS MEDACOM Network Locations</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IMS MEDACOM(R) Networks are currently serving the following market areas: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Albany, New York(2)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Houston, Texas(1)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Orlando, Florida(1)(3)</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Birmingham, Alabama(3)</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Indianapolis, Indiana(1)(3)</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Pensacola, Florida(2)</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Boca Raton, Florida(2)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Jackson, Mississippi(2)</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Philadelphia, Pennsylvania(1)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Boise, Idaho(2)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Jacksonville, Florida(2)</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Phoenix, Arizona(1)(3)</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Capitol Region,</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Kansas City, Missouri(1)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Richmond, Virginia(1)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Washington D.C. area(1)</w:t>
            </w:r>
          </w:p>
        </w:tc>
        <w:tc>
          <w:tcPr>
            <w:tcW w:w="336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Boynton Beach, Florida(1)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Knoxville, Tennessee(2)</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Rockford, Illinois(3)</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Chicago, Illinois(1)(3)</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Lexington, Kentucky(1)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Sacramento, California(1)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Cincinnati, Ohio(1)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Lincoln, Nebraska(2)</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San Antonio, Texas(1)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Columbus, Ohio(1)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Little Rock, Arkansas(3)</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San Diego, California(1)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Colorado Springs, Colorado(1)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Los Angeles, California(1)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San Jose, California(1)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Dallas-Ft. Worth, Texas(1)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Louisville, Kentucky(1)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Savannah, Georgia(2)</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Davenport, Iowa(2)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Memphis, Tennessee(1)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St. Louis, Missouri(1)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Denver, Colorado(1)</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Miami/Fort Lauderdale, Florida(1)</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Tampa, Florida(1)</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Flint, Michigan(2)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Minneapolis Minnesota(1)(3)</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Tulsa, Oklahoma(2)</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Great Falls, Montana(2)</w:t>
            </w:r>
          </w:p>
        </w:tc>
        <w:tc>
          <w:tcPr>
            <w:tcW w:w="3360" w:type="dxa"/>
            <w:vAlign w:val="bottom"/>
          </w:tcPr>
          <w:p>
            <w:pPr>
              <w:ind w:left="100"/>
              <w:spacing w:after="0"/>
              <w:rPr>
                <w:sz w:val="20"/>
                <w:szCs w:val="20"/>
                <w:color w:val="auto"/>
              </w:rPr>
            </w:pPr>
            <w:r>
              <w:rPr>
                <w:rFonts w:ascii="Courier New" w:cs="Courier New" w:eastAsia="Courier New" w:hAnsi="Courier New"/>
                <w:sz w:val="15"/>
                <w:szCs w:val="15"/>
                <w:color w:val="auto"/>
              </w:rPr>
              <w:t>. Monroe, Louisiana(2)</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 Wichita, Kansas(2)</w:t>
            </w: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 Honolulu, Hawaii(2)</w:t>
            </w:r>
          </w:p>
        </w:tc>
        <w:tc>
          <w:tcPr>
            <w:tcW w:w="336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pacing w:after="0" w:line="5" w:lineRule="exact"/>
        <w:rPr>
          <w:sz w:val="20"/>
          <w:szCs w:val="20"/>
          <w:color w:val="auto"/>
        </w:rPr>
      </w:pPr>
    </w:p>
    <w:p>
      <w:pPr>
        <w:ind w:left="365" w:hanging="365"/>
        <w:spacing w:after="0"/>
        <w:tabs>
          <w:tab w:leader="none" w:pos="36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in one of the 50 largest markets.</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operated by licensee.</w:t>
      </w:r>
    </w:p>
    <w:p>
      <w:pPr>
        <w:spacing w:after="0" w:line="7" w:lineRule="exact"/>
        <w:rPr>
          <w:rFonts w:ascii="Courier New" w:cs="Courier New" w:eastAsia="Courier New" w:hAnsi="Courier New"/>
          <w:sz w:val="15"/>
          <w:szCs w:val="15"/>
          <w:color w:val="auto"/>
        </w:rPr>
      </w:pPr>
    </w:p>
    <w:p>
      <w:pPr>
        <w:ind w:left="365" w:right="3219" w:hanging="365"/>
        <w:spacing w:after="0" w:line="253" w:lineRule="auto"/>
        <w:tabs>
          <w:tab w:leader="none" w:pos="36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Operated under a joint venture or similar arrangement. See "Co-Ventures" below.</w:t>
      </w:r>
    </w:p>
    <w:p>
      <w:pPr>
        <w:spacing w:after="0" w:line="174"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markets where IMS MEDACOM(R) Networks are in place, the Company estimates that there are around 150,000 physicians in practice, of which 20% are subscribers to an IMS network. Physician subscribers connected to IMS MEDACOM(R) Networks have grown from 845 at December 31, 1991 to 14,713 at December 31, 1994 and 30,400 at September 30, 1995.</w:t>
      </w:r>
    </w:p>
    <w:p>
      <w:pPr>
        <w:spacing w:after="0" w:line="176"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At July 31, 1995, IMS and networks operated by IMS or affiliates had sponsorship agreements with 102 sponsors, with remaining terms of two to five years. Eighty-three of the sponsors were hospitals or hospital systems, managed care providers or payers, six were laboratories, and five other sponsors. In addition, IMS has network license agreements with 20 licensee hospitals or healthcare organizations, which authorize the licensee</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25"/>
          </w:cols>
          <w:pgMar w:left="235" w:top="650" w:right="1440" w:bottom="1440" w:gutter="0" w:footer="0" w:header="0"/>
        </w:sectPr>
      </w:pPr>
    </w:p>
    <w:bookmarkStart w:id="86" w:name="page87"/>
    <w:bookmarkEnd w:id="86"/>
    <w:p>
      <w:pPr>
        <w:ind w:right="3019"/>
        <w:spacing w:after="0" w:line="251" w:lineRule="auto"/>
        <w:rPr>
          <w:sz w:val="20"/>
          <w:szCs w:val="20"/>
          <w:color w:val="auto"/>
        </w:rPr>
      </w:pPr>
      <w:r>
        <w:rPr>
          <w:rFonts w:ascii="Courier New" w:cs="Courier New" w:eastAsia="Courier New" w:hAnsi="Courier New"/>
          <w:sz w:val="15"/>
          <w:szCs w:val="15"/>
          <w:color w:val="auto"/>
        </w:rPr>
        <w:t>to use IMS network software to set up and operate a proprietary network in smaller markets. IMS and national sponsors are usually authorized to communicate with users of the licensee's network. The licensee frequently retains IMS to manage its network or to provide various ancillary services. Sponsors and licensees each pay initial implementation fees, annual fees and other charges for specialized or additional services for fixed contract terms, generally five years, renewable thereafter for negotiated fees.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CO-VENTURES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selected largest 50 markets, IMS has entered into various joint venture or similar relationships with others to develop an IMS MEDACOM(R) Network. The areas of interest and ownership of present joint venture participants are summarized as follows: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tcPr>
          <w:p>
            <w:pPr>
              <w:ind w:left="420"/>
              <w:spacing w:after="0"/>
              <w:rPr>
                <w:sz w:val="20"/>
                <w:szCs w:val="20"/>
                <w:color w:val="auto"/>
              </w:rPr>
            </w:pPr>
            <w:r>
              <w:rPr>
                <w:rFonts w:ascii="Courier New" w:cs="Courier New" w:eastAsia="Courier New" w:hAnsi="Courier New"/>
                <w:sz w:val="15"/>
                <w:szCs w:val="15"/>
                <w:color w:val="auto"/>
              </w:rPr>
              <w:t>CO-OWNER OR</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VENTURER</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TYPE OF ENTITY</w:t>
            </w:r>
          </w:p>
        </w:tc>
        <w:tc>
          <w:tcPr>
            <w:tcW w:w="1860" w:type="dxa"/>
            <w:vAlign w:val="bottom"/>
          </w:tcPr>
          <w:p>
            <w:pPr>
              <w:spacing w:after="0"/>
              <w:rPr>
                <w:sz w:val="15"/>
                <w:szCs w:val="15"/>
                <w:color w:val="auto"/>
              </w:rPr>
            </w:pPr>
          </w:p>
        </w:tc>
      </w:tr>
      <w:tr>
        <w:trPr>
          <w:trHeight w:val="177"/>
        </w:trPr>
        <w:tc>
          <w:tcPr>
            <w:tcW w:w="3040" w:type="dxa"/>
            <w:vAlign w:val="bottom"/>
          </w:tcPr>
          <w:p>
            <w:pPr>
              <w:ind w:left="740"/>
              <w:spacing w:after="0"/>
              <w:rPr>
                <w:sz w:val="20"/>
                <w:szCs w:val="20"/>
                <w:color w:val="auto"/>
              </w:rPr>
            </w:pPr>
            <w:r>
              <w:rPr>
                <w:rFonts w:ascii="Courier New" w:cs="Courier New" w:eastAsia="Courier New" w:hAnsi="Courier New"/>
                <w:sz w:val="15"/>
                <w:szCs w:val="15"/>
                <w:color w:val="auto"/>
              </w:rPr>
              <w:t>NAME OF VENTURE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PERCENT OF</w:t>
            </w:r>
          </w:p>
        </w:tc>
        <w:tc>
          <w:tcPr>
            <w:tcW w:w="1860" w:type="dxa"/>
            <w:vAlign w:val="bottom"/>
          </w:tcPr>
          <w:p>
            <w:pPr>
              <w:ind w:left="420"/>
              <w:spacing w:after="0"/>
              <w:rPr>
                <w:sz w:val="20"/>
                <w:szCs w:val="20"/>
                <w:color w:val="auto"/>
              </w:rPr>
            </w:pPr>
            <w:r>
              <w:rPr>
                <w:rFonts w:ascii="Courier New" w:cs="Courier New" w:eastAsia="Courier New" w:hAnsi="Courier New"/>
                <w:sz w:val="15"/>
                <w:szCs w:val="15"/>
                <w:color w:val="auto"/>
              </w:rPr>
              <w:t>(MANAGER OF</w:t>
            </w:r>
          </w:p>
        </w:tc>
        <w:tc>
          <w:tcPr>
            <w:tcW w:w="1880" w:type="dxa"/>
            <w:vAlign w:val="bottom"/>
          </w:tcPr>
          <w:p>
            <w:pPr>
              <w:ind w:left="500"/>
              <w:spacing w:after="0"/>
              <w:rPr>
                <w:sz w:val="20"/>
                <w:szCs w:val="20"/>
                <w:color w:val="auto"/>
              </w:rPr>
            </w:pPr>
            <w:r>
              <w:rPr>
                <w:rFonts w:ascii="Courier New" w:cs="Courier New" w:eastAsia="Courier New" w:hAnsi="Courier New"/>
                <w:sz w:val="15"/>
                <w:szCs w:val="15"/>
                <w:color w:val="auto"/>
              </w:rPr>
              <w:t>(STATE OF</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(CORPORATE NAME, IF APPLICABLE)</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INTEREST</w:t>
            </w:r>
          </w:p>
        </w:tc>
        <w:tc>
          <w:tcPr>
            <w:tcW w:w="1860" w:type="dxa"/>
            <w:vAlign w:val="bottom"/>
          </w:tcPr>
          <w:p>
            <w:pPr>
              <w:ind w:left="520"/>
              <w:spacing w:after="0"/>
              <w:rPr>
                <w:sz w:val="20"/>
                <w:szCs w:val="20"/>
                <w:color w:val="auto"/>
              </w:rPr>
            </w:pPr>
            <w:r>
              <w:rPr>
                <w:rFonts w:ascii="Courier New" w:cs="Courier New" w:eastAsia="Courier New" w:hAnsi="Courier New"/>
                <w:sz w:val="15"/>
                <w:szCs w:val="15"/>
                <w:color w:val="auto"/>
              </w:rPr>
              <w:t>VENTURE)</w:t>
            </w:r>
          </w:p>
        </w:tc>
        <w:tc>
          <w:tcPr>
            <w:tcW w:w="18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ORGANIZATION)</w:t>
            </w:r>
          </w:p>
        </w:tc>
        <w:tc>
          <w:tcPr>
            <w:tcW w:w="1860" w:type="dxa"/>
            <w:vAlign w:val="bottom"/>
          </w:tcPr>
          <w:p>
            <w:pPr>
              <w:ind w:left="280"/>
              <w:spacing w:after="0"/>
              <w:rPr>
                <w:sz w:val="20"/>
                <w:szCs w:val="20"/>
                <w:color w:val="auto"/>
              </w:rPr>
            </w:pPr>
            <w:r>
              <w:rPr>
                <w:rFonts w:ascii="Courier New" w:cs="Courier New" w:eastAsia="Courier New" w:hAnsi="Courier New"/>
                <w:sz w:val="15"/>
                <w:szCs w:val="15"/>
                <w:color w:val="auto"/>
              </w:rPr>
              <w:t>NETWORK AREA</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c>
          <w:tcPr>
            <w:tcW w:w="1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55"/>
        </w:trPr>
        <w:tc>
          <w:tcPr>
            <w:tcW w:w="3040" w:type="dxa"/>
            <w:vAlign w:val="bottom"/>
          </w:tcPr>
          <w:p>
            <w:pPr>
              <w:spacing w:after="0"/>
              <w:rPr>
                <w:sz w:val="20"/>
                <w:szCs w:val="20"/>
                <w:color w:val="auto"/>
              </w:rPr>
            </w:pPr>
            <w:r>
              <w:rPr>
                <w:rFonts w:ascii="Courier New" w:cs="Courier New" w:eastAsia="Courier New" w:hAnsi="Courier New"/>
                <w:sz w:val="15"/>
                <w:szCs w:val="15"/>
                <w:color w:val="auto"/>
              </w:rPr>
              <w:t>Illinois Medical</w:t>
            </w:r>
          </w:p>
        </w:tc>
        <w:tc>
          <w:tcPr>
            <w:tcW w:w="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Information Network,</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Inc. ..................</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68%</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HFN, Inc. (26%);</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Corporation</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Illinois, 2</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Swedish American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(Illinois)</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Indiana counties,</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Hospital (5%);</w:t>
            </w:r>
          </w:p>
        </w:tc>
        <w:tc>
          <w:tcPr>
            <w:tcW w:w="188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and portion of</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Alexian Brothers</w:t>
            </w:r>
          </w:p>
        </w:tc>
        <w:tc>
          <w:tcPr>
            <w:tcW w:w="188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Eastern Iowa</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Medical Ctr. (1%)</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(HFN)</w:t>
            </w: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IMS-NET of Alabama Joint</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Venture................</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Bretz Corporation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Partnership</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Alabama and</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(Bretz)</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(Colorado)</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Western Florida</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Arkansas Medical</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Information Network</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(IMS-NET of Arkansas,</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Baptist Medical</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Corporation</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Arkansas</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System (Baptist)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(Arkansas)</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IMS-NET of Arizona Joint</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Venture, Ltd. .........</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BC-BS of Arizona,</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Ltd.</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Arizona</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Inc. (IMS-NET of</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Partnership</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Arizona, Inc.)</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(Arizona)</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IMS-NET of Central</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Florida, Inc. .........</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Adventist Health</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Corporation</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Orlando and</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System/Sunbelt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(Colorado)</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central Florida</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Indiana Medical</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Communication Network</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LLC....................</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Methodist Hospital</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Limited</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Indiana (except 2</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of Indiana, Inc.</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Liability Company</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counties)</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(IMS)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(Colorado)</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Minnesota Medical</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Communication Network</w:t>
            </w:r>
          </w:p>
        </w:tc>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7"/>
        </w:trPr>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LLC....................</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90%</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Blue Cross and Blue</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JV Limited</w:t>
            </w:r>
          </w:p>
        </w:tc>
        <w:tc>
          <w:tcPr>
            <w:tcW w:w="1860" w:type="dxa"/>
            <w:vAlign w:val="bottom"/>
          </w:tcPr>
          <w:p>
            <w:pPr>
              <w:spacing w:after="0"/>
              <w:rPr>
                <w:sz w:val="20"/>
                <w:szCs w:val="20"/>
                <w:color w:val="auto"/>
              </w:rPr>
            </w:pPr>
            <w:r>
              <w:rPr>
                <w:rFonts w:ascii="Courier New" w:cs="Courier New" w:eastAsia="Courier New" w:hAnsi="Courier New"/>
                <w:sz w:val="15"/>
                <w:szCs w:val="15"/>
                <w:color w:val="auto"/>
              </w:rPr>
              <w:t>Minnesota</w:t>
            </w: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Shield of Minnesota</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Liability Company</w:t>
            </w:r>
          </w:p>
        </w:tc>
        <w:tc>
          <w:tcPr>
            <w:tcW w:w="1860" w:type="dxa"/>
            <w:vAlign w:val="bottom"/>
          </w:tcPr>
          <w:p>
            <w:pPr>
              <w:spacing w:after="0"/>
              <w:rPr>
                <w:sz w:val="15"/>
                <w:szCs w:val="15"/>
                <w:color w:val="auto"/>
              </w:rPr>
            </w:pPr>
          </w:p>
        </w:tc>
      </w:tr>
      <w:tr>
        <w:trPr>
          <w:trHeight w:val="177"/>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(IMS)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(Colorado)</w:t>
            </w:r>
          </w:p>
        </w:tc>
        <w:tc>
          <w:tcPr>
            <w:tcW w:w="1860" w:type="dxa"/>
            <w:vAlign w:val="bottom"/>
          </w:tcPr>
          <w:p>
            <w:pPr>
              <w:spacing w:after="0"/>
              <w:rPr>
                <w:sz w:val="15"/>
                <w:szCs w:val="15"/>
                <w:color w:val="auto"/>
              </w:rPr>
            </w:pPr>
          </w:p>
        </w:tc>
      </w:tr>
    </w:tbl>
    <w:p>
      <w:pPr>
        <w:spacing w:after="0" w:line="360"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Pursuant to each venture arrangement, an open network is established and operated as a separate business consistent with the operation of other networks by IMS in other areas. Local sponsors contract with the venture for network participation. IMS and the venturer are generally reimbursed for services provided to the venture and operating profits are shared according to ownership interest. Revenue from national sponsors who contract with IMS is shared between IMS and the venture entity. Financial information from these entities is included with the consolidated financial information for IMS and its subsidiaries.</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October 1995, IMS acquired the 51% interest which it did not own in a joint venture corporation organized in 1991 to develop and operate a network in and around Los Angeles. See "UNAUDITED PRO FORMA CONSOLIDATED FINANCIAL INFORMATION OF IMS" for a description of the terms of the acquisition. As a result of the acquisition, the venture was terminated, the corporation became a wholly owned subsidiary of IMS, and IMS assumed control of the network. IMS has not initiated any venture relationships since 1993 and has no plans to do so in the future. IMS may negotiate to increase its ownership interest in the above entities from time to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healthcare information systems industry, particularly communications networking, is characterized by rapid change and a continuing need for high level of development and improvement of software and services. In order to maintain and improve new sponsor participation on networks, increase physician participation and accelerate the revenue per sponsor, the Company believes that its networks must continue to be viewed as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50" w:right="1440" w:bottom="16" w:gutter="0" w:footer="0" w:header="0"/>
        </w:sectPr>
      </w:pPr>
    </w:p>
    <w:bookmarkStart w:id="87" w:name="page88"/>
    <w:bookmarkEnd w:id="87"/>
    <w:p>
      <w:pPr>
        <w:ind w:right="3019"/>
        <w:spacing w:after="0" w:line="251" w:lineRule="auto"/>
        <w:rPr>
          <w:sz w:val="20"/>
          <w:szCs w:val="20"/>
          <w:color w:val="auto"/>
        </w:rPr>
      </w:pPr>
      <w:r>
        <w:rPr>
          <w:rFonts w:ascii="Courier New" w:cs="Courier New" w:eastAsia="Courier New" w:hAnsi="Courier New"/>
          <w:sz w:val="15"/>
          <w:szCs w:val="15"/>
          <w:color w:val="auto"/>
        </w:rPr>
        <w:t>technologically competent, functionally flexible and expandable, ubiquitous in systems integration capability and powerful in terms both of encompassing the full range of sponsor automation requirements and adding increasing value at the physician's desktop.</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implementation of the ComCenter NT technology has opened up a broad range of product development opportunities for the Company. Most of these development activities are responses to requests or suggestions from current network participants. These include data file level host system integration; a Windows(TM) version of the PC-Com (NCW) software; enhanced UNIX functionality; broader LAN integration; bridges to the most popular institutional E-Mail systems; real-time remote display of clinical monitor activity (ICU, CPU, fetal, etc.); enterprise wide master indexing of patient activity integrated from outside the institution into the physician's office; a full set of financial/claim EDI activities as well as practice management system interfaces; and enhanced network access using single point connection into multiple ComCenters of more than one network.</w:t>
      </w:r>
    </w:p>
    <w:p>
      <w:pPr>
        <w:spacing w:after="0" w:line="183"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Company also recognizes that technology and service venture alliances with major corporations in the healthcare, technology and communications fields can bring a valuable level of product development expertise and opportunity to its networks. The Company has been approached by national healthcare support service vendors which desire to create enhanced value applications of their core activities by adding a network communications capability. Arrangements have been consummated for a technology and service relationship in claims processing; for point-of-service material management; and for automated physician/pharmacy communications.</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As of August 31, 1995, approximately 215 computer programmers and technical personnel of the Company and ventures with which the Company is affiliated are involved at different times and in varying degrees, in product development and enhancement and software support. IMS MEDACOM(R) is committed to identifying existing software systems/programs and/or developing new programs that bring added value to IMS MEDACOM(R) Network participants. Many of IMS's network applications were developed in cooperation with health care providers and payers. The Company intends to continue this strategy of developing services in cooperation with key customers in targeted sectors. No assurance can be given that the Company will be able to develop such services or products nor that they will have general acceptance in the marketplace.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8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The Company markets its services and software licenses through a direct sales force consisting, as of July 31, 1995, of 15 direct field sales executives located throughout the United States, regional sales vice presidents for both the eastern and western United States, and a Vice President of Technical Sales Support. The Company's sales offices are located in Arizona, California, Georgia, Illinois, Massachusetts, Ohio, Pennsylvania, South Carolina and Texas. The sales force is managed by a Senior Vice President who is also a member of the Company's Management Committee. The sales executives are supported by the field operations General Managers and the Director of Operations resident at each IMS MEDACOM(R) Network. Also, the sales staff receives marketing and administrative support from the Company's strategic development division which includes a director of marketing, media relations manager and industry marketing specialists.</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Company generates sales through referrals from sponsors and physicians, healthcare information systems consultants, industry seminars and trade shows, news articles in the trade and general business press, direct mail campaigns and advertisements in trade journals. In addition, the Company's relatively large installed physician base attracts direct inquiries from national or regional healthcare service organizations that desire an automated communications link with their affiliated physicians or other providers. Also, as a result of consolidations and the restructuring of local/regional healthcare delivery into integrated systems, the Company's base of installed institutions provides leveraged introductions to a number of new sales prospects.</w:t>
      </w:r>
    </w:p>
    <w:p>
      <w:pPr>
        <w:spacing w:after="0" w:line="182"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The principal potential sponsors for the Company's services include the largest health care providers and payers. The Company has identified six target sponsor groups within the health care sector: hospitals, clinical laboratories, pharmaceutical companies, pharmacies, managed care providers, and other provider/payers.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50" w:right="1440" w:bottom="1440" w:gutter="0" w:footer="0" w:header="0"/>
        </w:sectPr>
      </w:pPr>
    </w:p>
    <w:bookmarkStart w:id="88" w:name="page89"/>
    <w:bookmarkEnd w:id="88"/>
    <w:p>
      <w:pPr>
        <w:ind w:right="3019" w:firstLine="185"/>
        <w:spacing w:after="0" w:line="251" w:lineRule="auto"/>
        <w:rPr>
          <w:sz w:val="20"/>
          <w:szCs w:val="20"/>
          <w:color w:val="auto"/>
        </w:rPr>
      </w:pPr>
      <w:r>
        <w:rPr>
          <w:rFonts w:ascii="Courier New" w:cs="Courier New" w:eastAsia="Courier New" w:hAnsi="Courier New"/>
          <w:sz w:val="15"/>
          <w:szCs w:val="15"/>
          <w:color w:val="auto"/>
        </w:rPr>
        <w:t>No single customer accounted for more than 10% of the Company's total revenues for the year ended December 31, 1993. One customer, a hospital system licensee under an NLA, accounted for approximately 19% of the Company's total revenue in its fiscal year ending December 31,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The health care communications industry is competitive. Many hospitals, third party administrators, claims processing organizations, hospital systems vendors, systems integrators, insurers, managed care organizations, and a few small companies provide physicians with some form of communications link to one or more specific organizations. Major companies which have provided network systems to the health care industry include IBM, Physicians Computer Network, Shared Medical Systems, Meditech and AmeriTech and other regional Bell operating companies. In addition, certain companies have expressed an intention to provide communications solutions to the health care industry, many of which have substantially greater resources than the Company. IMS believes that its networks allow users to communicate with more physicians and more hospitals using a bi-directional standardized communications format than any other commercial provider of similar communications in the medical field.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As of August 31, 1995, the Company had 261 full-time employees, of which 175 are technical and engaged in maintaining or developing IMS products or services, 19 are marketing and sales, and 36 are involved in administration and finance and 31 provide non-technical operation support in IMS business units which operate various networks. In addition, the Company's network ventures employ an additional 51 people. None of the Company's employees is represented by a union. The Company believes that its relationship with its employees is good.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Company's corporate offices are located at 15000 West Sixth Avenue, Golden, Colorado. These premises are leased pursuant to a lease agreement which expires on January 31, 1998 and has a renewal term of five years. The lease covers approximately 23,500 square feet of office space for which the Company pays annual rent of $142,400. The Company also leases approximately 42,500 square feet of additional office space in 21 offices throughout the country where the network provides service. These offices range in size from approximately 700 square feet to 3,000 square feet. The Company pays annual rent in the aggregate amount of approximately $605,300 for this space.</w:t>
      </w:r>
    </w:p>
    <w:p>
      <w:pPr>
        <w:spacing w:after="0" w:line="175" w:lineRule="exact"/>
        <w:rPr>
          <w:sz w:val="20"/>
          <w:szCs w:val="20"/>
          <w:color w:val="auto"/>
        </w:rPr>
      </w:pPr>
    </w:p>
    <w:p>
      <w:pPr>
        <w:jc w:val="both"/>
        <w:ind w:right="3399" w:firstLine="185"/>
        <w:spacing w:after="0" w:line="252" w:lineRule="auto"/>
        <w:rPr>
          <w:sz w:val="20"/>
          <w:szCs w:val="20"/>
          <w:color w:val="auto"/>
        </w:rPr>
      </w:pPr>
      <w:r>
        <w:rPr>
          <w:rFonts w:ascii="Courier New" w:cs="Courier New" w:eastAsia="Courier New" w:hAnsi="Courier New"/>
          <w:sz w:val="15"/>
          <w:szCs w:val="15"/>
          <w:color w:val="auto"/>
        </w:rPr>
        <w:t>The Company plans to lease space from time to time as it establishes new networks. Other than such anticipated space, the Company believes that its facilities are adequate for its present operations.</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50" w:right="1440" w:bottom="1440" w:gutter="0" w:footer="0" w:header="0"/>
        </w:sectPr>
      </w:pPr>
    </w:p>
    <w:bookmarkStart w:id="89" w:name="page90"/>
    <w:bookmarkEnd w:id="89"/>
    <w:p>
      <w:pPr>
        <w:ind w:left="2865"/>
        <w:spacing w:after="0"/>
        <w:rPr>
          <w:sz w:val="20"/>
          <w:szCs w:val="20"/>
          <w:color w:val="auto"/>
        </w:rPr>
      </w:pPr>
      <w:r>
        <w:rPr>
          <w:rFonts w:ascii="Courier New" w:cs="Courier New" w:eastAsia="Courier New" w:hAnsi="Courier New"/>
          <w:sz w:val="15"/>
          <w:szCs w:val="15"/>
          <w:color w:val="auto"/>
        </w:rPr>
        <w:t>OWNERSHIP OF IMS</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following table sets forth certain information regarding beneficial stock ownership as of August 31, 1995 by: (i) each director and certain executive officers of the Company, (ii) all directors and executive officers as a group, and (iii) each shareholder known by the Company to be the beneficial owner of more than 5% of each class of voting securities. Except as otherwise indicated, each person or entity listed below has sole voting and investment power with respect to all shares shown to be beneficially owned by him or it except to the extent such power is shared by a spouse under applicable law. The address of each executive officer and director is listed in care of the Company. As of August 31, 1995, the following securities were outstanding: 6,584,002 shares of Company Common Stock; 2,000,000 shares of Series B Preferred Stock; 3,000,000 shares of Series C Preferred Stock; options to purchase 2,380,457 shares of Company Common Stock; and warrants to purchase 655,103 shares of Company Common Stock and 500,000 shares of Series C Preferred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COMPANY</w:t>
            </w:r>
          </w:p>
        </w:tc>
        <w:tc>
          <w:tcPr>
            <w:tcW w:w="21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PERCENT OF</w:t>
            </w:r>
          </w:p>
        </w:tc>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7"/>
        </w:trPr>
        <w:tc>
          <w:tcPr>
            <w:tcW w:w="2260" w:type="dxa"/>
            <w:vAlign w:val="bottom"/>
          </w:tcPr>
          <w:p>
            <w:pPr>
              <w:spacing w:after="0"/>
              <w:rPr>
                <w:sz w:val="15"/>
                <w:szCs w:val="15"/>
                <w:color w:val="auto"/>
              </w:rPr>
            </w:pP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COMMON STOCK</w:t>
            </w:r>
          </w:p>
        </w:tc>
        <w:tc>
          <w:tcPr>
            <w:tcW w:w="21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COMPANY</w:t>
            </w:r>
          </w:p>
        </w:tc>
        <w:tc>
          <w:tcPr>
            <w:tcW w:w="1940" w:type="dxa"/>
            <w:vAlign w:val="bottom"/>
          </w:tcPr>
          <w:p>
            <w:pPr>
              <w:spacing w:after="0"/>
              <w:rPr>
                <w:sz w:val="15"/>
                <w:szCs w:val="15"/>
                <w:color w:val="auto"/>
              </w:rPr>
            </w:pP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PERCENT OF</w:t>
            </w:r>
          </w:p>
        </w:tc>
      </w:tr>
      <w:tr>
        <w:trPr>
          <w:trHeight w:val="177"/>
        </w:trPr>
        <w:tc>
          <w:tcPr>
            <w:tcW w:w="2260" w:type="dxa"/>
            <w:vAlign w:val="bottom"/>
          </w:tcPr>
          <w:p>
            <w:pPr>
              <w:ind w:left="740"/>
              <w:spacing w:after="0"/>
              <w:rPr>
                <w:sz w:val="20"/>
                <w:szCs w:val="20"/>
                <w:color w:val="auto"/>
              </w:rPr>
            </w:pPr>
            <w:r>
              <w:rPr>
                <w:rFonts w:ascii="Courier New" w:cs="Courier New" w:eastAsia="Courier New" w:hAnsi="Courier New"/>
                <w:sz w:val="15"/>
                <w:szCs w:val="15"/>
                <w:color w:val="auto"/>
              </w:rPr>
              <w:t>NAME OF</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BENEFICIALLY</w:t>
            </w:r>
          </w:p>
        </w:tc>
        <w:tc>
          <w:tcPr>
            <w:tcW w:w="21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COMMON STOCK</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SERIES B</w:t>
            </w:r>
          </w:p>
        </w:tc>
        <w:tc>
          <w:tcPr>
            <w:tcW w:w="16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SERIES B</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BENEFICIAL OWNER</w:t>
            </w: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OWNED**</w:t>
            </w: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BENEFICIALLY OWNED**** PREFERRED STOCK*** PREFERRED STOCK****</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5"/>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Kevin R. Green..........</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284,300(1)</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4.2</w:t>
            </w:r>
          </w:p>
        </w:tc>
        <w:tc>
          <w:tcPr>
            <w:tcW w:w="19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9,375(2)</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Charles I. Brown........</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670,750(3)</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9.6</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150,000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7.5</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James T. Murphy.........</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150,382(4)</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3.1</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9,375</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George R. Beauchamp.....</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244,000(5)</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3.6</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William B. Hein, Sr.....</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216,800(6)</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3.2</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Richard J. Smeltz.......</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83,785(7)</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1.3</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James A. Larson.........</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674,296(8)</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10.2</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Alan S. Danson..........</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521,917(9)</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7.6</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John W. Hanes, Jr.......</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321,333(10)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4.8</w:t>
            </w:r>
          </w:p>
        </w:tc>
        <w:tc>
          <w:tcPr>
            <w:tcW w:w="1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135,000(11)</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David R. Holbrooke......</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1,409,568(12)</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18.4</w:t>
            </w:r>
          </w:p>
        </w:tc>
        <w:tc>
          <w:tcPr>
            <w:tcW w:w="1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1,072,500(13)</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53.6</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John A. McChesney.......</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1,694,301(14)</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24.4</w:t>
            </w:r>
          </w:p>
        </w:tc>
        <w:tc>
          <w:tcPr>
            <w:tcW w:w="19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110,000(15)</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5.5</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Donald S. Chenoweth.....</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161,900(16)</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2.4</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Joseph G. Ferguson, Sr..</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30,000(17)</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Edward B. Daniels.......</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70,000(18)</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Charles S. Iobe, Sr.....</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60,000(19)</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Michael S. Hunt(20).....</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Kevin E. Moley(20)......</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All Executive Officers</w:t>
            </w:r>
          </w:p>
        </w:tc>
        <w:tc>
          <w:tcPr>
            <w:tcW w:w="1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and Directors as a</w:t>
            </w:r>
          </w:p>
        </w:tc>
        <w:tc>
          <w:tcPr>
            <w:tcW w:w="1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Group..................</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6,506,397(21)</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69.4</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1,455,937</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72.8</w:t>
            </w:r>
          </w:p>
        </w:tc>
      </w:tr>
      <w:tr>
        <w:trPr>
          <w:trHeight w:val="177"/>
        </w:trPr>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rPr>
              <w:t>Eli Lilly and Company...</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3,660,200(22)</w:t>
            </w:r>
          </w:p>
        </w:tc>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36.3</w:t>
            </w:r>
          </w:p>
        </w:tc>
        <w:tc>
          <w:tcPr>
            <w:tcW w:w="194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bl>
    <w:p>
      <w:pPr>
        <w:spacing w:after="0" w:line="183" w:lineRule="exact"/>
        <w:rPr>
          <w:sz w:val="20"/>
          <w:szCs w:val="20"/>
          <w:color w:val="auto"/>
        </w:rPr>
      </w:pPr>
    </w:p>
    <w:p>
      <w:pPr>
        <w:ind w:left="185" w:hanging="185"/>
        <w:spacing w:after="0"/>
        <w:tabs>
          <w:tab w:leader="none" w:pos="18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84" w:lineRule="exact"/>
        <w:rPr>
          <w:rFonts w:ascii="Courier New" w:cs="Courier New" w:eastAsia="Courier New" w:hAnsi="Courier New"/>
          <w:sz w:val="15"/>
          <w:szCs w:val="15"/>
          <w:color w:val="auto"/>
        </w:rPr>
      </w:pPr>
    </w:p>
    <w:p>
      <w:pPr>
        <w:ind w:left="465" w:right="3299" w:hanging="281"/>
        <w:spacing w:after="0" w:line="251" w:lineRule="auto"/>
        <w:tabs>
          <w:tab w:leader="none" w:pos="465"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exercise of all options (vested or unvested) and warrants, and conversion of all preferred stock. All warrants are immediately exercisable. Certain options have not yet vested and all options will vest upon the Effective Date of the Merger. All options (vested or unvested) have been disclosed above.</w:t>
      </w:r>
    </w:p>
    <w:p>
      <w:pPr>
        <w:spacing w:after="0" w:line="176" w:lineRule="exact"/>
        <w:rPr>
          <w:rFonts w:ascii="Courier New" w:cs="Courier New" w:eastAsia="Courier New" w:hAnsi="Courier New"/>
          <w:sz w:val="15"/>
          <w:szCs w:val="15"/>
          <w:color w:val="auto"/>
        </w:rPr>
      </w:pPr>
    </w:p>
    <w:p>
      <w:pPr>
        <w:ind w:left="465" w:right="3219" w:hanging="373"/>
        <w:spacing w:after="0" w:line="253" w:lineRule="auto"/>
        <w:tabs>
          <w:tab w:leader="none" w:pos="465"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three shares of Series B Preferred Stock are convertible into two shares of Common Stock.</w:t>
      </w:r>
    </w:p>
    <w:p>
      <w:pPr>
        <w:spacing w:after="0" w:line="174" w:lineRule="exact"/>
        <w:rPr>
          <w:rFonts w:ascii="Courier New" w:cs="Courier New" w:eastAsia="Courier New" w:hAnsi="Courier New"/>
          <w:sz w:val="15"/>
          <w:szCs w:val="15"/>
          <w:color w:val="auto"/>
        </w:rPr>
      </w:pPr>
    </w:p>
    <w:p>
      <w:pPr>
        <w:ind w:left="465" w:right="3119" w:hanging="465"/>
        <w:spacing w:after="0" w:line="251" w:lineRule="auto"/>
        <w:tabs>
          <w:tab w:leader="none" w:pos="465"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or Series B Preferred Stock outstanding used in calculating the percentage for each listed person or entity includes the shares of Common Stock underlying options and warrants and shares issuable upon the conversion of Series B Preferred Stock held by person or entity but excludes shares of Common Stock underlying options or warrants of held by any other person or entity.</w:t>
      </w:r>
    </w:p>
    <w:p>
      <w:pPr>
        <w:spacing w:after="0" w:line="176" w:lineRule="exact"/>
        <w:rPr>
          <w:sz w:val="20"/>
          <w:szCs w:val="20"/>
          <w:color w:val="auto"/>
        </w:rPr>
      </w:pPr>
    </w:p>
    <w:p>
      <w:pPr>
        <w:ind w:left="465" w:right="3019" w:hanging="373"/>
        <w:spacing w:after="0" w:line="250"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1,250 shares of Company Common Stock held by the Kevin Green IRA and 1,250 shares held by his minor children. Also includes 1,250 shares underlying warrants, 226,800 shares underlying options and 6,250 shares issuable upon conversion of Series B Preferred Stock.</w:t>
      </w:r>
    </w:p>
    <w:p>
      <w:pPr>
        <w:spacing w:after="0" w:line="1" w:lineRule="exact"/>
        <w:rPr>
          <w:rFonts w:ascii="Courier New" w:cs="Courier New" w:eastAsia="Courier New" w:hAnsi="Courier New"/>
          <w:sz w:val="15"/>
          <w:szCs w:val="15"/>
          <w:color w:val="auto"/>
        </w:rPr>
      </w:pPr>
    </w:p>
    <w:p>
      <w:pPr>
        <w:ind w:left="465" w:right="3019" w:hanging="373"/>
        <w:spacing w:after="0" w:line="250"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4,687 shares are held by the Kevin Green IRA and 4,688 shares are held by his minor children.</w:t>
      </w:r>
    </w:p>
    <w:p>
      <w:pPr>
        <w:ind w:left="465" w:right="3219" w:hanging="373"/>
        <w:spacing w:after="0" w:line="252" w:lineRule="auto"/>
        <w:tabs>
          <w:tab w:leader="none" w:pos="46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by Charles I. Brown Family Partnership, Ltd., 50,000 shares held by the Charles I. Brown IRA, and 10,500 shares held by the Charles I. Brown Profit Sharing Plan. Also includes</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5"/>
          </w:cols>
          <w:pgMar w:left="235" w:top="650" w:right="1440" w:bottom="1440" w:gutter="0" w:footer="0" w:header="0"/>
        </w:sectPr>
      </w:pPr>
    </w:p>
    <w:bookmarkStart w:id="90" w:name="page91"/>
    <w:bookmarkEnd w:id="90"/>
    <w:p>
      <w:pPr>
        <w:ind w:left="465" w:right="2839"/>
        <w:spacing w:after="0" w:line="251" w:lineRule="auto"/>
        <w:rPr>
          <w:sz w:val="20"/>
          <w:szCs w:val="20"/>
          <w:color w:val="auto"/>
        </w:rPr>
      </w:pPr>
      <w:r>
        <w:rPr>
          <w:rFonts w:ascii="Courier New" w:cs="Courier New" w:eastAsia="Courier New" w:hAnsi="Courier New"/>
          <w:sz w:val="15"/>
          <w:szCs w:val="15"/>
          <w:color w:val="auto"/>
        </w:rPr>
        <w:t>157,050 shares underlying warrants held by the Charles I. Brown Charitable Remainder Unitrust and 2,000 shares underlying warrants which are held by the Charles I. Brown Profit Sharing Plan. Also includes 151,200 shares of Common Stock underlying options and 100,000 shares issuable upon conversion of Series B Preferred Stock.</w:t>
      </w:r>
    </w:p>
    <w:p>
      <w:pPr>
        <w:spacing w:after="0" w:line="176" w:lineRule="exact"/>
        <w:rPr>
          <w:sz w:val="20"/>
          <w:szCs w:val="20"/>
          <w:color w:val="auto"/>
        </w:rPr>
      </w:pPr>
    </w:p>
    <w:p>
      <w:pPr>
        <w:ind w:left="465" w:right="3119" w:hanging="373"/>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73,811 shares underlying options, 1,250 shares underlying warrants and 6,250 shares issuable upon conversion of Series B Preferred Stock.</w:t>
      </w:r>
    </w:p>
    <w:p>
      <w:pPr>
        <w:spacing w:after="0" w:line="1" w:lineRule="exact"/>
        <w:rPr>
          <w:rFonts w:ascii="Courier New" w:cs="Courier New" w:eastAsia="Courier New" w:hAnsi="Courier New"/>
          <w:sz w:val="15"/>
          <w:szCs w:val="15"/>
          <w:color w:val="auto"/>
        </w:rPr>
      </w:pPr>
    </w:p>
    <w:p>
      <w:pPr>
        <w:ind w:left="465" w:right="3119" w:hanging="373"/>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134,000 shares underlying options and 20,000 shares underlying warrants held in an IRA account by Providence Trust, of which Dr. Beauchamp is deemed a beneficial owner. Also includes 20,000 shares held by George Beauchamp, M.D., IRA and 40,000 shares held by Providence Trust.</w:t>
      </w:r>
    </w:p>
    <w:p>
      <w:pPr>
        <w:spacing w:after="0" w:line="2" w:lineRule="exact"/>
        <w:rPr>
          <w:rFonts w:ascii="Courier New" w:cs="Courier New" w:eastAsia="Courier New" w:hAnsi="Courier New"/>
          <w:sz w:val="15"/>
          <w:szCs w:val="15"/>
          <w:color w:val="auto"/>
        </w:rPr>
      </w:pPr>
    </w:p>
    <w:p>
      <w:pPr>
        <w:ind w:left="465" w:hanging="373"/>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191,800 shares underlying options.</w:t>
      </w:r>
    </w:p>
    <w:p>
      <w:pPr>
        <w:spacing w:after="0" w:line="7" w:lineRule="exact"/>
        <w:rPr>
          <w:rFonts w:ascii="Courier New" w:cs="Courier New" w:eastAsia="Courier New" w:hAnsi="Courier New"/>
          <w:sz w:val="15"/>
          <w:szCs w:val="15"/>
          <w:color w:val="auto"/>
        </w:rPr>
      </w:pPr>
    </w:p>
    <w:p>
      <w:pPr>
        <w:ind w:left="465" w:hanging="373"/>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79,785 shares underlying options and warrants.</w:t>
      </w:r>
    </w:p>
    <w:p>
      <w:pPr>
        <w:spacing w:after="0" w:line="7" w:lineRule="exact"/>
        <w:rPr>
          <w:rFonts w:ascii="Courier New" w:cs="Courier New" w:eastAsia="Courier New" w:hAnsi="Courier New"/>
          <w:sz w:val="15"/>
          <w:szCs w:val="15"/>
          <w:color w:val="auto"/>
        </w:rPr>
      </w:pPr>
    </w:p>
    <w:p>
      <w:pPr>
        <w:ind w:left="465" w:right="3019" w:hanging="373"/>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40,750 shares underlying warrants. Also includes 19,780 shares held by JALCO Pension Fund and 24,606 shares held by JALCO Profit Sharing Plan, of which Mr. Larson is deemed a beneficial owner. Also includes 280,000 shares held by the James A. Larson Family Partnership, Ltd., of which Mr. Larson is deemed a beneficial owner.</w:t>
      </w:r>
    </w:p>
    <w:p>
      <w:pPr>
        <w:spacing w:after="0" w:line="2" w:lineRule="exact"/>
        <w:rPr>
          <w:rFonts w:ascii="Courier New" w:cs="Courier New" w:eastAsia="Courier New" w:hAnsi="Courier New"/>
          <w:sz w:val="15"/>
          <w:szCs w:val="15"/>
          <w:color w:val="auto"/>
        </w:rPr>
      </w:pPr>
    </w:p>
    <w:p>
      <w:pPr>
        <w:ind w:left="465" w:right="3119" w:hanging="373"/>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38,750 shares underlying warrants, 200,000 shares underlying options and 66,667 shares issuable upon conversion of Series B Preferred Stock.</w:t>
      </w:r>
    </w:p>
    <w:p>
      <w:pPr>
        <w:spacing w:after="0" w:line="1" w:lineRule="exact"/>
        <w:rPr>
          <w:rFonts w:ascii="Courier New" w:cs="Courier New" w:eastAsia="Courier New" w:hAnsi="Courier New"/>
          <w:sz w:val="15"/>
          <w:szCs w:val="15"/>
          <w:color w:val="auto"/>
        </w:rPr>
      </w:pPr>
    </w:p>
    <w:p>
      <w:pPr>
        <w:ind w:left="465" w:right="3119" w:hanging="465"/>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underlying warrants and 229,333 shares held by the Hanes Investors Limited Partnership, of which Mr. Hanes is the general partner. Does not include 270,833 shares and 23,250 shares underlying warrants held by the Hanes Trust u/a/d 8/5/88, 41,667 shares held by the Estate of Hope Y. Hanes, 41,667 shares held by the Hope Y. Hanes Revocable Trust, and 28,667 shares and 6,000 shares underlying warrants held by the Elizabeth Hanes Trust, the beneficial ownership of which Mr. Hanes disclaims. Includes 90,000 shares issuable upon conversion of Series B Preferred Stock.</w:t>
      </w:r>
    </w:p>
    <w:p>
      <w:pPr>
        <w:spacing w:after="0" w:line="3" w:lineRule="exact"/>
        <w:rPr>
          <w:rFonts w:ascii="Courier New" w:cs="Courier New" w:eastAsia="Courier New" w:hAnsi="Courier New"/>
          <w:sz w:val="15"/>
          <w:szCs w:val="15"/>
          <w:color w:val="auto"/>
        </w:rPr>
      </w:pPr>
    </w:p>
    <w:p>
      <w:pPr>
        <w:ind w:left="465" w:right="3219" w:hanging="465"/>
        <w:spacing w:after="0" w:line="251"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67,500 shares held by the Lucy H. Masemer Trust u/a dated 10/23/86 and 67,500 held by the Lucy H. Masemer Trust No. 2 u/a dated 12/3/86, of which Mr. Hanes is trustee. Does not include 9,375 shares held by the Hanes Trust u/a/d 8/5/88, the beneficial ownership of which is disclaimed by Mr. Hanes.</w:t>
      </w:r>
    </w:p>
    <w:p>
      <w:pPr>
        <w:spacing w:after="0" w:line="176" w:lineRule="exact"/>
        <w:rPr>
          <w:rFonts w:ascii="Courier New" w:cs="Courier New" w:eastAsia="Courier New" w:hAnsi="Courier New"/>
          <w:sz w:val="15"/>
          <w:szCs w:val="15"/>
          <w:color w:val="auto"/>
        </w:rPr>
      </w:pPr>
    </w:p>
    <w:p>
      <w:pPr>
        <w:ind w:left="465" w:right="3119" w:hanging="465"/>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13,750 shares underlying warrants and 715,000 shares issuable upon conversion of Series B Preferred Stock. Also includes 71,818 shares held by the David Holbrooke IRA.</w:t>
      </w:r>
    </w:p>
    <w:p>
      <w:pPr>
        <w:spacing w:after="0" w:line="1"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 shares held by the David Holbrooke IRA.</w:t>
      </w:r>
    </w:p>
    <w:p>
      <w:pPr>
        <w:spacing w:after="0" w:line="7" w:lineRule="exact"/>
        <w:rPr>
          <w:rFonts w:ascii="Courier New" w:cs="Courier New" w:eastAsia="Courier New" w:hAnsi="Courier New"/>
          <w:sz w:val="15"/>
          <w:szCs w:val="15"/>
          <w:color w:val="auto"/>
        </w:rPr>
      </w:pPr>
    </w:p>
    <w:p>
      <w:pPr>
        <w:ind w:left="465" w:right="3019" w:hanging="465"/>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760,166 shares and 25,000 shares underlying options held in joint tenancy with Mr. McChesney's wife. Also includes 37,500 shares held by Mr. McChesney's minor son. Also includes 169,302 shares underlying warrants, 100,000 shares underlying options and 73,333 shares issuable upon conversion of Series B Preferred Stock.</w:t>
      </w:r>
    </w:p>
    <w:p>
      <w:pPr>
        <w:spacing w:after="0" w:line="2"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Held jointly with Mr. McChesney's wife.</w:t>
      </w:r>
    </w:p>
    <w:p>
      <w:pPr>
        <w:spacing w:after="0" w:line="7" w:lineRule="exact"/>
        <w:rPr>
          <w:rFonts w:ascii="Courier New" w:cs="Courier New" w:eastAsia="Courier New" w:hAnsi="Courier New"/>
          <w:sz w:val="15"/>
          <w:szCs w:val="15"/>
          <w:color w:val="auto"/>
        </w:rPr>
      </w:pPr>
    </w:p>
    <w:p>
      <w:pPr>
        <w:ind w:left="465" w:right="3299" w:hanging="465"/>
        <w:spacing w:after="0" w:line="250"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underlying warrants and 155,900 share underlying options.</w:t>
      </w:r>
    </w:p>
    <w:p>
      <w:pPr>
        <w:ind w:left="465" w:hanging="465"/>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30,000 shares underlying options.</w:t>
      </w:r>
    </w:p>
    <w:p>
      <w:pPr>
        <w:spacing w:after="0" w:line="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70,000 shares underlying options.</w:t>
      </w:r>
    </w:p>
    <w:p>
      <w:pPr>
        <w:spacing w:after="0" w:line="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60,000 shares underlying options.</w:t>
      </w:r>
    </w:p>
    <w:p>
      <w:pPr>
        <w:spacing w:after="0" w:line="7" w:lineRule="exact"/>
        <w:rPr>
          <w:rFonts w:ascii="Courier New" w:cs="Courier New" w:eastAsia="Courier New" w:hAnsi="Courier New"/>
          <w:sz w:val="15"/>
          <w:szCs w:val="15"/>
          <w:color w:val="auto"/>
        </w:rPr>
      </w:pPr>
    </w:p>
    <w:p>
      <w:pPr>
        <w:ind w:left="465" w:right="3019" w:hanging="465"/>
        <w:spacing w:after="0" w:line="251"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Hunt and Mr. Moley are each executive officers with Lilly or its wholly owned subsidiary, PCS Holding Corporation, which beneficially owns 3,660,200 shares of Common Stock. See footnote (22) and "SPECIAL FACTORS TO BE CONSIDERED -- Background to the Merger." Both Dr. Hunt and Mr. Moley disclaim beneficial ownership of all shares beneficially owned by Lilly.</w:t>
      </w:r>
    </w:p>
    <w:p>
      <w:pPr>
        <w:spacing w:after="0" w:line="176" w:lineRule="exact"/>
        <w:rPr>
          <w:rFonts w:ascii="Courier New" w:cs="Courier New" w:eastAsia="Courier New" w:hAnsi="Courier New"/>
          <w:sz w:val="15"/>
          <w:szCs w:val="15"/>
          <w:color w:val="auto"/>
        </w:rPr>
      </w:pPr>
    </w:p>
    <w:p>
      <w:pPr>
        <w:ind w:left="465" w:right="3299" w:hanging="465"/>
        <w:spacing w:after="0" w:line="252"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Series B Preferred Stock is converted into shares of Common Stock and all options and warrants are exercised into shares of Common Stock.</w:t>
      </w:r>
    </w:p>
    <w:p>
      <w:pPr>
        <w:spacing w:after="0" w:line="174" w:lineRule="exact"/>
        <w:rPr>
          <w:rFonts w:ascii="Courier New" w:cs="Courier New" w:eastAsia="Courier New" w:hAnsi="Courier New"/>
          <w:sz w:val="15"/>
          <w:szCs w:val="15"/>
          <w:color w:val="auto"/>
        </w:rPr>
      </w:pPr>
    </w:p>
    <w:p>
      <w:pPr>
        <w:ind w:left="465" w:right="3219" w:hanging="465"/>
        <w:spacing w:after="0" w:line="251" w:lineRule="auto"/>
        <w:tabs>
          <w:tab w:leader="none" w:pos="46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3,500,000 shares of common stock underlying Series C Preferred Stock. See footnote (20) and "SPECIAL FACTORS TO BE CONSIDERED -- Background to the Merger." Dr. Hunt and Mr. Moley disclaim beneficial ownership of all shares beneficially owned by Lilly.</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5"/>
          </w:cols>
          <w:pgMar w:left="235" w:top="828" w:right="1440" w:bottom="1440" w:gutter="0" w:footer="0" w:header="0"/>
        </w:sectPr>
      </w:pPr>
    </w:p>
    <w:bookmarkStart w:id="91" w:name="page92"/>
    <w:bookmarkEnd w:id="91"/>
    <w:p>
      <w:pPr>
        <w:ind w:left="2860"/>
        <w:spacing w:after="0"/>
        <w:rPr>
          <w:sz w:val="20"/>
          <w:szCs w:val="20"/>
          <w:color w:val="auto"/>
        </w:rPr>
      </w:pPr>
      <w:r>
        <w:rPr>
          <w:rFonts w:ascii="Courier New" w:cs="Courier New" w:eastAsia="Courier New" w:hAnsi="Courier New"/>
          <w:sz w:val="15"/>
          <w:szCs w:val="15"/>
          <w:color w:val="auto"/>
        </w:rPr>
        <w:t>MANAGEMENT OF IMS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85" w:lineRule="exact"/>
        <w:rPr>
          <w:sz w:val="20"/>
          <w:szCs w:val="20"/>
          <w:color w:val="auto"/>
        </w:rPr>
      </w:pPr>
    </w:p>
    <w:p>
      <w:pPr>
        <w:jc w:val="both"/>
        <w:ind w:right="3299" w:firstLine="185"/>
        <w:spacing w:after="0" w:line="252" w:lineRule="auto"/>
        <w:rPr>
          <w:sz w:val="20"/>
          <w:szCs w:val="20"/>
          <w:color w:val="auto"/>
        </w:rPr>
      </w:pPr>
      <w:r>
        <w:rPr>
          <w:rFonts w:ascii="Courier New" w:cs="Courier New" w:eastAsia="Courier New" w:hAnsi="Courier New"/>
          <w:sz w:val="15"/>
          <w:szCs w:val="15"/>
          <w:color w:val="auto"/>
        </w:rPr>
        <w:t>The following table sets forth as of the date hereof certain information with respect to the persons who are expected to serve as executive officers and directors of IMS following the Merger.</w:t>
      </w: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540" w:type="dxa"/>
            <w:vAlign w:val="bottom"/>
          </w:tcPr>
          <w:p>
            <w:pPr>
              <w:ind w:left="1020"/>
              <w:spacing w:after="0"/>
              <w:rPr>
                <w:sz w:val="20"/>
                <w:szCs w:val="20"/>
                <w:color w:val="auto"/>
              </w:rPr>
            </w:pPr>
            <w:r>
              <w:rPr>
                <w:rFonts w:ascii="Courier New" w:cs="Courier New" w:eastAsia="Courier New" w:hAnsi="Courier New"/>
                <w:sz w:val="15"/>
                <w:szCs w:val="15"/>
                <w:color w:val="auto"/>
              </w:rPr>
              <w:t>NAME</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AGE</w:t>
            </w:r>
          </w:p>
        </w:tc>
        <w:tc>
          <w:tcPr>
            <w:tcW w:w="4280" w:type="dxa"/>
            <w:vAlign w:val="bottom"/>
            <w:gridSpan w:val="2"/>
          </w:tcPr>
          <w:p>
            <w:pPr>
              <w:ind w:left="1800"/>
              <w:spacing w:after="0"/>
              <w:rPr>
                <w:sz w:val="20"/>
                <w:szCs w:val="20"/>
                <w:color w:val="auto"/>
              </w:rPr>
            </w:pPr>
            <w:r>
              <w:rPr>
                <w:rFonts w:ascii="Courier New" w:cs="Courier New" w:eastAsia="Courier New" w:hAnsi="Courier New"/>
                <w:sz w:val="15"/>
                <w:szCs w:val="15"/>
                <w:color w:val="auto"/>
              </w:rPr>
              <w:t>POSITION</w:t>
            </w:r>
          </w:p>
        </w:tc>
      </w:tr>
      <w:tr>
        <w:trPr>
          <w:trHeight w:val="177"/>
        </w:trPr>
        <w:tc>
          <w:tcPr>
            <w:tcW w:w="254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80" w:type="dxa"/>
            <w:vAlign w:val="bottom"/>
            <w:gridSpan w:val="2"/>
          </w:tcPr>
          <w:p>
            <w:pPr>
              <w:ind w:left="1800"/>
              <w:spacing w:after="0"/>
              <w:rPr>
                <w:sz w:val="20"/>
                <w:szCs w:val="20"/>
                <w:color w:val="auto"/>
              </w:rPr>
            </w:pPr>
            <w:r>
              <w:rPr>
                <w:rFonts w:ascii="Courier New" w:cs="Courier New" w:eastAsia="Courier New" w:hAnsi="Courier New"/>
                <w:sz w:val="15"/>
                <w:szCs w:val="15"/>
                <w:color w:val="auto"/>
              </w:rPr>
              <w:t>--------</w:t>
            </w:r>
          </w:p>
        </w:tc>
      </w:tr>
      <w:tr>
        <w:trPr>
          <w:trHeight w:val="355"/>
        </w:trPr>
        <w:tc>
          <w:tcPr>
            <w:tcW w:w="2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Kevin R. Green.............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Charles I. Brown...........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James T. Murphy............</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Executive Vice President -- Corporate Business</w:t>
            </w:r>
          </w:p>
        </w:tc>
      </w:tr>
      <w:tr>
        <w:trPr>
          <w:trHeight w:val="177"/>
        </w:trPr>
        <w:tc>
          <w:tcPr>
            <w:tcW w:w="2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Development and 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George R. Beauchamp, M.D.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 Strategic Development</w:t>
            </w:r>
          </w:p>
        </w:tc>
      </w:tr>
      <w:tr>
        <w:trPr>
          <w:trHeight w:val="177"/>
        </w:trPr>
        <w:tc>
          <w:tcPr>
            <w:tcW w:w="2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Corporate Services</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Donald S. Chenoweth........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and Assistant Secretary</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Development and</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Joseph G. Ferguson, Sr.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Engineering</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William B. Hein, Sr.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 Sales</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Edward B. Daniels..........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National Network Services</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Charles S. Iobe, Sr.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4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Senior Vice President -- Field Operations</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Richard J. Smeltz..........</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Vice President -- Finance</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Ashworth............</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Michael S. Hunt, Ph.D......</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Kevin E. Moley.............</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Thomas Trainer.............</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940" w:type="dxa"/>
            <w:vAlign w:val="bottom"/>
          </w:tcPr>
          <w:p>
            <w:pPr>
              <w:spacing w:after="0"/>
              <w:rPr>
                <w:sz w:val="15"/>
                <w:szCs w:val="15"/>
                <w:color w:val="auto"/>
              </w:rPr>
            </w:pPr>
          </w:p>
        </w:tc>
      </w:tr>
    </w:tbl>
    <w:p>
      <w:pPr>
        <w:spacing w:after="0" w:line="360" w:lineRule="exact"/>
        <w:rPr>
          <w:sz w:val="20"/>
          <w:szCs w:val="20"/>
          <w:color w:val="auto"/>
        </w:rPr>
      </w:pPr>
    </w:p>
    <w:p>
      <w:pPr>
        <w:ind w:right="3479" w:firstLine="185"/>
        <w:spacing w:after="0" w:line="251" w:lineRule="auto"/>
        <w:rPr>
          <w:sz w:val="20"/>
          <w:szCs w:val="20"/>
          <w:color w:val="auto"/>
        </w:rPr>
      </w:pPr>
      <w:r>
        <w:rPr>
          <w:rFonts w:ascii="Courier New" w:cs="Courier New" w:eastAsia="Courier New" w:hAnsi="Courier New"/>
          <w:sz w:val="15"/>
          <w:szCs w:val="15"/>
          <w:color w:val="auto"/>
        </w:rPr>
        <w:t>All members of the Board of Directors hold office until the next annual meeting of shareholders or until their successors are duly elected and qualified. Executive officers serve at the discretion of the Board of Directors.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KEVIN R. GREEN has served as the President and CEO of the Company since March 1995 and as a director of the Company since March 1995. From 1992 to 1995, Mr. Green served as the Executive Vice President, Senior Vice President of Operations and President of Western Region. From 1982 to 1992, Mr. Green was with CyCare Systems, a New York Stock Exchange company serving in a number of capacities including Senior Vice President in charge of one of three operating divisions; Vice President of Acquisitions and Mergers, and Vice President of Field Operations. Mr. Green began his career with Westinghouse Information Services in 1979. Mr. Green received both his MBA and his BA from the University of San Diego in 1979 and 1976, respectively, where he was the recipient of the Franklin Award as the Outstanding Graduating Student.</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CHARLES I. BROWN has served as the Executive Vice President and Chief Financial Officer of the Company since March 1995 and as a director of the Company since 1992. From 1992 to March 1995, Mr. Brown was a Senior Vice President and the Chief Financial Officer of the Company. From 1983 to 1992, Mr. Brown was active as a financial consultant to, and a director of, several banks and corporations. He was formerly Chairman of the Board of American National Bank -- Laramie, Laramie, Wyoming, from 1986 to 1992, the Chairman of the Board of the Rawlins National Bank, Rawlins, Wyoming, from 1983 to 1991, and the Chairman of the Board of Prudential Bank of Denver, Colorado from 1984 to 1986. He has served as a director of The Original Sixteen to One Mine, Inc., Allegheny, California, a publicly held gold mining company, since 1986 and as a director of Izzo Systems, Inc., Denver, Colorado, a private manufacturer of golf bags and related products since 1992. From 1974 to 1982, he served as Senior Vice President and Director of Energy Fuels Corporation, a Denver based, privately owned mining company. From 1959 to 1974, he served as Vice President/Finance and Director of Western Nuclear, Inc., a publicly-owned mining company listed on the American Stock Exchange prior to its acquisition by Phelps Dodge Corporation in 1970. Since 1978, he has served as a Trustee of the Colorado State University Research Foundation, Fort Collins, Colorado and since 1974, he has served as a Trustee of the Colorado Outward Bound School. Mr. Brown received a master of business administration degree with distinction from Harvard Graduate School of Business Administration in 1959 and a bachelor of arts from Williams College in 1954.</w:t>
      </w:r>
    </w:p>
    <w:p>
      <w:pPr>
        <w:spacing w:after="0" w:line="3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50" w:right="1440" w:bottom="1440" w:gutter="0" w:footer="0" w:header="0"/>
        </w:sectPr>
      </w:pPr>
    </w:p>
    <w:bookmarkStart w:id="92" w:name="page93"/>
    <w:bookmarkEnd w:id="92"/>
    <w:p>
      <w:pPr>
        <w:ind w:right="3019" w:firstLine="185"/>
        <w:spacing w:after="0" w:line="250" w:lineRule="auto"/>
        <w:rPr>
          <w:sz w:val="20"/>
          <w:szCs w:val="20"/>
          <w:color w:val="auto"/>
        </w:rPr>
      </w:pPr>
      <w:r>
        <w:rPr>
          <w:rFonts w:ascii="Courier New" w:cs="Courier New" w:eastAsia="Courier New" w:hAnsi="Courier New"/>
          <w:sz w:val="15"/>
          <w:szCs w:val="15"/>
          <w:color w:val="auto"/>
        </w:rPr>
        <w:t>JAMES T. MURPHY has served as the Executive Vice President for Corporate Business Development of the Company since March 1995 and as a director of the Company since April 1995. From January 1994 to April 1995, Mr. Murphy was President or Executive Vice President and Chief Operating Officer of the Company. From 1991 to 1993, Mr. Murphy was President/Eastern Region for the Company. From 1989 to 1992, Mr. Murphy was an independent consultant involved in the capital financing of several emerging healthcare ventures. From 1984 to 1988, Mr. Murphy served as the President for Medaphis Corporation, a company that provides billing services for the medical community and that became a public company in 1991. From 1973 to 1982, Mr. Murphy was the Director of Corporate Marketing for Humana, Inc., which was then an owner and operator of hospitals. Mr. Murphy is also a director of AmHealth, Inc., a small public company. Mr. Murphy obtained a bachelor's degree from the University of Delaware in 1968.</w:t>
      </w:r>
    </w:p>
    <w:p>
      <w:pPr>
        <w:spacing w:after="0" w:line="184"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GEORGE R. BEAUCHAMP, M.D. has served as the Senior Vice President for Strategic Development for the Company since December 1994 and was Vice President -- Medical Affairs for the Company from 1991 to 1994. From 1975 to present, Dr. Beauchamp has practiced medicine as a Pediatric Ophthalmologist. From 1987 to 1990, Dr. Beauchamp served as Medical Director of the Office of Regional Health Affairs Foundation and held numerous positions of authority and responsibility in American ophthalmology, including the American Board of Ophthalmology where he has served as a director since 1990. Dr. Beauchamp received his undergraduate degree (bachelor of arts, physiology) from the University of California, Berkeley in 1965 and his doctor of medicine degree from Northwestern University in Chicago in 1968. After internship and residency training in ophthalmology at Walter Reed Army Medical Center in Washington, D.C., and completing his military service obligation, Dr. Beauchamp undertook additional specialized training in corneal surgery and pediatric ophthalmology.</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DONALD S. CHENOWETH has served as the Senior Vice President and Assistant Secretary of the Company since 1991. From 1985 to 1991, Mr. Chenoweth held various hospital senior management positions, including Senior Vice President Corporate Services, St. Joseph's Health Network and President, St. Joseph's Preferred Provider Corporation from 1990 to 1991; Vice President Corporate Services, Good Samaritan Hospital and Health Center from 1980 to 1985; and Assistant Vice President for Management Services, Methodist Hospitals of Dallas from 1975 to 1978. From 1978 to 1980 Mr. Chenoweth was a manager with CSF, Ltd., a healthcare management consulting firm and from 1971 to 1975 Mr. Chenoweth was regional manager, senior consultant, project manager and systems analyst of Medicus Systems Corporation, a healthcare management consulting firm. Mr. Chenoweth obtained bachelor's degrees in industrial engineering in 1970 and a master's degree in systems engineering (computer science) in 1971 from Southern Methodist University and an A.M.P. (advanced management program) degree from the Wharton Business School in 1988.</w:t>
      </w:r>
    </w:p>
    <w:p>
      <w:pPr>
        <w:spacing w:after="0" w:line="18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JOSEPH G. FERGUSON, SR. has served as the Senior Vice President for Engineering and Development of the Company since March 1995. Mr. Ferguson has 20 years of experience in the development of commercial software application products in various industries. From 1990 to 1994 Mr. Ferguson was Vice President for Product Engineering at Community Health Computing, in Houston, Texas, a hospital information systems company, where he was responsible for the development of Community Health Computing's new generation of clinical application products. From 1982 to 1989 Mr. Ferguson was Vice President for Engineering and co-founder of Covalent Systems, a provider of turnkey manufacturing systems, which provides application software solutions to the graphic arts industry. From 1973 to 1982 Mr. Ferguson was with Hewlett-Packard in various capacities related to the development and marketing of Hewlett-Packard's internal and commercial manufacturing application products. Mr. Ferguson holds a master of business administration degree from the Wharton School of Business and bachelor's degree from the University of California at Santa Cruz.</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WILLIAM B. HEIN has served as the Senior Vice President of Sales of the Company since 1994. Mr. Hein was previously the President/Central Region for the Company and was Vice President of the Company from 1988 to 1993. From 1979 to 1987, Mr. Hein was with Control Data Corporation, a computer systems and service company, where he managed field sales and support organizations and developed strategic plans for domestic and international computer sales programs. From 1972 to 1979, Mr. Hein was Vice President and a principal of</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50" w:right="1440" w:bottom="1440" w:gutter="0" w:footer="0" w:header="0"/>
        </w:sectPr>
      </w:pPr>
    </w:p>
    <w:bookmarkStart w:id="93" w:name="page94"/>
    <w:bookmarkEnd w:id="93"/>
    <w:p>
      <w:pPr>
        <w:ind w:right="3299"/>
        <w:spacing w:after="0" w:line="251" w:lineRule="auto"/>
        <w:rPr>
          <w:sz w:val="20"/>
          <w:szCs w:val="20"/>
          <w:color w:val="auto"/>
        </w:rPr>
      </w:pPr>
      <w:r>
        <w:rPr>
          <w:rFonts w:ascii="Courier New" w:cs="Courier New" w:eastAsia="Courier New" w:hAnsi="Courier New"/>
          <w:sz w:val="15"/>
          <w:szCs w:val="15"/>
          <w:color w:val="auto"/>
        </w:rPr>
        <w:t>Computing Associates, Inc., a software development and consulting organization. Mr. Hein received a bachelor of science degree in engineering from the University of Arizona in 1973, where he also took post graduate courses in business administration.</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EDWARD B. DANIELS has served as the Senior Vice President for National Network Services of the Company since 1994. From 1993 to 1994 Mr. Daniels was Vice President of Cornerstone Health Management, a geriatric services company, in Dallas, Texas. From 1984 to 1993, Mr. Daniels served as Vice President and then President of GeriMed of America, Inc., a geriatric services company. In 1984, Mr. Daniels was Vice President of Envisioneering, a laboratory information software development company. From 1981 to 1984, Mr. Daniels served as Regional Director of Health Care Systems at Arthur Young &amp; Company, an accounting firm. From 1976 to 1980, Mr. Daniels held both technical and management positions in computer services and operations analysis at Henry Ford Hospital in Detroit, Michigan. Mr. Daniels obtained a bachelor's degree in psychology from Southern Illinois University in 1972 and a master's degree in industrial engineering from the State University of New York at Buffalo in 1976.</w:t>
      </w:r>
    </w:p>
    <w:p>
      <w:pPr>
        <w:spacing w:after="0" w:line="18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CHARLES S. IOBE, SR. has served as the Senior Vice President of Field Operations of the Company since 1994. From 1990 to 1993, Mr. Iobe was Executive Vice President of TME, Inc., a medical imaging company. From 1981 to 1983, Mr. Iobe was Chief Operating Officer of Humana, Inc.'s Health Services Division. Mr. Iobe received his bachelor's degree in business administration from Texas Christian University in 1964 and a master of business administration degree from the George Washington University in 1967.</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RICHARD J. SMELTZ has served as the Vice President of Finance of the Company since 1991. From 1988 to 1990, Mr. Smeltz was the Vice President/Chief Financial Officer for Medical Warehouse, Inc., a membership warehouse specializing in medical supplies for doctor's offices and home healthcare and pharmacies. From 1982 to 1988, Mr. Smeltz was Vice President and Treasurer of Pace Membership Warehouse, Inc. a membership warehouse. From 1974 to 1982, Mr. Smeltz was Vice President/Controller of Handyman Home Improvement Centers, which has retail hardware outlets. Mr. Smeltz received a bachelor of science in accounting from California State University of Los Angeles in 1965 and a juris doctor degree from Loyola University School of Law in 1973. Mr. Smeltz also has instructed college courses in accounting, business law and federal income tax.</w:t>
      </w:r>
    </w:p>
    <w:p>
      <w:pPr>
        <w:spacing w:after="0" w:line="360"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ROBERT ASHWORTH will serve as a director of the Company following the Merger. Mr. Ashworth has served as Executive Vice President and Chief Information Officer of PCS since 1989. Prior to joining PCS, Mr. Ashworth was Vice President and General Manager, Information Technologies Division, for McKesson Corporation. Mr. Ashworth completed his undergraduate studies in Mathematics at the University of Washington, Seattle, Washington, and is a graduate of the summer executive program at Stanford University, Stanford, California.</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MICHAEL S. HUNT has served as a director of the Company since 1994. Since 1994, Dr. Hunt has been the Vice President, North American Business Development for Lilly. From 1993 to 1994, Dr. Hunt served as Vice President of Pharmaceutical Strategic Planning and Japan Business Planning for Lilly. Dr. Hunt joined Lilly in 1974 and had increasing responsibilities until he was appointed Vice President of Finance and Treasurer in 1985. Dr. Hunt is a member of the Board of Directors for Circle Income Shares, and the Indianapolis Symphony Orchestra Financing. Dr. Hunt received a bachelor of arts degree in economics from Carlton College in 1968 and a doctorate of philosophy degree in business and economics from Harvard University.</w:t>
      </w:r>
    </w:p>
    <w:p>
      <w:pPr>
        <w:spacing w:after="0" w:line="182" w:lineRule="exact"/>
        <w:rPr>
          <w:sz w:val="20"/>
          <w:szCs w:val="20"/>
          <w:color w:val="auto"/>
        </w:rPr>
      </w:pPr>
    </w:p>
    <w:p>
      <w:pPr>
        <w:ind w:right="3219" w:firstLine="185"/>
        <w:spacing w:after="0" w:line="250" w:lineRule="auto"/>
        <w:rPr>
          <w:sz w:val="20"/>
          <w:szCs w:val="20"/>
          <w:color w:val="auto"/>
        </w:rPr>
      </w:pPr>
      <w:r>
        <w:rPr>
          <w:rFonts w:ascii="Courier New" w:cs="Courier New" w:eastAsia="Courier New" w:hAnsi="Courier New"/>
          <w:sz w:val="15"/>
          <w:szCs w:val="15"/>
          <w:color w:val="auto"/>
        </w:rPr>
        <w:t>KEVIN E. MOLEY has served as a director of the Company since 1994 and was interim Chief Executive Officer of the Company from July 1994 to December 1994. Mr. Moley is Senior Vice President, Health Systems Management of PCS Health Systems, Inc., a subsidiary of Lilly. Mr. Moley served as Deputy Secretary of the U.S. Department of Health and Human Services ("HHS") from February 1992 until January 1993. His career at HHS included tenures as Assistant Secretary for Management and Budget, from 1989 to 1992, Chief Financial Officer from 1989 to 1992, and director of the office of Prepaid Health Care from 1986 to 1988. He served as Vice Chairman of the President's Council on Management Improvement from 1989 to 1992 and on the steering</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50" w:right="1440" w:bottom="1440" w:gutter="0" w:footer="0" w:header="0"/>
        </w:sectPr>
      </w:pPr>
    </w:p>
    <w:bookmarkStart w:id="94" w:name="page95"/>
    <w:bookmarkEnd w:id="94"/>
    <w:p>
      <w:pPr>
        <w:ind w:right="3019"/>
        <w:spacing w:after="0" w:line="251" w:lineRule="auto"/>
        <w:rPr>
          <w:sz w:val="20"/>
          <w:szCs w:val="20"/>
          <w:color w:val="auto"/>
        </w:rPr>
      </w:pPr>
      <w:r>
        <w:rPr>
          <w:rFonts w:ascii="Courier New" w:cs="Courier New" w:eastAsia="Courier New" w:hAnsi="Courier New"/>
          <w:sz w:val="15"/>
          <w:szCs w:val="15"/>
          <w:color w:val="auto"/>
        </w:rPr>
        <w:t>committee of the National Health Policy Forum from 1989 to 1993. Prior to serving at HHS, Mr. Moley held several positions with CNA from 1969 to 1974 and New England Life Insurance in marketing and underwriting management from 1974 to 1983. He attended Georgetown University in Washington, D.C., served in the United States Marines in Vietnam and was awarded the Navy Commendation medal with Combat V and the Purple Heart.</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THOMAS TRAINER will serve as a director of the Company following the Merger. Mr. Trainer serves as the Vice President, Information Technology, and Chief Information Officer of Lilly. Prior to joining Lilly, he had served as Vice President and Chief Information Officer of Reebok International Ltd. Prior to joining Reebok, he was Senior Vice President of Operations of A.C. Nielson Co.</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650" w:right="1440" w:bottom="1440" w:gutter="0" w:footer="0" w:header="0"/>
        </w:sectPr>
      </w:pPr>
    </w:p>
    <w:bookmarkStart w:id="95" w:name="page96"/>
    <w:bookmarkEnd w:id="95"/>
    <w:p>
      <w:pPr>
        <w:ind w:left="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following table sets forth the total compensation paid by the Company to, or accrued by the Company on behalf of, the Chief Executive Officer and the four most highly compensated executive officers other than the Chief Executive Officer (hereafter collectively referred to as the "Named Executive Officers") for the fiscal years ended December 31, 1994, 1993 and 1992.</w:t>
      </w:r>
    </w:p>
    <w:p>
      <w:pPr>
        <w:spacing w:after="0" w:line="176"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LONG TERM</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ANNUAL COMPENSATION</w:t>
            </w: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SECURITIES</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ANNUAL</w:t>
            </w:r>
          </w:p>
        </w:tc>
        <w:tc>
          <w:tcPr>
            <w:tcW w:w="13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UNDERLYING</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5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SALARY($)</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BONUS($)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OPTIONS(#)</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w w:val="98"/>
              </w:rPr>
              <w:t>- ---------------------------</w:t>
            </w:r>
          </w:p>
        </w:tc>
        <w:tc>
          <w:tcPr>
            <w:tcW w:w="2580" w:type="dxa"/>
            <w:vAlign w:val="bottom"/>
            <w:gridSpan w:val="3"/>
          </w:tcPr>
          <w:p>
            <w:pPr>
              <w:jc w:val="right"/>
              <w:ind w:right="23"/>
              <w:spacing w:after="0"/>
              <w:rPr>
                <w:sz w:val="20"/>
                <w:szCs w:val="20"/>
                <w:color w:val="auto"/>
              </w:rPr>
            </w:pPr>
            <w:r>
              <w:rPr>
                <w:rFonts w:ascii="Courier New" w:cs="Courier New" w:eastAsia="Courier New" w:hAnsi="Courier New"/>
                <w:sz w:val="15"/>
                <w:szCs w:val="15"/>
                <w:color w:val="auto"/>
              </w:rPr>
              <w:t>---- ---------- --------</w:t>
            </w: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Kevin R. Green(1)........</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124,999.92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25,000(2)</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President, Chief</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123,333.16</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168,750(3)</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92,907.87</w:t>
            </w:r>
          </w:p>
        </w:tc>
        <w:tc>
          <w:tcPr>
            <w:tcW w:w="1020" w:type="dxa"/>
            <w:vAlign w:val="bottom"/>
          </w:tcPr>
          <w:p>
            <w:pPr>
              <w:spacing w:after="0"/>
              <w:rPr>
                <w:sz w:val="15"/>
                <w:szCs w:val="15"/>
                <w:color w:val="auto"/>
              </w:rPr>
            </w:pP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Charles I. Brown.........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124,999.92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25,000(2)</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Executive Vice President</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Chief Financial</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108,333.39</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91,666.73</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James T. Murphy</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141,666.64</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25,000(2)</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Executive Vice</w:t>
            </w:r>
          </w:p>
        </w:tc>
        <w:tc>
          <w:tcPr>
            <w:tcW w:w="1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President --</w:t>
            </w: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Business Development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108,333.19</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72,475.83</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Donald S. Chenoweth......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124,999.92</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25,000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Senior Vice President --</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5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Corporate Services and</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Assistant Secretary</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108,333.18</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99,230.71</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William B. Hein, Sr......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124,999.92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25,000(2)</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Senior Vice President --</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Sales</w:t>
            </w: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133,333.39</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104,500(4)</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74,759.70</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Kevin E. Moley(1)........</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John A. McChesney(1).....</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199,999.02</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166,478(5)</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79,302</w:t>
            </w:r>
          </w:p>
        </w:tc>
      </w:tr>
      <w:tr>
        <w:trPr>
          <w:trHeight w:val="177"/>
        </w:trPr>
        <w:tc>
          <w:tcPr>
            <w:tcW w:w="138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99,999.84</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100,640.88</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right="3119" w:hanging="365"/>
        <w:spacing w:after="0" w:line="250" w:lineRule="auto"/>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A. McChesney was the Company's President and Chief Executive Officer until April, 1994. Mr. Moley was the Company's Vice Chairman and Chief Executive Officer from July 1994 to December, 1994. Kevin R. Green became the President and Chief Executive Officer of the Company in March, 1995.</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in 1995 for 1994.</w:t>
      </w:r>
    </w:p>
    <w:p>
      <w:pPr>
        <w:spacing w:after="0" w:line="7" w:lineRule="exact"/>
        <w:rPr>
          <w:rFonts w:ascii="Courier New" w:cs="Courier New" w:eastAsia="Courier New" w:hAnsi="Courier New"/>
          <w:sz w:val="15"/>
          <w:szCs w:val="15"/>
          <w:color w:val="auto"/>
        </w:rPr>
      </w:pPr>
    </w:p>
    <w:p>
      <w:pPr>
        <w:ind w:left="365" w:right="3399" w:hanging="365"/>
        <w:spacing w:after="0" w:line="250" w:lineRule="auto"/>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in 1994 and 1993 for 1993 and prior years and includes $25,000 in cash and 47,500 shares of Common Stock valued at $143,750.</w:t>
      </w:r>
    </w:p>
    <w:p>
      <w:pPr>
        <w:ind w:left="365" w:right="3399" w:hanging="365"/>
        <w:spacing w:after="0" w:line="250" w:lineRule="auto"/>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in 1994 and 1993 for 1993 and includes $17,000 in cash and 25,000 shares of Common Stock valued at $87,500.</w:t>
      </w:r>
    </w:p>
    <w:p>
      <w:pPr>
        <w:ind w:left="365" w:hanging="365"/>
        <w:spacing w:after="0"/>
        <w:tabs>
          <w:tab w:leader="none" w:pos="36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in 1994 for services in prior years.</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5"/>
          </w:cols>
          <w:pgMar w:left="235" w:top="650" w:right="1440" w:bottom="1440" w:gutter="0" w:footer="0" w:header="0"/>
        </w:sectPr>
      </w:pPr>
    </w:p>
    <w:bookmarkStart w:id="96" w:name="page97"/>
    <w:bookmarkEnd w:id="96"/>
    <w:p>
      <w:pPr>
        <w:jc w:val="center"/>
        <w:ind w:right="2934"/>
        <w:spacing w:after="0"/>
        <w:rPr>
          <w:sz w:val="20"/>
          <w:szCs w:val="20"/>
          <w:color w:val="auto"/>
        </w:rPr>
      </w:pPr>
      <w:r>
        <w:rPr>
          <w:rFonts w:ascii="Courier New" w:cs="Courier New" w:eastAsia="Courier New" w:hAnsi="Courier New"/>
          <w:sz w:val="15"/>
          <w:szCs w:val="15"/>
          <w:color w:val="auto"/>
        </w:rPr>
        <w:t>OPTION GRANTS TABLE</w:t>
      </w:r>
    </w:p>
    <w:p>
      <w:pPr>
        <w:spacing w:after="0" w:line="185" w:lineRule="exact"/>
        <w:rPr>
          <w:sz w:val="20"/>
          <w:szCs w:val="20"/>
          <w:color w:val="auto"/>
        </w:rPr>
      </w:pPr>
    </w:p>
    <w:p>
      <w:pPr>
        <w:ind w:left="5" w:right="3119" w:firstLine="185"/>
        <w:spacing w:after="0" w:line="252" w:lineRule="auto"/>
        <w:rPr>
          <w:sz w:val="20"/>
          <w:szCs w:val="20"/>
          <w:color w:val="auto"/>
        </w:rPr>
      </w:pPr>
      <w:r>
        <w:rPr>
          <w:rFonts w:ascii="Courier New" w:cs="Courier New" w:eastAsia="Courier New" w:hAnsi="Courier New"/>
          <w:sz w:val="15"/>
          <w:szCs w:val="15"/>
          <w:color w:val="auto"/>
        </w:rPr>
        <w:t>The following table provides information as to options granted to the Named Executive Officers during the fiscal year ended December 31, 1994. No stock appreciation rights have ever been granted by the Company.</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INDIVIDUAL GRANTS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0"/>
        <w:spacing w:after="0"/>
        <w:tabs>
          <w:tab w:leader="none" w:pos="1740"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 OF TOTAL</w:t>
      </w:r>
    </w:p>
    <w:p>
      <w:pPr>
        <w:spacing w:after="0" w:line="8" w:lineRule="exact"/>
        <w:rPr>
          <w:sz w:val="20"/>
          <w:szCs w:val="20"/>
          <w:color w:val="auto"/>
        </w:rPr>
      </w:pPr>
    </w:p>
    <w:p>
      <w:pPr>
        <w:ind w:left="280"/>
        <w:spacing w:after="0"/>
        <w:tabs>
          <w:tab w:leader="none" w:pos="15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 GRANTED</w:t>
      </w:r>
    </w:p>
    <w:p>
      <w:pPr>
        <w:spacing w:after="0" w:line="8" w:lineRule="exact"/>
        <w:rPr>
          <w:sz w:val="20"/>
          <w:szCs w:val="20"/>
          <w:color w:val="auto"/>
        </w:rPr>
      </w:pPr>
    </w:p>
    <w:p>
      <w:pPr>
        <w:ind w:left="280"/>
        <w:spacing w:after="0"/>
        <w:tabs>
          <w:tab w:leader="none" w:pos="156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TO EMPLOYEES IN EXERCISE</w:t>
      </w:r>
    </w:p>
    <w:p>
      <w:pPr>
        <w:spacing w:after="0" w:line="8" w:lineRule="exact"/>
        <w:rPr>
          <w:sz w:val="20"/>
          <w:szCs w:val="20"/>
          <w:color w:val="auto"/>
        </w:rPr>
      </w:pPr>
    </w:p>
    <w:p>
      <w:pPr>
        <w:spacing w:after="0"/>
        <w:tabs>
          <w:tab w:leader="none" w:pos="1740" w:val="left"/>
          <w:tab w:leader="none" w:pos="3120" w:val="left"/>
          <w:tab w:leader="none" w:pos="3860" w:val="left"/>
        </w:tabs>
        <w:rPr>
          <w:sz w:val="20"/>
          <w:szCs w:val="20"/>
          <w:color w:val="auto"/>
        </w:rPr>
      </w:pPr>
      <w:r>
        <w:rPr>
          <w:rFonts w:ascii="Courier New" w:cs="Courier New" w:eastAsia="Courier New" w:hAnsi="Courier New"/>
          <w:sz w:val="15"/>
          <w:szCs w:val="15"/>
          <w:color w:val="auto"/>
        </w:rPr>
        <w:t>OPTIONS/WARRANTS</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EXPIRATION</w:t>
      </w:r>
    </w:p>
    <w:p>
      <w:pPr>
        <w:spacing w:after="0" w:line="8" w:lineRule="exact"/>
        <w:rPr>
          <w:sz w:val="20"/>
          <w:szCs w:val="20"/>
          <w:color w:val="auto"/>
        </w:rPr>
      </w:pPr>
    </w:p>
    <w:p>
      <w:pPr>
        <w:ind w:left="380"/>
        <w:spacing w:after="0"/>
        <w:tabs>
          <w:tab w:leader="none" w:pos="2020" w:val="left"/>
          <w:tab w:leader="none" w:pos="3120" w:val="left"/>
          <w:tab w:leader="none" w:pos="4140" w:val="left"/>
        </w:tabs>
        <w:rPr>
          <w:sz w:val="20"/>
          <w:szCs w:val="20"/>
          <w:color w:val="auto"/>
        </w:rPr>
      </w:pP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($/SH)</w:t>
      </w:r>
      <w:r>
        <w:rPr>
          <w:sz w:val="20"/>
          <w:szCs w:val="20"/>
          <w:color w:val="auto"/>
        </w:rPr>
        <w:tab/>
      </w:r>
      <w:r>
        <w:rPr>
          <w:rFonts w:ascii="Courier New" w:cs="Courier New" w:eastAsia="Courier New" w:hAnsi="Courier New"/>
          <w:sz w:val="15"/>
          <w:szCs w:val="15"/>
          <w:color w:val="auto"/>
        </w:rPr>
        <w:t>DATE</w:t>
      </w:r>
    </w:p>
    <w:p>
      <w:pPr>
        <w:spacing w:after="0" w:line="8" w:lineRule="exact"/>
        <w:rPr>
          <w:sz w:val="20"/>
          <w:szCs w:val="20"/>
          <w:color w:val="auto"/>
        </w:rPr>
      </w:pPr>
    </w:p>
    <w:p>
      <w:pPr>
        <w:sectPr>
          <w:pgSz w:w="11900" w:h="16838" w:orient="portrait"/>
          <w:cols w:equalWidth="0" w:num="2">
            <w:col w:w="1765" w:space="720"/>
            <w:col w:w="7739"/>
          </w:cols>
          <w:pgMar w:left="235" w:top="650" w:right="1440" w:bottom="1440" w:gutter="0" w:footer="0" w:header="0"/>
          <w:type w:val="continuous"/>
        </w:sectPr>
      </w:pPr>
    </w:p>
    <w:p>
      <w:pPr>
        <w:ind w:left="2485" w:hanging="1839"/>
        <w:spacing w:after="0"/>
        <w:tabs>
          <w:tab w:leader="none" w:pos="24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Courier New" w:cs="Courier New" w:eastAsia="Courier New" w:hAnsi="Courier New"/>
                <w:sz w:val="15"/>
                <w:szCs w:val="15"/>
                <w:color w:val="auto"/>
              </w:rPr>
              <w:t>Kevin R. Green............</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19.0</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8/31/04</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Charles I. Brown..........</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19.0</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8/31/04</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James T. Murphy...........</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19.0</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8/31/04</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Donald S. Chenoweth.......</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19.0</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8/31/04</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William B. Hein, Sr. .....</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100,000</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19.0</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8/31/04</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Kevin E. Moley............</w:t>
            </w:r>
          </w:p>
        </w:tc>
        <w:tc>
          <w:tcPr>
            <w:tcW w:w="152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John A. McChesney.........</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79,302(1)</w:t>
            </w: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25.6(2)</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1/21/97</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hanging="365"/>
        <w:spacing w:after="0"/>
        <w:tabs>
          <w:tab w:leader="none" w:pos="3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warrants issued at an exercise price of $4.00 per share.</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Percentage based on numbers of warrants granted to all employees in 1994.</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8"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AND YEAR-END OPTION VALUES</w:t>
      </w:r>
    </w:p>
    <w:p>
      <w:pPr>
        <w:spacing w:after="0" w:line="185" w:lineRule="exact"/>
        <w:rPr>
          <w:sz w:val="20"/>
          <w:szCs w:val="20"/>
          <w:color w:val="auto"/>
        </w:rPr>
      </w:pPr>
    </w:p>
    <w:p>
      <w:pPr>
        <w:ind w:left="5" w:right="3399" w:firstLine="185"/>
        <w:spacing w:after="0" w:line="253" w:lineRule="auto"/>
        <w:rPr>
          <w:sz w:val="20"/>
          <w:szCs w:val="20"/>
          <w:color w:val="auto"/>
        </w:rPr>
      </w:pPr>
      <w:r>
        <w:rPr>
          <w:rFonts w:ascii="Courier New" w:cs="Courier New" w:eastAsia="Courier New" w:hAnsi="Courier New"/>
          <w:sz w:val="15"/>
          <w:szCs w:val="15"/>
          <w:color w:val="auto"/>
        </w:rPr>
        <w:t>The following table provides information as to options held by the Named Executive Officers as of December 31, 1994.</w:t>
      </w:r>
    </w:p>
    <w:p>
      <w:pPr>
        <w:sectPr>
          <w:pgSz w:w="11900" w:h="16838" w:orient="portrait"/>
          <w:cols w:equalWidth="0" w:num="1">
            <w:col w:w="10225"/>
          </w:cols>
          <w:pgMar w:left="235" w:top="6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VALUE OF UNEXERCISED</w:t>
      </w:r>
    </w:p>
    <w:p>
      <w:pPr>
        <w:spacing w:after="0" w:line="8" w:lineRule="exact"/>
        <w:rPr>
          <w:sz w:val="20"/>
          <w:szCs w:val="20"/>
          <w:color w:val="auto"/>
        </w:rPr>
      </w:pPr>
    </w:p>
    <w:p>
      <w:pPr>
        <w:ind w:left="2500"/>
        <w:spacing w:after="0"/>
        <w:tabs>
          <w:tab w:leader="none" w:pos="5340" w:val="left"/>
        </w:tabs>
        <w:rPr>
          <w:sz w:val="20"/>
          <w:szCs w:val="20"/>
          <w:color w:val="auto"/>
        </w:rPr>
      </w:pPr>
      <w:r>
        <w:rPr>
          <w:rFonts w:ascii="Courier New" w:cs="Courier New" w:eastAsia="Courier New" w:hAnsi="Courier New"/>
          <w:sz w:val="15"/>
          <w:szCs w:val="15"/>
          <w:color w:val="auto"/>
        </w:rPr>
        <w:t>NUMBER OF UNEXERCISED</w:t>
      </w:r>
      <w:r>
        <w:rPr>
          <w:sz w:val="20"/>
          <w:szCs w:val="20"/>
          <w:color w:val="auto"/>
        </w:rPr>
        <w:tab/>
      </w:r>
      <w:r>
        <w:rPr>
          <w:rFonts w:ascii="Courier New" w:cs="Courier New" w:eastAsia="Courier New" w:hAnsi="Courier New"/>
          <w:sz w:val="15"/>
          <w:szCs w:val="15"/>
          <w:color w:val="auto"/>
        </w:rPr>
        <w:t>IN-THE-MONEY</w:t>
      </w:r>
    </w:p>
    <w:p>
      <w:pPr>
        <w:spacing w:after="0" w:line="8" w:lineRule="exact"/>
        <w:rPr>
          <w:sz w:val="20"/>
          <w:szCs w:val="20"/>
          <w:color w:val="auto"/>
        </w:rPr>
      </w:pPr>
    </w:p>
    <w:p>
      <w:pPr>
        <w:ind w:left="2580"/>
        <w:spacing w:after="0"/>
        <w:tabs>
          <w:tab w:leader="none" w:pos="4960" w:val="left"/>
        </w:tabs>
        <w:rPr>
          <w:sz w:val="20"/>
          <w:szCs w:val="20"/>
          <w:color w:val="auto"/>
        </w:rPr>
      </w:pPr>
      <w:r>
        <w:rPr>
          <w:rFonts w:ascii="Courier New" w:cs="Courier New" w:eastAsia="Courier New" w:hAnsi="Courier New"/>
          <w:sz w:val="15"/>
          <w:szCs w:val="15"/>
          <w:color w:val="auto"/>
        </w:rPr>
        <w:t>OPTIONS/WARRANTS AT</w:t>
      </w:r>
      <w:r>
        <w:rPr>
          <w:sz w:val="20"/>
          <w:szCs w:val="20"/>
          <w:color w:val="auto"/>
        </w:rPr>
        <w:tab/>
      </w:r>
      <w:r>
        <w:rPr>
          <w:rFonts w:ascii="Courier New" w:cs="Courier New" w:eastAsia="Courier New" w:hAnsi="Courier New"/>
          <w:sz w:val="15"/>
          <w:szCs w:val="15"/>
          <w:color w:val="auto"/>
        </w:rPr>
        <w:t>OPTIONS/WARRANTS AT</w:t>
      </w:r>
    </w:p>
    <w:p>
      <w:pPr>
        <w:spacing w:after="0" w:line="8" w:lineRule="exact"/>
        <w:rPr>
          <w:sz w:val="20"/>
          <w:szCs w:val="20"/>
          <w:color w:val="auto"/>
        </w:rPr>
      </w:pPr>
    </w:p>
    <w:p>
      <w:pPr>
        <w:spacing w:after="0"/>
        <w:tabs>
          <w:tab w:leader="none" w:pos="1540" w:val="left"/>
          <w:tab w:leader="none" w:pos="2660" w:val="left"/>
          <w:tab w:leader="none" w:pos="5060" w:val="left"/>
        </w:tabs>
        <w:rPr>
          <w:sz w:val="20"/>
          <w:szCs w:val="20"/>
          <w:color w:val="auto"/>
        </w:rPr>
      </w:pPr>
      <w:r>
        <w:rPr>
          <w:rFonts w:ascii="Courier New" w:cs="Courier New" w:eastAsia="Courier New" w:hAnsi="Courier New"/>
          <w:sz w:val="15"/>
          <w:szCs w:val="15"/>
          <w:color w:val="auto"/>
        </w:rPr>
        <w:t>SHARES ACQUIRED</w:t>
        <w:tab/>
        <w:t>VALUE</w:t>
      </w:r>
      <w:r>
        <w:rPr>
          <w:sz w:val="20"/>
          <w:szCs w:val="20"/>
          <w:color w:val="auto"/>
        </w:rPr>
        <w:tab/>
      </w:r>
      <w:r>
        <w:rPr>
          <w:rFonts w:ascii="Courier New" w:cs="Courier New" w:eastAsia="Courier New" w:hAnsi="Courier New"/>
          <w:sz w:val="15"/>
          <w:szCs w:val="15"/>
          <w:color w:val="auto"/>
        </w:rPr>
        <w:t>DECEMBER 31, 1994</w:t>
      </w:r>
      <w:r>
        <w:rPr>
          <w:sz w:val="20"/>
          <w:szCs w:val="20"/>
          <w:color w:val="auto"/>
        </w:rPr>
        <w:tab/>
      </w:r>
      <w:r>
        <w:rPr>
          <w:rFonts w:ascii="Courier New" w:cs="Courier New" w:eastAsia="Courier New" w:hAnsi="Courier New"/>
          <w:sz w:val="15"/>
          <w:szCs w:val="15"/>
          <w:color w:val="auto"/>
        </w:rPr>
        <w:t>DECEMBER 31, 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EXERCISE (#) REALIZED EXERCISABLE/UNEXERCISABLE EXERCISABLE/UNEXERCISABLE*</w:t>
      </w:r>
    </w:p>
    <w:p>
      <w:pPr>
        <w:spacing w:after="0" w:line="8" w:lineRule="exact"/>
        <w:rPr>
          <w:sz w:val="20"/>
          <w:szCs w:val="20"/>
          <w:color w:val="auto"/>
        </w:rPr>
      </w:pPr>
    </w:p>
    <w:p>
      <w:pPr>
        <w:sectPr>
          <w:pgSz w:w="11900" w:h="16838" w:orient="portrait"/>
          <w:cols w:equalWidth="0" w:num="2">
            <w:col w:w="1585" w:space="720"/>
            <w:col w:w="7919"/>
          </w:cols>
          <w:pgMar w:left="235" w:top="650" w:right="1440" w:bottom="1440" w:gutter="0" w:footer="0" w:header="0"/>
          <w:type w:val="continuous"/>
        </w:sectPr>
      </w:pPr>
    </w:p>
    <w:p>
      <w:pPr>
        <w:ind w:left="2305" w:hanging="1659"/>
        <w:spacing w:after="0"/>
        <w:tabs>
          <w:tab w:leader="none" w:pos="230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Courier New" w:cs="Courier New" w:eastAsia="Courier New" w:hAnsi="Courier New"/>
                <w:sz w:val="15"/>
                <w:szCs w:val="15"/>
                <w:color w:val="auto"/>
              </w:rPr>
              <w:t>Kevin R. Green..........</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78,131/73,669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$116,156/$74,044</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Charles I. Brown........</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234,886/74,114</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$303,914/$74,114</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James T. Murphy.........</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10,000(1)</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$25,000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77,781/73,419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$90,631/$73,669</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Donald S. Chenoweth.....</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79,606/73,294</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$115,369/$73,481</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William B. Hein, Sr. ...</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83,131/73,669</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$198,656/$74,044</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Kevin E. Moley..........</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John A. McChesney.......</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27,000(2)</w:t>
            </w:r>
          </w:p>
        </w:tc>
        <w:tc>
          <w:tcPr>
            <w:tcW w:w="11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$67,500</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293,052/-0-</w:t>
            </w:r>
          </w:p>
        </w:tc>
        <w:tc>
          <w:tcPr>
            <w:tcW w:w="2020" w:type="dxa"/>
            <w:vAlign w:val="bottom"/>
          </w:tcPr>
          <w:p>
            <w:pPr>
              <w:jc w:val="right"/>
              <w:spacing w:after="0"/>
              <w:rPr>
                <w:sz w:val="20"/>
                <w:szCs w:val="20"/>
                <w:color w:val="auto"/>
              </w:rPr>
            </w:pPr>
            <w:r>
              <w:rPr>
                <w:rFonts w:ascii="Courier New" w:cs="Courier New" w:eastAsia="Courier New" w:hAnsi="Courier New"/>
                <w:sz w:val="15"/>
                <w:szCs w:val="15"/>
                <w:color w:val="auto"/>
              </w:rPr>
              <w:t>$496,552/-0-</w:t>
            </w:r>
          </w:p>
        </w:tc>
      </w:tr>
    </w:tbl>
    <w:p>
      <w:pPr>
        <w:spacing w:after="0" w:line="183" w:lineRule="exact"/>
        <w:rPr>
          <w:sz w:val="20"/>
          <w:szCs w:val="20"/>
          <w:color w:val="auto"/>
        </w:rPr>
      </w:pPr>
    </w:p>
    <w:p>
      <w:pPr>
        <w:ind w:left="185" w:hanging="185"/>
        <w:spacing w:after="0"/>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right="3299" w:hanging="277"/>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Share value based on fair market value of the Company's common stock of $5.00 as determined by the board of directors in 1994.</w:t>
      </w:r>
    </w:p>
    <w:p>
      <w:pPr>
        <w:spacing w:after="0" w:line="1" w:lineRule="exact"/>
        <w:rPr>
          <w:sz w:val="20"/>
          <w:szCs w:val="20"/>
          <w:color w:val="auto"/>
        </w:rPr>
      </w:pPr>
    </w:p>
    <w:p>
      <w:pPr>
        <w:ind w:left="365" w:hanging="365"/>
        <w:spacing w:after="0"/>
        <w:tabs>
          <w:tab w:leader="none" w:pos="3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 warrants to purchase 10,000 shares at $2.50 per share.</w:t>
      </w:r>
    </w:p>
    <w:p>
      <w:pPr>
        <w:spacing w:after="0" w:line="7"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 warrants to purchase 27,000 shares at $2.50 per share.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left="5" w:right="3219" w:firstLine="185"/>
        <w:spacing w:after="0" w:line="253" w:lineRule="auto"/>
        <w:rPr>
          <w:sz w:val="20"/>
          <w:szCs w:val="20"/>
          <w:color w:val="auto"/>
        </w:rPr>
      </w:pPr>
      <w:r>
        <w:rPr>
          <w:rFonts w:ascii="Courier New" w:cs="Courier New" w:eastAsia="Courier New" w:hAnsi="Courier New"/>
          <w:sz w:val="15"/>
          <w:szCs w:val="15"/>
          <w:color w:val="auto"/>
        </w:rPr>
        <w:t>All directors are reimbursement for actual out-of-pocket expenses incurred in connection with attending meetings.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LIMITATIONS ON LIABILITY OF OFFICERS AND DIRECTORS</w:t>
      </w:r>
    </w:p>
    <w:p>
      <w:pPr>
        <w:spacing w:after="0" w:line="185" w:lineRule="exact"/>
        <w:rPr>
          <w:sz w:val="20"/>
          <w:szCs w:val="20"/>
          <w:color w:val="auto"/>
        </w:rPr>
      </w:pPr>
    </w:p>
    <w:p>
      <w:pPr>
        <w:ind w:left="5" w:right="3119" w:firstLine="185"/>
        <w:spacing w:after="0" w:line="252" w:lineRule="auto"/>
        <w:rPr>
          <w:sz w:val="20"/>
          <w:szCs w:val="20"/>
          <w:color w:val="auto"/>
        </w:rPr>
      </w:pPr>
      <w:r>
        <w:rPr>
          <w:rFonts w:ascii="Courier New" w:cs="Courier New" w:eastAsia="Courier New" w:hAnsi="Courier New"/>
          <w:sz w:val="15"/>
          <w:szCs w:val="15"/>
          <w:color w:val="auto"/>
        </w:rPr>
        <w:t>The Company's Amended Articles of Incorporation prior to the Merger and the New By-Laws following the Merger, each contain a provision eliminating or limiting director liability to the Company and its shareholders</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5"/>
          </w:cols>
          <w:pgMar w:left="235" w:top="650" w:right="1440" w:bottom="1440" w:gutter="0" w:footer="0" w:header="0"/>
          <w:type w:val="continuous"/>
        </w:sectPr>
      </w:pPr>
    </w:p>
    <w:bookmarkStart w:id="97" w:name="page98"/>
    <w:bookmarkEnd w:id="97"/>
    <w:p>
      <w:pPr>
        <w:ind w:left="5" w:right="3019"/>
        <w:spacing w:after="0" w:line="250" w:lineRule="auto"/>
        <w:rPr>
          <w:sz w:val="20"/>
          <w:szCs w:val="20"/>
          <w:color w:val="auto"/>
        </w:rPr>
      </w:pPr>
      <w:r>
        <w:rPr>
          <w:rFonts w:ascii="Courier New" w:cs="Courier New" w:eastAsia="Courier New" w:hAnsi="Courier New"/>
          <w:sz w:val="15"/>
          <w:szCs w:val="15"/>
          <w:color w:val="auto"/>
        </w:rPr>
        <w:t>for monetary damages arising from acts or omissions in the director's capacity as a director. The provisions do not, however, eliminate or limit the personal liability of a director (i) for any breach of such director's duty of loyalty to the Company or its shareholders, (ii) for acts or omissions not in good faith or which involve intentional misconduct or a knowing violation of law,</w:t>
      </w:r>
    </w:p>
    <w:p>
      <w:pPr>
        <w:spacing w:after="0" w:line="2" w:lineRule="exact"/>
        <w:rPr>
          <w:sz w:val="20"/>
          <w:szCs w:val="20"/>
          <w:color w:val="auto"/>
        </w:rPr>
      </w:pPr>
    </w:p>
    <w:p>
      <w:pPr>
        <w:ind w:left="5" w:right="3019" w:hanging="5"/>
        <w:spacing w:after="0" w:line="250" w:lineRule="auto"/>
        <w:tabs>
          <w:tab w:leader="none" w:pos="55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Colorado statutory provision making directors personally liable, under a negligence standard, for unlawful dividends or unlawful stock purchases or redemptions, or (iv) for any transaction from which the director derived an improper personal benefit. This provision offers persons who serve on the Board of Directors of the Company protection against awards of monetary damages resulting from breaches of their duty of care (except as indicated above). As a result of these provisions, the ability of the Company or a shareholder thereof to successfully prosecute an action against a director for a breach of his duty of care is limited. However, the provisions do not affect the availability of equitable remedies such as an injunction or rescission based upon a director's breach of his duty of care. The Commission has taken the position that these provisions will have no effect on claims arising under the federal securities laws.</w:t>
      </w:r>
    </w:p>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CERTAIN TRANSACTIONS</w:t>
      </w:r>
    </w:p>
    <w:p>
      <w:pPr>
        <w:spacing w:after="0" w:line="185" w:lineRule="exact"/>
        <w:rPr>
          <w:sz w:val="20"/>
          <w:szCs w:val="20"/>
          <w:color w:val="auto"/>
        </w:rPr>
      </w:pPr>
    </w:p>
    <w:p>
      <w:pPr>
        <w:ind w:left="5" w:right="3219" w:firstLine="185"/>
        <w:spacing w:after="0" w:line="252" w:lineRule="auto"/>
        <w:rPr>
          <w:sz w:val="20"/>
          <w:szCs w:val="20"/>
          <w:color w:val="auto"/>
        </w:rPr>
      </w:pPr>
      <w:r>
        <w:rPr>
          <w:rFonts w:ascii="Courier New" w:cs="Courier New" w:eastAsia="Courier New" w:hAnsi="Courier New"/>
          <w:sz w:val="15"/>
          <w:szCs w:val="15"/>
          <w:color w:val="auto"/>
        </w:rPr>
        <w:t>The Company in June 1995 issued warrants to purchase 10,000 shares (aggregate) of its common stock to eight directors of the Company as consideration for their guarantee of the Company's revolving line of credit.</w:t>
      </w:r>
    </w:p>
    <w:p>
      <w:pPr>
        <w:spacing w:after="0" w:line="17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During 1993 and 1994, the Company paid $61,000 and $125,000, respectively, to David R. Holbrooke, a director, as reimbursement for costs and expenses incurred by him directly or indirectly in connection with certain litigation or claims related to IMS-NET of Northern California, Inc. and related matters, concluded in early 1995, in accordance with obligations of the Company to provide indemnification for such expenses.</w:t>
      </w:r>
    </w:p>
    <w:p>
      <w:pPr>
        <w:spacing w:after="0" w:line="176"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Company's founder and former Chairman, President and Chief Executive Officer, John A. McChesney, was an employee and maintained an office for the Company near San Diego, California through 1994. In early 1995, Mr. McChesney resigned as an officer and employee of the Company, but remained as a director. In connection with the change, the Company agreed to continue Mr. McChesney's compensation through 1995, to pay certain office expenses incurred in closing the San Diego office and to pay office rent through June 1995. As a result, the Company charged $479,439 to expenses of reorganization in the fourth quarter of 1994, including amounts to be paid to Mr. McChesney in 1995. In connection with the resignation, Mr. McChesney has entered into a noncompetition and confidentiality agreement with the Company.</w:t>
      </w:r>
    </w:p>
    <w:p>
      <w:pPr>
        <w:spacing w:after="0" w:line="182"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Company advanced Kevin Green, the Company's President and Chief Executive Officer, approximately $90,000 in connection with his relocation from Phoenix, Arizona to Golden, Colorado in June 1995. Mr. Green repaid the Company $60,000 of the advance and the balance was deemed by the Compensation Committee of the Board of Directors to be relocation expense payable by the Company.</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Kevin Green has an employment arrangement with the Company's Board of Directors, completed in connection with his relocation to Denver in June 1995, which includes the obligation of the Company to pay him a severance payment equal to 24 months compensation at the rate of compensation then paid to him, in the event, upon a change of control of the Company (such as the Merger), Mr. Green reasonably determines that due to circumstances which have changed as a result of the change of control he is unable to perform his services as the Chief Executive Officer and President of the Company in the manner in which he was expected to perform such services prior to the change of control.</w:t>
      </w:r>
    </w:p>
    <w:p>
      <w:pPr>
        <w:spacing w:after="0" w:line="17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In 1994, the Company sold software and equipment valued at $177,500 to RMBA Associates, a company owned by Robert M. Bryce, a director of the Company at that time. RMBA resold these assets and other services of RMBA to a client which operates an IMS MEDACOM(R) Network to which the Company provides services.</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1993, David Holbrooke, a director of the Company advanced $250,000 and three directors (Robert Brice, David Holbrooke and Charles Brown) each advanced $75,000 to the Company. These advances bore interest at prime plus 3% annually, were secured by assignments of cash flows, and were repaid in 1993.</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5"/>
          </w:cols>
          <w:pgMar w:left="235" w:top="650" w:right="1440" w:bottom="1440" w:gutter="0" w:footer="0" w:header="0"/>
        </w:sectPr>
      </w:pPr>
    </w:p>
    <w:bookmarkStart w:id="98" w:name="page99"/>
    <w:bookmarkEnd w:id="98"/>
    <w:p>
      <w:pPr>
        <w:ind w:right="3119" w:firstLine="185"/>
        <w:spacing w:after="0" w:line="251" w:lineRule="auto"/>
        <w:rPr>
          <w:sz w:val="20"/>
          <w:szCs w:val="20"/>
          <w:color w:val="auto"/>
        </w:rPr>
      </w:pPr>
      <w:r>
        <w:rPr>
          <w:rFonts w:ascii="Courier New" w:cs="Courier New" w:eastAsia="Courier New" w:hAnsi="Courier New"/>
          <w:sz w:val="15"/>
          <w:szCs w:val="15"/>
          <w:color w:val="auto"/>
        </w:rPr>
        <w:t>In January 1994, the Company issued warrants to purchase 79,302 shares of Company Common Stock at $4.00 per share to John McChesney as compensation for guarantees of certain company obligations in prior years and repaid $166,938 to Mr. McChesney for advances made to the Company in prior years.</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December 1994, the Company exchanged 4,000 shares of Company Common Stock and 2,000 warrants to purchase Company Common Stock for each of the 81 outstanding limited partnership interests in a limited partnership of which a subsidiary corporation was the general partner. The partnership held an exclusive license to operate an IMS network in Colorado. Seven of the Company's directors and three other officers of the Company were also limited partners in the partnership and held a total of 32 partnership interests, in exchange for which the Company issued 128,000 shares Company Common Stock and warrants to purchase 64,000 shares at $5.00 per share. The exchanges with each of the Company offices and directors were on the same terms as the exchanges with each of the other 37 nonaffiliated limited partners.</w:t>
      </w:r>
    </w:p>
    <w:p>
      <w:pPr>
        <w:spacing w:after="0" w:line="18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AMENDMENT TO THE IMS</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1994 EMPLOYEE STOCK OPTION PLAN</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On April 22, 1995, subject to shareholder approval, the Board of Directors of IMS approved an amendment to the 1994 Plan increasing the number of shares of common stock issuable under the 1994 Plan from 400,000 shares to 838,600 shares which equals the total number of options previously granted under the 1994 Plan. Under the proposed amendment the first sentence of Section 2 of the 1994 Plan would be amended to read as follows:</w:t>
      </w:r>
    </w:p>
    <w:p>
      <w:pPr>
        <w:spacing w:after="0" w:line="176" w:lineRule="exact"/>
        <w:rPr>
          <w:sz w:val="20"/>
          <w:szCs w:val="20"/>
          <w:color w:val="auto"/>
        </w:rPr>
      </w:pPr>
    </w:p>
    <w:p>
      <w:pPr>
        <w:ind w:left="180" w:right="3299"/>
        <w:spacing w:after="0" w:line="253" w:lineRule="auto"/>
        <w:rPr>
          <w:sz w:val="20"/>
          <w:szCs w:val="20"/>
          <w:color w:val="auto"/>
        </w:rPr>
      </w:pPr>
      <w:r>
        <w:rPr>
          <w:rFonts w:ascii="Courier New" w:cs="Courier New" w:eastAsia="Courier New" w:hAnsi="Courier New"/>
          <w:sz w:val="15"/>
          <w:szCs w:val="15"/>
          <w:color w:val="auto"/>
        </w:rPr>
        <w:t>"The number of shares of the Company's No Par Value Common Stock ("Common Stock") which may be optioned under this Plan is 838,600 shares."</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other terms of the 1994 Plan would remain unchanged. Approval of the Merger by IMS shareholders will be deemed to include approval of the proposed amendment. Following the Merger, no additional options will be granted under the 1994 Plan. The description of the proposed amendment to the 1994 Plan is a summary and does not purport to be fully descriptive.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consolidated financial statements of IMS included in this Proxy Statement-Prospectus and elsewhere in the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consolidated financial statements of Lilly incorporated by reference in Lilly's Annual Report (Form 10-K) for the year ended December 31, 1994, have been audited by Ernst &amp; Young LLP, independent auditors, as set forth in their report thereon included therein and incorporated herein by reference. Such consolidated financial statements are incorporated herein by reference in reliance upon such report given upon the authority of such firm as experts in accounting and auditing.</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combined financial statements of PCS for each of the three years in the period ended March 31, 1994, included in Lilly's Current Report (Form 8-K/A) dated November 29, 1994, and incorporated by reference in this registration statement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76" w:lineRule="exact"/>
        <w:rPr>
          <w:sz w:val="20"/>
          <w:szCs w:val="20"/>
          <w:color w:val="auto"/>
        </w:rPr>
      </w:pPr>
    </w:p>
    <w:p>
      <w:pPr>
        <w:jc w:val="both"/>
        <w:ind w:right="3299" w:firstLine="185"/>
        <w:spacing w:after="0" w:line="252" w:lineRule="auto"/>
        <w:rPr>
          <w:sz w:val="20"/>
          <w:szCs w:val="20"/>
          <w:color w:val="auto"/>
        </w:rPr>
      </w:pPr>
      <w:r>
        <w:rPr>
          <w:rFonts w:ascii="Courier New" w:cs="Courier New" w:eastAsia="Courier New" w:hAnsi="Courier New"/>
          <w:sz w:val="15"/>
          <w:szCs w:val="15"/>
          <w:color w:val="auto"/>
        </w:rPr>
        <w:t>Representatives of both Arthur Andersen LLP and Ernst &amp; Young LLP will be present at the Special Meeting with the opportunity to make a statement if they desire to do so and to respond to appropriate questions.</w:t>
      </w:r>
    </w:p>
    <w:p>
      <w:pPr>
        <w:spacing w:after="0" w:line="17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LEGAL OPINIONS</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validity of the securities to be issued by Lilly in connection with the Merger will be passed upon by Dewey Ballantine, New York, New York. In rendering such opinion, such firm will rely, as to matters governed by the laws of the State of Colorado, upon the opinion of Holme Roberts &amp; Owen LLC, Denver, Colorado, and as to matters governed by the laws of the State of Indiana, upon the opinion of Baker and Daniels, Indianapolis, Indiana. The validity of the securities to be issued by IMS in connection with the Merger will be passed upon by Hopper and Kanouff, P.C., Denver, Colorado.</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50" w:right="1440" w:bottom="1440" w:gutter="0" w:footer="0" w:header="0"/>
        </w:sectPr>
      </w:pPr>
    </w:p>
    <w:bookmarkStart w:id="99" w:name="page100"/>
    <w:bookmarkEnd w:id="99"/>
    <w:p>
      <w:pPr>
        <w:ind w:left="184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5"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following documents previously filed by Lilly with the Commission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Exchange Act are hereby incorporated by reference in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Statement-Prospectus:</w:t>
      </w:r>
    </w:p>
    <w:p>
      <w:pPr>
        <w:spacing w:after="0" w:line="185" w:lineRule="exact"/>
        <w:rPr>
          <w:sz w:val="20"/>
          <w:szCs w:val="20"/>
          <w:color w:val="auto"/>
        </w:rPr>
      </w:pPr>
    </w:p>
    <w:p>
      <w:pPr>
        <w:ind w:left="460" w:hanging="281"/>
        <w:spacing w:after="0"/>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Lilly's Annual Report on Form 10-K for the year ended December 31, 1994.</w:t>
      </w:r>
    </w:p>
    <w:p>
      <w:pPr>
        <w:spacing w:after="0" w:line="184" w:lineRule="exact"/>
        <w:rPr>
          <w:rFonts w:ascii="Courier New" w:cs="Courier New" w:eastAsia="Courier New" w:hAnsi="Courier New"/>
          <w:sz w:val="15"/>
          <w:szCs w:val="15"/>
          <w:color w:val="auto"/>
        </w:rPr>
      </w:pPr>
    </w:p>
    <w:p>
      <w:pPr>
        <w:ind w:left="460" w:hanging="281"/>
        <w:spacing w:after="0"/>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Lilly's Quarterly Reports on Form 10-Q for the quarters ended March 31,</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1995 and June 30, 1995.</w:t>
      </w:r>
    </w:p>
    <w:p>
      <w:pPr>
        <w:spacing w:after="0" w:line="184" w:lineRule="exact"/>
        <w:rPr>
          <w:rFonts w:ascii="Courier New" w:cs="Courier New" w:eastAsia="Courier New" w:hAnsi="Courier New"/>
          <w:sz w:val="15"/>
          <w:szCs w:val="15"/>
          <w:color w:val="auto"/>
        </w:rPr>
      </w:pPr>
    </w:p>
    <w:p>
      <w:pPr>
        <w:ind w:left="460" w:hanging="281"/>
        <w:spacing w:after="0"/>
        <w:tabs>
          <w:tab w:leader="none" w:pos="4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Lilly's Current Reports on Form 8-K/A and Form 8-K dated November 29,</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1994 and June 12, 1995, respectively.</w:t>
      </w:r>
    </w:p>
    <w:p>
      <w:pPr>
        <w:spacing w:after="0" w:line="184" w:lineRule="exact"/>
        <w:rPr>
          <w:rFonts w:ascii="Courier New" w:cs="Courier New" w:eastAsia="Courier New" w:hAnsi="Courier New"/>
          <w:sz w:val="15"/>
          <w:szCs w:val="15"/>
          <w:color w:val="auto"/>
        </w:rPr>
      </w:pPr>
    </w:p>
    <w:p>
      <w:pPr>
        <w:ind w:right="3579" w:firstLine="179"/>
        <w:spacing w:after="0" w:line="253" w:lineRule="auto"/>
        <w:tabs>
          <w:tab w:leader="none" w:pos="46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Lilly's Proxy Statement dated March 6, 1995, in connection with its Annual Meeting of Stockholders held on April 17, 1995.</w:t>
      </w:r>
    </w:p>
    <w:p>
      <w:pPr>
        <w:spacing w:after="0" w:line="174"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All documents subsequently filed by Lilly pursuant to Sections 13(a), 13(c), 14 or 15(d) of the Exchange Act prior to the Special Meeting shall be deemed to be incorporated by reference herein and to be a part hereof from the date of filing thereof. Any statement contained in a document incorporated or deemed to be incorporated by reference herein shall be deemed to be modified or superseded for purposes of this Proxy Statement- Prospectus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50" w:right="1440" w:bottom="1440" w:gutter="0" w:footer="0" w:header="0"/>
        </w:sectPr>
      </w:pPr>
    </w:p>
    <w:bookmarkStart w:id="100" w:name="page101"/>
    <w:bookmarkEnd w:id="100"/>
    <w:p>
      <w:pPr>
        <w:ind w:left="2300"/>
        <w:spacing w:after="0"/>
        <w:rPr>
          <w:sz w:val="20"/>
          <w:szCs w:val="20"/>
          <w:color w:val="auto"/>
        </w:rPr>
      </w:pPr>
      <w:r>
        <w:rPr>
          <w:rFonts w:ascii="Courier New" w:cs="Courier New" w:eastAsia="Courier New" w:hAnsi="Courier New"/>
          <w:sz w:val="15"/>
          <w:szCs w:val="15"/>
          <w:color w:val="auto"/>
        </w:rPr>
        <w:t>INDEX TO FINANCIAL STATEMENTS</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FINANCIAL STATEMENTS 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AS OF DECEMBER 31, 1994 AND JUNE 30, 1995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AND FOR EACH OF THE TWO YEARS IN THE</w:t>
            </w:r>
          </w:p>
        </w:tc>
        <w:tc>
          <w:tcPr>
            <w:tcW w:w="31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PERIOD ENDED DECEMBER 31, 1994</w:t>
            </w:r>
          </w:p>
        </w:tc>
        <w:tc>
          <w:tcPr>
            <w:tcW w:w="420" w:type="dxa"/>
            <w:vAlign w:val="bottom"/>
          </w:tcPr>
          <w:p>
            <w:pPr>
              <w:spacing w:after="0"/>
              <w:rPr>
                <w:sz w:val="14"/>
                <w:szCs w:val="14"/>
                <w:color w:val="auto"/>
              </w:rPr>
            </w:pPr>
          </w:p>
        </w:tc>
      </w:tr>
      <w:tr>
        <w:trPr>
          <w:trHeight w:val="177"/>
        </w:trPr>
        <w:tc>
          <w:tcPr>
            <w:tcW w:w="1140" w:type="dxa"/>
            <w:vAlign w:val="bottom"/>
          </w:tcPr>
          <w:p>
            <w:pPr>
              <w:ind w:left="460"/>
              <w:spacing w:after="0"/>
              <w:rPr>
                <w:sz w:val="20"/>
                <w:szCs w:val="20"/>
                <w:color w:val="auto"/>
              </w:rPr>
            </w:pPr>
            <w:r>
              <w:rPr>
                <w:rFonts w:ascii="Courier New" w:cs="Courier New" w:eastAsia="Courier New" w:hAnsi="Courier New"/>
                <w:sz w:val="15"/>
                <w:szCs w:val="15"/>
                <w:color w:val="auto"/>
              </w:rPr>
              <w:t>AND FOR</w:t>
            </w:r>
          </w:p>
        </w:tc>
        <w:tc>
          <w:tcPr>
            <w:tcW w:w="2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THE SIX MONTH PERIODS ENDED</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JUNE 30, 1994 AND 1995 (UNAUDITED)</w:t>
            </w:r>
          </w:p>
        </w:tc>
        <w:tc>
          <w:tcPr>
            <w:tcW w:w="420" w:type="dxa"/>
            <w:vAlign w:val="bottom"/>
          </w:tcPr>
          <w:p>
            <w:pPr>
              <w:spacing w:after="0"/>
              <w:rPr>
                <w:sz w:val="15"/>
                <w:szCs w:val="15"/>
                <w:color w:val="auto"/>
              </w:rPr>
            </w:pPr>
          </w:p>
        </w:tc>
      </w:tr>
      <w:tr>
        <w:trPr>
          <w:trHeight w:val="710"/>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Balance Sheets................................................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 of Operations......................................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2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Statements of Stockholders'</w:t>
            </w:r>
          </w:p>
        </w:tc>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5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Statements of Cash Flows......................................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177"/>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532"/>
        </w:trPr>
        <w:tc>
          <w:tcPr>
            <w:tcW w:w="114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650" w:right="1440" w:bottom="1440" w:gutter="0" w:footer="0" w:header="0"/>
        </w:sectPr>
      </w:pPr>
    </w:p>
    <w:bookmarkStart w:id="101" w:name="page102"/>
    <w:bookmarkEnd w:id="101"/>
    <w:p>
      <w:pPr>
        <w:ind w:left="174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Integrated Medical Systems, Inc.:</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 of INTEGRATED MEDICAL SYSTEMS, INC. (a Colorado corporation) and subsidiaries as of December 31, 1994, and the related consolidated statements of operations, stockholders' equity and cash flows for each of the two years in the period ended December 31,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Integrated Medical Systems, Inc. and subsidiaries as of December 31, 1994, and the results of their operations and their cash flows for each of the two years in the period ended December 31, 1994, in conformity with generally accepted accounting principles.</w:t>
      </w:r>
    </w:p>
    <w:p>
      <w:pPr>
        <w:spacing w:after="0" w:line="176" w:lineRule="exact"/>
        <w:rPr>
          <w:sz w:val="20"/>
          <w:szCs w:val="20"/>
          <w:color w:val="auto"/>
        </w:rPr>
      </w:pPr>
    </w:p>
    <w:p>
      <w:pPr>
        <w:ind w:right="3299" w:firstLine="185"/>
        <w:spacing w:after="0" w:line="252" w:lineRule="auto"/>
        <w:rPr>
          <w:sz w:val="20"/>
          <w:szCs w:val="20"/>
          <w:color w:val="auto"/>
        </w:rPr>
      </w:pPr>
      <w:r>
        <w:rPr>
          <w:rFonts w:ascii="Courier New" w:cs="Courier New" w:eastAsia="Courier New" w:hAnsi="Courier New"/>
          <w:sz w:val="15"/>
          <w:szCs w:val="15"/>
          <w:color w:val="auto"/>
        </w:rPr>
        <w:t>As explained in Notes 2 and 4 to the consolidated financial statements, effective January 1, 1993, the Company changed its method of accounting for income taxes.</w:t>
      </w:r>
    </w:p>
    <w:p>
      <w:pPr>
        <w:spacing w:after="0" w:line="17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 1995.</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50" w:right="1440" w:bottom="1440" w:gutter="0" w:footer="0" w:header="0"/>
        </w:sectPr>
      </w:pPr>
    </w:p>
    <w:bookmarkStart w:id="102" w:name="page103"/>
    <w:bookmarkEnd w:id="102"/>
    <w:p>
      <w:pPr>
        <w:ind w:left="820"/>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019"/>
          </w:cols>
          <w:pgMar w:left="1440" w:top="100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019"/>
          </w:cols>
          <w:pgMar w:left="1440" w:top="1005" w:right="1440" w:bottom="1440" w:gutter="0" w:footer="0" w:header="0"/>
          <w:type w:val="continuous"/>
        </w:sectPr>
      </w:pPr>
    </w:p>
    <w:bookmarkStart w:id="103" w:name="page104"/>
    <w:bookmarkEnd w:id="103"/>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JUNE 30, 1995</w:t>
            </w:r>
          </w:p>
        </w:tc>
      </w:tr>
      <w:tr>
        <w:trPr>
          <w:trHeight w:val="177"/>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center"/>
              <w:ind w:left="3"/>
              <w:spacing w:after="0"/>
              <w:rPr>
                <w:sz w:val="20"/>
                <w:szCs w:val="20"/>
                <w:color w:val="auto"/>
              </w:rPr>
            </w:pPr>
            <w:r>
              <w:rPr>
                <w:rFonts w:ascii="Courier New" w:cs="Courier New" w:eastAsia="Courier New" w:hAnsi="Courier New"/>
                <w:sz w:val="15"/>
                <w:szCs w:val="15"/>
                <w:color w:val="auto"/>
              </w:rPr>
              <w:t>(UNAUDITED)</w:t>
            </w:r>
          </w:p>
        </w:tc>
      </w:tr>
      <w:tr>
        <w:trPr>
          <w:trHeight w:val="177"/>
        </w:trPr>
        <w:tc>
          <w:tcPr>
            <w:tcW w:w="48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23"/>
              <w:spacing w:after="0"/>
              <w:rPr>
                <w:sz w:val="20"/>
                <w:szCs w:val="20"/>
                <w:color w:val="auto"/>
              </w:rPr>
            </w:pPr>
            <w:r>
              <w:rPr>
                <w:rFonts w:ascii="Courier New" w:cs="Courier New" w:eastAsia="Courier New" w:hAnsi="Courier New"/>
                <w:sz w:val="15"/>
                <w:szCs w:val="15"/>
                <w:color w:val="auto"/>
              </w:rPr>
              <w:t>-------------</w:t>
            </w:r>
          </w:p>
        </w:tc>
      </w:tr>
      <w:tr>
        <w:trPr>
          <w:trHeight w:val="355"/>
        </w:trPr>
        <w:tc>
          <w:tcPr>
            <w:tcW w:w="4840" w:type="dxa"/>
            <w:vAlign w:val="bottom"/>
          </w:tcPr>
          <w:p>
            <w:pPr>
              <w:jc w:val="right"/>
              <w:ind w:right="2083"/>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1,357,847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$ 1,317,791</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Contracts receivable and other (Note 2)...........</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6,802,209</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3,102,600</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Affiliate receivables.............................</w:t>
            </w:r>
          </w:p>
        </w:tc>
        <w:tc>
          <w:tcPr>
            <w:tcW w:w="14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223,940</w:t>
            </w:r>
          </w:p>
        </w:tc>
      </w:tr>
      <w:tr>
        <w:trPr>
          <w:trHeight w:val="177"/>
        </w:trPr>
        <w:tc>
          <w:tcPr>
            <w:tcW w:w="484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Stock subscriptions and joint venturers'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contributions receivable (Note 8)................</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275,000</w:t>
            </w:r>
          </w:p>
        </w:tc>
        <w:tc>
          <w:tcPr>
            <w:tcW w:w="13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333,556</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994,244</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8,768,612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5,638,575</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CONTRACTS RECEIVABLE, long-term portion (Note 2)....</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2,166,468</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1,005,956</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EQUIPMENT AND FURNITURE (Notes 2 and 5)</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Computer equipment................................</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4,058,897</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4,751,696</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Computer software.................................</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387,313</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393,463</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524,764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804,259</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228,930</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275,938</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Equipment held under capital leases...............</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239,428</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239,428</w:t>
            </w:r>
          </w:p>
        </w:tc>
      </w:tr>
      <w:tr>
        <w:trPr>
          <w:trHeight w:val="177"/>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5,439,332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6,464,784</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Less--Accumulated depreciation and amortization...</w:t>
            </w:r>
          </w:p>
        </w:tc>
        <w:tc>
          <w:tcPr>
            <w:tcW w:w="14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(1,250,770)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(1,819,296)</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4,188,562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4,645,488</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435,662</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814,211</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15,559,304</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$12,104,230</w:t>
            </w:r>
          </w:p>
        </w:tc>
      </w:tr>
      <w:tr>
        <w:trPr>
          <w:trHeight w:val="177"/>
        </w:trPr>
        <w:tc>
          <w:tcPr>
            <w:tcW w:w="4840" w:type="dxa"/>
            <w:vAlign w:val="bottom"/>
          </w:tcPr>
          <w:p>
            <w:pPr>
              <w:spacing w:after="0"/>
              <w:rPr>
                <w:sz w:val="15"/>
                <w:szCs w:val="15"/>
                <w:color w:val="auto"/>
              </w:rPr>
            </w:pPr>
          </w:p>
        </w:tc>
        <w:tc>
          <w:tcPr>
            <w:tcW w:w="124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balance sheets.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50" w:right="1440" w:bottom="1440" w:gutter="0" w:footer="0" w:header="0"/>
        </w:sectPr>
      </w:pPr>
    </w:p>
    <w:bookmarkStart w:id="104" w:name="page105"/>
    <w:bookmarkEnd w:id="104"/>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5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2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(UNAUDITED)</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LIABILITIES AND STOCKHOLDERS' EQUITY</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2,202,652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1,377,495</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1,961,779</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966,647</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Payables to related parties (Note 3).................</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1,085,834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1,095,789</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Deferred contract revenue (Note 2)...................</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2,720,037</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2,686,837</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 debt (Note 5)........</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181,182</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123,777</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8,151,484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6,250,545</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LONG-TERM DEFERRED CONTRACT REVENUE (Note 2)...........</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840,751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712,414</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LONG-TERM DEBT (Note 5)................................</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183,998</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3,121,378</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6 and 7)</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OTHER DEFERRED CREDITS (Note 8)........................</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600,000</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INTERESTS IN CONSOLIDATED SUBSIDIARIES........</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84,521</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169,389</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STOCKHOLDERS' EQUITY (Notes 8 and 11):</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Series B voting preferred stock, $1 par value,</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2,000,000 shares authorized, issued and outstanding,</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liquidation preference of $3,400,000, convertible on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a 3 for 2 basis into common stock...................</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2,000,000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2,000,000</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Series C preferred stock, $1 par value, 5,000,000</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280"/>
              <w:spacing w:after="0"/>
              <w:rPr>
                <w:sz w:val="20"/>
                <w:szCs w:val="20"/>
                <w:color w:val="auto"/>
              </w:rPr>
            </w:pPr>
            <w:r>
              <w:rPr>
                <w:rFonts w:ascii="Courier New" w:cs="Courier New" w:eastAsia="Courier New" w:hAnsi="Courier New"/>
                <w:sz w:val="15"/>
                <w:szCs w:val="15"/>
                <w:color w:val="auto"/>
              </w:rPr>
              <w:t>shares authorized, 2,625,000 and 3,000,000 shares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280"/>
              <w:spacing w:after="0"/>
              <w:rPr>
                <w:sz w:val="20"/>
                <w:szCs w:val="20"/>
                <w:color w:val="auto"/>
              </w:rPr>
            </w:pPr>
            <w:r>
              <w:rPr>
                <w:rFonts w:ascii="Courier New" w:cs="Courier New" w:eastAsia="Courier New" w:hAnsi="Courier New"/>
                <w:sz w:val="15"/>
                <w:szCs w:val="15"/>
                <w:color w:val="auto"/>
              </w:rPr>
              <w:t>issued and outstanding, respectively, liquidation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280"/>
              <w:spacing w:after="0"/>
              <w:rPr>
                <w:sz w:val="20"/>
                <w:szCs w:val="20"/>
                <w:color w:val="auto"/>
              </w:rPr>
            </w:pPr>
            <w:r>
              <w:rPr>
                <w:rFonts w:ascii="Courier New" w:cs="Courier New" w:eastAsia="Courier New" w:hAnsi="Courier New"/>
                <w:sz w:val="15"/>
                <w:szCs w:val="15"/>
                <w:color w:val="auto"/>
              </w:rPr>
              <w:t>preference of $13,750,000, convertible on a 1 for 1</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basis into common stock.............................</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11,875,000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13,750,000</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Common stock, no par value, 25,000,000 shares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ind w:left="280"/>
              <w:spacing w:after="0"/>
              <w:rPr>
                <w:sz w:val="20"/>
                <w:szCs w:val="20"/>
                <w:color w:val="auto"/>
              </w:rPr>
            </w:pPr>
            <w:r>
              <w:rPr>
                <w:rFonts w:ascii="Courier New" w:cs="Courier New" w:eastAsia="Courier New" w:hAnsi="Courier New"/>
                <w:sz w:val="15"/>
                <w:szCs w:val="15"/>
                <w:color w:val="auto"/>
              </w:rPr>
              <w:t>authorized, 6,554,730 and 6,577,162 shares issued</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and outstanding, respectively.......................</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8,836,973</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8,947,591</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Capital contributions from joint venturers...........</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6,508,230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6,508,230</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9"/>
              </w:rPr>
              <w:t>(23,441,653)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(29,905,317)</w:t>
            </w:r>
          </w:p>
        </w:tc>
      </w:tr>
      <w:tr>
        <w:trPr>
          <w:trHeight w:val="177"/>
        </w:trPr>
        <w:tc>
          <w:tcPr>
            <w:tcW w:w="5120" w:type="dxa"/>
            <w:vAlign w:val="bottom"/>
          </w:tcPr>
          <w:p>
            <w:pPr>
              <w:ind w:left="180"/>
              <w:spacing w:after="0"/>
              <w:rPr>
                <w:sz w:val="20"/>
                <w:szCs w:val="20"/>
                <w:color w:val="auto"/>
              </w:rPr>
            </w:pPr>
            <w:r>
              <w:rPr>
                <w:rFonts w:ascii="Courier New" w:cs="Courier New" w:eastAsia="Courier New" w:hAnsi="Courier New"/>
                <w:sz w:val="15"/>
                <w:szCs w:val="15"/>
                <w:color w:val="auto"/>
              </w:rPr>
              <w:t>Less--Stock subscriptions and joint venturers'</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contributions receivable............................</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140" w:type="dxa"/>
            <w:vAlign w:val="bottom"/>
          </w:tcPr>
          <w:p>
            <w:pPr>
              <w:spacing w:after="0"/>
              <w:rPr>
                <w:sz w:val="15"/>
                <w:szCs w:val="15"/>
                <w:color w:val="auto"/>
              </w:rPr>
            </w:pP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5,698,550</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1,250,504</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15"/>
                <w:szCs w:val="15"/>
                <w:color w:val="auto"/>
              </w:rPr>
            </w:pP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15,559,304</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$ 12,104,230</w:t>
            </w:r>
          </w:p>
        </w:tc>
      </w:tr>
      <w:tr>
        <w:trPr>
          <w:trHeight w:val="177"/>
        </w:trPr>
        <w:tc>
          <w:tcPr>
            <w:tcW w:w="5120" w:type="dxa"/>
            <w:vAlign w:val="bottom"/>
          </w:tcPr>
          <w:p>
            <w:pPr>
              <w:spacing w:after="0"/>
              <w:rPr>
                <w:sz w:val="15"/>
                <w:szCs w:val="15"/>
                <w:color w:val="auto"/>
              </w:rPr>
            </w:pP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balance sheets.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50" w:right="1440" w:bottom="1440" w:gutter="0" w:footer="0" w:header="0"/>
        </w:sectPr>
      </w:pPr>
    </w:p>
    <w:bookmarkStart w:id="105" w:name="page106"/>
    <w:bookmarkEnd w:id="105"/>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FOR THE YEARS</w:t>
            </w:r>
          </w:p>
        </w:tc>
        <w:tc>
          <w:tcPr>
            <w:tcW w:w="140" w:type="dxa"/>
            <w:vAlign w:val="bottom"/>
          </w:tcPr>
          <w:p>
            <w:pPr>
              <w:spacing w:after="0"/>
              <w:rPr>
                <w:sz w:val="14"/>
                <w:szCs w:val="14"/>
                <w:color w:val="auto"/>
              </w:rPr>
            </w:pPr>
          </w:p>
        </w:tc>
        <w:tc>
          <w:tcPr>
            <w:tcW w:w="222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FOR THE SIX MONTHS</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140" w:type="dxa"/>
            <w:vAlign w:val="bottom"/>
          </w:tcPr>
          <w:p>
            <w:pPr>
              <w:spacing w:after="0"/>
              <w:rPr>
                <w:sz w:val="15"/>
                <w:szCs w:val="15"/>
                <w:color w:val="auto"/>
              </w:rPr>
            </w:pPr>
          </w:p>
        </w:tc>
        <w:tc>
          <w:tcPr>
            <w:tcW w:w="222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ENDED JUNE 30</w:t>
            </w:r>
          </w:p>
        </w:tc>
      </w:tr>
      <w:tr>
        <w:trPr>
          <w:trHeight w:val="177"/>
        </w:trPr>
        <w:tc>
          <w:tcPr>
            <w:tcW w:w="24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5"/>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11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(UNAUDITED)</w:t>
            </w:r>
          </w:p>
        </w:tc>
      </w:tr>
      <w:tr>
        <w:trPr>
          <w:trHeight w:val="355"/>
        </w:trPr>
        <w:tc>
          <w:tcPr>
            <w:tcW w:w="2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Network service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agreement revenue......</w:t>
            </w: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$ 5,130,779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7,456,654</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$ 3,260,641</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$ 5,436,113</w:t>
            </w: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Network license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agreement revenue......</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2,550,000</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10,057,983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2,893,083</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1,371,400</w:t>
            </w: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Network license service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revenue................</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112,812</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365,726</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69,058</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1,122,503</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7,793,591</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17,880,363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6,222,782</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7,930,016</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Salaries, payroll taxes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and benefits...........</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7,204,422</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11,838,793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4,689,073</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8,477,812</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Facilities..............</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1,679,328</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3,187,007</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1,364,114</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2,377,176</w:t>
            </w: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administrative.........</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2,608,918</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5,848,436</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2,246,355</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3,418,612</w:t>
            </w: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Costs of subsidiary</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litigation (Note 6)....</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1,658,483</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784,787</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713,576</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53,014</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Reorganization costs....</w:t>
            </w:r>
          </w:p>
        </w:tc>
        <w:tc>
          <w:tcPr>
            <w:tcW w:w="20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479,439</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13,151,151</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22,138,462</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9,013,118</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14,326,614</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LOSS FROM OPERATIONS......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(5,357,560)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(4,258,099)</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(2,790,336)</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(6,396,598)</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income.........</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23,795</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343,221</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119,927</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103,069</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expense........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(171,335)</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(118,850)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(32,507)</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(85,267)</w:t>
            </w:r>
          </w:p>
        </w:tc>
      </w:tr>
      <w:tr>
        <w:trPr>
          <w:trHeight w:val="177"/>
        </w:trPr>
        <w:tc>
          <w:tcPr>
            <w:tcW w:w="2480" w:type="dxa"/>
            <w:vAlign w:val="bottom"/>
          </w:tcPr>
          <w:p>
            <w:pPr>
              <w:ind w:left="180"/>
              <w:spacing w:after="0"/>
              <w:rPr>
                <w:sz w:val="20"/>
                <w:szCs w:val="20"/>
                <w:color w:val="auto"/>
              </w:rPr>
            </w:pPr>
            <w:r>
              <w:rPr>
                <w:rFonts w:ascii="Courier New" w:cs="Courier New" w:eastAsia="Courier New" w:hAnsi="Courier New"/>
                <w:sz w:val="15"/>
                <w:szCs w:val="15"/>
                <w:color w:val="auto"/>
              </w:rPr>
              <w:t>Loss on dissolution of</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partnership............</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(213,823)</w:t>
            </w:r>
          </w:p>
        </w:tc>
        <w:tc>
          <w:tcPr>
            <w:tcW w:w="1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(32,534)</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(64,772)</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(30,643)</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(393,897)</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159,599</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56,777</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17,802</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LOSS BEFORE MINORITY</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INTEREST IN OPERATIONS OF</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SUBSIDIARIES.............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(5,751,457)</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(4,098,500)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(2,733,559)</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(6,378,796)</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TAXES....................</w:t>
            </w:r>
          </w:p>
        </w:tc>
        <w:tc>
          <w:tcPr>
            <w:tcW w:w="200" w:type="dxa"/>
            <w:vAlign w:val="bottom"/>
          </w:tcPr>
          <w:p>
            <w:pPr>
              <w:spacing w:after="0"/>
              <w:rPr>
                <w:sz w:val="15"/>
                <w:szCs w:val="15"/>
                <w:color w:val="auto"/>
              </w:rPr>
            </w:pP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MINORITY INTEREST IN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INCOME FROM OPERATIONS OF</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SUBSIDIARIES.............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(184,263)</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(153,281)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(57,161)</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(84,868)</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$(5,935,720)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(4,251,781)</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$(2,790,720)</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$(6,463,664)</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LOSS PER COMMON SHARE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(Note 2).................</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4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480" w:type="dxa"/>
            <w:vAlign w:val="bottom"/>
          </w:tcPr>
          <w:p>
            <w:pPr>
              <w:jc w:val="right"/>
              <w:ind w:right="3"/>
              <w:spacing w:after="0"/>
              <w:rPr>
                <w:sz w:val="20"/>
                <w:szCs w:val="20"/>
                <w:color w:val="auto"/>
              </w:rPr>
            </w:pPr>
            <w:r>
              <w:rPr>
                <w:rFonts w:ascii="Courier New" w:cs="Courier New" w:eastAsia="Courier New" w:hAnsi="Courier New"/>
                <w:sz w:val="15"/>
                <w:szCs w:val="15"/>
                <w:color w:val="auto"/>
              </w:rPr>
              <w:t>SHARES OUTSTANDING.......</w:t>
            </w:r>
          </w:p>
        </w:tc>
        <w:tc>
          <w:tcPr>
            <w:tcW w:w="20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5,868,577</w:t>
            </w:r>
          </w:p>
        </w:tc>
        <w:tc>
          <w:tcPr>
            <w:tcW w:w="180" w:type="dxa"/>
            <w:vAlign w:val="bottom"/>
          </w:tcPr>
          <w:p>
            <w:pPr>
              <w:spacing w:after="0"/>
              <w:rPr>
                <w:sz w:val="15"/>
                <w:szCs w:val="15"/>
                <w:color w:val="auto"/>
              </w:rPr>
            </w:pP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6,099,120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6,008,509</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6,563,019</w:t>
            </w:r>
          </w:p>
        </w:tc>
      </w:tr>
      <w:tr>
        <w:trPr>
          <w:trHeight w:val="177"/>
        </w:trPr>
        <w:tc>
          <w:tcPr>
            <w:tcW w:w="2480" w:type="dxa"/>
            <w:vAlign w:val="bottom"/>
          </w:tcPr>
          <w:p>
            <w:pPr>
              <w:spacing w:after="0"/>
              <w:rPr>
                <w:sz w:val="15"/>
                <w:szCs w:val="15"/>
                <w:color w:val="auto"/>
              </w:rPr>
            </w:pPr>
          </w:p>
        </w:tc>
        <w:tc>
          <w:tcPr>
            <w:tcW w:w="126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50" w:right="1440" w:bottom="1440" w:gutter="0" w:footer="0" w:header="0"/>
        </w:sectPr>
      </w:pPr>
    </w:p>
    <w:bookmarkStart w:id="106" w:name="page107"/>
    <w:bookmarkEnd w:id="106"/>
    <w:p>
      <w:pPr>
        <w:jc w:val="center"/>
        <w:ind w:right="4240"/>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FOR THE YEARS ENDED DECEMBER 31, 1993 AND 1994</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AND FOR THE SIX MONTHS ENDED JUNE 30, 1995 (UNAUDITED)</w:t>
      </w:r>
    </w:p>
    <w:p>
      <w:pPr>
        <w:spacing w:after="0" w:line="8"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(SEE NOTE 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r>
      <w:tr>
        <w:trPr>
          <w:trHeight w:val="177"/>
        </w:trPr>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SUBSCRIPTIONS</w:t>
            </w:r>
          </w:p>
        </w:tc>
      </w:tr>
      <w:tr>
        <w:trPr>
          <w:trHeight w:val="177"/>
        </w:trPr>
        <w:tc>
          <w:tcPr>
            <w:tcW w:w="1560" w:type="dxa"/>
            <w:vAlign w:val="bottom"/>
          </w:tcPr>
          <w:p>
            <w:pPr>
              <w:spacing w:after="0"/>
              <w:rPr>
                <w:sz w:val="15"/>
                <w:szCs w:val="15"/>
                <w:color w:val="auto"/>
              </w:rPr>
            </w:pPr>
          </w:p>
        </w:tc>
        <w:tc>
          <w:tcPr>
            <w:tcW w:w="19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SERIES B</w:t>
            </w:r>
          </w:p>
        </w:tc>
        <w:tc>
          <w:tcPr>
            <w:tcW w:w="194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SERIES C</w:t>
            </w: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AND JOINT</w:t>
            </w:r>
          </w:p>
        </w:tc>
      </w:tr>
      <w:tr>
        <w:trPr>
          <w:trHeight w:val="177"/>
        </w:trPr>
        <w:tc>
          <w:tcPr>
            <w:tcW w:w="1560" w:type="dxa"/>
            <w:vAlign w:val="bottom"/>
          </w:tcPr>
          <w:p>
            <w:pPr>
              <w:spacing w:after="0"/>
              <w:rPr>
                <w:sz w:val="15"/>
                <w:szCs w:val="15"/>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w:t>
            </w:r>
          </w:p>
        </w:tc>
        <w:tc>
          <w:tcPr>
            <w:tcW w:w="194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PREFERRED STOCK</w:t>
            </w:r>
          </w:p>
        </w:tc>
        <w:tc>
          <w:tcPr>
            <w:tcW w:w="222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CONTRIBUTIONS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VENTURES</w:t>
            </w:r>
          </w:p>
        </w:tc>
      </w:tr>
      <w:tr>
        <w:trPr>
          <w:trHeight w:val="177"/>
        </w:trPr>
        <w:tc>
          <w:tcPr>
            <w:tcW w:w="1560" w:type="dxa"/>
            <w:vAlign w:val="bottom"/>
          </w:tcPr>
          <w:p>
            <w:pPr>
              <w:spacing w:after="0"/>
              <w:rPr>
                <w:sz w:val="15"/>
                <w:szCs w:val="15"/>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4"/>
              </w:rPr>
              <w:t>--------------------</w:t>
            </w:r>
          </w:p>
        </w:tc>
        <w:tc>
          <w:tcPr>
            <w:tcW w:w="880" w:type="dxa"/>
            <w:vAlign w:val="bottom"/>
          </w:tcPr>
          <w:p>
            <w:pPr>
              <w:spacing w:after="0"/>
              <w:rPr>
                <w:sz w:val="15"/>
                <w:szCs w:val="15"/>
                <w:color w:val="auto"/>
              </w:rPr>
            </w:pPr>
          </w:p>
        </w:tc>
        <w:tc>
          <w:tcPr>
            <w:tcW w:w="22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ACCUMULATED</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FROM JOINT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CONTRIBUTIONS</w:t>
            </w:r>
          </w:p>
        </w:tc>
      </w:tr>
      <w:tr>
        <w:trPr>
          <w:trHeight w:val="177"/>
        </w:trPr>
        <w:tc>
          <w:tcPr>
            <w:tcW w:w="156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5"/>
                <w:szCs w:val="15"/>
                <w:color w:val="auto"/>
              </w:rPr>
            </w:pPr>
          </w:p>
        </w:tc>
        <w:tc>
          <w:tcPr>
            <w:tcW w:w="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AMOUNT</w:t>
            </w:r>
          </w:p>
        </w:tc>
        <w:tc>
          <w:tcPr>
            <w:tcW w:w="11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AMOUNT</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DEFICIT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VENTURES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RECEIVABLE</w:t>
            </w:r>
          </w:p>
        </w:tc>
      </w:tr>
      <w:tr>
        <w:trPr>
          <w:trHeight w:val="177"/>
        </w:trPr>
        <w:tc>
          <w:tcPr>
            <w:tcW w:w="156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2,000,000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$2,000,000</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5,783,368</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$5,612,143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$(13,169,152)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$2,285,100</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$(208,875)</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including</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accretion to put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price of $6.00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250,000</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$3.50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18,500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64,750</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warrants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$1.50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62,500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93,750</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employee common</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stock 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options at $2.50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16,500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41,250</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at $4.00 per</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1,250,000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subscriptions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subsequently</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collected.......</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28,875</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Joint venturers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subsequently</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collected.......</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Joint venturers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4,073,130</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225,000</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Repurchase and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retirement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put price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$6.00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(5,935,720)</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2,000,000</w:t>
            </w:r>
          </w:p>
        </w:tc>
        <w:tc>
          <w:tcPr>
            <w:tcW w:w="1940" w:type="dxa"/>
            <w:vAlign w:val="bottom"/>
            <w:gridSpan w:val="2"/>
          </w:tcPr>
          <w:p>
            <w:pPr>
              <w:spacing w:after="0"/>
              <w:rPr>
                <w:sz w:val="20"/>
                <w:szCs w:val="20"/>
                <w:color w:val="auto"/>
              </w:rPr>
            </w:pPr>
            <w:r>
              <w:rPr>
                <w:rFonts w:ascii="Courier New" w:cs="Courier New" w:eastAsia="Courier New" w:hAnsi="Courier New"/>
                <w:sz w:val="15"/>
                <w:szCs w:val="15"/>
                <w:color w:val="auto"/>
              </w:rPr>
              <w:t>$2,000,000 1,250,000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$5,970,868</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$6,301,893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$(19,189,872)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$6,358,230</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$(130,000)</w:t>
            </w:r>
          </w:p>
        </w:tc>
      </w:tr>
      <w:tr>
        <w:trPr>
          <w:trHeight w:val="177"/>
        </w:trPr>
        <w:tc>
          <w:tcPr>
            <w:tcW w:w="1560" w:type="dxa"/>
            <w:vAlign w:val="bottom"/>
          </w:tcPr>
          <w:p>
            <w:pPr>
              <w:spacing w:after="0"/>
              <w:rPr>
                <w:sz w:val="15"/>
                <w:szCs w:val="15"/>
                <w:color w:val="auto"/>
              </w:rPr>
            </w:pPr>
          </w:p>
        </w:tc>
        <w:tc>
          <w:tcPr>
            <w:tcW w:w="508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 ========== ========= ========== ==========</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156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1560" w:type="dxa"/>
            <w:vAlign w:val="bottom"/>
          </w:tcPr>
          <w:p>
            <w:pPr>
              <w:spacing w:after="0"/>
              <w:rPr>
                <w:sz w:val="15"/>
                <w:szCs w:val="15"/>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$(3,480,784)</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including</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accretion to put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price of $6.00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98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200,000</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ectPr>
          <w:pgSz w:w="11900" w:h="16838" w:orient="portrait"/>
          <w:cols w:equalWidth="0" w:num="1">
            <w:col w:w="11520"/>
          </w:cols>
          <w:pgMar w:left="240" w:top="650" w:right="13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$3.50 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64,750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warrants at</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$1.50 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93,750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Exercise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employee common</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stock purchase</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options at $2.50</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41,250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at $4.00 per</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subscriptions</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subsequently</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collected.......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28,875</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Joint venturers</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receivable</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subsequently</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collected.......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Joint venturers</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4,073,130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Issuance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$5.00 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225,000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Repurchase and</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retirement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common stock at</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put price of</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$6.00 per share.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(5,935,720)</w:t>
            </w:r>
          </w:p>
        </w:tc>
      </w:tr>
      <w:tr>
        <w:trPr>
          <w:trHeight w:val="177"/>
        </w:trPr>
        <w:tc>
          <w:tcPr>
            <w:tcW w:w="1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BALANCES,</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tcPr>
          <w:p>
            <w:pPr>
              <w:spacing w:after="0"/>
              <w:rPr>
                <w:sz w:val="15"/>
                <w:szCs w:val="15"/>
                <w:color w:val="auto"/>
              </w:rPr>
            </w:pP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340,251</w:t>
            </w:r>
          </w:p>
        </w:tc>
      </w:tr>
      <w:tr>
        <w:trPr>
          <w:trHeight w:val="177"/>
        </w:trPr>
        <w:tc>
          <w:tcPr>
            <w:tcW w:w="15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141" w:right="1440" w:bottom="1440" w:gutter="0" w:footer="0" w:header="0"/>
        </w:sectPr>
      </w:pPr>
    </w:p>
    <w:bookmarkStart w:id="108" w:name="page109"/>
    <w:bookmarkEnd w:id="108"/>
    <w:p>
      <w:pPr>
        <w:jc w:val="center"/>
        <w:ind w:right="4060"/>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FOR THE YEARS ENDED DECEMBER 31, 1993 AND 1994</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AND FOR THE SIX MONTHS ENDED JUNE 30, 1995 (UNAUDITED)</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5"/>
          <w:szCs w:val="15"/>
          <w:color w:val="auto"/>
        </w:rPr>
        <w:t>(SEE NOTE 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SUBSCRIPTIONS</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SERIES B</w:t>
            </w:r>
          </w:p>
        </w:tc>
        <w:tc>
          <w:tcPr>
            <w:tcW w:w="204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SERIES C</w:t>
            </w: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AND JOINT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w:t>
            </w:r>
          </w:p>
        </w:tc>
        <w:tc>
          <w:tcPr>
            <w:tcW w:w="20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PREFERRED STOCK</w:t>
            </w:r>
          </w:p>
        </w:tc>
        <w:tc>
          <w:tcPr>
            <w:tcW w:w="194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spacing w:after="0"/>
              <w:rPr>
                <w:sz w:val="15"/>
                <w:szCs w:val="15"/>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5"/>
                <w:szCs w:val="15"/>
                <w:color w:val="auto"/>
              </w:rPr>
              <w:t>CONTRIBUTIONS</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VENTURES</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ACCUMULATED</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FROM JOINT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CONTRIBUTIONS</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AMOUNT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DEFICIT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VENTURES</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RECEIVABLE</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w:t>
            </w: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BALANCES,</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1993............</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2,000,000</w:t>
            </w:r>
          </w:p>
        </w:tc>
        <w:tc>
          <w:tcPr>
            <w:tcW w:w="1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$2,000,000 1,250,000</w:t>
            </w:r>
          </w:p>
        </w:tc>
        <w:tc>
          <w:tcPr>
            <w:tcW w:w="202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$ 5,000,000 5,970,868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$6,301,893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$(19,189,872)</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$6,358,230</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$(130,000)</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at $5.00</w:t>
            </w:r>
          </w:p>
        </w:tc>
        <w:tc>
          <w:tcPr>
            <w:tcW w:w="74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6"/>
              </w:rPr>
              <w:t>per</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warrants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1,875,000</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warrants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$2.50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305,000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$3.50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37,500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131,250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409,000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2,045,000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Joint venturers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150,000</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warrants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$3.50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52,500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employee common</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stock 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options at $3.50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employee common</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stock 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options at $4.00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Joint venturers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receivable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subsequently</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collected</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(4,251,781)</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BALANCES,</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2,000,000</w:t>
            </w:r>
          </w:p>
        </w:tc>
        <w:tc>
          <w:tcPr>
            <w:tcW w:w="1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2,000,000 2,625,000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11,875,000</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6,554,730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8,836,973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(23,441,653)</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6,508,230</w:t>
            </w:r>
          </w:p>
        </w:tc>
        <w:tc>
          <w:tcPr>
            <w:tcW w:w="124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preferred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at $5.00 per</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1,875,000</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warrants at</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$5.00 per share.</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employee common</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stock 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options at $4.00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4,852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Exercise of</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employee common</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stock purchase</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options at $3.50</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340"/>
          </w:cols>
          <w:pgMar w:left="240" w:top="650" w:right="319" w:bottom="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to</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minority</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interest in IMS-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Net of Kansas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City, Inc.......</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Joint venturers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contributions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receivable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subsequently</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collected.......</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(6,463,664)</w:t>
            </w:r>
          </w:p>
        </w:tc>
        <w:tc>
          <w:tcPr>
            <w:tcW w:w="12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30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 ---------- --------- ----------- --------- ---------- ------------</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BALANCES, June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2,000,000</w:t>
            </w: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$2,000,000 3,000,000</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$13,750,000 6,577,162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$8,947,591</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$(29,905,317)</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$6,508,230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7"/>
        </w:trPr>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300" w:type="dxa"/>
            <w:vAlign w:val="bottom"/>
            <w:gridSpan w:val="7"/>
          </w:tcPr>
          <w:p>
            <w:pPr>
              <w:ind w:left="100"/>
              <w:spacing w:after="0"/>
              <w:rPr>
                <w:sz w:val="20"/>
                <w:szCs w:val="20"/>
                <w:color w:val="auto"/>
              </w:rPr>
            </w:pPr>
            <w:r>
              <w:rPr>
                <w:rFonts w:ascii="Courier New" w:cs="Courier New" w:eastAsia="Courier New" w:hAnsi="Courier New"/>
                <w:sz w:val="15"/>
                <w:szCs w:val="15"/>
                <w:color w:val="auto"/>
              </w:rPr>
              <w:t>========= ========== ========= =========== ========= ========== ============</w:t>
            </w:r>
          </w:p>
        </w:tc>
        <w:tc>
          <w:tcPr>
            <w:tcW w:w="12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7"/>
        </w:trPr>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55"/>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1993............</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   340,251</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at $5.00</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per</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5,000,000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warrants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$5.00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1,875,000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warrants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$2.50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305,000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$3.50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131,250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$5.00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2,045,000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Joint venturers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contributions...</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150,000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warrants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$3.50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52,500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employee common</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stock purchase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options at $3.50</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826</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employee common</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stock purchase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options at $4.00</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504</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Joint venturers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contributions</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receivable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subsequently</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collected.......</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50,000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Net loss........</w:t>
            </w:r>
          </w:p>
        </w:tc>
        <w:tc>
          <w:tcPr>
            <w:tcW w:w="2220" w:type="dxa"/>
            <w:vAlign w:val="bottom"/>
            <w:gridSpan w:val="2"/>
          </w:tcPr>
          <w:p>
            <w:pPr>
              <w:jc w:val="right"/>
              <w:ind w:right="943"/>
              <w:spacing w:after="0"/>
              <w:rPr>
                <w:sz w:val="20"/>
                <w:szCs w:val="20"/>
                <w:color w:val="auto"/>
              </w:rPr>
            </w:pPr>
            <w:r>
              <w:rPr>
                <w:rFonts w:ascii="Courier New" w:cs="Courier New" w:eastAsia="Courier New" w:hAnsi="Courier New"/>
                <w:sz w:val="15"/>
                <w:szCs w:val="15"/>
                <w:color w:val="auto"/>
              </w:rPr>
              <w:t>(4,251,781)</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w w:val="98"/>
              </w:rPr>
              <w:t>BALANCES,</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1994............</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5,698,550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Issuance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Series C</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preferred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at $5.00 per</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1,875,000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common stock</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warrants at</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$5.00 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5,000</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employee common</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stock purchase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options at $4.00</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per share.......</w:t>
            </w:r>
          </w:p>
        </w:tc>
        <w:tc>
          <w:tcPr>
            <w:tcW w:w="22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4,852</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Exercise of</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employee common</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7"/>
        </w:trPr>
        <w:tc>
          <w:tcPr>
            <w:tcW w:w="1560" w:type="dxa"/>
            <w:vAlign w:val="bottom"/>
            <w:gridSpan w:val="3"/>
          </w:tcPr>
          <w:p>
            <w:pPr>
              <w:spacing w:after="0"/>
              <w:rPr>
                <w:sz w:val="20"/>
                <w:szCs w:val="20"/>
                <w:color w:val="auto"/>
              </w:rPr>
            </w:pPr>
            <w:r>
              <w:rPr>
                <w:rFonts w:ascii="Courier New" w:cs="Courier New" w:eastAsia="Courier New" w:hAnsi="Courier New"/>
                <w:sz w:val="15"/>
                <w:szCs w:val="15"/>
                <w:color w:val="auto"/>
              </w:rPr>
              <w:t>stock purchase</w:t>
            </w:r>
          </w:p>
        </w:tc>
        <w:tc>
          <w:tcPr>
            <w:tcW w:w="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ectPr>
          <w:pgSz w:w="11900" w:h="16838" w:orient="portrait"/>
          <w:cols w:equalWidth="0" w:num="1">
            <w:col w:w="11260"/>
          </w:cols>
          <w:pgMar w:left="240" w:top="142" w:right="399" w:bottom="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options at $3.50</w:t>
            </w:r>
          </w:p>
        </w:tc>
        <w:tc>
          <w:tcPr>
            <w:tcW w:w="1200" w:type="dxa"/>
            <w:vAlign w:val="bottom"/>
          </w:tcPr>
          <w:p>
            <w:pPr>
              <w:spacing w:after="0"/>
              <w:rPr>
                <w:sz w:val="14"/>
                <w:szCs w:val="14"/>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766</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to</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purchase</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minority</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interest in IMS-</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Net of Kansas</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City, Inc.......</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Joint venturers</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contributions</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receivable</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subsequently</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collected.......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(6,463,664)</w:t>
            </w:r>
          </w:p>
        </w:tc>
      </w:tr>
      <w:tr>
        <w:trPr>
          <w:trHeight w:val="177"/>
        </w:trPr>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BALANCES, June</w:t>
            </w:r>
          </w:p>
        </w:tc>
        <w:tc>
          <w:tcPr>
            <w:tcW w:w="1200" w:type="dxa"/>
            <w:vAlign w:val="bottom"/>
          </w:tcPr>
          <w:p>
            <w:pPr>
              <w:spacing w:after="0"/>
              <w:rPr>
                <w:sz w:val="15"/>
                <w:szCs w:val="15"/>
                <w:color w:val="auto"/>
              </w:rPr>
            </w:pP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24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spacing w:after="0"/>
              <w:rPr>
                <w:sz w:val="15"/>
                <w:szCs w:val="15"/>
                <w:color w:val="auto"/>
              </w:rPr>
            </w:pP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$ 1,250,504</w:t>
            </w:r>
          </w:p>
        </w:tc>
      </w:tr>
      <w:tr>
        <w:trPr>
          <w:trHeight w:val="177"/>
        </w:trPr>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141" w:right="1440" w:bottom="1440" w:gutter="0" w:footer="0" w:header="0"/>
        </w:sectPr>
      </w:pPr>
    </w:p>
    <w:bookmarkStart w:id="111" w:name="page112"/>
    <w:bookmarkEnd w:id="111"/>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3"/>
          </w:tcPr>
          <w:p>
            <w:pPr>
              <w:jc w:val="right"/>
              <w:ind w:right="343"/>
              <w:spacing w:after="0"/>
              <w:rPr>
                <w:sz w:val="20"/>
                <w:szCs w:val="20"/>
                <w:color w:val="auto"/>
              </w:rPr>
            </w:pPr>
            <w:r>
              <w:rPr>
                <w:rFonts w:ascii="Courier New" w:cs="Courier New" w:eastAsia="Courier New" w:hAnsi="Courier New"/>
                <w:sz w:val="15"/>
                <w:szCs w:val="15"/>
                <w:color w:val="auto"/>
              </w:rPr>
              <w:t>FOR THE YEARS ENDED</w:t>
            </w:r>
          </w:p>
        </w:tc>
        <w:tc>
          <w:tcPr>
            <w:tcW w:w="140" w:type="dxa"/>
            <w:vAlign w:val="bottom"/>
          </w:tcPr>
          <w:p>
            <w:pPr>
              <w:spacing w:after="0"/>
              <w:rPr>
                <w:sz w:val="14"/>
                <w:szCs w:val="14"/>
                <w:color w:val="auto"/>
              </w:rPr>
            </w:pPr>
          </w:p>
        </w:tc>
        <w:tc>
          <w:tcPr>
            <w:tcW w:w="222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FOR THE SIX MONTHS</w:t>
            </w:r>
          </w:p>
        </w:tc>
      </w:tr>
      <w:tr>
        <w:trPr>
          <w:trHeight w:val="177"/>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5"/>
                <w:szCs w:val="15"/>
                <w:color w:val="auto"/>
              </w:rPr>
            </w:pPr>
          </w:p>
        </w:tc>
        <w:tc>
          <w:tcPr>
            <w:tcW w:w="222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ENDED JUNE 30</w:t>
            </w:r>
          </w:p>
        </w:tc>
      </w:tr>
      <w:tr>
        <w:trPr>
          <w:trHeight w:val="177"/>
        </w:trPr>
        <w:tc>
          <w:tcPr>
            <w:tcW w:w="25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360" w:type="dxa"/>
            <w:vAlign w:val="bottom"/>
            <w:gridSpan w:val="4"/>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(UNAUDITED)</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CASH FLOWS USED IN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$(5,935,720)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$(4,251,781)</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$(2,790,720)</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$(6,463,664)</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Adjustments to reconcile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net loss to net cash used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in operating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407,207</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743,313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297,923</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572,110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income of subsidiaries...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184,263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153,281</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57,161</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84,868</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Loss on dissolution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partnership..............</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213,823</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Changes in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assets and liabilities-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Contracts receivable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(1,781,418)</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(6,120,108)</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(775,888)</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3,621,192</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Long-term contract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receivable...............</w:t>
            </w:r>
          </w:p>
        </w:tc>
        <w:tc>
          <w:tcPr>
            <w:tcW w:w="1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1,160,512</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(54,371)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(211,402)</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50,858</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Other long-term assets....</w:t>
            </w:r>
          </w:p>
        </w:tc>
        <w:tc>
          <w:tcPr>
            <w:tcW w:w="1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(207,142)</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(101,032)</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(372,822)</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(6,471)</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1,151,965</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48,088</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(825,157)</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571,852</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1,292,325</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(125,609)</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(995,131)</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Deferred contract revenue.</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915,052</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782,210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125,556</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(161,538)</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Net cash used in operating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(5,485,783)</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(6,667,339)</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(3,213,663)</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(3,949,630)</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CASH FLOWS USED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Purchases of equipment and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furniture................</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(568,761)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(3,396,099)</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(1,279,840)</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(1,025,451)</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cash used in investing</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(568,761)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(3,396,099)</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(1,279,840)</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(1,025,451)</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CASH FLOWS PROVIDED BY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874,750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490,080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137,580</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10,618</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Series C preferred stock.</w:t>
            </w:r>
          </w:p>
        </w:tc>
        <w:tc>
          <w:tcPr>
            <w:tcW w:w="18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5,875,000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1,875,000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lines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2,200,000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lines of credit..........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(2,650,000)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1,250,087</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935,000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3,000,000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(1,097,799)</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(1,536,555)</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(384,807)</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(120,025)</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Related party borrowings,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92,159</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474,382</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(96,296)</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(135,568)</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Increase in other deferred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credits..................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1,600,000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Joint venturers'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contributions............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4,073,130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150,000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150,000</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Stock and partnership</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subscriptions receivable</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collected................</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454,003</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4,556,250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4,556,250</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275,000</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distributions............</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(133,076)</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(244,276)</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(109,551)</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Repurchase of common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(270,000)</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6,393,254</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10,699,881</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4,253,176</w:t>
            </w:r>
          </w:p>
        </w:tc>
        <w:tc>
          <w:tcPr>
            <w:tcW w:w="14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4,935,025</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INCREASE (DECREASE) IN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338,710</w:t>
            </w:r>
          </w:p>
        </w:tc>
        <w:tc>
          <w:tcPr>
            <w:tcW w:w="1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636,443</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(240,327)</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(40,056)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382,694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721,404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721,404</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$ 1,357,847</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721,404</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$ 1,357,847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481,077</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$ 1,317,791</w:t>
            </w:r>
          </w:p>
        </w:tc>
      </w:tr>
      <w:tr>
        <w:trPr>
          <w:trHeight w:val="177"/>
        </w:trPr>
        <w:tc>
          <w:tcPr>
            <w:tcW w:w="2580" w:type="dxa"/>
            <w:vAlign w:val="bottom"/>
          </w:tcPr>
          <w:p>
            <w:pPr>
              <w:spacing w:after="0"/>
              <w:rPr>
                <w:sz w:val="15"/>
                <w:szCs w:val="15"/>
                <w:color w:val="auto"/>
              </w:rPr>
            </w:pPr>
          </w:p>
        </w:tc>
        <w:tc>
          <w:tcPr>
            <w:tcW w:w="124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SUPPLEMENTAL DISCLOSURE OF</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CASH FLOW INFORMATION: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154,920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83,483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58,548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50" w:right="1440" w:bottom="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SUPPLEMENTAL SCHEDULE OF</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NONCASH INVESTING AND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incurred through lease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for new equipment........</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107,055</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Exchange of partners'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investment in limited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partnership for common</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 (Note 7)...........</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$ 1,820,000</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Other deferred credits</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applied to issuance of</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Series C preferred stock</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(Note 8).................</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$ 1,000,000</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Subscription receivable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for common stock.........</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225,000</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Conversion of note payable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to Series C preferred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500,000</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Subscription receivable</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for Series C preferred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stock (Note 8)...........</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$ 4,500,000</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Long-term debt assumed and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issued to limited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partners in exchange for</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profits interests........</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423,201</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Accretion of accumulated</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deficit for common stock</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issued subject to a put</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option...................</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177"/>
        </w:trPr>
        <w:tc>
          <w:tcPr>
            <w:tcW w:w="2580" w:type="dxa"/>
            <w:vAlign w:val="bottom"/>
          </w:tcPr>
          <w:p>
            <w:pPr>
              <w:ind w:left="80"/>
              <w:spacing w:after="0"/>
              <w:rPr>
                <w:sz w:val="20"/>
                <w:szCs w:val="20"/>
                <w:color w:val="auto"/>
              </w:rPr>
            </w:pPr>
            <w:r>
              <w:rPr>
                <w:rFonts w:ascii="Courier New" w:cs="Courier New" w:eastAsia="Courier New" w:hAnsi="Courier New"/>
                <w:sz w:val="15"/>
                <w:szCs w:val="15"/>
                <w:color w:val="auto"/>
              </w:rPr>
              <w:t>Issuance of stock to</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obtain minority interest</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in subsidiary............</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accompanying notes to consolidated financial statements are an integral</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of these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142" w:right="1440" w:bottom="1440" w:gutter="0" w:footer="0" w:header="0"/>
        </w:sectPr>
      </w:pPr>
    </w:p>
    <w:bookmarkStart w:id="113" w:name="page114"/>
    <w:bookmarkEnd w:id="113"/>
    <w:p>
      <w:pPr>
        <w:ind w:left="1385"/>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DECEMBER 31, 1994</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(INCLUDING NOTES APPLICABLE TO UNAUDITED PERIODS</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FOR THE SIX MONTHS ENDED JUNE 30, 1995 AND 1994)</w:t>
      </w:r>
    </w:p>
    <w:p>
      <w:pPr>
        <w:spacing w:after="0" w:line="185" w:lineRule="exact"/>
        <w:rPr>
          <w:sz w:val="20"/>
          <w:szCs w:val="20"/>
          <w:color w:val="auto"/>
        </w:rPr>
      </w:pPr>
    </w:p>
    <w:p>
      <w:pPr>
        <w:ind w:left="85" w:right="7459" w:hanging="85"/>
        <w:spacing w:after="0" w:line="501" w:lineRule="auto"/>
        <w:tabs>
          <w:tab w:leader="none" w:pos="36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LIQUIDITY Organization</w:t>
      </w: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Integrated Medical Systems, Inc., ("IMS" or the "Company") develops and markets medical communication networks and related products and services to hospitals, managed care companies, clinical laboratories and other healthcare organizations throughout the United States.</w:t>
      </w:r>
    </w:p>
    <w:p>
      <w:pPr>
        <w:spacing w:after="0" w:line="176"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Merger</w:t>
      </w:r>
    </w:p>
    <w:p>
      <w:pPr>
        <w:spacing w:after="0" w:line="185" w:lineRule="exact"/>
        <w:rPr>
          <w:sz w:val="20"/>
          <w:szCs w:val="20"/>
          <w:color w:val="auto"/>
        </w:rPr>
      </w:pPr>
    </w:p>
    <w:p>
      <w:pPr>
        <w:ind w:left="5" w:right="3019" w:firstLine="185"/>
        <w:spacing w:after="0" w:line="252" w:lineRule="auto"/>
        <w:rPr>
          <w:sz w:val="20"/>
          <w:szCs w:val="20"/>
          <w:color w:val="auto"/>
        </w:rPr>
      </w:pPr>
      <w:r>
        <w:rPr>
          <w:rFonts w:ascii="Courier New" w:cs="Courier New" w:eastAsia="Courier New" w:hAnsi="Courier New"/>
          <w:sz w:val="15"/>
          <w:szCs w:val="15"/>
          <w:color w:val="auto"/>
        </w:rPr>
        <w:t>On August 2, 1995, the Company and Eli Lilly and Company ("Lilly") signed an Agreement and Plan of Merger through which Lilly will acquire 100% of the Company's common stock.</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Liquidity</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Since its inception, the Company has incurred significant losses from operations, cash flow deficits and had an accumulated deficit at December 31, 1994 and June 30, 1995 of approximately $23.4 million and $29.9 million, respectively. Through December 31, 1994, the Company relied on the sale of preferred and common equity and on capital contributions from joint venturers to fund operating losses. In the six months ended June 30, 1995, the Company raised approximately $4.7 million from the exercise of Series C preferred stock purchase warrants and from the sale of the rights to the remaining payments due under certain network license agreements (see Notes 8 and 10) and through August 28, 1995 Lilly has provided loans to IMS of $5 million (see Note 3). In addition to ongoing sales of network licenses and service agreements, funding through the sale of equity, the sale of network license contracts receivable or the issuance of debt instruments, which management believes will be available in 1995, will be required to fund planned 1995 operations and network expansion. As of December 31, 1994, the Company has working capital of approximately $617,000 and has cancelable and noncancelable network services agreements, joint venture agreements and agreements for the sale of licenses of approximately $44 million, net of receivables sold subsequent to year end. Of this amount, approximately $34 million will be collected over the next three years at the rate of approximately $14 million, $11 million and $9 million in each of these years, respectively.</w:t>
      </w:r>
    </w:p>
    <w:p>
      <w:pPr>
        <w:spacing w:after="0" w:line="187"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management's opinion, these events will provide sufficient cash resources to fund operations through fiscal 1995. To the extent these events do not provide sufficient cash flow, management believes Lilly will continue to provide the funding necessary for the Company to continue its development and expansion until it is self sufficient.</w:t>
      </w:r>
    </w:p>
    <w:p>
      <w:pPr>
        <w:spacing w:after="0" w:line="176" w:lineRule="exact"/>
        <w:rPr>
          <w:sz w:val="20"/>
          <w:szCs w:val="20"/>
          <w:color w:val="auto"/>
        </w:rPr>
      </w:pPr>
    </w:p>
    <w:p>
      <w:pPr>
        <w:ind w:left="85" w:right="5979" w:hanging="85"/>
        <w:spacing w:after="0" w:line="501" w:lineRule="auto"/>
        <w:tabs>
          <w:tab w:leader="none" w:pos="36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Unaudited Financial Statements</w:t>
      </w: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The consolidated financial statements and related notes to consolidated financial statements as of June 30, 1995, and for the six months ended June 30, 1994 and 1995, are unaudited. In the opinion of management, the unaudited consolidated financial statements reflect all adjustments necessary for a fair presentation. All such adjustments were of a normal and recurring nature.</w:t>
      </w:r>
    </w:p>
    <w:p>
      <w:pPr>
        <w:spacing w:after="0" w:line="176"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5"/>
          </w:cols>
          <w:pgMar w:left="235" w:top="650" w:right="1440" w:bottom="1440" w:gutter="0" w:footer="0" w:header="0"/>
        </w:sectPr>
      </w:pPr>
    </w:p>
    <w:bookmarkStart w:id="114" w:name="page115"/>
    <w:bookmarkEnd w:id="114"/>
    <w:p>
      <w:pPr>
        <w:jc w:val="center"/>
        <w:ind w:right="2934"/>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Principles of Consolidation</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The accompanying consolidated financial statements include the accounts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IMS and the following subsidiaries: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380" w:type="dxa"/>
            <w:vAlign w:val="bottom"/>
          </w:tcPr>
          <w:p>
            <w:pPr>
              <w:spacing w:after="0"/>
              <w:rPr>
                <w:sz w:val="14"/>
                <w:szCs w:val="14"/>
                <w:color w:val="auto"/>
              </w:rPr>
            </w:pPr>
          </w:p>
        </w:tc>
        <w:tc>
          <w:tcPr>
            <w:tcW w:w="3000" w:type="dxa"/>
            <w:vAlign w:val="bottom"/>
            <w:gridSpan w:val="2"/>
          </w:tcPr>
          <w:p>
            <w:pPr>
              <w:jc w:val="right"/>
              <w:ind w:right="843"/>
              <w:spacing w:after="0"/>
              <w:rPr>
                <w:sz w:val="20"/>
                <w:szCs w:val="20"/>
                <w:color w:val="auto"/>
              </w:rPr>
            </w:pPr>
            <w:r>
              <w:rPr>
                <w:rFonts w:ascii="Courier New" w:cs="Courier New" w:eastAsia="Courier New" w:hAnsi="Courier New"/>
                <w:sz w:val="15"/>
                <w:szCs w:val="15"/>
                <w:color w:val="auto"/>
              </w:rPr>
              <w:t>IMS OWNERSHIP INTEREST</w:t>
            </w:r>
          </w:p>
        </w:tc>
      </w:tr>
      <w:tr>
        <w:trPr>
          <w:trHeight w:val="177"/>
        </w:trPr>
        <w:tc>
          <w:tcPr>
            <w:tcW w:w="4380" w:type="dxa"/>
            <w:vAlign w:val="bottom"/>
          </w:tcPr>
          <w:p>
            <w:pPr>
              <w:spacing w:after="0"/>
              <w:rPr>
                <w:sz w:val="15"/>
                <w:szCs w:val="15"/>
                <w:color w:val="auto"/>
              </w:rPr>
            </w:pPr>
          </w:p>
        </w:tc>
        <w:tc>
          <w:tcPr>
            <w:tcW w:w="3000" w:type="dxa"/>
            <w:vAlign w:val="bottom"/>
            <w:gridSpan w:val="2"/>
          </w:tcPr>
          <w:p>
            <w:pPr>
              <w:jc w:val="right"/>
              <w:ind w:right="1043"/>
              <w:spacing w:after="0"/>
              <w:rPr>
                <w:sz w:val="20"/>
                <w:szCs w:val="20"/>
                <w:color w:val="auto"/>
              </w:rPr>
            </w:pPr>
            <w:r>
              <w:rPr>
                <w:rFonts w:ascii="Courier New" w:cs="Courier New" w:eastAsia="Courier New" w:hAnsi="Courier New"/>
                <w:sz w:val="15"/>
                <w:szCs w:val="15"/>
                <w:color w:val="auto"/>
              </w:rPr>
              <w:t>AS OF DECEMBER 31</w:t>
            </w:r>
          </w:p>
        </w:tc>
      </w:tr>
      <w:tr>
        <w:trPr>
          <w:trHeight w:val="177"/>
        </w:trPr>
        <w:tc>
          <w:tcPr>
            <w:tcW w:w="4380" w:type="dxa"/>
            <w:vAlign w:val="bottom"/>
          </w:tcPr>
          <w:p>
            <w:pPr>
              <w:spacing w:after="0"/>
              <w:rPr>
                <w:sz w:val="15"/>
                <w:szCs w:val="15"/>
                <w:color w:val="auto"/>
              </w:rPr>
            </w:pPr>
          </w:p>
        </w:tc>
        <w:tc>
          <w:tcPr>
            <w:tcW w:w="30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380" w:type="dxa"/>
            <w:vAlign w:val="bottom"/>
          </w:tcPr>
          <w:p>
            <w:pPr>
              <w:jc w:val="right"/>
              <w:ind w:right="2463"/>
              <w:spacing w:after="0"/>
              <w:rPr>
                <w:sz w:val="20"/>
                <w:szCs w:val="20"/>
                <w:color w:val="auto"/>
              </w:rPr>
            </w:pPr>
            <w:r>
              <w:rPr>
                <w:rFonts w:ascii="Courier New" w:cs="Courier New" w:eastAsia="Courier New" w:hAnsi="Courier New"/>
                <w:sz w:val="15"/>
                <w:szCs w:val="15"/>
                <w:color w:val="auto"/>
              </w:rPr>
              <w:t>SUBSIDIARY</w:t>
            </w:r>
          </w:p>
        </w:tc>
        <w:tc>
          <w:tcPr>
            <w:tcW w:w="14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1993</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 (G)</w:t>
            </w:r>
          </w:p>
        </w:tc>
      </w:tr>
      <w:tr>
        <w:trPr>
          <w:trHeight w:val="177"/>
        </w:trPr>
        <w:tc>
          <w:tcPr>
            <w:tcW w:w="4380" w:type="dxa"/>
            <w:vAlign w:val="bottom"/>
          </w:tcPr>
          <w:p>
            <w:pPr>
              <w:jc w:val="right"/>
              <w:ind w:right="24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355"/>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Alabama, Inc........................</w:t>
            </w:r>
          </w:p>
        </w:tc>
        <w:tc>
          <w:tcPr>
            <w:tcW w:w="14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Alabama Joint Venture.............</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51(C)</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51(C)</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Arizona,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Arizona Joint Venture, Ltd........</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50(C)</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50(C)</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Arkansas,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Central Florida,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Colorado,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3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Colorado Healthcare Network, L.P. ("CHCN,</w:t>
            </w:r>
          </w:p>
        </w:tc>
        <w:tc>
          <w:tcPr>
            <w:tcW w:w="14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L.P.")......................................</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(E)</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IMS-Network of Colorado, Ltd.................</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(B)</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Illinois,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Illinois Medical Information Network, Inc....</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68(C)</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68(C)</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Kansas City,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97</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Northern California,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100(F)</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Sacramento,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(A)</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Pennsylvania, Inc...................</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San Diego, Inc......................</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IMS-Net of Texas, Inc..........................</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100(D)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Indiana Medical Communication Network, LLC.....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Medical Communication Networks, Inc............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49</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w:t>
            </w:r>
          </w:p>
        </w:tc>
      </w:tr>
      <w:tr>
        <w:trPr>
          <w:trHeight w:val="177"/>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Minnesota Medical Communication Network, LLC...</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90</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90</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5" w:hanging="365"/>
        <w:spacing w:after="0"/>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owned by IMS-Net of Northern California, Inc.</w:t>
      </w:r>
    </w:p>
    <w:p>
      <w:pPr>
        <w:spacing w:after="0" w:line="7" w:lineRule="exact"/>
        <w:rPr>
          <w:rFonts w:ascii="Courier New" w:cs="Courier New" w:eastAsia="Courier New" w:hAnsi="Courier New"/>
          <w:sz w:val="15"/>
          <w:szCs w:val="15"/>
          <w:color w:val="auto"/>
        </w:rPr>
      </w:pPr>
    </w:p>
    <w:p>
      <w:pPr>
        <w:ind w:left="365" w:right="3219" w:hanging="365"/>
        <w:spacing w:after="0" w:line="250"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IMS-Net of Colorado, Inc. was the 1% General Partner of this partnership which was dissolved as of December 31, 1994 (see Note 7).</w:t>
      </w:r>
    </w:p>
    <w:p>
      <w:pPr>
        <w:ind w:left="365" w:hanging="365"/>
        <w:spacing w:after="0"/>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IMS's indirect ownership interest through its wholly owned subsidiary.</w:t>
      </w:r>
    </w:p>
    <w:p>
      <w:pPr>
        <w:spacing w:after="0" w:line="7" w:lineRule="exact"/>
        <w:rPr>
          <w:rFonts w:ascii="Courier New" w:cs="Courier New" w:eastAsia="Courier New" w:hAnsi="Courier New"/>
          <w:sz w:val="15"/>
          <w:szCs w:val="15"/>
          <w:color w:val="auto"/>
        </w:rPr>
      </w:pPr>
    </w:p>
    <w:p>
      <w:pPr>
        <w:ind w:left="365" w:right="3119" w:hanging="365"/>
        <w:spacing w:after="0" w:line="250"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dissolution of these entities was in process at December 31, 1993 and completed in 1994.</w:t>
      </w:r>
    </w:p>
    <w:p>
      <w:pPr>
        <w:ind w:left="365" w:right="3019" w:hanging="365"/>
        <w:spacing w:after="0" w:line="250"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May 31, 1993, IMS purchased the remaining 35% limited partner profits interest in CHCN, L.P. for $300,000 and dissolved the partnership.</w:t>
      </w:r>
    </w:p>
    <w:p>
      <w:pPr>
        <w:ind w:left="365" w:right="3219" w:hanging="365"/>
        <w:spacing w:after="0" w:line="250"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1994, the outstanding 49% minority stock interest in IMS-Net of Northern California, Inc. ("Norcal") was retired by Norcal, thereby increasing the Company's interest from 51% to 100% (see Note 6).</w:t>
      </w:r>
    </w:p>
    <w:p>
      <w:pPr>
        <w:spacing w:after="0" w:line="1" w:lineRule="exact"/>
        <w:rPr>
          <w:rFonts w:ascii="Courier New" w:cs="Courier New" w:eastAsia="Courier New" w:hAnsi="Courier New"/>
          <w:sz w:val="15"/>
          <w:szCs w:val="15"/>
          <w:color w:val="auto"/>
        </w:rPr>
      </w:pPr>
    </w:p>
    <w:p>
      <w:pPr>
        <w:ind w:left="365" w:right="3119" w:hanging="365"/>
        <w:spacing w:after="0" w:line="250"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ownership interests as of June 30, 1995 are the same as December 31, 1994 with the exception of the purchase of the remaining 3% of IMS-Net of Kansas City, Inc., to bring the IMS ownership to 100%.</w:t>
      </w:r>
    </w:p>
    <w:p>
      <w:pPr>
        <w:spacing w:after="0" w:line="1" w:lineRule="exact"/>
        <w:rPr>
          <w:rFonts w:ascii="Courier New" w:cs="Courier New" w:eastAsia="Courier New" w:hAnsi="Courier New"/>
          <w:sz w:val="15"/>
          <w:szCs w:val="15"/>
          <w:color w:val="auto"/>
        </w:rPr>
      </w:pPr>
    </w:p>
    <w:p>
      <w:pPr>
        <w:ind w:left="365" w:right="3019" w:hanging="365"/>
        <w:spacing w:after="0" w:line="251" w:lineRule="auto"/>
        <w:tabs>
          <w:tab w:leader="none" w:pos="36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Several of the entities listed above are governed by shareholders' or operating agreements which contain buy/sell provisions. These provisions give the Company and the joint owners of these entities the right to initiate buy/sell elections relating to the entities' ownership. The price of the exchanges are at fair market value or as specifically defined in the agreements.</w:t>
      </w:r>
    </w:p>
    <w:p>
      <w:pPr>
        <w:spacing w:after="0" w:line="176" w:lineRule="exact"/>
        <w:rPr>
          <w:sz w:val="20"/>
          <w:szCs w:val="20"/>
          <w:color w:val="auto"/>
        </w:rPr>
      </w:pPr>
    </w:p>
    <w:p>
      <w:pPr>
        <w:jc w:val="both"/>
        <w:ind w:left="5" w:right="3399" w:firstLine="185"/>
        <w:spacing w:after="0" w:line="252" w:lineRule="auto"/>
        <w:rPr>
          <w:sz w:val="20"/>
          <w:szCs w:val="20"/>
          <w:color w:val="auto"/>
        </w:rPr>
      </w:pPr>
      <w:r>
        <w:rPr>
          <w:rFonts w:ascii="Courier New" w:cs="Courier New" w:eastAsia="Courier New" w:hAnsi="Courier New"/>
          <w:sz w:val="15"/>
          <w:szCs w:val="15"/>
          <w:color w:val="auto"/>
        </w:rPr>
        <w:t>All majority owned and controlled subsidiaries are consolidated and all significant intercompany accounts and transactions have been eliminated in consolidation.</w:t>
      </w:r>
    </w:p>
    <w:p>
      <w:pPr>
        <w:spacing w:after="0" w:line="17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5"/>
          </w:cols>
          <w:pgMar w:left="235" w:top="650" w:right="1440" w:bottom="1440" w:gutter="0" w:footer="0" w:header="0"/>
        </w:sectPr>
      </w:pPr>
    </w:p>
    <w:bookmarkStart w:id="115" w:name="page116"/>
    <w:bookmarkEnd w:id="115"/>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Equivalents</w:t>
      </w:r>
    </w:p>
    <w:p>
      <w:pPr>
        <w:spacing w:after="0" w:line="185" w:lineRule="exact"/>
        <w:rPr>
          <w:sz w:val="20"/>
          <w:szCs w:val="20"/>
          <w:color w:val="auto"/>
        </w:rPr>
      </w:pPr>
    </w:p>
    <w:p>
      <w:pPr>
        <w:jc w:val="both"/>
        <w:ind w:right="3119" w:firstLine="185"/>
        <w:spacing w:after="0" w:line="252" w:lineRule="auto"/>
        <w:rPr>
          <w:sz w:val="20"/>
          <w:szCs w:val="20"/>
          <w:color w:val="auto"/>
        </w:rPr>
      </w:pPr>
      <w:r>
        <w:rPr>
          <w:rFonts w:ascii="Courier New" w:cs="Courier New" w:eastAsia="Courier New" w:hAnsi="Courier New"/>
          <w:sz w:val="15"/>
          <w:szCs w:val="15"/>
          <w:color w:val="auto"/>
        </w:rPr>
        <w:t>For purposes of the statements of cash flows, the Company considers highly liquid debt instruments purchased with original maturities of three months or less to be cash equivalents.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5"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The Company follows the provisions of the American Institute of Certified Public Accountants Statement of Position 91-1, "Software Revenue Recognition".</w:t>
      </w:r>
    </w:p>
    <w:p>
      <w:pPr>
        <w:spacing w:after="0" w:line="174"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The Company licenses software under long-term network license agreements. License fee revenue is recognized when the network is operational, customer acceptance has occurred and all significant obligations have been satisfied.</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Post-contract support ("PCS") activities, including software updates and maintenance, are provided to customers either as part of a network license agreement or under a separate network license service agreement. When PCS is provided as part of a network license agreement, the Company allocates a portion of the network license agreement fee to PCS activities. The portion of the fee allocated to PCS activities is based on the pricing of separate network license service agreements. All PCS revenue is recognized ratably over the period such activities are provided.</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Company also generates revenue from network service agreements. Under these agreements customers are provided network access, network communication and installation. Fees are typically paid quarterly in advance and recognized as revenue ratably over the service period.</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Third-party joint venture fees paid to the Company in connection with the formation of consolidated subsidiary entities are recorded as capital contributions from joint venturers. In 1993, four venturers paid $4,073,130 in such fees and in 1994 one venturer paid $150,000, relating to a joint venture commenced in 1993.</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Contracts Receivable and Deferred Contract Revenue</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Contracts receivable are comprised of amounts due the Company under network services and network license agreements for implementation and network access fees. Revenues associated with advance payments received under network services agreements are deferred and recognized ratably over the period services are performed.</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Equipment and Furniture</w:t>
      </w:r>
    </w:p>
    <w:p>
      <w:pPr>
        <w:spacing w:after="0" w:line="185"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Equipment and furniture are stated at cost. Depreciation and amortization is provided using the straight-line method over the estimated useful lives of the assets, ranging from 2 to 10 years.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Effective January 1, 1993, the Company implemented the provisions of Statement of Financial Accounting Standards No. 109 ("SFAS 109"), "Accounting for Income Taxes". SFAS 109 utilizes the liability method and deferred taxes are determined based on the estimated future tax effects of differences between the financial statement and tax bases of assets and liabilities and net operating loss carryforwards given the provisions of enacted tax laws (see Note 4).</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Net Loss Per Common Share</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Net loss per common share is computed based upon net loss increased to reflect undeclared preferred stock dividends at an annual rate of $200,000 and the weighted average number of common and common equivalent shares outstanding during the year. All outstanding stock options and warrants were excluded from the computation because they were antidilutive.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50" w:right="1440" w:bottom="1440" w:gutter="0" w:footer="0" w:header="0"/>
        </w:sectPr>
      </w:pPr>
    </w:p>
    <w:bookmarkStart w:id="116" w:name="page117"/>
    <w:bookmarkEnd w:id="116"/>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Software Development Costs</w:t>
      </w:r>
    </w:p>
    <w:p>
      <w:pPr>
        <w:spacing w:after="0" w:line="185"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and ends when the product is ready for general release. The establishment of technological feasibility and the ongoing assessment of the recoverability of these costs require considerable judgment by management with respect to certain external factors, including, but not limited to, anticipated future gross product revenues, estimated economic life and changes in software and hardware technology. Amounts that could have been capitalized under this statement after consideration of the above factors were immaterial and, therefore, no software development costs have been capitalized by the Company to date.</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185" w:lineRule="exact"/>
        <w:rPr>
          <w:sz w:val="20"/>
          <w:szCs w:val="20"/>
          <w:color w:val="auto"/>
        </w:rPr>
      </w:pPr>
    </w:p>
    <w:p>
      <w:pPr>
        <w:ind w:right="3959" w:firstLine="185"/>
        <w:spacing w:after="0" w:line="253" w:lineRule="auto"/>
        <w:rPr>
          <w:sz w:val="20"/>
          <w:szCs w:val="20"/>
          <w:color w:val="auto"/>
        </w:rPr>
      </w:pPr>
      <w:r>
        <w:rPr>
          <w:rFonts w:ascii="Courier New" w:cs="Courier New" w:eastAsia="Courier New" w:hAnsi="Courier New"/>
          <w:sz w:val="15"/>
          <w:szCs w:val="15"/>
          <w:color w:val="auto"/>
        </w:rPr>
        <w:t>Certain 1993 amounts have been reclassified to conform to the 1994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RELATED PARTY TRANSACTIONS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On June 12, 1995, the Company received $3,000,000 from Eli Lilly and Company (a stockholder) as a bridge loan. The note bears interest at a rate of 10% per annum and matures on July 1, 1996. Subsequently, an additional $5,850,000 in varying increments was received from Eli Lilly with maturity of July 1, 1996, bearing interest at 10% per annum (see Note 5). The loans from Eli Lilly are subordinated to IMS's other indebtedness and are secured by a pledge of most of the assets of IMS. The loans become immediately due and payable if IMS breaches the Merger Agreement (see Note 11), subject to certain rights of IMS to cure such breach.</w:t>
      </w:r>
    </w:p>
    <w:p>
      <w:pPr>
        <w:spacing w:after="0" w:line="17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In January 1995, the Company's chairman transitioned from his role in day-to-day management to that of a board member only. The Company will continue his compensation at its present rate through December 31, 1995. These and other related costs are included in payables to related parties in the accompanying consolidated 1994 balance sheet.</w:t>
      </w:r>
    </w:p>
    <w:p>
      <w:pPr>
        <w:spacing w:after="0" w:line="176" w:lineRule="exact"/>
        <w:rPr>
          <w:sz w:val="20"/>
          <w:szCs w:val="20"/>
          <w:color w:val="auto"/>
        </w:rPr>
      </w:pPr>
    </w:p>
    <w:p>
      <w:pPr>
        <w:jc w:val="both"/>
        <w:ind w:right="3019" w:firstLine="185"/>
        <w:spacing w:after="0" w:line="251" w:lineRule="auto"/>
        <w:rPr>
          <w:sz w:val="20"/>
          <w:szCs w:val="20"/>
          <w:color w:val="auto"/>
        </w:rPr>
      </w:pPr>
      <w:r>
        <w:rPr>
          <w:rFonts w:ascii="Courier New" w:cs="Courier New" w:eastAsia="Courier New" w:hAnsi="Courier New"/>
          <w:sz w:val="15"/>
          <w:szCs w:val="15"/>
          <w:color w:val="auto"/>
        </w:rPr>
        <w:t>The Company issued warrants to purchase 79,302 shares of common stock at $4 per share to its chairman in January of 1994. The Company owed amounts to its chairman at December 31, 1993 totaling $166,938. This amount was paid in 1994. Such amount was noninterest bearing and due on demand.</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During 1993, the Company's board of directors established a management committee comprised of five senior vice presidents in charge of the Company's five functional areas. As part of their 1993 compensation, the members of the management committee received fully vested options to purchase 25,000 shares of common stock each at $4.00 per share. As part of their 1994 compensation, the members of the management committee received options to purchase 100,000 shares of common stock each at $4.00 per share.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the normal course of business, the Company's networks incur costs payable to the Company's joint venture partners. At December 31, 1994, such payables totaled approximately $707,000, and were included in payables to related parties in the accompanying consolidated balance sheets.</w:t>
      </w:r>
    </w:p>
    <w:p>
      <w:pPr>
        <w:spacing w:after="0" w:line="176"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During 1994 and 1993, the Company reimbursed a director of the Company for approximately $61,000 and $125,000, respectively, of legal fees paid on behalf of the Company under an indemnification agreement.</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During 1994, the Company sold $177,500 of software and equipment to a company owned by a director of the Company, who in turn sold these items to a hospital. The Company recorded this revenue upon the network becoming operational and all significant obligations of the Company being fulfilled.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650" w:right="1440" w:bottom="1440" w:gutter="0" w:footer="0" w:header="0"/>
        </w:sectPr>
      </w:pPr>
    </w:p>
    <w:bookmarkStart w:id="117" w:name="page118"/>
    <w:bookmarkEnd w:id="117"/>
    <w:p>
      <w:pPr>
        <w:jc w:val="center"/>
        <w:ind w:right="2934"/>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5" w:right="3019" w:firstLine="185"/>
        <w:spacing w:after="0" w:line="253" w:lineRule="auto"/>
        <w:rPr>
          <w:sz w:val="20"/>
          <w:szCs w:val="20"/>
          <w:color w:val="auto"/>
        </w:rPr>
      </w:pPr>
      <w:r>
        <w:rPr>
          <w:rFonts w:ascii="Courier New" w:cs="Courier New" w:eastAsia="Courier New" w:hAnsi="Courier New"/>
          <w:sz w:val="15"/>
          <w:szCs w:val="15"/>
          <w:color w:val="auto"/>
        </w:rPr>
        <w:t>During 1993, an affiliate of a shareholder loaned the Company $250,000 under the terms of a 9% promissory note. This amount was repaid in 1994.</w:t>
      </w:r>
    </w:p>
    <w:p>
      <w:pPr>
        <w:spacing w:after="0" w:line="174" w:lineRule="exact"/>
        <w:rPr>
          <w:sz w:val="20"/>
          <w:szCs w:val="20"/>
          <w:color w:val="auto"/>
        </w:rPr>
      </w:pPr>
    </w:p>
    <w:p>
      <w:pPr>
        <w:jc w:val="both"/>
        <w:ind w:left="5" w:right="3579" w:firstLine="185"/>
        <w:spacing w:after="0" w:line="250" w:lineRule="auto"/>
        <w:rPr>
          <w:sz w:val="20"/>
          <w:szCs w:val="20"/>
          <w:color w:val="auto"/>
        </w:rPr>
      </w:pPr>
      <w:r>
        <w:rPr>
          <w:rFonts w:ascii="Courier New" w:cs="Courier New" w:eastAsia="Courier New" w:hAnsi="Courier New"/>
          <w:sz w:val="15"/>
          <w:szCs w:val="15"/>
          <w:color w:val="auto"/>
        </w:rPr>
        <w:t>In 1992, a limited partner in IMS-Network of Colorado, Ltd. loaned the Company $165,000 pursuant to two $82,500 promissory notes, secured by a collateral assignment of payments due under a network license agreement.</w:t>
      </w:r>
    </w:p>
    <w:p>
      <w:pPr>
        <w:spacing w:after="0" w:line="1"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During 1993, the Company repaid one of these promissory notes. The remaining note was repaid in 1994.</w:t>
      </w:r>
    </w:p>
    <w:p>
      <w:pPr>
        <w:spacing w:after="0" w:line="174"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During 1993, a director of the Company advanced $250,000 to the Company to meet short-term cash requirements. Also, three directors advanced $75,000 each ($225,000 total) to the Company to meet short-term cash requirements. These advances were interest bearing (short-term bank rates) and were secured by assignments of cash flows. These advances were repaid prior to December 31, 1993.</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During 1992, a senior vice president of the Company funded a $200,000 security bond for the Company related to the litigation described in Note 6. This same officer also sold certain of his common stock in the Company to an unrelated party and loaned the proceeds of $90,000 to the Company. These loans were repaid by the Company in 1993.</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consideration for certain loans and/or personal guarantees related to the Company's borrowings, as discussed above, from a bank and other obligations, the Company issued warrants to purchase 28,000 and 191,800 shares of common stock to directors and a shareholder during 1994 and 1993, respectively, at $3.50-$5.00 per share (see Note 8).</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(4) INCOME TAXES</w:t>
      </w:r>
    </w:p>
    <w:p>
      <w:pPr>
        <w:spacing w:after="0" w:line="185" w:lineRule="exact"/>
        <w:rPr>
          <w:sz w:val="20"/>
          <w:szCs w:val="20"/>
          <w:color w:val="auto"/>
        </w:rPr>
      </w:pPr>
    </w:p>
    <w:p>
      <w:pPr>
        <w:ind w:left="5" w:right="3579" w:firstLine="185"/>
        <w:spacing w:after="0" w:line="252" w:lineRule="auto"/>
        <w:rPr>
          <w:sz w:val="20"/>
          <w:szCs w:val="20"/>
          <w:color w:val="auto"/>
        </w:rPr>
      </w:pPr>
      <w:r>
        <w:rPr>
          <w:rFonts w:ascii="Courier New" w:cs="Courier New" w:eastAsia="Courier New" w:hAnsi="Courier New"/>
          <w:sz w:val="15"/>
          <w:szCs w:val="15"/>
          <w:color w:val="auto"/>
        </w:rPr>
        <w:t>The Company adopted SFAS 109 as of January 1, 1993. This change in accounting principle had no cumulative effect on the Company's financial position or results of operations as of January 1, 1993.</w:t>
      </w:r>
    </w:p>
    <w:p>
      <w:pPr>
        <w:spacing w:after="0" w:line="175" w:lineRule="exact"/>
        <w:rPr>
          <w:sz w:val="20"/>
          <w:szCs w:val="20"/>
          <w:color w:val="auto"/>
        </w:rPr>
      </w:pPr>
    </w:p>
    <w:p>
      <w:pPr>
        <w:ind w:left="5" w:right="3399" w:firstLine="185"/>
        <w:spacing w:after="0" w:line="253" w:lineRule="auto"/>
        <w:rPr>
          <w:sz w:val="20"/>
          <w:szCs w:val="20"/>
          <w:color w:val="auto"/>
        </w:rPr>
      </w:pPr>
      <w:r>
        <w:rPr>
          <w:rFonts w:ascii="Courier New" w:cs="Courier New" w:eastAsia="Courier New" w:hAnsi="Courier New"/>
          <w:sz w:val="15"/>
          <w:szCs w:val="15"/>
          <w:color w:val="auto"/>
        </w:rPr>
        <w:t>The net deferred tax assets and liabilities as of December 31, 1994, are comprised of the following:</w:t>
      </w:r>
    </w:p>
    <w:p>
      <w:pPr>
        <w:spacing w:after="0" w:line="200" w:lineRule="exact"/>
        <w:rPr>
          <w:sz w:val="20"/>
          <w:szCs w:val="20"/>
          <w:color w:val="auto"/>
        </w:rPr>
      </w:pPr>
    </w:p>
    <w:p>
      <w:pPr>
        <w:spacing w:after="0" w:line="329"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1994</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3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Accrued vacation........................................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93,600</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Current deferred tax assets...........................</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93,600</w:t>
            </w:r>
          </w:p>
        </w:tc>
      </w:tr>
      <w:tr>
        <w:trPr>
          <w:trHeight w:val="177"/>
        </w:trPr>
        <w:tc>
          <w:tcPr>
            <w:tcW w:w="5380" w:type="dxa"/>
            <w:vAlign w:val="bottom"/>
          </w:tcPr>
          <w:p>
            <w:pPr>
              <w:spacing w:after="0"/>
              <w:rPr>
                <w:sz w:val="20"/>
                <w:szCs w:val="20"/>
                <w:color w:val="auto"/>
              </w:rPr>
            </w:pPr>
            <w:r>
              <w:rPr>
                <w:rFonts w:ascii="Courier New" w:cs="Courier New" w:eastAsia="Courier New" w:hAnsi="Courier New"/>
                <w:sz w:val="15"/>
                <w:szCs w:val="15"/>
                <w:color w:val="auto"/>
              </w:rPr>
              <w:t>Noncurrent:</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Share in losses from joint ventures/partnerships........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207,700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Reorganization costs....................................</w:t>
            </w:r>
          </w:p>
        </w:tc>
        <w:tc>
          <w:tcPr>
            <w:tcW w:w="42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(177,400)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Deferred Revenue........................................</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311,100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42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(285,900)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Tax credits.............................................</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67,600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Net Operating loss carryforwards........................</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4,186,700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26,600</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Noncurrent net deferred tax assets....................</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4,336,400</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3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Total net deferred tax assets before valuation</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allowance............................................</w:t>
            </w:r>
          </w:p>
        </w:tc>
        <w:tc>
          <w:tcPr>
            <w:tcW w:w="42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4,430,000</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Valuation allowance.......................................</w:t>
            </w:r>
          </w:p>
        </w:tc>
        <w:tc>
          <w:tcPr>
            <w:tcW w:w="42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(4,430,000)</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538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5380" w:type="dxa"/>
            <w:vAlign w:val="bottom"/>
          </w:tcPr>
          <w:p>
            <w:pPr>
              <w:spacing w:after="0"/>
              <w:rPr>
                <w:sz w:val="15"/>
                <w:szCs w:val="15"/>
                <w:color w:val="auto"/>
              </w:rPr>
            </w:pPr>
          </w:p>
        </w:tc>
        <w:tc>
          <w:tcPr>
            <w:tcW w:w="16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3119" w:firstLine="185"/>
        <w:spacing w:after="0" w:line="250" w:lineRule="auto"/>
        <w:rPr>
          <w:sz w:val="20"/>
          <w:szCs w:val="20"/>
          <w:color w:val="auto"/>
        </w:rPr>
      </w:pPr>
      <w:r>
        <w:rPr>
          <w:rFonts w:ascii="Courier New" w:cs="Courier New" w:eastAsia="Courier New" w:hAnsi="Courier New"/>
          <w:sz w:val="15"/>
          <w:szCs w:val="15"/>
          <w:color w:val="auto"/>
        </w:rPr>
        <w:t>The Company has determined that $4,430,000 of net deferred tax assets as of December 31, 1994 do not satisfy the realization criteria set forth in SFAS</w:t>
      </w:r>
    </w:p>
    <w:p>
      <w:pPr>
        <w:spacing w:after="0" w:line="1" w:lineRule="exact"/>
        <w:rPr>
          <w:sz w:val="20"/>
          <w:szCs w:val="20"/>
          <w:color w:val="auto"/>
        </w:rPr>
      </w:pPr>
    </w:p>
    <w:p>
      <w:pPr>
        <w:ind w:left="5" w:right="3959" w:hanging="5"/>
        <w:spacing w:after="0" w:line="253" w:lineRule="auto"/>
        <w:tabs>
          <w:tab w:leader="none" w:pos="46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Recognition of these assets requires future taxable income, the attainment of which is uncertain.</w:t>
      </w:r>
    </w:p>
    <w:p>
      <w:pPr>
        <w:spacing w:after="0" w:line="174"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5"/>
          </w:cols>
          <w:pgMar w:left="235" w:top="650" w:right="1440" w:bottom="1440" w:gutter="0" w:footer="0" w:header="0"/>
        </w:sectPr>
      </w:pPr>
    </w:p>
    <w:bookmarkStart w:id="118" w:name="page119"/>
    <w:bookmarkEnd w:id="118"/>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right="3299" w:firstLine="185"/>
        <w:spacing w:after="0" w:line="253" w:lineRule="auto"/>
        <w:rPr>
          <w:sz w:val="20"/>
          <w:szCs w:val="20"/>
          <w:color w:val="auto"/>
        </w:rPr>
      </w:pPr>
      <w:r>
        <w:rPr>
          <w:rFonts w:ascii="Courier New" w:cs="Courier New" w:eastAsia="Courier New" w:hAnsi="Courier New"/>
          <w:sz w:val="15"/>
          <w:szCs w:val="15"/>
          <w:color w:val="auto"/>
        </w:rPr>
        <w:t>Accordingly, a valuation allowance has been recorded to offset the entire deferred tax asset.</w:t>
      </w:r>
    </w:p>
    <w:p>
      <w:pPr>
        <w:spacing w:after="0" w:line="174"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At December 31, 1994, the Company has tax credit carryforwards available to offset future taxable income of approximately $67,600 which expire through 2006. In addition, the Company has net operating loss carryforwards of approximately $11,300,000 which expire through 2009.</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net operating loss and credit amounts are subject to examination by the tax authorities. The Internal Revenue Code contains provisions which may limit the net operating loss and tax credit carryforwards available to be used in any given year upon the occurrence of certain events, including significant changes in ownership.</w:t>
      </w:r>
    </w:p>
    <w:p>
      <w:pPr>
        <w:spacing w:after="0" w:line="176" w:lineRule="exact"/>
        <w:rPr>
          <w:sz w:val="20"/>
          <w:szCs w:val="20"/>
          <w:color w:val="auto"/>
        </w:rPr>
      </w:pPr>
    </w:p>
    <w:p>
      <w:pPr>
        <w:ind w:right="3399" w:firstLine="185"/>
        <w:spacing w:after="0" w:line="253" w:lineRule="auto"/>
        <w:rPr>
          <w:sz w:val="20"/>
          <w:szCs w:val="20"/>
          <w:color w:val="auto"/>
        </w:rPr>
      </w:pPr>
      <w:r>
        <w:rPr>
          <w:rFonts w:ascii="Courier New" w:cs="Courier New" w:eastAsia="Courier New" w:hAnsi="Courier New"/>
          <w:sz w:val="15"/>
          <w:szCs w:val="15"/>
          <w:color w:val="auto"/>
        </w:rPr>
        <w:t>At December 31, 1994, the Company had no current federal or state income taxes payable.</w:t>
      </w:r>
    </w:p>
    <w:p>
      <w:pPr>
        <w:spacing w:after="0" w:line="174"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The difference between the 1993 and 1994 losses reported for financial reporting and the losses reported for income tax purposes was primarily the result of the treatment of contributions from joint venturers as capital contributions for financial reporting purposes and as taxable income for tax reporting purposes, accelerated depreciation for tax purposes, and certain accruals not currently deductible for tax reporting purposes.</w:t>
      </w:r>
    </w:p>
    <w:p>
      <w:pPr>
        <w:spacing w:after="0" w:line="176"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The difference between the statutory federal income taxes and the Company's effective income taxes is summarized as follows:</w:t>
      </w: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FOR THE YEAR ENDED</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DECEMBER 31</w:t>
      </w:r>
    </w:p>
    <w:p>
      <w:pPr>
        <w:spacing w:after="0" w:line="8"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260"/>
        <w:spacing w:after="0"/>
        <w:tabs>
          <w:tab w:leader="none" w:pos="644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p>
    <w:p>
      <w:pPr>
        <w:spacing w:after="0" w:line="8" w:lineRule="exact"/>
        <w:rPr>
          <w:sz w:val="20"/>
          <w:szCs w:val="20"/>
          <w:color w:val="auto"/>
        </w:rPr>
      </w:pPr>
    </w:p>
    <w:p>
      <w:pPr>
        <w:ind w:left="4980"/>
        <w:spacing w:after="0"/>
        <w:tabs>
          <w:tab w:leader="none" w:pos="6160" w:val="left"/>
        </w:tabs>
        <w:rPr>
          <w:sz w:val="20"/>
          <w:szCs w:val="20"/>
          <w:color w:val="auto"/>
        </w:rPr>
      </w:pPr>
      <w:r>
        <w:rPr>
          <w:rFonts w:ascii="Courier New" w:cs="Courier New" w:eastAsia="Courier New" w:hAnsi="Courier New"/>
          <w:sz w:val="15"/>
          <w:szCs w:val="15"/>
          <w:color w:val="auto"/>
        </w:rPr>
        <w:t>-----------</w:t>
        <w:tab/>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benefit computed at the statutory</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rate................................................ $(2,018,100) $(1,445,600)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as a result of Joint venture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capital contributions treated as income for tax</w:t>
      </w:r>
    </w:p>
    <w:p>
      <w:pPr>
        <w:spacing w:after="0" w:line="8" w:lineRule="exact"/>
        <w:rPr>
          <w:sz w:val="20"/>
          <w:szCs w:val="20"/>
          <w:color w:val="auto"/>
        </w:rPr>
      </w:pPr>
    </w:p>
    <w:p>
      <w:pPr>
        <w:ind w:left="80"/>
        <w:spacing w:after="0"/>
        <w:tabs>
          <w:tab w:leader="none" w:pos="5140" w:val="left"/>
          <w:tab w:leader="none" w:pos="6620" w:val="left"/>
        </w:tabs>
        <w:rPr>
          <w:sz w:val="20"/>
          <w:szCs w:val="20"/>
          <w:color w:val="auto"/>
        </w:rPr>
      </w:pPr>
      <w:r>
        <w:rPr>
          <w:rFonts w:ascii="Courier New" w:cs="Courier New" w:eastAsia="Courier New" w:hAnsi="Courier New"/>
          <w:sz w:val="15"/>
          <w:szCs w:val="15"/>
          <w:color w:val="auto"/>
        </w:rPr>
        <w:t>reporting purposes..................................</w:t>
      </w:r>
      <w:r>
        <w:rPr>
          <w:sz w:val="20"/>
          <w:szCs w:val="20"/>
          <w:color w:val="auto"/>
        </w:rPr>
        <w:tab/>
      </w:r>
      <w:r>
        <w:rPr>
          <w:rFonts w:ascii="Courier New" w:cs="Courier New" w:eastAsia="Courier New" w:hAnsi="Courier New"/>
          <w:sz w:val="15"/>
          <w:szCs w:val="15"/>
          <w:color w:val="auto"/>
        </w:rPr>
        <w:t>1,384,800</w:t>
      </w:r>
      <w:r>
        <w:rPr>
          <w:sz w:val="20"/>
          <w:szCs w:val="20"/>
          <w:color w:val="auto"/>
        </w:rPr>
        <w:tab/>
      </w:r>
      <w:r>
        <w:rPr>
          <w:rFonts w:ascii="Courier New" w:cs="Courier New" w:eastAsia="Courier New" w:hAnsi="Courier New"/>
          <w:sz w:val="15"/>
          <w:szCs w:val="15"/>
          <w:color w:val="auto"/>
        </w:rPr>
        <w:t>51,000</w:t>
      </w:r>
    </w:p>
    <w:p>
      <w:pPr>
        <w:spacing w:after="0" w:line="8" w:lineRule="exact"/>
        <w:rPr>
          <w:sz w:val="20"/>
          <w:szCs w:val="20"/>
          <w:color w:val="auto"/>
        </w:rPr>
      </w:pPr>
    </w:p>
    <w:p>
      <w:pPr>
        <w:spacing w:after="0"/>
        <w:tabs>
          <w:tab w:leader="none" w:pos="5320" w:val="left"/>
          <w:tab w:leader="none" w:pos="662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(48,400)</w:t>
      </w:r>
      <w:r>
        <w:rPr>
          <w:sz w:val="20"/>
          <w:szCs w:val="20"/>
          <w:color w:val="auto"/>
        </w:rPr>
        <w:tab/>
      </w:r>
      <w:r>
        <w:rPr>
          <w:rFonts w:ascii="Courier New" w:cs="Courier New" w:eastAsia="Courier New" w:hAnsi="Courier New"/>
          <w:sz w:val="15"/>
          <w:szCs w:val="15"/>
          <w:color w:val="auto"/>
        </w:rPr>
        <w:t>37,100</w:t>
      </w:r>
    </w:p>
    <w:p>
      <w:pPr>
        <w:spacing w:after="0" w:line="8" w:lineRule="exact"/>
        <w:rPr>
          <w:sz w:val="20"/>
          <w:szCs w:val="20"/>
          <w:color w:val="auto"/>
        </w:rPr>
      </w:pPr>
    </w:p>
    <w:p>
      <w:pPr>
        <w:spacing w:after="0"/>
        <w:tabs>
          <w:tab w:leader="none" w:pos="5320" w:val="left"/>
          <w:tab w:leader="none" w:pos="6340" w:val="left"/>
        </w:tabs>
        <w:rPr>
          <w:sz w:val="20"/>
          <w:szCs w:val="20"/>
          <w:color w:val="auto"/>
        </w:rPr>
      </w:pPr>
      <w:r>
        <w:rPr>
          <w:rFonts w:ascii="Courier New" w:cs="Courier New" w:eastAsia="Courier New" w:hAnsi="Courier New"/>
          <w:sz w:val="15"/>
          <w:szCs w:val="15"/>
          <w:color w:val="auto"/>
        </w:rPr>
        <w:t>Valuation allowance..................................</w:t>
      </w:r>
      <w:r>
        <w:rPr>
          <w:sz w:val="20"/>
          <w:szCs w:val="20"/>
          <w:color w:val="auto"/>
        </w:rPr>
        <w:tab/>
      </w:r>
      <w:r>
        <w:rPr>
          <w:rFonts w:ascii="Courier New" w:cs="Courier New" w:eastAsia="Courier New" w:hAnsi="Courier New"/>
          <w:sz w:val="15"/>
          <w:szCs w:val="15"/>
          <w:color w:val="auto"/>
        </w:rPr>
        <w:t>681,700</w:t>
      </w:r>
      <w:r>
        <w:rPr>
          <w:sz w:val="20"/>
          <w:szCs w:val="20"/>
          <w:color w:val="auto"/>
        </w:rPr>
        <w:tab/>
      </w:r>
      <w:r>
        <w:rPr>
          <w:rFonts w:ascii="Courier New" w:cs="Courier New" w:eastAsia="Courier New" w:hAnsi="Courier New"/>
          <w:sz w:val="15"/>
          <w:szCs w:val="15"/>
          <w:color w:val="auto"/>
        </w:rPr>
        <w:t>1,357,500</w:t>
      </w:r>
    </w:p>
    <w:p>
      <w:pPr>
        <w:spacing w:after="0" w:line="8" w:lineRule="exact"/>
        <w:rPr>
          <w:sz w:val="20"/>
          <w:szCs w:val="20"/>
          <w:color w:val="auto"/>
        </w:rPr>
      </w:pPr>
    </w:p>
    <w:p>
      <w:pPr>
        <w:ind w:left="4980"/>
        <w:spacing w:after="0"/>
        <w:tabs>
          <w:tab w:leader="none" w:pos="616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pacing w:after="0"/>
        <w:tabs>
          <w:tab w:leader="none" w:pos="5700" w:val="left"/>
          <w:tab w:leader="none" w:pos="6160" w:val="left"/>
          <w:tab w:leader="none" w:pos="6900" w:val="left"/>
        </w:tabs>
        <w:rPr>
          <w:sz w:val="20"/>
          <w:szCs w:val="20"/>
          <w:color w:val="auto"/>
        </w:rPr>
      </w:pPr>
      <w:r>
        <w:rPr>
          <w:rFonts w:ascii="Courier New" w:cs="Courier New" w:eastAsia="Courier New" w:hAnsi="Courier New"/>
          <w:sz w:val="15"/>
          <w:szCs w:val="15"/>
          <w:color w:val="auto"/>
        </w:rPr>
        <w:t>Effective taxes......................................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4980"/>
        <w:spacing w:after="0"/>
        <w:tabs>
          <w:tab w:leader="none" w:pos="6160" w:val="left"/>
        </w:tabs>
        <w:rPr>
          <w:sz w:val="20"/>
          <w:szCs w:val="20"/>
          <w:color w:val="auto"/>
        </w:rPr>
      </w:pPr>
      <w:r>
        <w:rPr>
          <w:rFonts w:ascii="Courier New" w:cs="Courier New" w:eastAsia="Courier New" w:hAnsi="Courier New"/>
          <w:sz w:val="15"/>
          <w:szCs w:val="15"/>
          <w:color w:val="auto"/>
        </w:rPr>
        <w:t>===========</w:t>
        <w:tab/>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Long-term debt is comprised of the following at December 31, 1994 and June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4880" w:type="dxa"/>
            <w:vAlign w:val="bottom"/>
          </w:tcPr>
          <w:p>
            <w:pPr>
              <w:jc w:val="right"/>
              <w:ind w:right="4303"/>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710"/>
        </w:trPr>
        <w:tc>
          <w:tcPr>
            <w:tcW w:w="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DECEMBER</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Courier New" w:cs="Courier New" w:eastAsia="Courier New" w:hAnsi="Courier New"/>
                <w:sz w:val="15"/>
                <w:szCs w:val="15"/>
                <w:color w:val="auto"/>
                <w:w w:val="96"/>
              </w:rPr>
              <w:t>31,</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5"/>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Note payable to Lilly-secured by stock, equipment and</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inventory, interest at 10% per annum, due in full on</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July 1, 1996...........................................</w:t>
            </w:r>
          </w:p>
        </w:tc>
        <w:tc>
          <w:tcPr>
            <w:tcW w:w="3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$3,000,000</w:t>
            </w:r>
          </w:p>
        </w:tc>
      </w:tr>
      <w:tr>
        <w:trPr>
          <w:trHeight w:val="177"/>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Note payable to a corporation-secured by certain</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contracts, interest at 9.5%, monthly principal and</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 payments of $8,008, due September 24, 1996....</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154,376</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112,845</w:t>
            </w:r>
          </w:p>
        </w:tc>
      </w:tr>
      <w:tr>
        <w:trPr>
          <w:trHeight w:val="177"/>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Notes payable to individuals-unsecured, interest at 8%,</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quarterly principal and interest payments of $30,714,</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due May 31, 1995.......................................</w:t>
            </w:r>
          </w:p>
        </w:tc>
        <w:tc>
          <w:tcPr>
            <w:tcW w:w="340" w:type="dxa"/>
            <w:vAlign w:val="bottom"/>
          </w:tcPr>
          <w:p>
            <w:pPr>
              <w:spacing w:after="0"/>
              <w:rPr>
                <w:sz w:val="15"/>
                <w:szCs w:val="15"/>
                <w:color w:val="auto"/>
              </w:rPr>
            </w:pP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6"/>
              </w:rPr>
              <w:t>59,634</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obligations-secured by equipment and</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letter of credit, interest ranging from 6% to 11.4%,</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5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due in varying monthly installments through 1999.......</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151,170</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132,310</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debt............................................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365,180</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3,245,155</w:t>
            </w:r>
          </w:p>
        </w:tc>
      </w:tr>
      <w:tr>
        <w:trPr>
          <w:trHeight w:val="177"/>
        </w:trPr>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Less-Current maturities.................................</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(181,182)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(123,777)</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debt........................................</w:t>
            </w: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183,998</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$3,121,378</w:t>
            </w:r>
          </w:p>
        </w:tc>
      </w:tr>
      <w:tr>
        <w:trPr>
          <w:trHeight w:val="177"/>
        </w:trPr>
        <w:tc>
          <w:tcPr>
            <w:tcW w:w="3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2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320" w:type="dxa"/>
            <w:vAlign w:val="bottom"/>
          </w:tcPr>
          <w:p>
            <w:pPr>
              <w:spacing w:after="0"/>
              <w:rPr>
                <w:sz w:val="24"/>
                <w:szCs w:val="24"/>
                <w:color w:val="auto"/>
              </w:rPr>
            </w:pPr>
          </w:p>
        </w:tc>
        <w:tc>
          <w:tcPr>
            <w:tcW w:w="4880" w:type="dxa"/>
            <w:vAlign w:val="bottom"/>
          </w:tcPr>
          <w:p>
            <w:pPr>
              <w:jc w:val="right"/>
              <w:ind w:right="1343"/>
              <w:spacing w:after="0"/>
              <w:rPr>
                <w:sz w:val="20"/>
                <w:szCs w:val="20"/>
                <w:color w:val="auto"/>
              </w:rPr>
            </w:pPr>
            <w:r>
              <w:rPr>
                <w:rFonts w:ascii="Courier New" w:cs="Courier New" w:eastAsia="Courier New" w:hAnsi="Courier New"/>
                <w:sz w:val="15"/>
                <w:szCs w:val="15"/>
                <w:color w:val="auto"/>
              </w:rPr>
              <w:t>F-15</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650" w:right="1440" w:bottom="724" w:gutter="0" w:footer="0" w:header="0"/>
        </w:sectPr>
      </w:pPr>
    </w:p>
    <w:bookmarkStart w:id="119" w:name="page120"/>
    <w:bookmarkEnd w:id="119"/>
    <w:p>
      <w:pPr>
        <w:jc w:val="center"/>
        <w:ind w:right="2934"/>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tbl>
      <w:tblPr>
        <w:tblLayout w:type="fixed"/>
        <w:tblInd w:w="185" w:type="dxa"/>
        <w:tblCellMar>
          <w:top w:w="0" w:type="dxa"/>
          <w:left w:w="0" w:type="dxa"/>
          <w:bottom w:w="0" w:type="dxa"/>
          <w:right w:w="0" w:type="dxa"/>
        </w:tblCellMar>
      </w:tblPr>
      <w:tr>
        <w:trPr>
          <w:trHeight w:val="172"/>
        </w:trPr>
        <w:tc>
          <w:tcPr>
            <w:tcW w:w="4660" w:type="dxa"/>
            <w:vAlign w:val="bottom"/>
          </w:tcPr>
          <w:p>
            <w:pPr>
              <w:jc w:val="right"/>
              <w:ind w:right="1443"/>
              <w:spacing w:after="0"/>
              <w:rPr>
                <w:sz w:val="20"/>
                <w:szCs w:val="20"/>
                <w:color w:val="auto"/>
              </w:rPr>
            </w:pPr>
            <w:r>
              <w:rPr>
                <w:rFonts w:ascii="Courier New" w:cs="Courier New" w:eastAsia="Courier New" w:hAnsi="Courier New"/>
                <w:sz w:val="15"/>
                <w:szCs w:val="15"/>
                <w:color w:val="auto"/>
              </w:rPr>
              <w:t>Long-term debt matures as follows:</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710"/>
        </w:trPr>
        <w:tc>
          <w:tcPr>
            <w:tcW w:w="466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 ENDED</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YEAR ENDED</w:t>
            </w:r>
          </w:p>
        </w:tc>
      </w:tr>
      <w:tr>
        <w:trPr>
          <w:trHeight w:val="177"/>
        </w:trPr>
        <w:tc>
          <w:tcPr>
            <w:tcW w:w="466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DECEMBER 31</w:t>
            </w:r>
          </w:p>
        </w:tc>
        <w:tc>
          <w:tcPr>
            <w:tcW w:w="460" w:type="dxa"/>
            <w:vAlign w:val="bottom"/>
          </w:tcPr>
          <w:p>
            <w:pPr>
              <w:spacing w:after="0"/>
              <w:rPr>
                <w:sz w:val="15"/>
                <w:szCs w:val="15"/>
                <w:color w:val="auto"/>
              </w:rPr>
            </w:pP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466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$181,182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123,777</w:t>
            </w:r>
          </w:p>
        </w:tc>
      </w:tr>
      <w:tr>
        <w:trPr>
          <w:trHeight w:val="177"/>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104,264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3,060,199</w:t>
            </w:r>
          </w:p>
        </w:tc>
      </w:tr>
      <w:tr>
        <w:trPr>
          <w:trHeight w:val="177"/>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29,551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22,370</w:t>
            </w:r>
          </w:p>
        </w:tc>
      </w:tr>
      <w:tr>
        <w:trPr>
          <w:trHeight w:val="177"/>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23,673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25,053</w:t>
            </w:r>
          </w:p>
        </w:tc>
      </w:tr>
      <w:tr>
        <w:trPr>
          <w:trHeight w:val="177"/>
        </w:trPr>
        <w:tc>
          <w:tcPr>
            <w:tcW w:w="46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26,510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13,756</w:t>
            </w:r>
          </w:p>
        </w:tc>
      </w:tr>
      <w:tr>
        <w:trPr>
          <w:trHeight w:val="177"/>
        </w:trPr>
        <w:tc>
          <w:tcPr>
            <w:tcW w:w="466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$365,180</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$3,245,155</w:t>
            </w:r>
          </w:p>
        </w:tc>
      </w:tr>
      <w:tr>
        <w:trPr>
          <w:trHeight w:val="177"/>
        </w:trPr>
        <w:tc>
          <w:tcPr>
            <w:tcW w:w="4660" w:type="dxa"/>
            <w:vAlign w:val="bottom"/>
          </w:tcPr>
          <w:p>
            <w:pPr>
              <w:spacing w:after="0"/>
              <w:rPr>
                <w:sz w:val="15"/>
                <w:szCs w:val="15"/>
                <w:color w:val="auto"/>
              </w:rPr>
            </w:pPr>
          </w:p>
        </w:tc>
        <w:tc>
          <w:tcPr>
            <w:tcW w:w="11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85" w:right="7179" w:hanging="85"/>
        <w:spacing w:after="0" w:line="501" w:lineRule="auto"/>
        <w:tabs>
          <w:tab w:leader="none" w:pos="3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ind w:left="5" w:right="3299" w:firstLine="185"/>
        <w:spacing w:after="0" w:line="251" w:lineRule="auto"/>
        <w:rPr>
          <w:sz w:val="20"/>
          <w:szCs w:val="20"/>
          <w:color w:val="auto"/>
        </w:rPr>
      </w:pPr>
      <w:r>
        <w:rPr>
          <w:rFonts w:ascii="Courier New" w:cs="Courier New" w:eastAsia="Courier New" w:hAnsi="Courier New"/>
          <w:sz w:val="15"/>
          <w:szCs w:val="15"/>
          <w:color w:val="auto"/>
        </w:rPr>
        <w:t>The Company was involved, beginning in January 1992, in a dispute with NewHealth Group, Inc. ("NHG"), the former 49% owner of IMS-Net of Northern California, Inc. ("Norcal") and the former manager of Norcal and IMS-Net of Sacramento, Inc. ("Sacto"), its 100% owned subsidiary.</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During 1994 and early 1995, all of the litigation surrounding this dispute was terminated in favor of the Company. Additionally, the Company won monetary and punitive judgments against NHG and its officers and Norcal has recovered and retired the outstanding 49% minority interest in Norcal, formerly owned by NHG, so that the Company owns 100% of Norcal as of December 31, 1994. As the Company is uncertain as to the ultimate collectibility of the judgments, the monetary and punitive judgments will be recognized for financial reporting purposes when and if the judgments are collected. No value was recorded for recovery and retirement of the 49% minority interest.</w:t>
      </w:r>
    </w:p>
    <w:p>
      <w:pPr>
        <w:spacing w:after="0" w:line="175" w:lineRule="exact"/>
        <w:rPr>
          <w:sz w:val="20"/>
          <w:szCs w:val="20"/>
          <w:color w:val="auto"/>
        </w:rPr>
      </w:pPr>
    </w:p>
    <w:p>
      <w:pPr>
        <w:jc w:val="both"/>
        <w:ind w:left="5" w:right="3299" w:firstLine="185"/>
        <w:spacing w:after="0" w:line="252" w:lineRule="auto"/>
        <w:rPr>
          <w:sz w:val="20"/>
          <w:szCs w:val="20"/>
          <w:color w:val="auto"/>
        </w:rPr>
      </w:pPr>
      <w:r>
        <w:rPr>
          <w:rFonts w:ascii="Courier New" w:cs="Courier New" w:eastAsia="Courier New" w:hAnsi="Courier New"/>
          <w:sz w:val="15"/>
          <w:szCs w:val="15"/>
          <w:color w:val="auto"/>
        </w:rPr>
        <w:t>During 1993, 1994 and the first six months of 1995, the Company expensed approximately $1,658,000, $785,000 and 53,000, respectively, in legal costs relating to this litigation.</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Conversion Obligation</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Under a joint venture agreement with the Company, Blue Cross and Blue Shield of Arizona, Inc. ("BCBSAZ"), as limited partner in the joint venture, has the right to elect to exchange all or increments of 20% of its rights to profits allocations in the joint venture for shares of the Company's common stock. The number of shares is to be determined by dividing $3.5 million by the market price of IMS common stock at the time of exchange. Such option is available to BCBSAZ at any time until three years and 120 days after commencement of the initial public offering of equity securities of the Company.</w:t>
      </w:r>
    </w:p>
    <w:p>
      <w:pPr>
        <w:spacing w:after="0" w:line="175"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Obligation to Fund Joint Ventures</w:t>
      </w:r>
    </w:p>
    <w:p>
      <w:pPr>
        <w:spacing w:after="0" w:line="185"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Company has agreed to fund operating cash shortfalls of four networks under the terms of four joint venture agreements. At December 31, 1994, the aggregate net amount of advances to the venture entities was $403,620. In management's opinion these potential future funding obligations will not have a material adverse effect on the Company's financial position.</w:t>
      </w:r>
    </w:p>
    <w:p>
      <w:pPr>
        <w:spacing w:after="0" w:line="176"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Lease Obligations</w:t>
      </w:r>
    </w:p>
    <w:p>
      <w:pPr>
        <w:spacing w:after="0" w:line="185" w:lineRule="exact"/>
        <w:rPr>
          <w:sz w:val="20"/>
          <w:szCs w:val="20"/>
          <w:color w:val="auto"/>
        </w:rPr>
      </w:pPr>
    </w:p>
    <w:p>
      <w:pPr>
        <w:ind w:left="5" w:right="3219" w:firstLine="185"/>
        <w:spacing w:after="0" w:line="252" w:lineRule="auto"/>
        <w:rPr>
          <w:sz w:val="20"/>
          <w:szCs w:val="20"/>
          <w:color w:val="auto"/>
        </w:rPr>
      </w:pPr>
      <w:r>
        <w:rPr>
          <w:rFonts w:ascii="Courier New" w:cs="Courier New" w:eastAsia="Courier New" w:hAnsi="Courier New"/>
          <w:sz w:val="15"/>
          <w:szCs w:val="15"/>
          <w:color w:val="auto"/>
        </w:rPr>
        <w:t>The Company has entered into various noncancelable operating leases for office space. Total rental expense related to these lease agreements in 1993 and 1994 was $654,331 and $1,035,111, respectively.</w:t>
      </w:r>
    </w:p>
    <w:p>
      <w:pPr>
        <w:spacing w:after="0" w:line="17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5"/>
          </w:cols>
          <w:pgMar w:left="235" w:top="650" w:right="1440"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72"/>
        </w:trPr>
        <w:tc>
          <w:tcPr>
            <w:tcW w:w="640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INTEGRATED MEDICAL SYSTEMS, INC. AND SUBSIDIARIES</w:t>
            </w:r>
          </w:p>
        </w:tc>
        <w:tc>
          <w:tcPr>
            <w:tcW w:w="980" w:type="dxa"/>
            <w:vAlign w:val="bottom"/>
          </w:tcPr>
          <w:p>
            <w:pPr>
              <w:spacing w:after="0"/>
              <w:rPr>
                <w:sz w:val="14"/>
                <w:szCs w:val="14"/>
                <w:color w:val="auto"/>
              </w:rPr>
            </w:pPr>
          </w:p>
        </w:tc>
      </w:tr>
      <w:tr>
        <w:trPr>
          <w:trHeight w:val="355"/>
        </w:trPr>
        <w:tc>
          <w:tcPr>
            <w:tcW w:w="64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NOTES TO CONSOLIDATED FINANCIAL STATEMENTS--(CONTINUED)</w:t>
            </w:r>
          </w:p>
        </w:tc>
        <w:tc>
          <w:tcPr>
            <w:tcW w:w="980" w:type="dxa"/>
            <w:vAlign w:val="bottom"/>
          </w:tcPr>
          <w:p>
            <w:pPr>
              <w:spacing w:after="0"/>
              <w:rPr>
                <w:sz w:val="24"/>
                <w:szCs w:val="24"/>
                <w:color w:val="auto"/>
              </w:rPr>
            </w:pPr>
          </w:p>
        </w:tc>
      </w:tr>
      <w:tr>
        <w:trPr>
          <w:trHeight w:val="355"/>
        </w:trPr>
        <w:tc>
          <w:tcPr>
            <w:tcW w:w="738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Future minimum lease payments under noncancelable operating lease agreements</w:t>
            </w:r>
          </w:p>
        </w:tc>
      </w:tr>
      <w:tr>
        <w:trPr>
          <w:trHeight w:val="177"/>
        </w:trPr>
        <w:tc>
          <w:tcPr>
            <w:tcW w:w="6400" w:type="dxa"/>
            <w:vAlign w:val="bottom"/>
          </w:tcPr>
          <w:p>
            <w:pPr>
              <w:jc w:val="right"/>
              <w:ind w:right="2723"/>
              <w:spacing w:after="0"/>
              <w:rPr>
                <w:sz w:val="20"/>
                <w:szCs w:val="20"/>
                <w:color w:val="auto"/>
              </w:rPr>
            </w:pPr>
            <w:r>
              <w:rPr>
                <w:rFonts w:ascii="Courier New" w:cs="Courier New" w:eastAsia="Courier New" w:hAnsi="Courier New"/>
                <w:sz w:val="15"/>
                <w:szCs w:val="15"/>
                <w:color w:val="auto"/>
              </w:rPr>
              <w:t>as of December 31, 1994 are as follows:</w:t>
            </w:r>
          </w:p>
        </w:tc>
        <w:tc>
          <w:tcPr>
            <w:tcW w:w="980" w:type="dxa"/>
            <w:vAlign w:val="bottom"/>
          </w:tcPr>
          <w:p>
            <w:pPr>
              <w:spacing w:after="0"/>
              <w:rPr>
                <w:sz w:val="15"/>
                <w:szCs w:val="15"/>
                <w:color w:val="auto"/>
              </w:rPr>
            </w:pPr>
          </w:p>
        </w:tc>
      </w:tr>
      <w:tr>
        <w:trPr>
          <w:trHeight w:val="710"/>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990,198</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880,812</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671,552</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275,835</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131,280</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4,237</w:t>
            </w:r>
          </w:p>
        </w:tc>
      </w:tr>
      <w:tr>
        <w:trPr>
          <w:trHeight w:val="177"/>
        </w:trPr>
        <w:tc>
          <w:tcPr>
            <w:tcW w:w="6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$2,953,914</w:t>
            </w:r>
          </w:p>
        </w:tc>
      </w:tr>
      <w:tr>
        <w:trPr>
          <w:trHeight w:val="177"/>
        </w:trPr>
        <w:tc>
          <w:tcPr>
            <w:tcW w:w="6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jc w:val="both"/>
        <w:ind w:right="3019" w:firstLine="185"/>
        <w:spacing w:after="0" w:line="252" w:lineRule="auto"/>
        <w:rPr>
          <w:sz w:val="20"/>
          <w:szCs w:val="20"/>
          <w:color w:val="auto"/>
        </w:rPr>
      </w:pPr>
      <w:r>
        <w:rPr>
          <w:rFonts w:ascii="Courier New" w:cs="Courier New" w:eastAsia="Courier New" w:hAnsi="Courier New"/>
          <w:sz w:val="15"/>
          <w:szCs w:val="15"/>
          <w:color w:val="auto"/>
        </w:rPr>
        <w:t>Subsequent to December 31, 1994, the Company entered into various operating leases for office space. Future minimum lease payments related to these leases total approximately $704,000 and have been included in the above table.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Letters of Credit</w:t>
      </w:r>
    </w:p>
    <w:p>
      <w:pPr>
        <w:spacing w:after="0" w:line="185"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At December 31, 1994, the Company had letters of credit outstanding totaling approximately $213,000 collateralizing certain capital lease and tenant finishings. The letters of credit expire at various dates through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PARTNERS' INVESTMENT IN LIMITED PARTNERSHIP</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During 1992, the Company, through its wholly-owned subsidiary IMS-Net of Colorado, Inc. ("IMS-Colorado"), obtained a 1% general partner interest in IMS-Network of Colorado, Ltd. (the "Partnership"), a Colorado limited partnership. The Partnership was formed for the purpose of obtaining business and technology licenses from the Company to operate a medical communication network (the "Network") in Colorado and to sublicense such rights to IMS-Colorado. IMS-Colorado operates the Network and paid license fees to the Partnership based on gross revenues received from the Network.</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During 1993 and 1994, the Partnership distributed $143,559 and $209,219, respectively, to the limited partners representing 99% of the royalties earned by the Partnership. The accounts of the Partnership were consolidated in the accompanying 1993 financial statements as IMS-Colorado was the general partner. All intercompany transactions and accounts were eliminated in the accompanying consolidated 1993 financial statements. As of December 31, 1994, the Partnership was dissolved as discussed below.</w:t>
      </w:r>
    </w:p>
    <w:p>
      <w:pPr>
        <w:spacing w:after="0" w:line="176" w:lineRule="exact"/>
        <w:rPr>
          <w:sz w:val="20"/>
          <w:szCs w:val="20"/>
          <w:color w:val="auto"/>
        </w:rPr>
      </w:pPr>
    </w:p>
    <w:p>
      <w:pPr>
        <w:ind w:right="3299" w:firstLine="185"/>
        <w:spacing w:after="0" w:line="251" w:lineRule="auto"/>
        <w:rPr>
          <w:sz w:val="20"/>
          <w:szCs w:val="20"/>
          <w:color w:val="auto"/>
        </w:rPr>
      </w:pPr>
      <w:r>
        <w:rPr>
          <w:rFonts w:ascii="Courier New" w:cs="Courier New" w:eastAsia="Courier New" w:hAnsi="Courier New"/>
          <w:sz w:val="15"/>
          <w:szCs w:val="15"/>
          <w:color w:val="auto"/>
        </w:rPr>
        <w:t>Due to the Company's various obligations to the limited partners, amounts received from the limited partners ($1,820,000 at December 31, 1993) were excluded from stockholders' equity in 1993. Such amounts were converted and reclassified to common stock in 1994 as discussed below.</w:t>
      </w:r>
    </w:p>
    <w:p>
      <w:pPr>
        <w:spacing w:after="0" w:line="176" w:lineRule="exact"/>
        <w:rPr>
          <w:sz w:val="20"/>
          <w:szCs w:val="20"/>
          <w:color w:val="auto"/>
        </w:rPr>
      </w:pPr>
    </w:p>
    <w:p>
      <w:pPr>
        <w:ind w:right="3119" w:firstLine="185"/>
        <w:spacing w:after="0" w:line="252" w:lineRule="auto"/>
        <w:rPr>
          <w:sz w:val="20"/>
          <w:szCs w:val="20"/>
          <w:color w:val="auto"/>
        </w:rPr>
      </w:pPr>
      <w:r>
        <w:rPr>
          <w:rFonts w:ascii="Courier New" w:cs="Courier New" w:eastAsia="Courier New" w:hAnsi="Courier New"/>
          <w:sz w:val="15"/>
          <w:szCs w:val="15"/>
          <w:color w:val="auto"/>
        </w:rPr>
        <w:t>On December 9, 1994, the Company made an exchange offering (the "Exchange") to each limited partner of the Partnership and each holder of IMS-Colorado preferred stock.</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Pursuant to the Exchange, each Partnership unit and each preferred share of IMS-Colorado was surrendered to the Company in exchange for 4,000 shares of common stock of the Company and also received one nontransferable common stock purchase warrant entitling the holder to purchase up to 2,000 and 4,000 additional shares of common stock at $5 per share, respectively. Each warrant is exercisable in accordance with its terms for a period of three years through December 1997.</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50" w:right="1440" w:bottom="1440" w:gutter="0" w:footer="0" w:header="0"/>
        </w:sectPr>
      </w:pPr>
    </w:p>
    <w:bookmarkStart w:id="121" w:name="page122"/>
    <w:bookmarkEnd w:id="121"/>
    <w:p>
      <w:pPr>
        <w:jc w:val="center"/>
        <w:ind w:right="2934"/>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Each limited partner and shareholder accepted the Exchange and 324,000 and 40,000 shares of common stock and warrants to purchase 162,000 and 40,000 shares of common stock were issued to the holders of the Partnership units and IMS-Colorado preferred stock, respectively, as set forth above, and the Partnership was dissolved as of December 31, 1994.</w:t>
      </w:r>
    </w:p>
    <w:p>
      <w:pPr>
        <w:spacing w:after="0" w:line="176" w:lineRule="exact"/>
        <w:rPr>
          <w:sz w:val="20"/>
          <w:szCs w:val="20"/>
          <w:color w:val="auto"/>
        </w:rPr>
      </w:pPr>
    </w:p>
    <w:p>
      <w:pPr>
        <w:ind w:left="85" w:right="7919" w:hanging="85"/>
        <w:spacing w:after="0" w:line="501" w:lineRule="auto"/>
        <w:tabs>
          <w:tab w:leader="none" w:pos="36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Series B Preferred Stock</w:t>
      </w: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Each share of Series B voting preferred stock ("Series B") is convertible at a price per share of $1.50, at the option of the holder into common stock. Such conversion is automatic at the consummation of an initial public offering by the Company. The Series B is entitled to receive quarterly cumulative dividends (equal to 10% of the par value or $.10 per share per annum). Cumulative undeclared and unpaid dividends were $1,300,000 and $1,400,000 at December 31, 1994 and June 30, 1995, respectively. Such cumulative dividends have not been accrued as the Company has an accumulated deficit and, therefore, is unable to declare or pay dividends. As dividends have not been declared as of June 30, 1995 no accrual has been made in the accompanying financial statements. The undeclared and unpaid dividends would increase the net loss to the common stockholders by $200,000 for each of the years ended December 31, 1993, and 1994 and by $100,000 for the six month periods ended June 30, 1994 and 1995. In the event of liquidation, holders of Series B will be entitled to a liquidation preference of $1.00 per share plus accumulated unpaid dividends. At December 31, 1994 the Company was not in compliance with certain reporting covenants of the Series B Preferred Stock Agreement which require reporting of quarterly financial information to holders. In the opinion of management, such non-compliance will have no material adverse consequence to the Company.</w:t>
      </w:r>
    </w:p>
    <w:p>
      <w:pPr>
        <w:spacing w:after="0" w:line="363"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Series C Preferred Stock</w:t>
      </w:r>
    </w:p>
    <w:p>
      <w:pPr>
        <w:spacing w:after="0" w:line="185"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Under terms of a Subscription Agreement dated December 30, 1993, a Series C Preferred Stock Purchase Agreement dated January 6, 1994, and a Network Sponsorship and Participation Agreement dated November 17, 1993, a corporation purchased 1,250,000 shares of IMS's Series C convertible preferred stock ("Series C") at $4 per share for a total of $5 million on January 6, 1994. On July 12, 1994, this corporation also purchased an additional 1,000,000 shares of Series C at $5 per share by applying as partial payment the $1 million in national network sponsorship and access fees paid in 1993. The Series C has liquidation preferences over the Company's common stock but is subordinate to holders of Series B and is convertible on a 1-to-1 basis to the Company's common stock at the purchaser's option. Such conversion is automatic at the consummation of an initial public offering above certain thresholds. Upon the occurrence of certain circumstances, the Series C preferred stock has noncumulative voting rights equal to shares of the Company's common stock and is not redeemable.</w:t>
      </w:r>
    </w:p>
    <w:p>
      <w:pPr>
        <w:spacing w:after="0" w:line="184"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The Company also issued warrants to the purchasing corporation in connection with its investment in the Company's Series C and in conjunction with the Network Sponsorship and Participation Agreement. In conjunction with the first and second tranches of Series C as discussed above, the Company issued warrants to purchase 750,000 and 500,000 shares, respectively, of Series C. In 1994, this corporation exercised warrants to purchase 375,000 shares of Series C for $1,875,000. Subsequent to yearend, this corporation exercised warrants to purchase an additional 375,000 shares of Series C for $1,875,000. The additional 500,000 warrants are exercisable during the two-year period after grant at $6 and $7 per share during the first and second years, respectively.</w:t>
      </w:r>
    </w:p>
    <w:p>
      <w:pPr>
        <w:spacing w:after="0" w:line="182"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In connection with the investment in the Company, the Company granted the purchasing corporation a right of first offer on IMS shares under certain circumstances. If the Company receives an offer from a potential investor, it is obligated, except with respect to certain investors, to offer shares to the purchasing corporation under substantially the same terms as those negotiated with the potential investor. During November 1994, the purchasing corporation was acquired by Eli Lilly and Company who may or may not have succeeded to these rights.</w:t>
      </w:r>
    </w:p>
    <w:p>
      <w:pPr>
        <w:spacing w:after="0" w:line="17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5"/>
          </w:cols>
          <w:pgMar w:left="235" w:top="650" w:right="1440" w:bottom="1440" w:gutter="0" w:footer="0" w:header="0"/>
        </w:sectPr>
      </w:pPr>
    </w:p>
    <w:bookmarkStart w:id="122" w:name="page123"/>
    <w:bookmarkEnd w:id="122"/>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Under terms of a Letter of Intent and Option Agreement dated November 10, 1993, another corporation has paid the Company $600,000 which is reflected as other deferred credits in the accompanying consolidated balance sheets. The option agreement was terminated in January 1995. If the corporation does not make such an investment, the $600,000 will be applied to payments due under the corporation's Communications Services Agreement with the Company.</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Stock Warrants</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Stock warrants have been issued to certain investors. Common stock warrant</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activity during 1993 and 1994, and the first six months in 1995 is as follows:</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EXERCISE PRICE</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5"/>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387,000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$1.50--3.50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191,800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3.50--5.00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3.50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(62,500)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503,800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1.50--5.00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309,303</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4.00--5.00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(137,000)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2.50--3.50</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651,103</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1.50--5.00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6.50</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5.00</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Balance, June 30, 1995 (unaudited)..................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660,103</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$1.50--6.50</w:t>
            </w:r>
          </w:p>
        </w:tc>
      </w:tr>
      <w:tr>
        <w:trPr>
          <w:trHeight w:val="177"/>
        </w:trPr>
        <w:tc>
          <w:tcPr>
            <w:tcW w:w="4840" w:type="dxa"/>
            <w:vAlign w:val="bottom"/>
          </w:tcPr>
          <w:p>
            <w:pPr>
              <w:spacing w:after="0"/>
              <w:rPr>
                <w:sz w:val="15"/>
                <w:szCs w:val="15"/>
                <w:color w:val="auto"/>
              </w:rPr>
            </w:pP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360" w:lineRule="exact"/>
        <w:rPr>
          <w:sz w:val="20"/>
          <w:szCs w:val="20"/>
          <w:color w:val="auto"/>
        </w:rPr>
      </w:pPr>
    </w:p>
    <w:p>
      <w:pPr>
        <w:ind w:right="3679" w:firstLine="185"/>
        <w:spacing w:after="0" w:line="253" w:lineRule="auto"/>
        <w:rPr>
          <w:sz w:val="20"/>
          <w:szCs w:val="20"/>
          <w:color w:val="auto"/>
        </w:rPr>
      </w:pPr>
      <w:r>
        <w:rPr>
          <w:rFonts w:ascii="Courier New" w:cs="Courier New" w:eastAsia="Courier New" w:hAnsi="Courier New"/>
          <w:sz w:val="15"/>
          <w:szCs w:val="15"/>
          <w:color w:val="auto"/>
        </w:rPr>
        <w:t>The warrants are fully vested at date of grant and are exercisable at varying times through July 1998.</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Series C Warrants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In 1994, the Company also issued Series C warrants, as discussed above, of which warrants to purchase 1,250,000 shares of Series C at prices ranging from $5.00--$7.00 were granted and 375,000 were exercised at $5.00 per share. Subsequent to yearend, holder of such warrants exercised the remaining warrants to purchase 875,000 shares of Series C for $4,875,000.</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Common Stock Option Plans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The Company has adopted its 1989 Stock Option Plan (the "1989 Plan") providing for the grant of options to purchase a maximum of 1,600,000 shares of common stock to key employees. Under the terms of the 1989 Plan, the option exercise price is to be no less than the fair market value of IMS' stock on the date of grant. Options are exercisable three months following the date of grant and up to 10 years from such date. If employment is terminated for any reason, the holder of the options has three months in which to exercise before cancellation unless written approval of the compensation committee extends such exercise to 12 months.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50" w:right="1440" w:bottom="1440" w:gutter="0" w:footer="0" w:header="0"/>
        </w:sectPr>
      </w:pPr>
    </w:p>
    <w:bookmarkStart w:id="123" w:name="page124"/>
    <w:bookmarkEnd w:id="123"/>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activity during 1993 and 1994, and the first six months in 1995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20"/>
                <w:szCs w:val="20"/>
                <w:color w:val="auto"/>
              </w:rPr>
            </w:pPr>
            <w:r>
              <w:rPr>
                <w:rFonts w:ascii="Courier New" w:cs="Courier New" w:eastAsia="Courier New" w:hAnsi="Courier New"/>
                <w:sz w:val="15"/>
                <w:szCs w:val="15"/>
                <w:color w:val="auto"/>
              </w:rPr>
              <w:t>for the 1986 Plan is as follows:</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710"/>
        </w:trPr>
        <w:tc>
          <w:tcPr>
            <w:tcW w:w="5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5"/>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Balance, December 31, 1992.........................</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814,322</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$1.00--3.50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767,100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2.50--3.50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2.50</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Balance, December 31, 1993.........................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1,547,422</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Granted............................................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38,000</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(19,273)</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3.50--4.00</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Balance, December 31, 1994.........................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1,565,787</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Canceled...........................................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(7,563)</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3.50--4.00</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Exercised..........................................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(1,432)</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4.00</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020" w:type="dxa"/>
            <w:vAlign w:val="bottom"/>
          </w:tcPr>
          <w:p>
            <w:pPr>
              <w:ind w:left="280"/>
              <w:spacing w:after="0"/>
              <w:rPr>
                <w:sz w:val="20"/>
                <w:szCs w:val="20"/>
                <w:color w:val="auto"/>
              </w:rPr>
            </w:pPr>
            <w:r>
              <w:rPr>
                <w:rFonts w:ascii="Courier New" w:cs="Courier New" w:eastAsia="Courier New" w:hAnsi="Courier New"/>
                <w:sz w:val="15"/>
                <w:szCs w:val="15"/>
                <w:color w:val="auto"/>
              </w:rPr>
              <w:t>Balance, June 30, 1995 (unaudited).................</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1,556,792</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$1.00--4.00</w:t>
            </w:r>
          </w:p>
        </w:tc>
      </w:tr>
      <w:tr>
        <w:trPr>
          <w:trHeight w:val="177"/>
        </w:trPr>
        <w:tc>
          <w:tcPr>
            <w:tcW w:w="502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360" w:lineRule="exact"/>
        <w:rPr>
          <w:sz w:val="20"/>
          <w:szCs w:val="20"/>
          <w:color w:val="auto"/>
        </w:rPr>
      </w:pPr>
    </w:p>
    <w:p>
      <w:pPr>
        <w:jc w:val="both"/>
        <w:ind w:right="3119" w:firstLine="185"/>
        <w:spacing w:after="0" w:line="252" w:lineRule="auto"/>
        <w:rPr>
          <w:sz w:val="20"/>
          <w:szCs w:val="20"/>
          <w:color w:val="auto"/>
        </w:rPr>
      </w:pPr>
      <w:r>
        <w:rPr>
          <w:rFonts w:ascii="Courier New" w:cs="Courier New" w:eastAsia="Courier New" w:hAnsi="Courier New"/>
          <w:sz w:val="15"/>
          <w:szCs w:val="15"/>
          <w:color w:val="auto"/>
        </w:rPr>
        <w:t>Stock options from the 1989 Plan vest ratably at times ranging from one to three years and are exercisable at various times through 1999. As of December 31, 1994, 1,115,174 options were exercisable.</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On April 22, 1994, the shareholders of IMS approved the 1994 Employee Stock Option Plan (the "1994 Plan"). The 1994 Plan may grant incentive and nonqualified stock options; however, in 1994, only nonqualified stock options were granted. Under the 1994 Plan, the Company is authorized to grant options to purchase a maximum of 400,000 shares of common stock to key employees. As of December 31, 1994, the Company had granted more options than authorized in the 1994 Plan. Subsequent to year end, the Company's board of directors approved increasing the number of authorized shares by 438,600 and intends to seek shareholders' approval at the next Shareholders' meeting. In management's opinion, this increase will be approved. Such options are exercisable six months following the date of grant. All other terms are similar to the 1989 Plan.</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 option activity since 1994 for the 1994 Plan is as follows:</w:t>
      </w:r>
    </w:p>
    <w:p>
      <w:pPr>
        <w:spacing w:after="0" w:line="200" w:lineRule="exact"/>
        <w:rPr>
          <w:sz w:val="20"/>
          <w:szCs w:val="20"/>
          <w:color w:val="auto"/>
        </w:rPr>
      </w:pP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7"/>
        </w:trPr>
        <w:tc>
          <w:tcPr>
            <w:tcW w:w="492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492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92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r>
      <w:tr>
        <w:trPr>
          <w:trHeight w:val="177"/>
        </w:trPr>
        <w:tc>
          <w:tcPr>
            <w:tcW w:w="49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492,730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$3.50--5.00</w:t>
            </w:r>
          </w:p>
        </w:tc>
      </w:tr>
      <w:tr>
        <w:trPr>
          <w:trHeight w:val="177"/>
        </w:trPr>
        <w:tc>
          <w:tcPr>
            <w:tcW w:w="492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492,730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$3.50--5.00</w:t>
            </w:r>
          </w:p>
        </w:tc>
      </w:tr>
      <w:tr>
        <w:trPr>
          <w:trHeight w:val="177"/>
        </w:trPr>
        <w:tc>
          <w:tcPr>
            <w:tcW w:w="49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340,870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5.00--6.50</w:t>
            </w:r>
          </w:p>
        </w:tc>
      </w:tr>
      <w:tr>
        <w:trPr>
          <w:trHeight w:val="177"/>
        </w:trPr>
        <w:tc>
          <w:tcPr>
            <w:tcW w:w="492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(3,755)</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w:t>
            </w:r>
          </w:p>
        </w:tc>
      </w:tr>
      <w:tr>
        <w:trPr>
          <w:trHeight w:val="177"/>
        </w:trPr>
        <w:tc>
          <w:tcPr>
            <w:tcW w:w="492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June 30, 1995 (audited).....................</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829,845</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$3.50--6.50</w:t>
            </w:r>
          </w:p>
        </w:tc>
      </w:tr>
      <w:tr>
        <w:trPr>
          <w:trHeight w:val="177"/>
        </w:trPr>
        <w:tc>
          <w:tcPr>
            <w:tcW w:w="4920" w:type="dxa"/>
            <w:vAlign w:val="bottom"/>
          </w:tcPr>
          <w:p>
            <w:pPr>
              <w:spacing w:after="0"/>
              <w:rPr>
                <w:sz w:val="15"/>
                <w:szCs w:val="15"/>
                <w:color w:val="auto"/>
              </w:rPr>
            </w:pP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360" w:lineRule="exact"/>
        <w:rPr>
          <w:sz w:val="20"/>
          <w:szCs w:val="20"/>
          <w:color w:val="auto"/>
        </w:rPr>
      </w:pPr>
    </w:p>
    <w:p>
      <w:pPr>
        <w:ind w:right="3399" w:firstLine="185"/>
        <w:spacing w:after="0" w:line="251" w:lineRule="auto"/>
        <w:rPr>
          <w:sz w:val="20"/>
          <w:szCs w:val="20"/>
          <w:color w:val="auto"/>
        </w:rPr>
      </w:pPr>
      <w:r>
        <w:rPr>
          <w:rFonts w:ascii="Courier New" w:cs="Courier New" w:eastAsia="Courier New" w:hAnsi="Courier New"/>
          <w:sz w:val="15"/>
          <w:szCs w:val="15"/>
          <w:color w:val="auto"/>
        </w:rPr>
        <w:t>Stock options from the 1994 Plan vest ratably over three years and are exercisable at various times through 2004. As of December 31, 1994, 25,401 options were exercisable. Upon the Merger becoming effective, all options become fully vested.</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Subscriptions Receivable</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Stock subscriptions and joint venturers' contributions receivable consist of amounts to be received for sale of common stock and formation of joint ventures. The amounts shown as current assets were collected subsequent to year end.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50" w:right="1440" w:bottom="1440" w:gutter="0" w:footer="0" w:header="0"/>
        </w:sectPr>
      </w:pPr>
    </w:p>
    <w:bookmarkStart w:id="124" w:name="page125"/>
    <w:bookmarkEnd w:id="124"/>
    <w:p>
      <w:pPr>
        <w:jc w:val="center"/>
        <w:ind w:right="2939"/>
        <w:spacing w:after="0"/>
        <w:rPr>
          <w:sz w:val="20"/>
          <w:szCs w:val="20"/>
          <w:color w:val="auto"/>
        </w:rPr>
      </w:pPr>
      <w:r>
        <w:rPr>
          <w:rFonts w:ascii="Courier New" w:cs="Courier New" w:eastAsia="Courier New" w:hAnsi="Courier New"/>
          <w:sz w:val="15"/>
          <w:szCs w:val="15"/>
          <w:color w:val="auto"/>
        </w:rPr>
        <w:t>INTEGRATED MEDICAL SYSTEMS, INC. AND SUBSIDIARIES</w:t>
      </w:r>
    </w:p>
    <w:p>
      <w:pPr>
        <w:spacing w:after="0" w:line="18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401(K) PLAN</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1993, the Company adopted a 401(k) plan for its employees. Under this plan, the Company may contribute to the plan at its discretion. The total amount contributed by the Company to the plan during the years ended December 31, 1993 and 1994 was $50,067 and $79,353,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ACCOUNTS RECEIVABLE SALES</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Subsequent to December 31, 1994, the Company sold without recourse its rights to the remaining payments due under certain network license agreements for a price equal to the present value of the remaining noncancelable license fee payments. Proceeds from the sales were approximately $2.8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MERGER WITH ELI LILLY AND COMPANY (UNAUDITED)</w:t>
      </w:r>
    </w:p>
    <w:p>
      <w:pPr>
        <w:spacing w:after="0" w:line="18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As noted earlier, the Company signed an Agreement and Plan of Merger (the "Plan") with Lilly on August 2, 1995. The following discussion outlines the general terms and consideration of the Plan and the impact of the Plan on the Company's capital structure.</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If the Merger is approved by the Company's shareholders, each share of common stock will be converted into the right to receive $8.00 in cash or one share of new Series D preferred stock ("Preferred D"). Each share of Series B preferred stock will be converted into the right to receive $5.33 in cash plus any accrued unpaid dividends as of the closing date or two-thirds of a Preferred D share plus any accrued unpaid dividends on the original Series B as of the closing date, or such Series B shareholders may elect to retain the Series B shares with the amended terms and conditions set forth in the Plan and exhibits thereto.</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Each Series C preferred share will convert to one share of common stock.</w:t>
      </w:r>
    </w:p>
    <w:p>
      <w:pPr>
        <w:spacing w:after="0" w:line="18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Option and warrant holders have the right either to (i) receive $8.00 in cash per share into which each such option or warrant was exercisable as of the closing date net of the exercise price, or (ii) retain the right to purchase one share of Preferred D stock for each share of common stock into which such option or warrant was exercisable as of the closing date. Company option holders have the further option to receive fully vested options to acquire shares of common stock of Lilly under the 1994 Lilly Stock Plan.</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All new Preferred D shareholders will have the option to enter into a Put/Call Agreement with Lilly whereby each holder of Preferred D shares would have the right to put their shares to Lilly during two put periods beginning one year after the closing date and 30 months after the closing date. Pursuant to the Put/Call Agreements, Lilly would have the right to call the Preferred D stock, which right could be exercised any time after three years from the closing date. The put and call purchase price is $8.00 per share plus any unpaid dividends accrued prior to the purchase date.</w:t>
      </w:r>
    </w:p>
    <w:p>
      <w:pPr>
        <w:spacing w:after="0" w:line="175"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Preferred D shares also carry mandatory redemption features. For the period of 30 days after the fifth anniversary of the effective date of the Merger, the holders may demand redemption of their shares for $8.00 per share plus all accrued and unpaid dividends. The Company has the option, beginning on the fifth anniversary of the Merger effective date, to redeem any or all shares of Preferred D at a redemption price of $8.00 per share plus all accrued and unpaid dividends.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50" w:right="1440" w:bottom="1440" w:gutter="0" w:footer="0" w:header="0"/>
        </w:sectPr>
      </w:pPr>
    </w:p>
    <w:bookmarkStart w:id="125" w:name="page126"/>
    <w:bookmarkEnd w:id="125"/>
    <w:p>
      <w:pPr>
        <w:jc w:val="right"/>
        <w:ind w:right="2939"/>
        <w:spacing w:after="0"/>
        <w:rPr>
          <w:sz w:val="20"/>
          <w:szCs w:val="20"/>
          <w:color w:val="auto"/>
        </w:rPr>
      </w:pPr>
      <w:r>
        <w:rPr>
          <w:rFonts w:ascii="Courier New" w:cs="Courier New" w:eastAsia="Courier New" w:hAnsi="Courier New"/>
          <w:sz w:val="15"/>
          <w:szCs w:val="15"/>
          <w:color w:val="auto"/>
        </w:rPr>
        <w:t>APPENDIX A</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ARTICLES OF MERGER</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OF TRANS-IMS CORPORATION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WITH AND INTO</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The undersigned, organized and existing under and by virtue of the Colorado Business Corporation Act (the "Act"), DOES HEREBY CERTIFY THAT:</w:t>
      </w:r>
    </w:p>
    <w:p>
      <w:pPr>
        <w:spacing w:after="0" w:line="174" w:lineRule="exact"/>
        <w:rPr>
          <w:sz w:val="20"/>
          <w:szCs w:val="20"/>
          <w:color w:val="auto"/>
        </w:rPr>
      </w:pPr>
    </w:p>
    <w:p>
      <w:pPr>
        <w:ind w:right="3299" w:firstLine="185"/>
        <w:spacing w:after="0" w:line="253" w:lineRule="auto"/>
        <w:rPr>
          <w:sz w:val="20"/>
          <w:szCs w:val="20"/>
          <w:color w:val="auto"/>
        </w:rPr>
      </w:pPr>
      <w:r>
        <w:rPr>
          <w:rFonts w:ascii="Courier New" w:cs="Courier New" w:eastAsia="Courier New" w:hAnsi="Courier New"/>
          <w:sz w:val="15"/>
          <w:szCs w:val="15"/>
          <w:color w:val="auto"/>
        </w:rPr>
        <w:t>FIRST: The name and state of incorporation of each of the constituent corporations in the merger (the "Constituent Corporations") are as follows:</w:t>
      </w:r>
    </w:p>
    <w:p>
      <w:pPr>
        <w:spacing w:after="0" w:line="200" w:lineRule="exact"/>
        <w:rPr>
          <w:sz w:val="20"/>
          <w:szCs w:val="20"/>
          <w:color w:val="auto"/>
        </w:rPr>
      </w:pPr>
    </w:p>
    <w:p>
      <w:pPr>
        <w:spacing w:after="0" w:line="329"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STATE OF</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INCORPORATION</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55"/>
        </w:trPr>
        <w:tc>
          <w:tcPr>
            <w:tcW w:w="5860" w:type="dxa"/>
            <w:vAlign w:val="bottom"/>
          </w:tcPr>
          <w:p>
            <w:pPr>
              <w:spacing w:after="0"/>
              <w:rPr>
                <w:sz w:val="20"/>
                <w:szCs w:val="20"/>
                <w:color w:val="auto"/>
              </w:rPr>
            </w:pPr>
            <w:r>
              <w:rPr>
                <w:rFonts w:ascii="Courier New" w:cs="Courier New" w:eastAsia="Courier New" w:hAnsi="Courier New"/>
                <w:sz w:val="15"/>
                <w:szCs w:val="15"/>
                <w:color w:val="auto"/>
              </w:rPr>
              <w:t>TRANS-IMS CORPORATION..........................................</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Colorado</w:t>
            </w:r>
          </w:p>
        </w:tc>
      </w:tr>
      <w:tr>
        <w:trPr>
          <w:trHeight w:val="177"/>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INTEGRATED MEDICAL SYSTEMS, INC. ..............................</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Colorado</w:t>
            </w:r>
          </w:p>
        </w:tc>
      </w:tr>
    </w:tbl>
    <w:p>
      <w:pPr>
        <w:spacing w:after="0" w:line="360"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SECOND: An Agreement and Plan of Merger, dated as of August 2, 1995 (the "Plan of Merger"), by and among Eli Lilly and Company, an Indiana corporation ("Lilly"), Trans-IMS Corporation, a Colorado corporation, and Integrated Medical Systems, Inc., a Colorado corporation, has been approved and adopted by each of the Constituent Corporations in accordance with the requirements of Section 7-111-103 of the Colorado Business Corporation Act.</w:t>
      </w:r>
    </w:p>
    <w:p>
      <w:pPr>
        <w:spacing w:after="0" w:line="176"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THIRD: The name of the surviving corporation is "Integrated Medical Systems, Inc." (the "Surviving Corporation").</w:t>
      </w:r>
    </w:p>
    <w:p>
      <w:pPr>
        <w:spacing w:after="0" w:line="174" w:lineRule="exact"/>
        <w:rPr>
          <w:sz w:val="20"/>
          <w:szCs w:val="20"/>
          <w:color w:val="auto"/>
        </w:rPr>
      </w:pPr>
    </w:p>
    <w:p>
      <w:pPr>
        <w:ind w:right="3579" w:firstLine="185"/>
        <w:spacing w:after="0" w:line="253" w:lineRule="auto"/>
        <w:rPr>
          <w:sz w:val="20"/>
          <w:szCs w:val="20"/>
          <w:color w:val="auto"/>
        </w:rPr>
      </w:pPr>
      <w:r>
        <w:rPr>
          <w:rFonts w:ascii="Courier New" w:cs="Courier New" w:eastAsia="Courier New" w:hAnsi="Courier New"/>
          <w:sz w:val="15"/>
          <w:szCs w:val="15"/>
          <w:color w:val="auto"/>
        </w:rPr>
        <w:t>FOURTH: The Articles of Incorporation of the Surviving Corporation are hereby amended and restated to read as follows:</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First: The name of the corporation is Integrated Medical Systems, Inc.</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Second: The street address of the registered office of the corporation is</w:t>
      </w:r>
    </w:p>
    <w:p>
      <w:pPr>
        <w:spacing w:after="0" w:line="8" w:lineRule="exact"/>
        <w:rPr>
          <w:sz w:val="20"/>
          <w:szCs w:val="20"/>
          <w:color w:val="auto"/>
        </w:rPr>
      </w:pPr>
    </w:p>
    <w:p>
      <w:pPr>
        <w:ind w:left="180" w:right="3119" w:firstLine="461"/>
        <w:spacing w:after="0" w:line="250" w:lineRule="auto"/>
        <w:rPr>
          <w:sz w:val="20"/>
          <w:szCs w:val="20"/>
          <w:color w:val="auto"/>
        </w:rPr>
      </w:pPr>
      <w:r>
        <w:rPr>
          <w:rFonts w:ascii="Courier New" w:cs="Courier New" w:eastAsia="Courier New" w:hAnsi="Courier New"/>
          <w:sz w:val="15"/>
          <w:szCs w:val="15"/>
          <w:color w:val="auto"/>
        </w:rPr>
        <w:t>, Colorado . The name of its registered agent at such address is . The address of the corporation's principal office is 15000</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West 6th Avenue, Suite 400, Golden, Colorado.</w:t>
      </w:r>
    </w:p>
    <w:p>
      <w:pPr>
        <w:spacing w:after="0" w:line="185" w:lineRule="exact"/>
        <w:rPr>
          <w:sz w:val="20"/>
          <w:szCs w:val="20"/>
          <w:color w:val="auto"/>
        </w:rPr>
      </w:pPr>
    </w:p>
    <w:p>
      <w:pPr>
        <w:jc w:val="both"/>
        <w:ind w:left="180" w:right="3399" w:firstLine="185"/>
        <w:spacing w:after="0" w:line="251" w:lineRule="auto"/>
        <w:rPr>
          <w:sz w:val="20"/>
          <w:szCs w:val="20"/>
          <w:color w:val="auto"/>
        </w:rPr>
      </w:pPr>
      <w:r>
        <w:rPr>
          <w:rFonts w:ascii="Courier New" w:cs="Courier New" w:eastAsia="Courier New" w:hAnsi="Courier New"/>
          <w:sz w:val="15"/>
          <w:szCs w:val="15"/>
          <w:color w:val="auto"/>
        </w:rPr>
        <w:t>Third: (a) Authorized Capital. The aggregate number of shares that the corporation shall have authority to issue is 20,000,000 shares of common stock without par value, and 14,000,000 shares of preferred stock, $0.01 par value.</w:t>
      </w:r>
    </w:p>
    <w:p>
      <w:pPr>
        <w:spacing w:after="0" w:line="176" w:lineRule="exact"/>
        <w:rPr>
          <w:sz w:val="20"/>
          <w:szCs w:val="20"/>
          <w:color w:val="auto"/>
        </w:rPr>
      </w:pPr>
    </w:p>
    <w:p>
      <w:pPr>
        <w:ind w:left="740" w:hanging="376"/>
        <w:spacing w:after="0"/>
        <w:tabs>
          <w:tab w:leader="none" w:pos="7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and Preferences and Voting of Shares</w:t>
      </w:r>
    </w:p>
    <w:p>
      <w:pPr>
        <w:spacing w:after="0" w:line="184" w:lineRule="exact"/>
        <w:rPr>
          <w:rFonts w:ascii="Courier New" w:cs="Courier New" w:eastAsia="Courier New" w:hAnsi="Courier New"/>
          <w:sz w:val="15"/>
          <w:szCs w:val="15"/>
          <w:color w:val="auto"/>
        </w:rPr>
      </w:pPr>
    </w:p>
    <w:p>
      <w:pPr>
        <w:ind w:left="360" w:right="3299" w:firstLine="188"/>
        <w:spacing w:after="0" w:line="251" w:lineRule="auto"/>
        <w:tabs>
          <w:tab w:leader="none" w:pos="91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Except with respect to the Series B Preferred Stock, par value $1.00 per share, and the Series D Preferred Stock, par value $0.01 per share, the preferences, limitations and relative rights of which are described in Articles FOURTH and FIFTH below, respectively, the board of directors shall determine preferences, limitations and relative rights of the preferred stock and any series of preferred stock prior to the issuance of any shares of preferred stock or series of preferred stock.</w:t>
      </w:r>
    </w:p>
    <w:p>
      <w:pPr>
        <w:spacing w:after="0" w:line="175" w:lineRule="exact"/>
        <w:rPr>
          <w:rFonts w:ascii="Courier New" w:cs="Courier New" w:eastAsia="Courier New" w:hAnsi="Courier New"/>
          <w:sz w:val="15"/>
          <w:szCs w:val="15"/>
          <w:color w:val="auto"/>
        </w:rPr>
      </w:pPr>
    </w:p>
    <w:p>
      <w:pPr>
        <w:ind w:left="360" w:right="3299" w:firstLine="188"/>
        <w:spacing w:after="0" w:line="251" w:lineRule="auto"/>
        <w:tabs>
          <w:tab w:leader="none" w:pos="1006"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Each shareholder of record entitled to vote shall have one vote for each share of stock standing in his name on the books of the corporation, except that in the election of directors he shall have the right to vote such number of shares for as many persons as there are directors to be elected. Cumulative voting shall not be allowed in the election of directors or for any other purpose.</w:t>
      </w:r>
    </w:p>
    <w:p>
      <w:pPr>
        <w:spacing w:after="0" w:line="175" w:lineRule="exact"/>
        <w:rPr>
          <w:rFonts w:ascii="Courier New" w:cs="Courier New" w:eastAsia="Courier New" w:hAnsi="Courier New"/>
          <w:sz w:val="15"/>
          <w:szCs w:val="15"/>
          <w:color w:val="auto"/>
        </w:rPr>
      </w:pPr>
    </w:p>
    <w:p>
      <w:pPr>
        <w:ind w:left="360" w:right="3479" w:firstLine="188"/>
        <w:spacing w:after="0" w:line="251" w:lineRule="auto"/>
        <w:tabs>
          <w:tab w:leader="none" w:pos="109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Notwithstanding the restrictions contained in Section 7-106-401(3)(b) of the Colorado Business Corporation Act (the "Act"), the corporation may make distributions to shareholders if, in making any such distribution, and after giving effect to such distribution,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50" w:right="1440" w:bottom="1440" w:gutter="0" w:footer="0" w:header="0"/>
        </w:sectPr>
      </w:pPr>
    </w:p>
    <w:bookmarkStart w:id="126" w:name="page127"/>
    <w:bookmarkEnd w:id="126"/>
    <w:p>
      <w:pPr>
        <w:ind w:left="180" w:right="3299"/>
        <w:spacing w:after="0" w:line="253" w:lineRule="auto"/>
        <w:rPr>
          <w:sz w:val="20"/>
          <w:szCs w:val="20"/>
          <w:color w:val="auto"/>
        </w:rPr>
      </w:pPr>
      <w:r>
        <w:rPr>
          <w:rFonts w:ascii="Courier New" w:cs="Courier New" w:eastAsia="Courier New" w:hAnsi="Courier New"/>
          <w:sz w:val="15"/>
          <w:szCs w:val="15"/>
          <w:color w:val="auto"/>
        </w:rPr>
        <w:t>corporation's total assets are not less than its total liabilities, and the distribution otherwise is permitted under the Act.</w:t>
      </w:r>
    </w:p>
    <w:p>
      <w:pPr>
        <w:spacing w:after="0" w:line="174" w:lineRule="exact"/>
        <w:rPr>
          <w:sz w:val="20"/>
          <w:szCs w:val="20"/>
          <w:color w:val="auto"/>
        </w:rPr>
      </w:pPr>
    </w:p>
    <w:p>
      <w:pPr>
        <w:ind w:left="180" w:right="3399" w:firstLine="188"/>
        <w:spacing w:after="0" w:line="251" w:lineRule="auto"/>
        <w:tabs>
          <w:tab w:leader="none" w:pos="82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Matters. In each case where the Colorado Corporation Code as in effect immediately before July 1, 1994 required a two-thirds vote of all of the outstanding shares of the corporation entitled to vote, or of all of the outstanding shares of each class where class voting was required, such required vote is hereby reduced to a majority of all the votes entitled to be cast on the matter by each voting group entitled to vote separately on the matter.</w:t>
      </w:r>
    </w:p>
    <w:p>
      <w:pPr>
        <w:spacing w:after="0" w:line="176" w:lineRule="exact"/>
        <w:rPr>
          <w:sz w:val="20"/>
          <w:szCs w:val="20"/>
          <w:color w:val="auto"/>
        </w:rPr>
      </w:pPr>
    </w:p>
    <w:p>
      <w:pPr>
        <w:ind w:right="3579" w:firstLine="185"/>
        <w:spacing w:after="0" w:line="252" w:lineRule="auto"/>
        <w:rPr>
          <w:sz w:val="20"/>
          <w:szCs w:val="20"/>
          <w:color w:val="auto"/>
        </w:rPr>
      </w:pPr>
      <w:r>
        <w:rPr>
          <w:rFonts w:ascii="Courier New" w:cs="Courier New" w:eastAsia="Courier New" w:hAnsi="Courier New"/>
          <w:sz w:val="15"/>
          <w:szCs w:val="15"/>
          <w:color w:val="auto"/>
        </w:rPr>
        <w:t>Fourth: The corporation is authorized and empowered to issue up to a maximum of 2,000,000 shares of Series B Preferred Stock, having the following preferences, limitations and relative rights:</w:t>
      </w:r>
    </w:p>
    <w:p>
      <w:pPr>
        <w:spacing w:after="0" w:line="175" w:lineRule="exact"/>
        <w:rPr>
          <w:sz w:val="20"/>
          <w:szCs w:val="20"/>
          <w:color w:val="auto"/>
        </w:rPr>
      </w:pPr>
    </w:p>
    <w:p>
      <w:pPr>
        <w:ind w:left="180" w:right="3479" w:firstLine="188"/>
        <w:spacing w:after="0" w:line="251"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 Value and Liquidation Value. The Series B Preferred Stock shall have a par value of One Dollar ($1.00) per share and a value on liquidation of One Dollar ($1.00) per share plus accrued and unpaid dividends (the "Liquidation Value").</w:t>
      </w:r>
    </w:p>
    <w:p>
      <w:pPr>
        <w:spacing w:after="0" w:line="176" w:lineRule="exact"/>
        <w:rPr>
          <w:rFonts w:ascii="Courier New" w:cs="Courier New" w:eastAsia="Courier New" w:hAnsi="Courier New"/>
          <w:sz w:val="15"/>
          <w:szCs w:val="15"/>
          <w:color w:val="auto"/>
        </w:rPr>
      </w:pPr>
    </w:p>
    <w:p>
      <w:pPr>
        <w:ind w:left="180" w:right="3299" w:firstLine="188"/>
        <w:spacing w:after="0" w:line="250"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The Series B Preferred Stock shall earn cumulative dividends at a rate of ten percent (10%) of the Par Value (i.e., ten cents ($.10) per share annually) beginning July 1, 1988, which shall be payable quarterly each September 30, December 31, March 31 and June 30 thereafter until and unless converted as provided in paragraph 6 below. No interest shall be earned or paid on the Series B Preferred Stock prior to July 1, 1988. All payments of dividends on the Series B Preferred Stock and the outstanding Series D Preferred Stock (the "Series D Preferred Stock") shall be made in pari passu among the holders of the Series D Preferred Stock and the holders of the Series B Preferred Stock and no holder of Series D Preferred Stock or holder of Series B Preferred Stock shall be preferred over the other.</w:t>
      </w:r>
    </w:p>
    <w:p>
      <w:pPr>
        <w:spacing w:after="0" w:line="182" w:lineRule="exact"/>
        <w:rPr>
          <w:rFonts w:ascii="Courier New" w:cs="Courier New" w:eastAsia="Courier New" w:hAnsi="Courier New"/>
          <w:sz w:val="15"/>
          <w:szCs w:val="15"/>
          <w:color w:val="auto"/>
        </w:rPr>
      </w:pPr>
    </w:p>
    <w:p>
      <w:pPr>
        <w:ind w:left="180" w:right="3479" w:firstLine="188"/>
        <w:spacing w:after="0" w:line="252"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Outstanding shares of Series B Preferred Stock shall have no voting rights other than such voting rights as shall be required by the Act.</w:t>
      </w:r>
    </w:p>
    <w:p>
      <w:pPr>
        <w:spacing w:after="0" w:line="174" w:lineRule="exact"/>
        <w:rPr>
          <w:rFonts w:ascii="Courier New" w:cs="Courier New" w:eastAsia="Courier New" w:hAnsi="Courier New"/>
          <w:sz w:val="15"/>
          <w:szCs w:val="15"/>
          <w:color w:val="auto"/>
        </w:rPr>
      </w:pPr>
    </w:p>
    <w:p>
      <w:pPr>
        <w:ind w:left="180" w:right="3299" w:firstLine="188"/>
        <w:spacing w:after="0" w:line="251"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or Purchase Rights. No holder of a share or shares of Series B Preferred Stock shall, because of his or her ownership of such stock, have a preemptive right to purchase, subscribe for or take any part of any capital stock of the corporation nor shall any such holder have a preemptive right to purchase, subscribe for or take any part of notes, debentures, bonds or any other securities of the corporation, including, but not limited to, securities convertible into or carrying options or warrants to purchase capital stock of the corporation.</w:t>
      </w:r>
    </w:p>
    <w:p>
      <w:pPr>
        <w:spacing w:after="0" w:line="175" w:lineRule="exact"/>
        <w:rPr>
          <w:rFonts w:ascii="Courier New" w:cs="Courier New" w:eastAsia="Courier New" w:hAnsi="Courier New"/>
          <w:sz w:val="15"/>
          <w:szCs w:val="15"/>
          <w:color w:val="auto"/>
        </w:rPr>
      </w:pPr>
    </w:p>
    <w:p>
      <w:pPr>
        <w:ind w:left="180" w:right="3299" w:firstLine="188"/>
        <w:spacing w:after="0" w:line="250"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on Liquidation, Dissolution and Winding-up of the Corporation. Upon any liquidation, dissolution or winding-up of the corporation, the holders of the Series B Preferred Stock will be entitled to be paid, before any distribution or payment is made to the holders of the corporation's outstanding common stock without par value (the "Common Stock"), an amount in cash equal to the aggregate Liquidation Value of all the Series B Preferred Stock then outstanding, and the holders of the Series B Preferred Stock will not be entitled to any further or additional payment. The Series B Preferred Stock and the Series D Preferred Stock shall be parity stock in respect of rights to payment upon liquidation, dissolution or winding-up.</w:t>
      </w:r>
    </w:p>
    <w:p>
      <w:pPr>
        <w:spacing w:after="0" w:line="182" w:lineRule="exact"/>
        <w:rPr>
          <w:rFonts w:ascii="Courier New" w:cs="Courier New" w:eastAsia="Courier New" w:hAnsi="Courier New"/>
          <w:sz w:val="15"/>
          <w:szCs w:val="15"/>
          <w:color w:val="auto"/>
        </w:rPr>
      </w:pPr>
    </w:p>
    <w:p>
      <w:pPr>
        <w:ind w:left="180" w:right="3399" w:firstLine="188"/>
        <w:spacing w:after="0" w:line="252" w:lineRule="auto"/>
        <w:tabs>
          <w:tab w:leader="none" w:pos="641"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Series B Preferred Stock. The holders of the Series B Preferred Stock shall have conversion rights as follows (the "Conversion Rights"):</w:t>
      </w:r>
    </w:p>
    <w:p>
      <w:pPr>
        <w:spacing w:after="0" w:line="175" w:lineRule="exact"/>
        <w:rPr>
          <w:sz w:val="20"/>
          <w:szCs w:val="20"/>
          <w:color w:val="auto"/>
        </w:rPr>
      </w:pPr>
    </w:p>
    <w:p>
      <w:pPr>
        <w:ind w:left="360" w:right="3399" w:firstLine="185"/>
        <w:spacing w:after="0" w:line="251" w:lineRule="auto"/>
        <w:rPr>
          <w:sz w:val="20"/>
          <w:szCs w:val="20"/>
          <w:color w:val="auto"/>
        </w:rPr>
      </w:pPr>
      <w:r>
        <w:rPr>
          <w:rFonts w:ascii="Courier New" w:cs="Courier New" w:eastAsia="Courier New" w:hAnsi="Courier New"/>
          <w:sz w:val="15"/>
          <w:szCs w:val="15"/>
          <w:color w:val="auto"/>
        </w:rPr>
        <w:t>6.1 Right to Convert. Each share of Series B Preferred Stock shall be convertible, at the option of the holder thereof, at any time, at the office of the corporation or any transfer agent for the Series B Preferred Stock, into either (i) the Liquidation Value, payable in cash, of the Series B Preferred Stock on the date of conversion, without interest, or (ii) two-thirds of a share of the corporation's Series D Preferred Stock, par value $.01 per share (the "Series D Preferred Stock").</w:t>
      </w:r>
    </w:p>
    <w:p>
      <w:pPr>
        <w:spacing w:after="0" w:line="175" w:lineRule="exact"/>
        <w:rPr>
          <w:sz w:val="20"/>
          <w:szCs w:val="20"/>
          <w:color w:val="auto"/>
        </w:rPr>
      </w:pPr>
    </w:p>
    <w:p>
      <w:pPr>
        <w:ind w:left="360" w:right="3479" w:firstLine="185"/>
        <w:spacing w:after="0" w:line="251" w:lineRule="auto"/>
        <w:rPr>
          <w:sz w:val="20"/>
          <w:szCs w:val="20"/>
          <w:color w:val="auto"/>
        </w:rPr>
      </w:pPr>
      <w:r>
        <w:rPr>
          <w:rFonts w:ascii="Courier New" w:cs="Courier New" w:eastAsia="Courier New" w:hAnsi="Courier New"/>
          <w:sz w:val="15"/>
          <w:szCs w:val="15"/>
          <w:color w:val="auto"/>
        </w:rPr>
        <w:t>6.2 Mechanics of Conversion. Before any holders of Series B Preferred Stock shall be entitled to convert the same into cash or shares of Series D Preferred Stock, such holder shall surrender the certificate or certificates therefor, duly endorsed, at the office of the corporation or</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039"/>
          </w:cols>
          <w:pgMar w:left="420" w:top="650" w:right="1440" w:bottom="1440" w:gutter="0" w:footer="0" w:header="0"/>
        </w:sectPr>
      </w:pPr>
    </w:p>
    <w:bookmarkStart w:id="127" w:name="page128"/>
    <w:bookmarkEnd w:id="127"/>
    <w:p>
      <w:pPr>
        <w:ind w:right="3399"/>
        <w:spacing w:after="0" w:line="250" w:lineRule="auto"/>
        <w:rPr>
          <w:sz w:val="20"/>
          <w:szCs w:val="20"/>
          <w:color w:val="auto"/>
        </w:rPr>
      </w:pPr>
      <w:r>
        <w:rPr>
          <w:rFonts w:ascii="Courier New" w:cs="Courier New" w:eastAsia="Courier New" w:hAnsi="Courier New"/>
          <w:sz w:val="15"/>
          <w:szCs w:val="15"/>
          <w:color w:val="auto"/>
        </w:rPr>
        <w:t>of any transfer agent for the Series B Preferred Stock, and shall give written notice to the corporation at such office that such holder elects to convert the same into cash or Series D Preferred Stock. The corporation shall, as soon as practicable thereafter, either pay the required cash to the holder of Series B Preferred Stock or issue and deliver at such office to such holder of Series B Preferred Stock a certificate or certificates for the number of shares of Series D Preferred Stock to which such holder shall be entitled as aforesaid. Such payment or conversion shall be deemed to have been made immediately prior to the close of business on the date of such surrender of the shares of Series B Preferred Stock to be cashed out or converted, and, if the holder elects to acquire Series D Preferred Stock, the person or persons entitled to receive the shares of Series D Preferred Stock issuable upon such conversion shall be treated for all purposes as the record holder or holders of such shares of Series D Preferred Stock on such date.</w:t>
      </w:r>
    </w:p>
    <w:p>
      <w:pPr>
        <w:spacing w:after="0" w:line="184" w:lineRule="exact"/>
        <w:rPr>
          <w:sz w:val="20"/>
          <w:szCs w:val="20"/>
          <w:color w:val="auto"/>
        </w:rPr>
      </w:pPr>
    </w:p>
    <w:p>
      <w:pPr>
        <w:ind w:right="3479" w:firstLine="185"/>
        <w:spacing w:after="0" w:line="251" w:lineRule="auto"/>
        <w:rPr>
          <w:sz w:val="20"/>
          <w:szCs w:val="20"/>
          <w:color w:val="auto"/>
        </w:rPr>
      </w:pPr>
      <w:r>
        <w:rPr>
          <w:rFonts w:ascii="Courier New" w:cs="Courier New" w:eastAsia="Courier New" w:hAnsi="Courier New"/>
          <w:sz w:val="15"/>
          <w:szCs w:val="15"/>
          <w:color w:val="auto"/>
        </w:rPr>
        <w:t>6.3 Fractional Shares. No fractional shares of Series D Preferred Stock shall be issued upon conversion of the Series B Preferred Stock. Fractional shares shall not be issued; and, in lieu of fractional shares to which the holder would otherwise be entitled, the corporation shall pay cash equal to said fraction multiplied by 150% of the Liquidation Value of a share of the Series B Preferred Stock.</w:t>
      </w:r>
    </w:p>
    <w:p>
      <w:pPr>
        <w:spacing w:after="0" w:line="17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6.4 Changes in Series D Preferred Stock.</w:t>
      </w:r>
    </w:p>
    <w:p>
      <w:pPr>
        <w:spacing w:after="0" w:line="185" w:lineRule="exact"/>
        <w:rPr>
          <w:sz w:val="20"/>
          <w:szCs w:val="20"/>
          <w:color w:val="auto"/>
        </w:rPr>
      </w:pPr>
    </w:p>
    <w:p>
      <w:pPr>
        <w:ind w:left="740" w:right="3019" w:firstLine="185"/>
        <w:spacing w:after="0" w:line="251" w:lineRule="auto"/>
        <w:rPr>
          <w:sz w:val="20"/>
          <w:szCs w:val="20"/>
          <w:color w:val="auto"/>
        </w:rPr>
      </w:pPr>
      <w:r>
        <w:rPr>
          <w:rFonts w:ascii="Courier New" w:cs="Courier New" w:eastAsia="Courier New" w:hAnsi="Courier New"/>
          <w:sz w:val="15"/>
          <w:szCs w:val="15"/>
          <w:color w:val="auto"/>
        </w:rPr>
        <w:t>6.4.1 The corporation shall not issue any shares of Series D Preferred Stock other than those shares issued in connection with the merger of Trans-IMS Corporation into the corporation or any shares subsequently issued upon conversion of Series B Preferred Stock as provided in this Article Fourth or upon exercise of the Company Options and the Company Warrants contemplated by the Articles of Merger for such merger.</w:t>
      </w:r>
    </w:p>
    <w:p>
      <w:pPr>
        <w:spacing w:after="0" w:line="176" w:lineRule="exact"/>
        <w:rPr>
          <w:sz w:val="20"/>
          <w:szCs w:val="20"/>
          <w:color w:val="auto"/>
        </w:rPr>
      </w:pPr>
    </w:p>
    <w:p>
      <w:pPr>
        <w:ind w:left="740" w:right="3399" w:firstLine="185"/>
        <w:spacing w:after="0" w:line="251" w:lineRule="auto"/>
        <w:rPr>
          <w:sz w:val="20"/>
          <w:szCs w:val="20"/>
          <w:color w:val="auto"/>
        </w:rPr>
      </w:pPr>
      <w:r>
        <w:rPr>
          <w:rFonts w:ascii="Courier New" w:cs="Courier New" w:eastAsia="Courier New" w:hAnsi="Courier New"/>
          <w:sz w:val="15"/>
          <w:szCs w:val="15"/>
          <w:color w:val="auto"/>
        </w:rPr>
        <w:t>6.4.2 The number of shares of Series D Preferred Stock outstanding at any time after the date hereof may not be increased by a stock dividend payable in shares of Series D Preferred Stock or by a subdivision or split-up of shares of Series D Preferred Stock.</w:t>
      </w:r>
    </w:p>
    <w:p>
      <w:pPr>
        <w:spacing w:after="0" w:line="176" w:lineRule="exact"/>
        <w:rPr>
          <w:sz w:val="20"/>
          <w:szCs w:val="20"/>
          <w:color w:val="auto"/>
        </w:rPr>
      </w:pPr>
    </w:p>
    <w:p>
      <w:pPr>
        <w:ind w:left="740" w:right="3019" w:firstLine="185"/>
        <w:spacing w:after="0" w:line="251" w:lineRule="auto"/>
        <w:rPr>
          <w:sz w:val="20"/>
          <w:szCs w:val="20"/>
          <w:color w:val="auto"/>
        </w:rPr>
      </w:pPr>
      <w:r>
        <w:rPr>
          <w:rFonts w:ascii="Courier New" w:cs="Courier New" w:eastAsia="Courier New" w:hAnsi="Courier New"/>
          <w:sz w:val="15"/>
          <w:szCs w:val="15"/>
          <w:color w:val="auto"/>
        </w:rPr>
        <w:t>6.4.3 The number of shares of Series D Preferred Stock outstanding at any time after the date hereof may not be decreased by a combination of the outstanding shares of Series D Preferred Stock.</w:t>
      </w:r>
    </w:p>
    <w:p>
      <w:pPr>
        <w:spacing w:after="0" w:line="176" w:lineRule="exact"/>
        <w:rPr>
          <w:sz w:val="20"/>
          <w:szCs w:val="20"/>
          <w:color w:val="auto"/>
        </w:rPr>
      </w:pPr>
    </w:p>
    <w:p>
      <w:pPr>
        <w:ind w:left="740" w:right="3019" w:firstLine="185"/>
        <w:spacing w:after="0" w:line="250" w:lineRule="auto"/>
        <w:rPr>
          <w:sz w:val="20"/>
          <w:szCs w:val="20"/>
          <w:color w:val="auto"/>
        </w:rPr>
      </w:pPr>
      <w:r>
        <w:rPr>
          <w:rFonts w:ascii="Courier New" w:cs="Courier New" w:eastAsia="Courier New" w:hAnsi="Courier New"/>
          <w:sz w:val="15"/>
          <w:szCs w:val="15"/>
          <w:color w:val="auto"/>
        </w:rPr>
        <w:t>6.4.4 If at any time after the date hereof there occurs any capital reorganization, or any reclassification of the capital stock of the corporation (other than a change in par value or as a result of a stock dividend or subdivision, split-up or combination of shares), or the consolidation or merger of the corporation with or into another person (other than a consolidation or merger in which the corporation is the continuing entity and which does not result in any change in the Series D Preferred Stock), or the sale or other disposition of all or substantially all of the properties and assets of the corporation as an entity to any other person, the shares of Series B Preferred Stock shall, after such reorganization, reclassification, consolidation, merger, sale or other disposition, be convertible into the kind and number of shares of stock or other securities or property of the corporation or of the entity resulting from such consolidation or surviving such merger or to which such properties and assets shall have been sold or otherwise disposed to which such holder would have been entitled if, immediately prior to such reorganization, reclassification, consolidation, merger, sale or other disposition, such holder had converted his shares of Series B Preferred Stock into Series D Preferred Stock. The provisions of this Section 6.4.4 shall similarly apply to successive reorganizations, reclassifications, consolidations, mergers, sales or other dispositions.</w:t>
      </w:r>
    </w:p>
    <w:p>
      <w:pPr>
        <w:spacing w:after="0" w:line="188" w:lineRule="exact"/>
        <w:rPr>
          <w:sz w:val="20"/>
          <w:szCs w:val="20"/>
          <w:color w:val="auto"/>
        </w:rPr>
      </w:pPr>
    </w:p>
    <w:p>
      <w:pPr>
        <w:ind w:left="-180" w:right="3399" w:firstLine="188"/>
        <w:spacing w:after="0" w:line="251" w:lineRule="auto"/>
        <w:tabs>
          <w:tab w:leader="none" w:pos="28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The corporation shall not, by amendment of its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shall at all times in good</w:t>
      </w:r>
    </w:p>
    <w:p>
      <w:pPr>
        <w:spacing w:after="0" w:line="17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679"/>
          </w:cols>
          <w:pgMar w:left="780" w:top="650" w:right="1440" w:bottom="1440" w:gutter="0" w:footer="0" w:header="0"/>
        </w:sectPr>
      </w:pPr>
    </w:p>
    <w:bookmarkStart w:id="128" w:name="page129"/>
    <w:bookmarkEnd w:id="128"/>
    <w:p>
      <w:pPr>
        <w:ind w:left="180" w:right="3299"/>
        <w:spacing w:after="0" w:line="251" w:lineRule="auto"/>
        <w:rPr>
          <w:sz w:val="20"/>
          <w:szCs w:val="20"/>
          <w:color w:val="auto"/>
        </w:rPr>
      </w:pPr>
      <w:r>
        <w:rPr>
          <w:rFonts w:ascii="Courier New" w:cs="Courier New" w:eastAsia="Courier New" w:hAnsi="Courier New"/>
          <w:sz w:val="15"/>
          <w:szCs w:val="15"/>
          <w:color w:val="auto"/>
        </w:rPr>
        <w:t>faith assist in the carrying out of all the provisions of this Section 7 and in the taking of all such action as may be necessary or appropriate in order to protect the Conversion Rights of the holders of Series B Preferred Stock against impairment.</w:t>
      </w:r>
    </w:p>
    <w:p>
      <w:pPr>
        <w:spacing w:after="0" w:line="176" w:lineRule="exact"/>
        <w:rPr>
          <w:sz w:val="20"/>
          <w:szCs w:val="20"/>
          <w:color w:val="auto"/>
        </w:rPr>
      </w:pPr>
    </w:p>
    <w:p>
      <w:pPr>
        <w:ind w:left="180" w:right="3399" w:firstLine="188"/>
        <w:spacing w:after="0" w:line="251" w:lineRule="auto"/>
        <w:tabs>
          <w:tab w:leader="none" w:pos="64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In the event of any taking by the corporation of a record of the holders of any class of securities for the purpose of determining the holders thereof who are entitled to receive any dividend (other than a cash dividend) or other distribution, the corporation shall mail to each holder of Series B Preferred Stock, at least twenty (20) days prior to the date specified herein, a notice specifying the date on which any such record is to be taken for the purpose of such dividend or distribution.</w:t>
      </w:r>
    </w:p>
    <w:p>
      <w:pPr>
        <w:spacing w:after="0" w:line="175" w:lineRule="exact"/>
        <w:rPr>
          <w:rFonts w:ascii="Courier New" w:cs="Courier New" w:eastAsia="Courier New" w:hAnsi="Courier New"/>
          <w:sz w:val="15"/>
          <w:szCs w:val="15"/>
          <w:color w:val="auto"/>
        </w:rPr>
      </w:pPr>
    </w:p>
    <w:p>
      <w:pPr>
        <w:ind w:left="180" w:right="3299" w:firstLine="188"/>
        <w:spacing w:after="0" w:line="250" w:lineRule="auto"/>
        <w:tabs>
          <w:tab w:leader="none" w:pos="641"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Issuable Upon Conversion. The corporation shall at all times reserve and keep available out of its authorized but unissued shares of Series D Preferred Stock solely for the purpose of effecting the conversion of the shares of Series B Preferred Stock such number of its shares of Series D Preferred Stock as shall from time to time be sufficient to effect the conversion of all outstanding shares of the Series B Preferred Stock; and, if at any time the number of authorized but unissued shares of Series D Preferred Stock shall not be sufficient to effect the conversion of all then outstanding shares of the Series B Preferred Stock, the corporation shall take such corporate action as may, in the opinion of its counsel, be necessary to increase its authorized but unissued shares of Series D Preferred Stock to such number of shares as shall be sufficient for such purpose.</w:t>
      </w:r>
    </w:p>
    <w:p>
      <w:pPr>
        <w:spacing w:after="0" w:line="183" w:lineRule="exact"/>
        <w:rPr>
          <w:rFonts w:ascii="Courier New" w:cs="Courier New" w:eastAsia="Courier New" w:hAnsi="Courier New"/>
          <w:sz w:val="15"/>
          <w:szCs w:val="15"/>
          <w:color w:val="auto"/>
        </w:rPr>
      </w:pPr>
    </w:p>
    <w:p>
      <w:pPr>
        <w:ind w:left="180" w:right="3399" w:firstLine="188"/>
        <w:spacing w:after="0" w:line="251" w:lineRule="auto"/>
        <w:tabs>
          <w:tab w:leader="none" w:pos="73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to be given to the holder of shares of Series B Preferred Stock shall be deemed given if deposited in the United States mail, postage prepaid, and addressed to each holder of record at his address appearing on the books of the corporation.</w:t>
      </w:r>
    </w:p>
    <w:p>
      <w:pPr>
        <w:spacing w:after="0" w:line="176" w:lineRule="exact"/>
        <w:rPr>
          <w:rFonts w:ascii="Courier New" w:cs="Courier New" w:eastAsia="Courier New" w:hAnsi="Courier New"/>
          <w:sz w:val="15"/>
          <w:szCs w:val="15"/>
          <w:color w:val="auto"/>
        </w:rPr>
      </w:pPr>
    </w:p>
    <w:p>
      <w:pPr>
        <w:ind w:left="180" w:right="3299" w:firstLine="188"/>
        <w:spacing w:after="0" w:line="251" w:lineRule="auto"/>
        <w:tabs>
          <w:tab w:leader="none" w:pos="73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Protective Provisions. So long as any of the Series B Preferred Stock shall be outstanding, the corporation shall not, without first obtaining the approval (by vote or written consent, as provided by law) of the holders of at least fifty-one percent (51%) of the outstanding shares of Series B Preferred Stock, alter or change the rights, preferences or privileges of the Series B Preferred Stock.</w:t>
      </w:r>
    </w:p>
    <w:p>
      <w:pPr>
        <w:spacing w:after="0" w:line="175" w:lineRule="exact"/>
        <w:rPr>
          <w:rFonts w:ascii="Courier New" w:cs="Courier New" w:eastAsia="Courier New" w:hAnsi="Courier New"/>
          <w:sz w:val="15"/>
          <w:szCs w:val="15"/>
          <w:color w:val="auto"/>
        </w:rPr>
      </w:pPr>
    </w:p>
    <w:p>
      <w:pPr>
        <w:ind w:left="180" w:right="3399" w:firstLine="188"/>
        <w:spacing w:after="0" w:line="251" w:lineRule="auto"/>
        <w:tabs>
          <w:tab w:leader="none" w:pos="73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Reissuance of Preferred Stock. No share or shares of Series B Preferred Stock acquired by the corporation by reason of redemption, purchase, conversion or otherwise shall be reissued, and all such shares shall be cancelled, retired and eliminated from the shares that the corporation shall be authorized to issue.</w:t>
      </w:r>
    </w:p>
    <w:p>
      <w:pPr>
        <w:spacing w:after="0" w:line="176" w:lineRule="exact"/>
        <w:rPr>
          <w:rFonts w:ascii="Courier New" w:cs="Courier New" w:eastAsia="Courier New" w:hAnsi="Courier New"/>
          <w:sz w:val="15"/>
          <w:szCs w:val="15"/>
          <w:color w:val="auto"/>
        </w:rPr>
      </w:pPr>
    </w:p>
    <w:p>
      <w:pPr>
        <w:ind w:left="180" w:right="3299" w:firstLine="188"/>
        <w:spacing w:after="0" w:line="250" w:lineRule="auto"/>
        <w:tabs>
          <w:tab w:leader="none" w:pos="73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Waiver. Amendments, modifications or waivers of any of the terms hereof will be binding and effective if the prior written consent of holders of at least 51% of the Series B Preferred Stock outstanding at the time such action is taken is obtained; provided that no such action will change (a) the rate at which or the manner in which dividends on the Series B Preferred Stock accrue or the times at which such dividends become payable, unless the prior written consent of the holders of at least 91% of the Series B Preferred Stock then outstanding is obtained, (b) the Conversion Rights of the Series B Preferred Stock or the number of shares or class of stock into which the Series B Preferred Stock is convertible, unless the prior written consent of the holders of at least 91% of the Series B Preferred Stock then outstanding is obtained or (c) the percentage required to approve any change described in clauses (a) and (b) above, unless the prior written consent of the holders of at least 91% of the Series B Preferred Stock then outstanding is obtained.</w:t>
      </w:r>
    </w:p>
    <w:p>
      <w:pPr>
        <w:spacing w:after="0" w:line="184" w:lineRule="exact"/>
        <w:rPr>
          <w:sz w:val="20"/>
          <w:szCs w:val="20"/>
          <w:color w:val="auto"/>
        </w:rPr>
      </w:pPr>
    </w:p>
    <w:p>
      <w:pPr>
        <w:ind w:right="3119" w:firstLine="185"/>
        <w:spacing w:after="0" w:line="252" w:lineRule="auto"/>
        <w:rPr>
          <w:sz w:val="20"/>
          <w:szCs w:val="20"/>
          <w:color w:val="auto"/>
        </w:rPr>
      </w:pPr>
      <w:r>
        <w:rPr>
          <w:rFonts w:ascii="Courier New" w:cs="Courier New" w:eastAsia="Courier New" w:hAnsi="Courier New"/>
          <w:sz w:val="15"/>
          <w:szCs w:val="15"/>
          <w:color w:val="auto"/>
        </w:rPr>
        <w:t>Fifth: The corporation is authorized and empowered to issue shares of Series D Preferred Stock, having the following preferences, limitations and relative rights:</w:t>
      </w:r>
    </w:p>
    <w:p>
      <w:pPr>
        <w:spacing w:after="0" w:line="175" w:lineRule="exact"/>
        <w:rPr>
          <w:sz w:val="20"/>
          <w:szCs w:val="20"/>
          <w:color w:val="auto"/>
        </w:rPr>
      </w:pPr>
    </w:p>
    <w:p>
      <w:pPr>
        <w:ind w:left="180" w:right="3299" w:firstLine="188"/>
        <w:spacing w:after="0" w:line="250" w:lineRule="auto"/>
        <w:tabs>
          <w:tab w:leader="none" w:pos="64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and Amount. The shares of such series shall be designated as the Series D Preferred Stock (the "Series D Preferred Stock") and the number of shares initially constituting such series shall be 12,000,000, which number may be decreased (but not increased) by the Board of Directors without a vote of the shareholders; provided, however, that such number may not be decreased below the sum of the number of then currently outstanding shares of Series D Preferred Stock and the number of shares of Series D Preferred Stock reserved for issuance upon exercise of then currently outstanding options and warrants of the corporation. Shares of Series D Preferred Stock</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039"/>
          </w:cols>
          <w:pgMar w:left="420" w:top="650" w:right="1440" w:bottom="1440" w:gutter="0" w:footer="0" w:header="0"/>
        </w:sectPr>
      </w:pPr>
    </w:p>
    <w:bookmarkStart w:id="129" w:name="page130"/>
    <w:bookmarkEnd w:id="129"/>
    <w:p>
      <w:pPr>
        <w:jc w:val="both"/>
        <w:ind w:right="3299"/>
        <w:spacing w:after="0" w:line="252" w:lineRule="auto"/>
        <w:rPr>
          <w:sz w:val="20"/>
          <w:szCs w:val="20"/>
          <w:color w:val="auto"/>
        </w:rPr>
      </w:pPr>
      <w:r>
        <w:rPr>
          <w:rFonts w:ascii="Courier New" w:cs="Courier New" w:eastAsia="Courier New" w:hAnsi="Courier New"/>
          <w:sz w:val="15"/>
          <w:szCs w:val="15"/>
          <w:color w:val="auto"/>
        </w:rPr>
        <w:t>shall have a preference over shares of the corporation's common stock, without par value (the "Common Stock") upon liquidation, dissolution or winding up of the corporation.</w:t>
      </w:r>
    </w:p>
    <w:p>
      <w:pPr>
        <w:spacing w:after="0" w:line="175" w:lineRule="exact"/>
        <w:rPr>
          <w:sz w:val="20"/>
          <w:szCs w:val="20"/>
          <w:color w:val="auto"/>
        </w:rPr>
      </w:pPr>
    </w:p>
    <w:p>
      <w:pPr>
        <w:ind w:right="3299" w:firstLine="188"/>
        <w:spacing w:after="0" w:line="250" w:lineRule="auto"/>
        <w:tabs>
          <w:tab w:leader="none" w:pos="46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Holders of the outstanding shares of Series D Preferred Stock shall be entitled to receive, if, as and when declared by the Board of Directors out of funds legally available therefor, cumulative cash dividends at an annual rate of $0.62 per share, in preference to and in priority over any dividends with respect to the Common Stock. Dividends on the outstanding shares of Series D Preferred Stock shall begin to accrue and be cumulative (regardless of whether such dividends have been declared by the Board of Directors) beginning on the date of issuance, and shall be payable annually in arrears each December 31 until and unless redeemed by the corporation.</w:t>
      </w:r>
    </w:p>
    <w:p>
      <w:pPr>
        <w:spacing w:after="0" w:line="181" w:lineRule="exact"/>
        <w:rPr>
          <w:rFonts w:ascii="Courier New" w:cs="Courier New" w:eastAsia="Courier New" w:hAnsi="Courier New"/>
          <w:sz w:val="15"/>
          <w:szCs w:val="15"/>
          <w:color w:val="auto"/>
        </w:rPr>
      </w:pPr>
    </w:p>
    <w:p>
      <w:pPr>
        <w:ind w:right="3399" w:firstLine="188"/>
        <w:spacing w:after="0" w:line="251" w:lineRule="auto"/>
        <w:tabs>
          <w:tab w:leader="none" w:pos="46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(a) Outstanding shares of Series D Preferred Stock shall have no voting rights other than such voting rights as shall be required by the Colorado Business Corporation Act or as otherwise provided below in this Section 3.</w:t>
      </w:r>
    </w:p>
    <w:p>
      <w:pPr>
        <w:spacing w:after="0" w:line="176" w:lineRule="exact"/>
        <w:rPr>
          <w:sz w:val="20"/>
          <w:szCs w:val="20"/>
          <w:color w:val="auto"/>
        </w:rPr>
      </w:pPr>
    </w:p>
    <w:p>
      <w:pPr>
        <w:ind w:right="3299" w:firstLine="188"/>
        <w:spacing w:after="0" w:line="250" w:lineRule="auto"/>
        <w:tabs>
          <w:tab w:leader="none" w:pos="55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at any time or times, dividends payable on any share or shares of Series D Preferred Stock shall be in arrears in an amount equal to at least two full annual dividends (whether or not declared and whether or not consecutive and whether or not funds are legally available for such dividends), the holders of record of the outstanding Series D Preferred Stock shall have the exclusive right, voting separately as a single class, to elect one director of the corporation at a special meeting of shareholders of the corporation or at the corporation's next annual meeting of shareholders, and at each subsequent annual meeting of shareholders, as provided below. At elections for such director, the holders of shares of Series D Preferred Stock shall be entitled to cast one vote for each share held.</w:t>
      </w:r>
    </w:p>
    <w:p>
      <w:pPr>
        <w:spacing w:after="0" w:line="182" w:lineRule="exact"/>
        <w:rPr>
          <w:rFonts w:ascii="Courier New" w:cs="Courier New" w:eastAsia="Courier New" w:hAnsi="Courier New"/>
          <w:sz w:val="15"/>
          <w:szCs w:val="15"/>
          <w:color w:val="auto"/>
        </w:rPr>
      </w:pPr>
    </w:p>
    <w:p>
      <w:pPr>
        <w:ind w:right="3299" w:firstLine="188"/>
        <w:spacing w:after="0" w:line="250" w:lineRule="auto"/>
        <w:tabs>
          <w:tab w:leader="none" w:pos="55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failure by the corporation to redeem any shares of Series D Preferred Stock pursuant to any demand duly made pursuant to Section 4(a) below (whether or not such failure results from the corporation's failure to have sufficient funds legally available for such redemption), then the holders of record of the Series D Preferred Stock shall have, as their sole remedy in respect of such failure, the exclusive right, voting separately as a single class, to elect the smallest number of directors of the corporation that shall constitute a majority of the authorized number of members of the Board of Directors (including new directorships created pursuant to Section 4(d) below) at a special meeting of shareholders of the corporation or at the corporation's next annual meeting of shareholders, and at each subsequent annual meeting of shareholders, as provided below. At elections for such directors, the holders of shares of Series D Preferred Stock shall be entitled to cast one vote for each share held. If such holders exercise such right to elect a majority of the directors, then following the election of such directors and during the period in which a majority of the directors are persons elected by such holders (or the successors of such directors), the corporation shall be required to redeem all of the shares of Series D Preferred Stock for which redemption was duly demanded pursuant to Section 4(a) below as soon as practicable if and to the extent that funds are legally available therefor. Any such redemption shall be made in accordance with the procedures set forth in Section 4(c) below as if it were a redemption pursuant to Section 4(b) but subject to being given the priority set forth in the proviso to Section 4(c)(i) below. During any period while the right to elect directors pursuant to this Section 3(c) is vested, the director, if any, elected pursuant to Section 3(b) and then in office shall be deemed to be one of the directors elected pursuant to this Section 3(c).</w:t>
      </w:r>
    </w:p>
    <w:p>
      <w:pPr>
        <w:spacing w:after="0" w:line="367" w:lineRule="exact"/>
        <w:rPr>
          <w:rFonts w:ascii="Courier New" w:cs="Courier New" w:eastAsia="Courier New" w:hAnsi="Courier New"/>
          <w:sz w:val="15"/>
          <w:szCs w:val="15"/>
          <w:color w:val="auto"/>
        </w:rPr>
      </w:pPr>
    </w:p>
    <w:p>
      <w:pPr>
        <w:ind w:right="3299" w:firstLine="188"/>
        <w:spacing w:after="0" w:line="250" w:lineRule="auto"/>
        <w:tabs>
          <w:tab w:leader="none" w:pos="55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vesting of such right of the holders of the Series D Preferred Stock to elect any directors pursuant to Section 3(b) or (c) above, the maximum authorized number of members of the Board of Directors shall be automatically increased, (i) in case of a right pursuant to Section 3(b) above, by one and, (ii) in the case of a right pursuant to Section 3(c) above, by the maximum number of members of the Board of Directors immediately theretofore authorized (but excluding from such maximum number the member, if any, authorized pursuant to Section 3(b)), plus one, and the vacancy or vacancies so created shall be filled by vote of the holders of the outstanding Series D Preferred Stock as hereinafter set forth. A special meeting of the shareholders of the corporation then entitled to vote shall be called by the Chairman of the Board of Directors or the President or the Secretary of the corporation, if requested in writing by the holders of record of not less than 25% of the Series D</w:t>
      </w:r>
    </w:p>
    <w:p>
      <w:pPr>
        <w:spacing w:after="0" w:line="18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9859"/>
          </w:cols>
          <w:pgMar w:left="600" w:top="650" w:right="1440" w:bottom="1440" w:gutter="0" w:footer="0" w:header="0"/>
        </w:sectPr>
      </w:pPr>
    </w:p>
    <w:bookmarkStart w:id="130" w:name="page131"/>
    <w:bookmarkEnd w:id="130"/>
    <w:p>
      <w:pPr>
        <w:ind w:right="3299"/>
        <w:spacing w:after="0" w:line="250" w:lineRule="auto"/>
        <w:rPr>
          <w:sz w:val="20"/>
          <w:szCs w:val="20"/>
          <w:color w:val="auto"/>
        </w:rPr>
      </w:pPr>
      <w:r>
        <w:rPr>
          <w:rFonts w:ascii="Courier New" w:cs="Courier New" w:eastAsia="Courier New" w:hAnsi="Courier New"/>
          <w:sz w:val="15"/>
          <w:szCs w:val="15"/>
          <w:color w:val="auto"/>
        </w:rPr>
        <w:t>Preferred Stock then outstanding. At such special meeting, or, if such special meeting shall not have been called, then at the next annual meeting of shareholders of the corporation, the holders of the Series D Preferred Stock shall elect, voting as above provided, a director or directors to fill the aforesaid vacancy or vacancies created by the automatic increase in the number of members of the Board of Directors. At any and all such meetings for such election, the holders of a majority of the outstanding shares of the Series D Preferred Stock shall be necessary to constitute a quorum for such election, whether present in person or by proxy, and such director or directors shall be elected by the vote of at least a plurality of shares held by such shareholders present or represented at the meeting. Any director elected by holders of the Series D Preferred Stock pursuant to this Section may be removed at any annual or special meeting, by vote of a majority of the outstanding shares of the Series D Preferred Stock, with or without cause. In case a director so elected shall vacate such position, such vacancy may be filled by unanimous agreement of the remaining directors so elected, or their successors then in office, if any, or may be filled in the same manner as is provided above for the initial election of a director by the holders of the Series D Preferred Stock.</w:t>
      </w:r>
    </w:p>
    <w:p>
      <w:pPr>
        <w:spacing w:after="0" w:line="364" w:lineRule="exact"/>
        <w:rPr>
          <w:sz w:val="20"/>
          <w:szCs w:val="20"/>
          <w:color w:val="auto"/>
        </w:rPr>
      </w:pPr>
    </w:p>
    <w:p>
      <w:pPr>
        <w:ind w:right="3299" w:firstLine="188"/>
        <w:spacing w:after="0" w:line="250" w:lineRule="auto"/>
        <w:tabs>
          <w:tab w:leader="none" w:pos="55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the Series D Preferred Stock, voting separately as a class, to elect one director of the Board of Directors pursuant to Section 3(b) above shall continue until, and only until, such time as all arrears in dividends (whether or not declared) on the Series D Preferred Stock shall have been paid or declared and set apart for payment, at which time such right shall terminate, except as expressly provided by law, subject to revesting in the event of each and every subsequent default of the character above-mentioned. The right of such holders, voting separately as a class, to elect directors pursuant to Section 3(c) above shall continue until, and only until, such time as the corporation has redeemed all of the shares of Series D Preferred Stock for which redemption was duly demanded pursuant to Section 3(c) above, at which time such right shall terminate, except as expressly provided by law. Upon any termination of the right of the holders of the Series D Preferred Stock as a class to vote for a director or directors as herein provided, the term of office of any such director or directors then in office shall terminate immediately. Whenever the term of office of any director elected by the holders of the Series D Preferred Stock pursuant to this Section shall terminate and the special voting powers vested in the holders of the Series D Preferred Stock pursuant to this Section shall have expired, the maximum number of members of the Board of Directors shall be such as may be provided for in the By-Laws of the corporation irrespective of any increase made pursuant to the provisions of this Section.</w:t>
      </w:r>
    </w:p>
    <w:p>
      <w:pPr>
        <w:spacing w:after="0" w:line="188" w:lineRule="exact"/>
        <w:rPr>
          <w:sz w:val="20"/>
          <w:szCs w:val="20"/>
          <w:color w:val="auto"/>
        </w:rPr>
      </w:pPr>
    </w:p>
    <w:p>
      <w:pPr>
        <w:ind w:right="3299" w:firstLine="188"/>
        <w:spacing w:after="0" w:line="250" w:lineRule="auto"/>
        <w:tabs>
          <w:tab w:leader="none" w:pos="46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(a) At the Option of Holders. During, and only during the period of 30 days beginning on the fifth anniversary of the effective date of the merger of Trans-IMS Corporation into the corporation, any one or more holders of shares of Series D Preferred Stock, at the option of such holders, may demand that the corporation redeem any or all of their shares of Series D Preferred Stock at a redemption price of $8.00 per share, plus an amount equal to all accrued and unpaid dividends thereon (whether or not declared) to and including the date of redemption. Such demand shall be made by delivering to the corporation at its principal executive offices a written demand during the aforesaid 30-day period. Such demand shall specify the number of shares to be redeemed and shall be irrevocable, except with the consent of the corporation. Following receipt of any such demand, the corporation may, at its option, choose to redeem, or not to redeem, shares in accordance with such demand and the provisions of this Section 4. If shares are to be so redeemed, the corporation shall fix a redemption date that shall be not later than 90 days after such fifth anniversary. The corporation shall give notice of redemption by first class mail, postage prepaid, mailed not less than 20 days prior to the date fixed for redemption to the holders whose shares are to be redeemed at their respective addresses appearing on the stock books of the corporation. Notice so mailed shall be conclusively presumed to have been duly given whether or not actually received. Such notice shall state: (i) the date fixed for redemption; (ii) the redemption price; (iii) the number of shares of Series D Preferred Stock to be redeemed and if less than all the shares held by such holder are to be redeemed, the number of shares to be so redeemed from such holder; (iv) the place where certificates for such shares are to be surrendered for payment of the redemption price; and (v) that after the close of business on such date</w:t>
      </w:r>
    </w:p>
    <w:p>
      <w:pPr>
        <w:spacing w:after="0" w:line="19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9859"/>
          </w:cols>
          <w:pgMar w:left="600" w:top="650" w:right="1440" w:bottom="1440" w:gutter="0" w:footer="0" w:header="0"/>
        </w:sectPr>
      </w:pPr>
    </w:p>
    <w:bookmarkStart w:id="131" w:name="page132"/>
    <w:bookmarkEnd w:id="131"/>
    <w:p>
      <w:pPr>
        <w:ind w:right="3299"/>
        <w:spacing w:after="0" w:line="250" w:lineRule="auto"/>
        <w:rPr>
          <w:sz w:val="20"/>
          <w:szCs w:val="20"/>
          <w:color w:val="auto"/>
        </w:rPr>
      </w:pPr>
      <w:r>
        <w:rPr>
          <w:rFonts w:ascii="Courier New" w:cs="Courier New" w:eastAsia="Courier New" w:hAnsi="Courier New"/>
          <w:sz w:val="15"/>
          <w:szCs w:val="15"/>
          <w:color w:val="auto"/>
        </w:rPr>
        <w:t>fixed for redemption the shares to be so redeemed shall not accrue dividends. If the corporation does not redeem all of the shares of Series D Preferred Stock for which redemption has been duly demanded pursuant to this Section, the sole remedy of the holders of such shares in respect of such failure to redeem shall be the exercise of the voting rights conferred by Section 3(c) above. For the purposes of Section 3 above, the corporation shall be considered to have redeemed any shares for which redemption has been duly demanded if such shares are thereafter purchased by the corporation or any person or entity that then owns, directly or indirectly, at least 50% of the corporation's then outstanding Common Stock.</w:t>
      </w:r>
    </w:p>
    <w:p>
      <w:pPr>
        <w:spacing w:after="0" w:line="182" w:lineRule="exact"/>
        <w:rPr>
          <w:sz w:val="20"/>
          <w:szCs w:val="20"/>
          <w:color w:val="auto"/>
        </w:rPr>
      </w:pPr>
    </w:p>
    <w:p>
      <w:pPr>
        <w:ind w:right="3299" w:firstLine="188"/>
        <w:spacing w:after="0" w:line="251" w:lineRule="auto"/>
        <w:tabs>
          <w:tab w:leader="none" w:pos="55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Option of the Corporation. On and after the fifth anniversary of the effective date of the merger of Trans-IMS Corporation into the corporation, the corporation, at its option, may redeem any or all shares of Series D Preferred Stock at a redemption price of $8.00 per share, plus an amount equal to all accrued and unpaid dividends thereon (whether or not declared) to and including the date of redemption.</w:t>
      </w:r>
    </w:p>
    <w:p>
      <w:pPr>
        <w:spacing w:after="0" w:line="175" w:lineRule="exact"/>
        <w:rPr>
          <w:rFonts w:ascii="Courier New" w:cs="Courier New" w:eastAsia="Courier New" w:hAnsi="Courier New"/>
          <w:sz w:val="15"/>
          <w:szCs w:val="15"/>
          <w:color w:val="auto"/>
        </w:rPr>
      </w:pPr>
    </w:p>
    <w:p>
      <w:pPr>
        <w:ind w:right="3299" w:firstLine="188"/>
        <w:spacing w:after="0" w:line="250" w:lineRule="auto"/>
        <w:tabs>
          <w:tab w:leader="none" w:pos="55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Procedures. (i) If, pursuant to Section 4(a), the corporation will redeem less than all of the shares for which demands for redemption were duly made, or if less than all of the outstanding shares of Series D Preferred Stock are to be redeemed pursuant to Section 4(b), the shares to be redeemed shall be selected pro rata (subject to rounding to avoid fractional shares) as nearly as practicable or by lot, or by such other method as the Board of Directors may determine to be equitable; provided, however, that if the corporation is proposing to redeem shares pursuant to Section 4(b) and any shares for which demands for redemption were duly made pursuant to Section 4(a) have not been redeemed, then priority shall be given to the redemption of such shares for which such demands were duly made.</w:t>
      </w:r>
    </w:p>
    <w:p>
      <w:pPr>
        <w:spacing w:after="0" w:line="183" w:lineRule="exact"/>
        <w:rPr>
          <w:sz w:val="20"/>
          <w:szCs w:val="20"/>
          <w:color w:val="auto"/>
        </w:rPr>
      </w:pPr>
    </w:p>
    <w:p>
      <w:pPr>
        <w:ind w:right="3299" w:firstLine="188"/>
        <w:spacing w:after="0" w:line="250" w:lineRule="auto"/>
        <w:tabs>
          <w:tab w:leader="none" w:pos="64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any redemption pursuant to Section 4(b) shall be given by first class mail, postage prepaid, mailed not less than 30 nor more than 60 days prior to the date fixed for redemption to the holders of record of the Series D Preferred Stock to be redeemed at their respective addresses appearing on the stock books of the corporation. The Board of Directors of the corporation shall fix a record date for determining holders of record who are entitled to receive notice of any redemption, not more than 10 days prior to the mailing of such notice. Notice so mailed shall be conclusively presumed to have been duly given whether or not actually received. Such notice shall state: (i) the date fixed for redemption; (ii) the redemption price; (iii) the number of shares of Series D Preferred Stock to be redeemed and if less than all the shares held by such holder are to be redeemed, the number of shares to be so redeemed from such holder; (iv) the place where certificates for such shares are to be surrendered for payment of the redemption price; and (v) that after the close of business on such date fixed for redemption the shares to be so redeemed shall not accrue dividends.</w:t>
      </w:r>
    </w:p>
    <w:p>
      <w:pPr>
        <w:spacing w:after="0" w:line="184" w:lineRule="exact"/>
        <w:rPr>
          <w:rFonts w:ascii="Courier New" w:cs="Courier New" w:eastAsia="Courier New" w:hAnsi="Courier New"/>
          <w:sz w:val="15"/>
          <w:szCs w:val="15"/>
          <w:color w:val="auto"/>
        </w:rPr>
      </w:pPr>
    </w:p>
    <w:p>
      <w:pPr>
        <w:ind w:right="3299" w:firstLine="188"/>
        <w:spacing w:after="0" w:line="251" w:lineRule="auto"/>
        <w:tabs>
          <w:tab w:leader="none" w:pos="73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surrender in accordance with the notice of redemption referred to in Section 4(a) or 4(c)(ii), the certificate for any shares of Series D Preferred Stock so redeemed (duly endorsed or accompanied by appropriate instruments of transfer, if so required by the corporation in such notice), the holders of record of such shares shall be entitled to receive the redemption price, without interest. In case fewer than all the shares represented by any such certificate are redeemed, a new certificate shall be issued representing the unredeemed shares without cost to the holder thereof.</w:t>
      </w:r>
    </w:p>
    <w:p>
      <w:pPr>
        <w:spacing w:after="0" w:line="175" w:lineRule="exact"/>
        <w:rPr>
          <w:rFonts w:ascii="Courier New" w:cs="Courier New" w:eastAsia="Courier New" w:hAnsi="Courier New"/>
          <w:sz w:val="15"/>
          <w:szCs w:val="15"/>
          <w:color w:val="auto"/>
        </w:rPr>
      </w:pPr>
    </w:p>
    <w:p>
      <w:pPr>
        <w:ind w:right="3299" w:firstLine="188"/>
        <w:spacing w:after="0" w:line="251" w:lineRule="auto"/>
        <w:tabs>
          <w:tab w:leader="none" w:pos="64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redemption having been mailed as provided in Section 4(a) or 4(c)(ii), from and after the redemption date (unless default shall be made by the corporation in providing money for the payment of the redemption price) dividends on the shares of the Series D Preferred Stock called for redemption shall cease to accrue, and said shares shall no longer be deemed to be outstanding, and all rights of the holders thereof as stockholders of the corporation (except the right to receive from the corporation the redemption price) shall cease.</w:t>
      </w:r>
    </w:p>
    <w:p>
      <w:pPr>
        <w:spacing w:after="0" w:line="175" w:lineRule="exact"/>
        <w:rPr>
          <w:sz w:val="20"/>
          <w:szCs w:val="20"/>
          <w:color w:val="auto"/>
        </w:rPr>
      </w:pPr>
    </w:p>
    <w:p>
      <w:pPr>
        <w:ind w:right="3399" w:firstLine="188"/>
        <w:spacing w:after="0" w:line="251" w:lineRule="auto"/>
        <w:tabs>
          <w:tab w:leader="none" w:pos="461"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Preemptive Rights. No holder of a share or shares of Series D Preferred Stock shall, because of such holder's ownership of such stock, have a preemptive right to purchase, subscribe for or take any part of any capital stock of the corporation nor shall any such holder have a preemptive right to purchase, subscribe for or take any part of notes, debentures, bonds or any other securities of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9859"/>
          </w:cols>
          <w:pgMar w:left="600" w:top="650" w:right="1440" w:bottom="1440" w:gutter="0" w:footer="0" w:header="0"/>
        </w:sectPr>
      </w:pPr>
    </w:p>
    <w:bookmarkStart w:id="132" w:name="page133"/>
    <w:bookmarkEnd w:id="132"/>
    <w:p>
      <w:pPr>
        <w:jc w:val="both"/>
        <w:ind w:left="180" w:right="3399"/>
        <w:spacing w:after="0" w:line="252" w:lineRule="auto"/>
        <w:rPr>
          <w:sz w:val="20"/>
          <w:szCs w:val="20"/>
          <w:color w:val="auto"/>
        </w:rPr>
      </w:pPr>
      <w:r>
        <w:rPr>
          <w:rFonts w:ascii="Courier New" w:cs="Courier New" w:eastAsia="Courier New" w:hAnsi="Courier New"/>
          <w:sz w:val="15"/>
          <w:szCs w:val="15"/>
          <w:color w:val="auto"/>
        </w:rPr>
        <w:t>the corporation, including, but not limited to, securities convertible into or carrying options or warrants to purchase capital stock of the corporation.</w:t>
      </w:r>
    </w:p>
    <w:p>
      <w:pPr>
        <w:spacing w:after="0" w:line="175" w:lineRule="exact"/>
        <w:rPr>
          <w:sz w:val="20"/>
          <w:szCs w:val="20"/>
          <w:color w:val="auto"/>
        </w:rPr>
      </w:pPr>
    </w:p>
    <w:p>
      <w:pPr>
        <w:ind w:left="180" w:right="3299" w:firstLine="188"/>
        <w:spacing w:after="0" w:line="250" w:lineRule="auto"/>
        <w:tabs>
          <w:tab w:leader="none" w:pos="64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Upon any voluntary or involuntary liquidation, dissolution or winding-up of the corporation, the holders of the Series D Preferred Stock will be entitled to receive out of the assets of the corporation available for distribution to stockholders, before any distribution of assets is made to the holders of shares of Common Stock, an amount in cash equal to $8.00 per share, plus an amount equal to all accumulated and unpaid dividends on such shares of Series D Preferred Stock to and including the date of such liquidation, dissolution or winding up. If, upon any voluntary or involuntary liquidation, dissolution or winding up of the corporation, the amounts payable with respect to the Series D Preferred Stock and any parity stock are not paid in full, the holders of the Series D Preferred Stock and such parity stock shall share ratably in any such distribution of assets of the corporation in proportion to the full respective preferential amounts (including accumulated and unpaid dividends) to which they are entitled. After payment to the holders of the Series D Preferred Stock (including accumulated and unpaid dividends) provided for in this Section 6, the holders of Series D Preferred Stock shall be entitled to no further participation in any distribution of assets of the corporation.</w:t>
      </w:r>
    </w:p>
    <w:p>
      <w:pPr>
        <w:spacing w:after="0" w:line="186" w:lineRule="exact"/>
        <w:rPr>
          <w:rFonts w:ascii="Courier New" w:cs="Courier New" w:eastAsia="Courier New" w:hAnsi="Courier New"/>
          <w:sz w:val="15"/>
          <w:szCs w:val="15"/>
          <w:color w:val="auto"/>
        </w:rPr>
      </w:pPr>
    </w:p>
    <w:p>
      <w:pPr>
        <w:jc w:val="both"/>
        <w:ind w:left="180" w:right="3479" w:firstLine="188"/>
        <w:spacing w:after="0" w:line="252" w:lineRule="auto"/>
        <w:tabs>
          <w:tab w:leader="none" w:pos="64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Rights. Holders of the Series D Preferred Stock shall have no rights to convert the Series D Preferred Stock into any other class of capital stock of the corporation.</w:t>
      </w:r>
    </w:p>
    <w:p>
      <w:pPr>
        <w:spacing w:after="0" w:line="174" w:lineRule="exact"/>
        <w:rPr>
          <w:rFonts w:ascii="Courier New" w:cs="Courier New" w:eastAsia="Courier New" w:hAnsi="Courier New"/>
          <w:sz w:val="15"/>
          <w:szCs w:val="15"/>
          <w:color w:val="auto"/>
        </w:rPr>
      </w:pPr>
    </w:p>
    <w:p>
      <w:pPr>
        <w:ind w:left="180" w:right="3299" w:firstLine="188"/>
        <w:spacing w:after="0" w:line="251" w:lineRule="auto"/>
        <w:tabs>
          <w:tab w:leader="none" w:pos="64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Redeemed Shares. All shares of Series D Preferred Stock redeemed pursuant to Section 4 shall be cancelled and shall not be issuable by the corporation, and the Articles of Incorporation shall be appropriately amended, if required, to effect the corresponding reduction in the corporation's authorized capital.</w:t>
      </w:r>
    </w:p>
    <w:p>
      <w:pPr>
        <w:spacing w:after="0" w:line="176" w:lineRule="exact"/>
        <w:rPr>
          <w:rFonts w:ascii="Courier New" w:cs="Courier New" w:eastAsia="Courier New" w:hAnsi="Courier New"/>
          <w:sz w:val="15"/>
          <w:szCs w:val="15"/>
          <w:color w:val="auto"/>
        </w:rPr>
      </w:pPr>
    </w:p>
    <w:p>
      <w:pPr>
        <w:ind w:left="180" w:right="3299" w:firstLine="188"/>
        <w:spacing w:after="0" w:line="251" w:lineRule="auto"/>
        <w:tabs>
          <w:tab w:leader="none" w:pos="641"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Other Rights. The shares of Series D Preferred Stock shall not have any preferences, voting powers or relative, participating or other special rights except as set forth above and in the Articles of Incorporation or as otherwise required by applicable law.</w:t>
      </w:r>
    </w:p>
    <w:p>
      <w:pPr>
        <w:spacing w:after="0" w:line="176"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Sixth: The number of directors on the corporation shall be fixed and may be altered from time to time as provided in the by-laws of the corporation.</w:t>
      </w:r>
    </w:p>
    <w:p>
      <w:pPr>
        <w:spacing w:after="0" w:line="174"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Seventh: No shareholder of the corporation shall have any preemptive or similar right to acquire or subscribe for any additional unissued shares of stock, or other securities of any class, or rights, warrants or options to purchase stock or scrip, or securities of any kind convertible into stock or carrying stock purchase warrants or privileges.</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Eighth: To the fullest extent permitted by the Act, as the same exists or may hereafter be amended, a director of the corporation shall not be personally liable to the corporation or its shareholders for monetary damages for breach of fiduciary duty as a director, except that this provision shall not eliminate or limit the liability of a director to the corporation or to its shareholders for monetary damages otherwise existing for (i) any breach of the director's duty of loyalty to the corporation or to its shareholders; (ii) acts or omissions not in good faith or which involve intentional misconduct or a knowing violation of law; (iii) acts specified in Section 7-108-403 of the Act relating to any unlawful distribution; or (iv) any transaction from which the director directly or indirectly derived any improper personal benefit. If the Act is hereafter amended to eliminate or limit further the liability of a director, then, in addition to the elimination and limitation of liability provided by the preceding sentence, the liability of each director shall be eliminated or limited to the fullest extent permitted by the Act as so amended. Any repeal or modification of this Article by the shareholders of the corporation shall be prospective only and shall not adversely affect any right or protection of a director of the corporation existing at the time of such repeal or modification.</w:t>
      </w:r>
    </w:p>
    <w:p>
      <w:pPr>
        <w:spacing w:after="0" w:line="186" w:lineRule="exact"/>
        <w:rPr>
          <w:sz w:val="20"/>
          <w:szCs w:val="20"/>
          <w:color w:val="auto"/>
        </w:rPr>
      </w:pPr>
    </w:p>
    <w:p>
      <w:pPr>
        <w:ind w:right="3219" w:firstLine="185"/>
        <w:spacing w:after="0" w:line="253" w:lineRule="auto"/>
        <w:rPr>
          <w:sz w:val="20"/>
          <w:szCs w:val="20"/>
          <w:color w:val="auto"/>
        </w:rPr>
      </w:pPr>
      <w:r>
        <w:rPr>
          <w:rFonts w:ascii="Courier New" w:cs="Courier New" w:eastAsia="Courier New" w:hAnsi="Courier New"/>
          <w:sz w:val="15"/>
          <w:szCs w:val="15"/>
          <w:color w:val="auto"/>
        </w:rPr>
        <w:t>Ninth: The corporation shall indemnify officers, directors, employees or agents to the extent provided in the corporation's bylaws.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FIFTH: A copy of the executed Plan of Merger is attached hereto.</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039"/>
          </w:cols>
          <w:pgMar w:left="420" w:top="650" w:right="1440" w:bottom="1440" w:gutter="0" w:footer="0" w:header="0"/>
        </w:sectPr>
      </w:pPr>
    </w:p>
    <w:bookmarkStart w:id="133" w:name="page134"/>
    <w:bookmarkEnd w:id="133"/>
    <w:p>
      <w:pPr>
        <w:ind w:right="3119"/>
        <w:spacing w:after="0" w:line="252" w:lineRule="auto"/>
        <w:rPr>
          <w:sz w:val="20"/>
          <w:szCs w:val="20"/>
          <w:color w:val="auto"/>
        </w:rPr>
      </w:pPr>
      <w:r>
        <w:rPr>
          <w:rFonts w:ascii="Courier New" w:cs="Courier New" w:eastAsia="Courier New" w:hAnsi="Courier New"/>
          <w:sz w:val="15"/>
          <w:szCs w:val="15"/>
          <w:color w:val="auto"/>
        </w:rPr>
        <w:t>SIXTH: The merger shall become effective immediately upon filing these Articles of Merger with the Secretary of State of Colorado in accordance with the provisions of Section 7-111-105 of the Colorado Business Corporation Act.</w:t>
      </w:r>
    </w:p>
    <w:p>
      <w:pPr>
        <w:spacing w:after="0" w:line="175"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SEVENTH: The number of votes cast for the Plan of Merger by each voting group entitled to vote separately on the merger was sufficient for approval by that voting group.</w:t>
      </w:r>
    </w:p>
    <w:p>
      <w:pPr>
        <w:spacing w:after="0" w:line="17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DATED as of this</w:t>
      </w:r>
      <w:r>
        <w:rPr>
          <w:sz w:val="20"/>
          <w:szCs w:val="20"/>
          <w:color w:val="auto"/>
        </w:rPr>
        <w:tab/>
      </w:r>
      <w:r>
        <w:rPr>
          <w:rFonts w:ascii="Courier New" w:cs="Courier New" w:eastAsia="Courier New" w:hAnsi="Courier New"/>
          <w:sz w:val="15"/>
          <w:szCs w:val="15"/>
          <w:color w:val="auto"/>
        </w:rPr>
        <w:t>day of</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Integrated Medical Systems, Inc., a</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Colorado Corporation</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President</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Trans-IMS Corporation,a Colorado</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Corporation</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President</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50" w:right="1440" w:bottom="1440" w:gutter="0" w:footer="0" w:header="0"/>
        </w:sectPr>
      </w:pPr>
    </w:p>
    <w:bookmarkStart w:id="134" w:name="page135"/>
    <w:bookmarkEnd w:id="134"/>
    <w:p>
      <w:pPr>
        <w:ind w:left="6360"/>
        <w:spacing w:after="0"/>
        <w:rPr>
          <w:sz w:val="20"/>
          <w:szCs w:val="20"/>
          <w:color w:val="auto"/>
        </w:rPr>
      </w:pPr>
      <w:r>
        <w:rPr>
          <w:rFonts w:ascii="Courier New" w:cs="Courier New" w:eastAsia="Courier New" w:hAnsi="Courier New"/>
          <w:sz w:val="15"/>
          <w:szCs w:val="15"/>
          <w:color w:val="auto"/>
        </w:rPr>
        <w:t>APPENDIX B</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PUT/CALL AGREEMENT</w:t>
      </w:r>
    </w:p>
    <w:p>
      <w:pPr>
        <w:spacing w:after="0" w:line="185" w:lineRule="exact"/>
        <w:rPr>
          <w:sz w:val="20"/>
          <w:szCs w:val="20"/>
          <w:color w:val="auto"/>
        </w:rPr>
      </w:pPr>
    </w:p>
    <w:p>
      <w:pPr>
        <w:ind w:left="180"/>
        <w:spacing w:after="0"/>
        <w:tabs>
          <w:tab w:leader="none" w:pos="3580" w:val="left"/>
        </w:tabs>
        <w:rPr>
          <w:sz w:val="20"/>
          <w:szCs w:val="20"/>
          <w:color w:val="auto"/>
        </w:rPr>
      </w:pPr>
      <w:r>
        <w:rPr>
          <w:rFonts w:ascii="Courier New" w:cs="Courier New" w:eastAsia="Courier New" w:hAnsi="Courier New"/>
          <w:sz w:val="15"/>
          <w:szCs w:val="15"/>
          <w:color w:val="auto"/>
        </w:rPr>
        <w:t>THIS PUT/CALL AGREEMENT, dated</w:t>
      </w:r>
      <w:r>
        <w:rPr>
          <w:sz w:val="20"/>
          <w:szCs w:val="20"/>
          <w:color w:val="auto"/>
        </w:rPr>
        <w:tab/>
      </w:r>
      <w:r>
        <w:rPr>
          <w:rFonts w:ascii="Courier New" w:cs="Courier New" w:eastAsia="Courier New" w:hAnsi="Courier New"/>
          <w:sz w:val="15"/>
          <w:szCs w:val="15"/>
          <w:color w:val="auto"/>
        </w:rPr>
        <w:t>is among Eli Lilly and Company, an</w:t>
      </w:r>
    </w:p>
    <w:p>
      <w:pPr>
        <w:spacing w:after="0" w:line="8"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Indiana corporation ("Lilly"), Integrated Medical Systems, Inc., a Colorado corporation ("IMS"), and the person or entity or persons or entities whose name or names appears on the signature page hereto as Holder (each, a "Holder").</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PRELIMINARY STATEMENT</w:t>
      </w:r>
    </w:p>
    <w:p>
      <w:pPr>
        <w:spacing w:after="0" w:line="185"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Holder is the owner of shares of Common Stock or Series B Preferred Stock of IMS, or is the owner of rights to acquire such shares pursuant to options or warrants, as specified on the signature page hereof.</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Pursuant to an Agreement and Plan of Merger, dated as of August 2, 1995 (the "Merger Agreement"), following approval by the IMS shareholders, a subsidiary of Lilly has been, or will be, merged into IMS (the "Merger"), and upon the Merger the outstanding shares of Common Stock and certain outstanding shares of Series B Preferred Stock have been, or will be, converted into cash or shares of Series D Preferred Stock, par value $0.01 per share, of IMS (the "New Preferred Stock"). In addition, rights to acquire Common Stock following the Merger pursuant to options or warrants, or upon the conversion of Series B Preferred Stock, have or will become rights to acquire New Preferred Stock.</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Holder may elect to receive shares of New Preferred Stock in the Merger (the "Merger Shares") and/or to acquire additional shares of New Preferred Stock following the Merger pursuant to the exercise of options or warrants or the conversion of Series B Preferred Stock (the "Additional Shares").</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Holder and Lilly desire to grant each other certain rights regarding the possible future purchase of such number of the Merger Shares and Additional Shares as are specified on the signature page hereof (such Merger Shares and Additional Shares so subject to the rights provided herein being herein called the "Subject Shares").</w:t>
      </w:r>
    </w:p>
    <w:p>
      <w:pPr>
        <w:spacing w:after="0" w:line="176"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In order to facilitate the possible future purchase of the Subject Shares, the parties will execute an Escrow Agreement (the "Escrow Agreement") with an agent named therein (the "Agent") substantially in the form of Exhibit A hereto.</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AGREEMENT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parties agree as follows:</w:t>
      </w:r>
    </w:p>
    <w:p>
      <w:pPr>
        <w:spacing w:after="0" w:line="185" w:lineRule="exact"/>
        <w:rPr>
          <w:sz w:val="20"/>
          <w:szCs w:val="20"/>
          <w:color w:val="auto"/>
        </w:rPr>
      </w:pPr>
    </w:p>
    <w:p>
      <w:pPr>
        <w:ind w:right="3019" w:firstLine="179"/>
        <w:spacing w:after="0" w:line="251" w:lineRule="auto"/>
        <w:tabs>
          <w:tab w:leader="none" w:pos="461"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Right. (a) Grant. Lilly hereby grants to Holder, subject to the terms and conditions of this Agreement, the right to require Lilly (or Lilly's designee(s)) to purchase any or all of the Subject Shares at the Purchase Price (as defined below) during the Put Periods specified below.</w:t>
      </w:r>
    </w:p>
    <w:p>
      <w:pPr>
        <w:spacing w:after="0" w:line="176" w:lineRule="exact"/>
        <w:rPr>
          <w:sz w:val="20"/>
          <w:szCs w:val="20"/>
          <w:color w:val="auto"/>
        </w:rPr>
      </w:pPr>
    </w:p>
    <w:p>
      <w:pPr>
        <w:ind w:left="540" w:hanging="361"/>
        <w:spacing w:after="0"/>
        <w:tabs>
          <w:tab w:leader="none" w:pos="5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Periods. The initial Put Period shall be a period of at least 10</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beginning on the first anniversary of the Merger; the second Put</w:t>
      </w:r>
    </w:p>
    <w:p>
      <w:pPr>
        <w:spacing w:after="0" w:line="185" w:lineRule="exact"/>
        <w:rPr>
          <w:sz w:val="20"/>
          <w:szCs w:val="20"/>
          <w:color w:val="auto"/>
        </w:rPr>
      </w:pPr>
    </w:p>
    <w:p>
      <w:pPr>
        <w:ind w:right="3219"/>
        <w:spacing w:after="0" w:line="250" w:lineRule="auto"/>
        <w:rPr>
          <w:sz w:val="20"/>
          <w:szCs w:val="20"/>
          <w:color w:val="auto"/>
        </w:rPr>
      </w:pPr>
      <w:r>
        <w:rPr>
          <w:rFonts w:ascii="Courier New" w:cs="Courier New" w:eastAsia="Courier New" w:hAnsi="Courier New"/>
          <w:sz w:val="15"/>
          <w:szCs w:val="15"/>
          <w:color w:val="auto"/>
        </w:rPr>
        <w:t>Period shall be a period of at least 10 business days beginning on , 1998 [date to be about 30 months after Merger]. The Put Period shall be specified</w:t>
      </w:r>
    </w:p>
    <w:p>
      <w:pPr>
        <w:spacing w:after="0" w:line="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 the applicable Put Notification (as defined below) and shall be subject to extension, suspension or deferral as provided in Section 1(c) below. During each Put Period, Holder may exercise the Put Right in whole or in part by delivering to Lilly a Put Exercise Notice that specifies the number of Subject Shares to be sold to Lilly during that Put Period. A Put Exercise Notice shall be revocable until such time as Lilly shall have delivered a Put Purchase Certificate and thereafter shall not be revocable unless the Subject Shares specified in such Put Exercise Notice are not purchased by Lilly within 45 days after Lilly's receipt of the Put Exercise Notice, in which event the Put Exercise Notice may be revoked by delivering written notice of revocation to Lilly.</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50" w:right="1440" w:bottom="1440" w:gutter="0" w:footer="0" w:header="0"/>
        </w:sectPr>
      </w:pPr>
    </w:p>
    <w:bookmarkStart w:id="135" w:name="page136"/>
    <w:bookmarkEnd w:id="135"/>
    <w:p>
      <w:pPr>
        <w:ind w:left="-179" w:right="3019" w:firstLine="179"/>
        <w:spacing w:after="0" w:line="250" w:lineRule="auto"/>
        <w:tabs>
          <w:tab w:leader="none" w:pos="3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Extensions; Suspensions; Deferrals. Lilly may elect, in its discretion, to extend any Put Period beyond the period specified in the Put Notification. In addition, Lilly shall have the right to defer commencement of a Put Period, or to suspend a Put Period that has commenced, or to defer the making of purchases pursuant to the Put Right, in order to permit compliance with all applicable laws; provided, however, that Lilly will use its commercially reasonable efforts to cause such compliance so as to avoid or minimize any such deferral or suspension, except that if commencement or continuation of a Put Period, or the making of purchases pursuant to the Put Right, would require the disclosure to Holder of information about IMS or Lilly that, in Lilly's reasonable judgment, it is not then in the best interests of IMS or Lilly to disclose, Lilly may, in its discretion, defer the commencement of, or may suspend, the Put Period or defer such purchases, for up to 90 days. Lilly shall give prompt written notice of any such extension, suspension or deferral by sending an amended Put Notification to Holder. Any such extension, suspension or deferral shall not prevent Holder from revoking Holder's Put Exercise Notice, as provided in Section 1(b) above.</w:t>
      </w:r>
    </w:p>
    <w:p>
      <w:pPr>
        <w:spacing w:after="0" w:line="184" w:lineRule="exact"/>
        <w:rPr>
          <w:rFonts w:ascii="Courier New" w:cs="Courier New" w:eastAsia="Courier New" w:hAnsi="Courier New"/>
          <w:sz w:val="15"/>
          <w:szCs w:val="15"/>
          <w:color w:val="auto"/>
        </w:rPr>
      </w:pPr>
    </w:p>
    <w:p>
      <w:pPr>
        <w:ind w:left="-179" w:right="3019" w:firstLine="179"/>
        <w:spacing w:after="0" w:line="250" w:lineRule="auto"/>
        <w:tabs>
          <w:tab w:leader="none" w:pos="3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Put Notification. At least 10 and not more than 30 days prior to the beginning of a Put Period, Lilly shall send a notice (the "Put Notification") to Holder, together with a form of Put Exercise Notice to be used by Holder in exercising the Put. The Put Notification shall inform Holder of (i) the rights of Holder to require Lilly to purchase the Subject Shares, (ii) the date of the commencement and termination of the Put Period (subject to possible extension, suspension or deferral pursuant to Section 1(c) above), (iii) the Purchase Price, (iv) instructions as to how to exercise the Put and (v) the address to which payment for the Purchase Price will be mailed unless Lilly receives notice from Holder at least three business days prior to the purchase date that payment should be mailed to another address, or should be sent, at Holder's expense, to a specified address via a reputable overnight courier delivery service or another delivery method reasonably acceptable to Lilly, or should be held by the Agent for delivery at its office to Holder or Holder's authorized representative.</w:t>
      </w:r>
    </w:p>
    <w:p>
      <w:pPr>
        <w:spacing w:after="0" w:line="184" w:lineRule="exact"/>
        <w:rPr>
          <w:rFonts w:ascii="Courier New" w:cs="Courier New" w:eastAsia="Courier New" w:hAnsi="Courier New"/>
          <w:sz w:val="15"/>
          <w:szCs w:val="15"/>
          <w:color w:val="auto"/>
        </w:rPr>
      </w:pPr>
    </w:p>
    <w:p>
      <w:pPr>
        <w:ind w:left="-179" w:right="3119" w:firstLine="179"/>
        <w:spacing w:after="0" w:line="251" w:lineRule="auto"/>
        <w:tabs>
          <w:tab w:leader="none" w:pos="3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and Payment. At any time following receipt of a proper Put Exercise Notice, but not later than the third business day following the end of a Put Period (as modified pursuant to Section 1(c) above), Lilly shall purchase the Subject Shares covered by such Put Exercise Notice by delivering to the Agent a Put Purchase Certificate executed on behalf of Lilly by an officer or other authorized signatory that shall state:</w:t>
      </w:r>
    </w:p>
    <w:p>
      <w:pPr>
        <w:spacing w:after="0" w:line="175" w:lineRule="exact"/>
        <w:rPr>
          <w:rFonts w:ascii="Courier New" w:cs="Courier New" w:eastAsia="Courier New" w:hAnsi="Courier New"/>
          <w:sz w:val="15"/>
          <w:szCs w:val="15"/>
          <w:color w:val="auto"/>
        </w:rPr>
      </w:pPr>
    </w:p>
    <w:p>
      <w:pPr>
        <w:ind w:left="1" w:right="3759" w:firstLine="184"/>
        <w:spacing w:after="0" w:line="253" w:lineRule="auto"/>
        <w:tabs>
          <w:tab w:leader="none" w:pos="55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 has received a Put Exercise Notice executed by Holder in compliance with this Agreement;</w:t>
      </w:r>
    </w:p>
    <w:p>
      <w:pPr>
        <w:spacing w:after="0" w:line="174" w:lineRule="exact"/>
        <w:rPr>
          <w:rFonts w:ascii="Courier New" w:cs="Courier New" w:eastAsia="Courier New" w:hAnsi="Courier New"/>
          <w:sz w:val="15"/>
          <w:szCs w:val="15"/>
          <w:color w:val="auto"/>
        </w:rPr>
      </w:pPr>
    </w:p>
    <w:p>
      <w:pPr>
        <w:ind w:left="561" w:hanging="376"/>
        <w:spacing w:after="0"/>
        <w:tabs>
          <w:tab w:leader="none" w:pos="561"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Put Exercise Notice has not been revoked;</w:t>
      </w:r>
    </w:p>
    <w:p>
      <w:pPr>
        <w:spacing w:after="0" w:line="184" w:lineRule="exact"/>
        <w:rPr>
          <w:rFonts w:ascii="Courier New" w:cs="Courier New" w:eastAsia="Courier New" w:hAnsi="Courier New"/>
          <w:sz w:val="15"/>
          <w:szCs w:val="15"/>
          <w:color w:val="auto"/>
        </w:rPr>
      </w:pPr>
    </w:p>
    <w:p>
      <w:pPr>
        <w:ind w:left="1" w:right="3119" w:firstLine="184"/>
        <w:spacing w:after="0" w:line="253" w:lineRule="auto"/>
        <w:tabs>
          <w:tab w:leader="none" w:pos="55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Subject Shares being sold pursuant to such Put Exercise Notice;</w:t>
      </w:r>
    </w:p>
    <w:p>
      <w:pPr>
        <w:spacing w:after="0" w:line="174" w:lineRule="exact"/>
        <w:rPr>
          <w:rFonts w:ascii="Courier New" w:cs="Courier New" w:eastAsia="Courier New" w:hAnsi="Courier New"/>
          <w:sz w:val="15"/>
          <w:szCs w:val="15"/>
          <w:color w:val="auto"/>
        </w:rPr>
      </w:pPr>
    </w:p>
    <w:p>
      <w:pPr>
        <w:ind w:left="1" w:right="3679" w:firstLine="184"/>
        <w:spacing w:after="0" w:line="253" w:lineRule="auto"/>
        <w:tabs>
          <w:tab w:leader="none" w:pos="55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Purchase Price of such Subject Shares (net of any applicable taxes to be withheld pursuant to Section 3 below); and</w:t>
      </w:r>
    </w:p>
    <w:p>
      <w:pPr>
        <w:spacing w:after="0" w:line="174" w:lineRule="exact"/>
        <w:rPr>
          <w:rFonts w:ascii="Courier New" w:cs="Courier New" w:eastAsia="Courier New" w:hAnsi="Courier New"/>
          <w:sz w:val="15"/>
          <w:szCs w:val="15"/>
          <w:color w:val="auto"/>
        </w:rPr>
      </w:pPr>
    </w:p>
    <w:p>
      <w:pPr>
        <w:ind w:left="1" w:right="3119" w:firstLine="184"/>
        <w:spacing w:after="0" w:line="251" w:lineRule="auto"/>
        <w:tabs>
          <w:tab w:leader="none" w:pos="554"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Holder and the address to which payment for the aggregate Purchase Price should be mailed (or otherwise delivered in accordance with Holder's instructions as specified in the Put Exercise Notice); and shall deposit with the Agent funds sufficient to pay the aggregate Purchase Price for such Subject Shares, and shall instruct the Agent to release the certificates and related stock powers for such Subject Shares to Lilly and as promptly as practicable to pay the aggregate Purchase Price to Holder.</w:t>
      </w:r>
    </w:p>
    <w:p>
      <w:pPr>
        <w:spacing w:after="0" w:line="175" w:lineRule="exact"/>
        <w:rPr>
          <w:rFonts w:ascii="Courier New" w:cs="Courier New" w:eastAsia="Courier New" w:hAnsi="Courier New"/>
          <w:sz w:val="15"/>
          <w:szCs w:val="15"/>
          <w:color w:val="auto"/>
        </w:rPr>
      </w:pPr>
    </w:p>
    <w:p>
      <w:pPr>
        <w:ind w:left="-179" w:right="3019" w:firstLine="179"/>
        <w:spacing w:after="0" w:line="251" w:lineRule="auto"/>
        <w:tabs>
          <w:tab w:leader="none" w:pos="37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Exercise. If the number of Subject Shares being sold by a Holder pursuant to a Put Exercise Notice is less than the number of shares represented by the relevant stock certificate held in escrow under the Escrow Agreement, Lilly and IMS will cause a new certificate for the remaining shares to be issued in the name of such Holder and deposited in such escrow. Holder will, if so requested by Lilly, execute and deliver to Lilly prior to the purchase date under the Put Exercise Notice an undated stock power endorsed in blank relating to such remaining shares, and Lilly will deposit such stock power into the escrow.</w:t>
      </w:r>
    </w:p>
    <w:p>
      <w:pPr>
        <w:spacing w:after="0" w:line="175" w:lineRule="exact"/>
        <w:rPr>
          <w:sz w:val="20"/>
          <w:szCs w:val="20"/>
          <w:color w:val="auto"/>
        </w:rPr>
      </w:pPr>
    </w:p>
    <w:p>
      <w:pPr>
        <w:ind w:left="-179" w:right="3019" w:firstLine="179"/>
        <w:spacing w:after="0" w:line="251" w:lineRule="auto"/>
        <w:tabs>
          <w:tab w:leader="none" w:pos="28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Right. (a) Grant. Holder hereby grants to Lilly, subject to the terms and conditions of this Agreement, the right to require Holder to sell any or all of the Subject Shares to Lilly (or its designee(s)) at the Purchase Price (the "Call Right").</w:t>
      </w:r>
    </w:p>
    <w:p>
      <w:pPr>
        <w:spacing w:after="0" w:line="176" w:lineRule="exact"/>
        <w:rPr>
          <w:sz w:val="20"/>
          <w:szCs w:val="20"/>
          <w:color w:val="auto"/>
        </w:rPr>
      </w:pPr>
    </w:p>
    <w:p>
      <w:pPr>
        <w:ind w:left="-179" w:right="3119" w:firstLine="179"/>
        <w:spacing w:after="0" w:line="252" w:lineRule="auto"/>
        <w:tabs>
          <w:tab w:leader="none" w:pos="37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Lilly may exercise the Call Right in whole at any time or in part from time to time after the third anniversary of the Merger by giving notice to Holder specifying the number of Subject Shares to be</w:t>
      </w:r>
    </w:p>
    <w:p>
      <w:pPr>
        <w:spacing w:after="0" w:line="175" w:lineRule="exact"/>
        <w:rPr>
          <w:sz w:val="20"/>
          <w:szCs w:val="20"/>
          <w:color w:val="auto"/>
        </w:rPr>
      </w:pPr>
    </w:p>
    <w:p>
      <w:pPr>
        <w:ind w:left="3321"/>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040"/>
          </w:cols>
          <w:pgMar w:left="419" w:top="650" w:right="1440" w:bottom="1440" w:gutter="0" w:footer="0" w:header="0"/>
        </w:sectPr>
      </w:pPr>
    </w:p>
    <w:bookmarkStart w:id="136" w:name="page137"/>
    <w:bookmarkEnd w:id="136"/>
    <w:p>
      <w:pPr>
        <w:ind w:right="3019"/>
        <w:spacing w:after="0" w:line="251" w:lineRule="auto"/>
        <w:rPr>
          <w:sz w:val="20"/>
          <w:szCs w:val="20"/>
          <w:color w:val="auto"/>
        </w:rPr>
      </w:pPr>
      <w:r>
        <w:rPr>
          <w:rFonts w:ascii="Courier New" w:cs="Courier New" w:eastAsia="Courier New" w:hAnsi="Courier New"/>
          <w:sz w:val="15"/>
          <w:szCs w:val="15"/>
          <w:color w:val="auto"/>
        </w:rPr>
        <w:t>purchased and the scheduled date of purchase, which date shall be at least 10 days after the date such notice is given. Lilly may revoke such notice, or may defer the scheduled date of purchase, by giving notice to Holder at any time prior to Lilly's purchase of Subject Shares pursuant to the Call notice. On the purchase date, Lilly shall deliver to the Agent a Call Purchase Certificate executed on behalf of Lilly by an officer or other authorized signatory that shall state:</w:t>
      </w:r>
    </w:p>
    <w:p>
      <w:pPr>
        <w:spacing w:after="0" w:line="176" w:lineRule="exact"/>
        <w:rPr>
          <w:sz w:val="20"/>
          <w:szCs w:val="20"/>
          <w:color w:val="auto"/>
        </w:rPr>
      </w:pPr>
    </w:p>
    <w:p>
      <w:pPr>
        <w:ind w:left="740" w:hanging="376"/>
        <w:spacing w:after="0"/>
        <w:tabs>
          <w:tab w:leader="none" w:pos="7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 has exercised its Call Right in compliance with this Agreement;</w:t>
      </w:r>
    </w:p>
    <w:p>
      <w:pPr>
        <w:spacing w:after="0" w:line="184" w:lineRule="exact"/>
        <w:rPr>
          <w:rFonts w:ascii="Courier New" w:cs="Courier New" w:eastAsia="Courier New" w:hAnsi="Courier New"/>
          <w:sz w:val="15"/>
          <w:szCs w:val="15"/>
          <w:color w:val="auto"/>
        </w:rPr>
      </w:pPr>
    </w:p>
    <w:p>
      <w:pPr>
        <w:ind w:left="740" w:hanging="376"/>
        <w:spacing w:after="0"/>
        <w:tabs>
          <w:tab w:leader="none" w:pos="7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exercise has not been revoked;</w:t>
      </w:r>
    </w:p>
    <w:p>
      <w:pPr>
        <w:spacing w:after="0" w:line="184" w:lineRule="exact"/>
        <w:rPr>
          <w:rFonts w:ascii="Courier New" w:cs="Courier New" w:eastAsia="Courier New" w:hAnsi="Courier New"/>
          <w:sz w:val="15"/>
          <w:szCs w:val="15"/>
          <w:color w:val="auto"/>
        </w:rPr>
      </w:pPr>
    </w:p>
    <w:p>
      <w:pPr>
        <w:ind w:left="180" w:right="3859" w:firstLine="184"/>
        <w:spacing w:after="0" w:line="253" w:lineRule="auto"/>
        <w:tabs>
          <w:tab w:leader="none" w:pos="73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Subject Shares being purchased pursuant to such exercise;</w:t>
      </w:r>
    </w:p>
    <w:p>
      <w:pPr>
        <w:spacing w:after="0" w:line="174" w:lineRule="exact"/>
        <w:rPr>
          <w:rFonts w:ascii="Courier New" w:cs="Courier New" w:eastAsia="Courier New" w:hAnsi="Courier New"/>
          <w:sz w:val="15"/>
          <w:szCs w:val="15"/>
          <w:color w:val="auto"/>
        </w:rPr>
      </w:pPr>
    </w:p>
    <w:p>
      <w:pPr>
        <w:ind w:left="180" w:right="3679" w:firstLine="184"/>
        <w:spacing w:after="0" w:line="253" w:lineRule="auto"/>
        <w:tabs>
          <w:tab w:leader="none" w:pos="73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Purchase Price of such Subject Shares (net of any applicable taxes to be withheld pursuant to Section 3 below); and</w:t>
      </w:r>
    </w:p>
    <w:p>
      <w:pPr>
        <w:spacing w:after="0" w:line="174"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Holder and the address to which payment for the aggregate Purchase Price should be mailed (or otherwise delivered in accordance with Holder's instructions received by Lilly at least three business days prior to the scheduled date of purchase);</w:t>
      </w:r>
    </w:p>
    <w:p>
      <w:pPr>
        <w:spacing w:after="0" w:line="176"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and shall deposit with the Agent funds sufficient to pay the aggregate Purchase Price for such Subject Shares, and shall instruct the Agent to release the certificates and related stock powers for such Subject Shares to Lilly and as promptly as practicable to pay the aggregate Purchase Price to Holder.</w:t>
      </w:r>
    </w:p>
    <w:p>
      <w:pPr>
        <w:spacing w:after="0" w:line="176" w:lineRule="exact"/>
        <w:rPr>
          <w:sz w:val="20"/>
          <w:szCs w:val="20"/>
          <w:color w:val="auto"/>
        </w:rPr>
      </w:pPr>
    </w:p>
    <w:p>
      <w:pPr>
        <w:ind w:right="3019" w:firstLine="179"/>
        <w:spacing w:after="0" w:line="250" w:lineRule="auto"/>
        <w:tabs>
          <w:tab w:leader="none" w:pos="46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shall be $8.00 per Subject Share, plus any unpaid dividends accrued to the date on which Lilly deposits funds with the Agent sufficient to pay the Purchase Price, but less any delivery expenses to be charged to Holder in accordance with Section 1(d)(v) above. If the IMS Preferred Stock shall be split or combined, the Purchase Price shall be appropriately adjusted. The Purchase Price shall be paid by issuance of the Agent's check, payable to Holder's order in New York Clearing House (next day) funds. Lilly shall be entitled to deduct and withhold from the Purchase Price such amounts as Lilly is required to deduct and withhold with respect to the making of such payment under the Internal Revenue Code, or any provision of state, local or foreign tax law. To the extent that amounts are so withheld by Lilly, such withheld amounts shall be treated for all purposes of this Agreement as having been paid to Holder.</w:t>
      </w:r>
    </w:p>
    <w:p>
      <w:pPr>
        <w:spacing w:after="0" w:line="183" w:lineRule="exact"/>
        <w:rPr>
          <w:rFonts w:ascii="Courier New" w:cs="Courier New" w:eastAsia="Courier New" w:hAnsi="Courier New"/>
          <w:sz w:val="15"/>
          <w:szCs w:val="15"/>
          <w:color w:val="auto"/>
        </w:rPr>
      </w:pPr>
    </w:p>
    <w:p>
      <w:pPr>
        <w:ind w:right="3019" w:firstLine="179"/>
        <w:spacing w:after="0" w:line="251" w:lineRule="auto"/>
        <w:tabs>
          <w:tab w:leader="none" w:pos="461"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 The parties hereto agree that the Agent will be a bank or trust company with capital surplus and undivided profits of at least $100 million and with offices located in New York City, Chicago or Denver (which bank or trust company also may be the transfer agent and/or paying agent for the New Preferred Stock), such Agent to be selected by Lilly and be reasonably acceptable to IMS.</w:t>
      </w:r>
    </w:p>
    <w:p>
      <w:pPr>
        <w:spacing w:after="0" w:line="176" w:lineRule="exact"/>
        <w:rPr>
          <w:sz w:val="20"/>
          <w:szCs w:val="20"/>
          <w:color w:val="auto"/>
        </w:rPr>
      </w:pPr>
    </w:p>
    <w:p>
      <w:pPr>
        <w:ind w:right="3019" w:firstLine="179"/>
        <w:spacing w:after="0" w:line="251" w:lineRule="auto"/>
        <w:tabs>
          <w:tab w:leader="none" w:pos="55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of Merger Shares. Holder is executing and delivering to IMS an undated stock power endorsed in blank relating to the portion of the Merger Shares subject to the rights herein provided. Holder hereby authorizes IMS to, and IMS will promptly following the Merger, insert into the stock power the certificate numbers of the stock certificates representing such Merger Shares and deliver to the Agent the certificates for such Merger Shares, together with the stock power, to be held, and be subject to release, in accordance with the Escrow Agreement.</w:t>
      </w:r>
    </w:p>
    <w:p>
      <w:pPr>
        <w:spacing w:after="0" w:line="175" w:lineRule="exact"/>
        <w:rPr>
          <w:rFonts w:ascii="Courier New" w:cs="Courier New" w:eastAsia="Courier New" w:hAnsi="Courier New"/>
          <w:sz w:val="15"/>
          <w:szCs w:val="15"/>
          <w:color w:val="auto"/>
        </w:rPr>
      </w:pPr>
    </w:p>
    <w:p>
      <w:pPr>
        <w:ind w:right="3019" w:firstLine="179"/>
        <w:spacing w:after="0" w:line="251" w:lineRule="auto"/>
        <w:tabs>
          <w:tab w:leader="none" w:pos="55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of Additional Shares. If Holder acquires any Additional Shares subject to the rights herein provided, Holder agrees that Holder will cause the certificates for such Additional Shares and, if there are not already on deposit in the escrow sufficient appropriate stock powers, an undated stock power endorsed in blank relating to such Additional Shares to be delivered to the Agent to be held, and be subject to release, in accordance with the Escrow Agreement. Holder hereby authorizes IMS to cause any certificates for such Additional Shares to be delivered directly to the Agent.</w:t>
      </w:r>
    </w:p>
    <w:p>
      <w:pPr>
        <w:spacing w:after="0" w:line="175" w:lineRule="exact"/>
        <w:rPr>
          <w:sz w:val="20"/>
          <w:szCs w:val="20"/>
          <w:color w:val="auto"/>
        </w:rPr>
      </w:pPr>
    </w:p>
    <w:p>
      <w:pPr>
        <w:ind w:right="3019" w:firstLine="179"/>
        <w:spacing w:after="0" w:line="251" w:lineRule="auto"/>
        <w:tabs>
          <w:tab w:leader="none" w:pos="461"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Transfers of Subject Shares. Holder shall have the right to sell, assign, donate, pledge or otherwise transfer or encumber any or all of the Subject Shares and any related rights and obligations under this Agreement only with Lilly's prior written consent (any transfer or encumbrance being herein called a "transfer"). Lilly will grant such consent provided that: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50" w:right="1440" w:bottom="1440" w:gutter="0" w:footer="0" w:header="0"/>
        </w:sectPr>
      </w:pPr>
    </w:p>
    <w:bookmarkStart w:id="137" w:name="page138"/>
    <w:bookmarkEnd w:id="137"/>
    <w:p>
      <w:pPr>
        <w:ind w:left="740" w:hanging="376"/>
        <w:spacing w:after="0"/>
        <w:tabs>
          <w:tab w:leader="none" w:pos="74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transferee shall have executed and delivered an agreement</w:t>
      </w:r>
    </w:p>
    <w:p>
      <w:pPr>
        <w:spacing w:after="0" w:line="7" w:lineRule="exact"/>
        <w:rPr>
          <w:rFonts w:ascii="Courier New" w:cs="Courier New" w:eastAsia="Courier New" w:hAnsi="Courier New"/>
          <w:sz w:val="15"/>
          <w:szCs w:val="15"/>
          <w:color w:val="auto"/>
        </w:rPr>
      </w:pPr>
    </w:p>
    <w:p>
      <w:pPr>
        <w:ind w:left="180" w:right="32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satisfactory to Lilly confirming that the Subject Shares being transferred will remain subject to this Agreement, including, without limitation, the Call Right;</w:t>
      </w:r>
    </w:p>
    <w:p>
      <w:pPr>
        <w:spacing w:after="0" w:line="174" w:lineRule="exact"/>
        <w:rPr>
          <w:rFonts w:ascii="Courier New" w:cs="Courier New" w:eastAsia="Courier New" w:hAnsi="Courier New"/>
          <w:sz w:val="15"/>
          <w:szCs w:val="15"/>
          <w:color w:val="auto"/>
        </w:rPr>
      </w:pPr>
    </w:p>
    <w:p>
      <w:pPr>
        <w:ind w:left="180" w:right="3119" w:firstLine="184"/>
        <w:spacing w:after="0" w:line="250" w:lineRule="auto"/>
        <w:tabs>
          <w:tab w:leader="none" w:pos="734"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for the Subject Shares being transferred are or remain deposited in the escrow with the Agent and the transferee shall have executed and delivered to the Agent an undated stock power endorsed in blank regarding those Subject Shares; provided, however, that if Holder wishes to make a bona fide pledge to a bank, financial institution or brokerage firm, Lilly will consent to the pledge and to the release from escrow and delivery to the pledgee of the related stock certificates and stock powers provided the pledgee shall have executed and delivered an agreement (which shall satisfy clause (a) above) reasonably satisfactory to Lilly confirming that the pledged shares will remain subject to this Agreement and that upon release of the pledge the pledged shares will be returned to the Agent for deposit in the escrow and that upon any exercise of the Call Right the certificates and stock powers for the pledged shares will be delivered to Lilly, free and clear of the pledge or any claim or encumbrance created thereby; and</w:t>
      </w:r>
    </w:p>
    <w:p>
      <w:pPr>
        <w:spacing w:after="0" w:line="184"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Lilly is reasonably satisfied that the transfer (i) will comply with all applicable Federal and state securities laws and other applicable legal requirements and (ii) will not result in the outstanding New Preferred Stock being held of record by 500 or more persons within the meaning of Section 12(g) of the Securities Exchange Act of 1934, as amended, and the rules and regulations thereunder.</w:t>
      </w:r>
    </w:p>
    <w:p>
      <w:pPr>
        <w:spacing w:after="0" w:line="175" w:lineRule="exact"/>
        <w:rPr>
          <w:rFonts w:ascii="Courier New" w:cs="Courier New" w:eastAsia="Courier New" w:hAnsi="Courier New"/>
          <w:sz w:val="15"/>
          <w:szCs w:val="15"/>
          <w:color w:val="auto"/>
        </w:rPr>
      </w:pPr>
    </w:p>
    <w:p>
      <w:pPr>
        <w:ind w:right="3119" w:firstLine="179"/>
        <w:spacing w:after="0" w:line="253" w:lineRule="auto"/>
        <w:tabs>
          <w:tab w:leader="none" w:pos="461"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Legends. Each certificate representing the Subject Shares shall bear the following legend:</w:t>
      </w:r>
    </w:p>
    <w:p>
      <w:pPr>
        <w:spacing w:after="0" w:line="174" w:lineRule="exact"/>
        <w:rPr>
          <w:sz w:val="20"/>
          <w:szCs w:val="20"/>
          <w:color w:val="auto"/>
        </w:rPr>
      </w:pPr>
    </w:p>
    <w:p>
      <w:pPr>
        <w:ind w:left="180" w:right="3399" w:firstLine="185"/>
        <w:spacing w:after="0" w:line="250" w:lineRule="auto"/>
        <w:rPr>
          <w:sz w:val="20"/>
          <w:szCs w:val="20"/>
          <w:color w:val="auto"/>
        </w:rPr>
      </w:pPr>
      <w:r>
        <w:rPr>
          <w:rFonts w:ascii="Courier New" w:cs="Courier New" w:eastAsia="Courier New" w:hAnsi="Courier New"/>
          <w:sz w:val="15"/>
          <w:szCs w:val="15"/>
          <w:color w:val="auto"/>
        </w:rPr>
        <w:t>"The shares represented hereby are subject to (i) redemption by the Corporation during the periods, at the prices and on the terms and conditions specified in the Articles of Incorporation, (ii) an option on</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the part of the holder to</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require Eli Lilly</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and Company to</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purchase, and an</w:t>
            </w:r>
          </w:p>
        </w:tc>
      </w:tr>
      <w:tr>
        <w:trPr>
          <w:trHeight w:val="177"/>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option on the part of Eli</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Lilly and Company</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to require the</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holder to sell,</w:t>
            </w:r>
          </w:p>
        </w:tc>
      </w:tr>
      <w:tr>
        <w:trPr>
          <w:trHeight w:val="177"/>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such shares, at the times</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and at the prices</w:t>
            </w: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on the terms and conditions</w:t>
            </w:r>
          </w:p>
        </w:tc>
      </w:tr>
      <w:tr>
        <w:trPr>
          <w:trHeight w:val="177"/>
        </w:trPr>
        <w:tc>
          <w:tcPr>
            <w:tcW w:w="6920" w:type="dxa"/>
            <w:vAlign w:val="bottom"/>
            <w:gridSpan w:val="5"/>
          </w:tcPr>
          <w:p>
            <w:pPr>
              <w:spacing w:after="0"/>
              <w:rPr>
                <w:sz w:val="20"/>
                <w:szCs w:val="20"/>
                <w:color w:val="auto"/>
              </w:rPr>
            </w:pPr>
            <w:r>
              <w:rPr>
                <w:rFonts w:ascii="Courier New" w:cs="Courier New" w:eastAsia="Courier New" w:hAnsi="Courier New"/>
                <w:sz w:val="15"/>
                <w:szCs w:val="15"/>
                <w:color w:val="auto"/>
              </w:rPr>
              <w:t>specified in a Put/Call Agreement and a related Escrow Agreement, both</w:t>
            </w:r>
          </w:p>
        </w:tc>
      </w:tr>
      <w:tr>
        <w:trPr>
          <w:trHeight w:val="177"/>
        </w:trPr>
        <w:tc>
          <w:tcPr>
            <w:tcW w:w="1300" w:type="dxa"/>
            <w:vAlign w:val="bottom"/>
          </w:tcPr>
          <w:p>
            <w:pPr>
              <w:spacing w:after="0"/>
              <w:rPr>
                <w:sz w:val="20"/>
                <w:szCs w:val="20"/>
                <w:color w:val="auto"/>
              </w:rPr>
            </w:pPr>
            <w:r>
              <w:rPr>
                <w:rFonts w:ascii="Courier New" w:cs="Courier New" w:eastAsia="Courier New" w:hAnsi="Courier New"/>
                <w:sz w:val="15"/>
                <w:szCs w:val="15"/>
                <w:color w:val="auto"/>
              </w:rPr>
              <w:t>dated as of</w:t>
            </w:r>
          </w:p>
        </w:tc>
        <w:tc>
          <w:tcPr>
            <w:tcW w:w="4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1995, copies of which are available for</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inspection at</w:t>
            </w:r>
          </w:p>
        </w:tc>
      </w:tr>
      <w:tr>
        <w:trPr>
          <w:trHeight w:val="177"/>
        </w:trPr>
        <w:tc>
          <w:tcPr>
            <w:tcW w:w="6920" w:type="dxa"/>
            <w:vAlign w:val="bottom"/>
            <w:gridSpan w:val="5"/>
          </w:tcPr>
          <w:p>
            <w:pPr>
              <w:spacing w:after="0"/>
              <w:rPr>
                <w:sz w:val="20"/>
                <w:szCs w:val="20"/>
                <w:color w:val="auto"/>
              </w:rPr>
            </w:pPr>
            <w:r>
              <w:rPr>
                <w:rFonts w:ascii="Courier New" w:cs="Courier New" w:eastAsia="Courier New" w:hAnsi="Courier New"/>
                <w:sz w:val="15"/>
                <w:szCs w:val="15"/>
                <w:color w:val="auto"/>
              </w:rPr>
              <w:t>the Corporation's executive offices. These shares are not transferrable</w:t>
            </w:r>
          </w:p>
        </w:tc>
      </w:tr>
      <w:tr>
        <w:trPr>
          <w:trHeight w:val="177"/>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except as provided in the</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Put/Call Agreement."</w:t>
            </w:r>
          </w:p>
        </w:tc>
        <w:tc>
          <w:tcPr>
            <w:tcW w:w="1520" w:type="dxa"/>
            <w:vAlign w:val="bottom"/>
          </w:tcPr>
          <w:p>
            <w:pPr>
              <w:spacing w:after="0"/>
              <w:rPr>
                <w:sz w:val="15"/>
                <w:szCs w:val="15"/>
                <w:color w:val="auto"/>
              </w:rPr>
            </w:pPr>
          </w:p>
        </w:tc>
      </w:tr>
    </w:tbl>
    <w:p>
      <w:pPr>
        <w:spacing w:after="0" w:line="183" w:lineRule="exact"/>
        <w:rPr>
          <w:sz w:val="20"/>
          <w:szCs w:val="20"/>
          <w:color w:val="auto"/>
        </w:rPr>
      </w:pPr>
    </w:p>
    <w:p>
      <w:pPr>
        <w:ind w:right="3019" w:firstLine="179"/>
        <w:spacing w:after="0" w:line="250" w:lineRule="auto"/>
        <w:tabs>
          <w:tab w:leader="none" w:pos="46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Restrictions on Lilly. (a) Holder hereby acknowledges that the existence of the Put Right and the Call Right will not impair or restrict in any way Lilly's right, following the Merger, to transfer all or any of its interest in IMS or to cause IMS to merge, sell its assets or engage in other extraordinary transactions, including, without limitation, transactions that would result in the cashing out of the New Preferred Stock or the exchange of the New Preferred Stock for other securities, except that prior to the third anniversary of the Merger Lilly will not cause IMS to engage in a merger or other extraordinary transaction that would result in Holder's being deemed for Federal income tax purposes to have sold Subject Shares in such merger or other extraordinary transaction. Lilly represents that, as of this Agreement, it has no present intention to cause IMS to engage in such a merger or other extraordinary transaction prior to the fifth anniversary of the Merger.</w:t>
      </w:r>
    </w:p>
    <w:p>
      <w:pPr>
        <w:spacing w:after="0" w:line="183" w:lineRule="exact"/>
        <w:rPr>
          <w:sz w:val="20"/>
          <w:szCs w:val="20"/>
          <w:color w:val="auto"/>
        </w:rPr>
      </w:pPr>
    </w:p>
    <w:p>
      <w:pPr>
        <w:ind w:left="540" w:hanging="361"/>
        <w:spacing w:after="0"/>
        <w:tabs>
          <w:tab w:leader="none" w:pos="5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pursuant to a merger, consolidation, recapitalization,</w:t>
      </w:r>
    </w:p>
    <w:p>
      <w:pPr>
        <w:spacing w:after="0" w:line="7" w:lineRule="exact"/>
        <w:rPr>
          <w:rFonts w:ascii="Courier New" w:cs="Courier New" w:eastAsia="Courier New" w:hAnsi="Courier New"/>
          <w:sz w:val="15"/>
          <w:szCs w:val="15"/>
          <w:color w:val="auto"/>
        </w:rPr>
      </w:pPr>
    </w:p>
    <w:p>
      <w:pPr>
        <w:ind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sale of substantially all of the assets or other such transaction involving IMS, the outstanding shares of New Preferred Stock are converted into or exchanged for cash, property or securities of IMS or any other issuer, then the Put Right and the Call Right shall apply to such cash, property or securities and the Purchase Price and other terms hereof shall be subject to appropriate adjustment, so as to preserve unchanged to the fullest extent possible the rights and obligations of the parties to this Agreement.</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8. Representations and Warranties.</w:t>
      </w:r>
    </w:p>
    <w:p>
      <w:pPr>
        <w:spacing w:after="0" w:line="185" w:lineRule="exact"/>
        <w:rPr>
          <w:sz w:val="20"/>
          <w:szCs w:val="20"/>
          <w:color w:val="auto"/>
        </w:rPr>
      </w:pPr>
    </w:p>
    <w:p>
      <w:pPr>
        <w:ind w:right="3399" w:firstLine="179"/>
        <w:spacing w:after="0" w:line="253" w:lineRule="auto"/>
        <w:tabs>
          <w:tab w:leader="none" w:pos="55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Holder. Holder hereby represents and warrants to Lilly and IMS as follows:</w:t>
      </w:r>
    </w:p>
    <w:p>
      <w:pPr>
        <w:spacing w:after="0" w:line="174" w:lineRule="exact"/>
        <w:rPr>
          <w:rFonts w:ascii="Courier New" w:cs="Courier New" w:eastAsia="Courier New" w:hAnsi="Courier New"/>
          <w:sz w:val="15"/>
          <w:szCs w:val="15"/>
          <w:color w:val="auto"/>
        </w:rPr>
      </w:pPr>
    </w:p>
    <w:p>
      <w:pPr>
        <w:ind w:left="180" w:right="3299" w:firstLine="184"/>
        <w:spacing w:after="0" w:line="251" w:lineRule="auto"/>
        <w:tabs>
          <w:tab w:leader="none" w:pos="734"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has full power and authority to enter into, and to carry out Holder's obligations under, this Agreement and the Escrow Agreement, and Holder has duly executed and delivered this Agreement and the Escrow Agreement, which constitute valid, legally binding and enforceable obligations of Holder;</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650" w:right="1440" w:bottom="1440" w:gutter="0" w:footer="0" w:header="0"/>
        </w:sectPr>
      </w:pPr>
    </w:p>
    <w:bookmarkStart w:id="138" w:name="page139"/>
    <w:bookmarkEnd w:id="138"/>
    <w:p>
      <w:pPr>
        <w:ind w:left="180" w:right="3219" w:firstLine="184"/>
        <w:spacing w:after="0" w:line="251" w:lineRule="auto"/>
        <w:tabs>
          <w:tab w:leader="none" w:pos="826"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 is the sole record owner and, except in the case of a Holder who holds as a trustee, is the sole beneficial owner, of the number of shares of Common Stock or Series B Preferred Stock of IMS, and has the right to acquire the number of additional shares, specified on the signature page hereof, subject to no lien, security interest, proxy or other right, claim or interest of any third party; and</w:t>
      </w:r>
    </w:p>
    <w:p>
      <w:pPr>
        <w:spacing w:after="0" w:line="175" w:lineRule="exact"/>
        <w:rPr>
          <w:rFonts w:ascii="Courier New" w:cs="Courier New" w:eastAsia="Courier New" w:hAnsi="Courier New"/>
          <w:sz w:val="15"/>
          <w:szCs w:val="15"/>
          <w:color w:val="auto"/>
        </w:rPr>
      </w:pPr>
    </w:p>
    <w:p>
      <w:pPr>
        <w:ind w:left="180" w:right="3119" w:firstLine="184"/>
        <w:spacing w:after="0" w:line="251" w:lineRule="auto"/>
        <w:tabs>
          <w:tab w:leader="none" w:pos="9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of certificates and stock powers to Lilly and payment by Lilly therefor as contemplated hereby, Lilly will become the sole beneficial and record owner of the Subject Shares, subject to no lien, security interest, proxy or other right, claim of interest of Holder or any other person or entity.</w:t>
      </w:r>
    </w:p>
    <w:p>
      <w:pPr>
        <w:spacing w:after="0" w:line="176" w:lineRule="exact"/>
        <w:rPr>
          <w:sz w:val="20"/>
          <w:szCs w:val="20"/>
          <w:color w:val="auto"/>
        </w:rPr>
      </w:pPr>
    </w:p>
    <w:p>
      <w:pPr>
        <w:ind w:right="3119" w:firstLine="179"/>
        <w:spacing w:after="0" w:line="251" w:lineRule="auto"/>
        <w:tabs>
          <w:tab w:leader="none" w:pos="554"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Lilly and IMS. Lilly and IMS each hereby represents and warrants to Holder that the warranting party has full corporate power and authority to enter into, and to carry out its obligations under, this Agreement and the Escrow Agreement, which constitute its valid, legally binding and enforceable obligations.</w:t>
      </w:r>
    </w:p>
    <w:p>
      <w:pPr>
        <w:spacing w:after="0" w:line="176" w:lineRule="exact"/>
        <w:rPr>
          <w:sz w:val="20"/>
          <w:szCs w:val="20"/>
          <w:color w:val="auto"/>
        </w:rPr>
      </w:pPr>
    </w:p>
    <w:p>
      <w:pPr>
        <w:ind w:right="3019" w:firstLine="179"/>
        <w:spacing w:after="0" w:line="251" w:lineRule="auto"/>
        <w:tabs>
          <w:tab w:leader="none" w:pos="461"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consents and other communications required or permitted to be given or made hereunder shall be in writing and shall be deemed to have been duly given or made if delivered personally, or sent by reputable overnight courier delivery or by telecopy or similar facsimile transmission, or mailed by prepaid registered or certified mail, return receipt requested, to Holder at the address specified on the signature page hereto or to Lilly or IMS at the address set forth below (or in any such case to such other address as a party shall designate for itself by notice given or made in accordance herewith);</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Eli Lilly and Company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Lilly Corporate Center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Indianapolis, Indiana 46285</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Attention: General Counsel</w:t>
      </w:r>
    </w:p>
    <w:p>
      <w:pPr>
        <w:spacing w:after="0" w:line="18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15000 West Sixth Avenue, Suite 400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Golden, Colorado 80401</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Any such notice, request or other communication shall be deemed delivered and given or made on the third business day after the date of mailing, if mailed by registered or certified mail, or on the first business day after date of transmittal, if sent by courier delivery or by telecopy or similar facsimile transmission, or on the date of delivery, if delivered personally. Notwithstanding the foregoing, a Put Exercise Notice shall not be deemed given or delivered, and no revocation of a Put Exercise Notice pursuant to Section 1(b) above or change of payment delivery instructions shall be deemed given or delivered, until it is actually delivered to Lilly during the applicable time period, unless Lilly elects to waive such requirement.</w:t>
      </w:r>
    </w:p>
    <w:p>
      <w:pPr>
        <w:spacing w:after="0" w:line="182" w:lineRule="exact"/>
        <w:rPr>
          <w:sz w:val="20"/>
          <w:szCs w:val="20"/>
          <w:color w:val="auto"/>
        </w:rPr>
      </w:pPr>
    </w:p>
    <w:p>
      <w:pPr>
        <w:ind w:right="3019" w:firstLine="179"/>
        <w:spacing w:after="0" w:line="251" w:lineRule="auto"/>
        <w:tabs>
          <w:tab w:leader="none" w:pos="55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This Agreement shall not be assignable by Holder except that rights and obligations relating to Subject Shares may be assigned to a transferee of those Subject Shares pursuant to Section 5 above. This Agreement shall be assignable in whole at any time or in part from time to time by Lilly and IMS. Following any assignment, the assignor shall remain liable for the performance of the assignor's obligations under this Agreement. Subject to the foregoing, the terms and provisions of this Agreement shall be binding upon and inure to the benefit of and be enforceable by the parties and their respective heirs, beneficiaries, representatives, successors and permitted assigns.</w:t>
      </w:r>
    </w:p>
    <w:p>
      <w:pPr>
        <w:spacing w:after="0" w:line="352"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Amendment, Etc. None of the terms or provisions of this Agreement may be waived, altered, modified or amended except by a writing duly signed by Holder, Lilly and IMS.</w:t>
      </w:r>
    </w:p>
    <w:p>
      <w:pPr>
        <w:spacing w:after="0" w:line="174"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in Counterparts. This Agreement may be executed in two or more counterparts, each of which shall be deemed an original and all of which counterparts taken together shall constitute one and the same instrument.</w:t>
      </w:r>
    </w:p>
    <w:p>
      <w:pPr>
        <w:spacing w:after="0" w:line="174" w:lineRule="exact"/>
        <w:rPr>
          <w:rFonts w:ascii="Courier New" w:cs="Courier New" w:eastAsia="Courier New" w:hAnsi="Courier New"/>
          <w:sz w:val="15"/>
          <w:szCs w:val="15"/>
          <w:color w:val="auto"/>
        </w:rPr>
      </w:pPr>
    </w:p>
    <w:p>
      <w:pPr>
        <w:ind w:right="3299" w:firstLine="179"/>
        <w:spacing w:after="0" w:line="252" w:lineRule="auto"/>
        <w:tabs>
          <w:tab w:leader="none" w:pos="55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in accordance with, the laws in effect in the State of Colorado without giving effect to its conflicts of law principles.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650" w:right="1440" w:bottom="1440" w:gutter="0" w:footer="0" w:header="0"/>
        </w:sectPr>
      </w:pPr>
    </w:p>
    <w:bookmarkStart w:id="139" w:name="page140"/>
    <w:bookmarkEnd w:id="139"/>
    <w:p>
      <w:pPr>
        <w:ind w:left="-179" w:right="3019" w:firstLine="179"/>
        <w:spacing w:after="0" w:line="250" w:lineRule="auto"/>
        <w:tabs>
          <w:tab w:leader="none" w:pos="37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Jurisdiction. The parties hereto irrevocably submit to the jurisdiction of any state or federal court sitting in the State of Colorado over any action or proceeding arising out of this Agreement, and hereby irrevocably agree that all claims in respect of such action or proceeding may be heard and determined in such state or federal court. Each of the parties hereby irrevocably waives, to the fullest extent such party may effectively do so, the defense of an inconvenient forum to the maintenance of such action or proceeding. The parties irrevocably consent to the service of any and all process in any such action or proceeding by the mailing of copies of such process to each of them at their respective addresses for notices pursuant to Section 9 above. Nothing in this Section 14 shall affect the right of any party to serve legal process in any other manner permitted by law or affect the right of any party, assuming proper jurisdiction exists, to bring any action or proceeding against any party in the courts of any other jurisdiction.</w:t>
      </w:r>
    </w:p>
    <w:p>
      <w:pPr>
        <w:spacing w:after="0" w:line="361" w:lineRule="exact"/>
        <w:rPr>
          <w:rFonts w:ascii="Courier New" w:cs="Courier New" w:eastAsia="Courier New" w:hAnsi="Courier New"/>
          <w:sz w:val="15"/>
          <w:szCs w:val="15"/>
          <w:color w:val="auto"/>
        </w:rPr>
      </w:pPr>
    </w:p>
    <w:p>
      <w:pPr>
        <w:ind w:left="-179" w:right="3579" w:firstLine="179"/>
        <w:spacing w:after="0" w:line="253" w:lineRule="auto"/>
        <w:tabs>
          <w:tab w:leader="none" w:pos="374"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in this Agreement are for convenience only and shall not affect the construction hereof.</w:t>
      </w:r>
    </w:p>
    <w:p>
      <w:pPr>
        <w:spacing w:after="0" w:line="174" w:lineRule="exact"/>
        <w:rPr>
          <w:sz w:val="20"/>
          <w:szCs w:val="20"/>
          <w:color w:val="auto"/>
        </w:rPr>
      </w:pPr>
    </w:p>
    <w:p>
      <w:pPr>
        <w:ind w:left="3321"/>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040"/>
          </w:cols>
          <w:pgMar w:left="419" w:top="650" w:right="1440" w:bottom="1440" w:gutter="0" w:footer="0" w:header="0"/>
        </w:sectPr>
      </w:pPr>
    </w:p>
    <w:bookmarkStart w:id="140" w:name="page141"/>
    <w:bookmarkEnd w:id="140"/>
    <w:p>
      <w:pPr>
        <w:jc w:val="center"/>
        <w:ind w:right="2939"/>
        <w:spacing w:after="0"/>
        <w:rPr>
          <w:sz w:val="20"/>
          <w:szCs w:val="20"/>
          <w:color w:val="auto"/>
        </w:rPr>
      </w:pPr>
      <w:r>
        <w:rPr>
          <w:rFonts w:ascii="Courier New" w:cs="Courier New" w:eastAsia="Courier New" w:hAnsi="Courier New"/>
          <w:sz w:val="15"/>
          <w:szCs w:val="15"/>
          <w:color w:val="auto"/>
        </w:rPr>
        <w:t>[SIGNATURE PAGE FOR HOLDER]</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(name of Holder)</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_____________________________________</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(signature of Holder)</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Address:</w:t>
      </w:r>
    </w:p>
    <w:p>
      <w:pPr>
        <w:spacing w:after="0" w:line="200" w:lineRule="exact"/>
        <w:rPr>
          <w:sz w:val="20"/>
          <w:szCs w:val="20"/>
          <w:color w:val="auto"/>
        </w:rPr>
      </w:pPr>
    </w:p>
    <w:p>
      <w:pPr>
        <w:spacing w:after="0" w:line="340" w:lineRule="exact"/>
        <w:rPr>
          <w:sz w:val="20"/>
          <w:szCs w:val="20"/>
          <w:color w:val="auto"/>
        </w:rPr>
      </w:pPr>
    </w:p>
    <w:p>
      <w:pPr>
        <w:ind w:left="5060"/>
        <w:spacing w:after="0"/>
        <w:rPr>
          <w:sz w:val="20"/>
          <w:szCs w:val="20"/>
          <w:color w:val="auto"/>
        </w:rPr>
      </w:pPr>
      <w:r>
        <w:rPr>
          <w:rFonts w:ascii="Courier New" w:cs="Courier New" w:eastAsia="Courier New" w:hAnsi="Courier New"/>
          <w:sz w:val="15"/>
          <w:szCs w:val="15"/>
          <w:color w:val="auto"/>
        </w:rPr>
        <w:t>NUMBER OF SHARES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160"/>
        <w:spacing w:after="0"/>
        <w:tabs>
          <w:tab w:leader="none" w:pos="6440" w:val="left"/>
        </w:tabs>
        <w:rPr>
          <w:sz w:val="20"/>
          <w:szCs w:val="20"/>
          <w:color w:val="auto"/>
        </w:rPr>
      </w:pPr>
      <w:r>
        <w:rPr>
          <w:rFonts w:ascii="Courier New" w:cs="Courier New" w:eastAsia="Courier New" w:hAnsi="Courier New"/>
          <w:sz w:val="15"/>
          <w:szCs w:val="15"/>
          <w:color w:val="auto"/>
        </w:rPr>
        <w:t>RIGHT</w:t>
      </w:r>
      <w:r>
        <w:rPr>
          <w:sz w:val="20"/>
          <w:szCs w:val="20"/>
          <w:color w:val="auto"/>
        </w:rPr>
        <w:tab/>
      </w:r>
      <w:r>
        <w:rPr>
          <w:rFonts w:ascii="Courier New" w:cs="Courier New" w:eastAsia="Courier New" w:hAnsi="Courier New"/>
          <w:sz w:val="15"/>
          <w:szCs w:val="15"/>
          <w:color w:val="auto"/>
        </w:rPr>
        <w:t>RIGHT</w:t>
      </w:r>
    </w:p>
    <w:p>
      <w:pPr>
        <w:spacing w:after="0" w:line="8" w:lineRule="exact"/>
        <w:rPr>
          <w:sz w:val="20"/>
          <w:szCs w:val="20"/>
          <w:color w:val="auto"/>
        </w:rPr>
      </w:pPr>
    </w:p>
    <w:p>
      <w:pPr>
        <w:ind w:left="4880"/>
        <w:spacing w:after="0"/>
        <w:tabs>
          <w:tab w:leader="none" w:pos="6240" w:val="left"/>
        </w:tabs>
        <w:rPr>
          <w:sz w:val="20"/>
          <w:szCs w:val="20"/>
          <w:color w:val="auto"/>
        </w:rPr>
      </w:pPr>
      <w:r>
        <w:rPr>
          <w:rFonts w:ascii="Courier New" w:cs="Courier New" w:eastAsia="Courier New" w:hAnsi="Courier New"/>
          <w:sz w:val="15"/>
          <w:szCs w:val="15"/>
          <w:color w:val="auto"/>
        </w:rPr>
        <w:t>TO ACQUIRE</w:t>
      </w:r>
      <w:r>
        <w:rPr>
          <w:sz w:val="20"/>
          <w:szCs w:val="20"/>
          <w:color w:val="auto"/>
        </w:rPr>
        <w:tab/>
      </w:r>
      <w:r>
        <w:rPr>
          <w:rFonts w:ascii="Courier New" w:cs="Courier New" w:eastAsia="Courier New" w:hAnsi="Courier New"/>
          <w:sz w:val="15"/>
          <w:szCs w:val="15"/>
          <w:color w:val="auto"/>
        </w:rPr>
        <w:t>TO ACQUIRE</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OWNED UNDER OPTIONS UNDER WARRANTS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B Preferred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NUMBER OF SHARES</w:t>
      </w:r>
    </w:p>
    <w:p>
      <w:pPr>
        <w:spacing w:after="0" w:line="8"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TO BE ACQUIRED IN MERGER</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OWNED UNDER OPTIONS UNDER WARRANTS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 Preferred Stock.....................</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NUMBER OF SHARES OF</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SERIES D PREFERRED STOCK</w:t>
      </w:r>
    </w:p>
    <w:p>
      <w:pPr>
        <w:spacing w:after="0" w:line="8"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SUBJECT TO PUT/CALL</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OWNED UNDER OPTIONS UNDER WARRANTS</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 ------------- --------------</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D Preferred Stock.....................</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650" w:right="1440" w:bottom="1440" w:gutter="0" w:footer="0" w:header="0"/>
        </w:sectPr>
      </w:pPr>
    </w:p>
    <w:bookmarkStart w:id="141" w:name="page142"/>
    <w:bookmarkEnd w:id="141"/>
    <w:p>
      <w:pPr>
        <w:ind w:left="920"/>
        <w:spacing w:after="0"/>
        <w:rPr>
          <w:sz w:val="20"/>
          <w:szCs w:val="20"/>
          <w:color w:val="auto"/>
        </w:rPr>
      </w:pPr>
      <w:r>
        <w:rPr>
          <w:rFonts w:ascii="Courier New" w:cs="Courier New" w:eastAsia="Courier New" w:hAnsi="Courier New"/>
          <w:sz w:val="15"/>
          <w:szCs w:val="15"/>
          <w:color w:val="auto"/>
        </w:rPr>
        <w:t>[SIGNATURE PAGE FOR LILLY AND IMS]</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Eli Lilly and Company</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8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9019"/>
          </w:cols>
          <w:pgMar w:left="1440" w:top="650" w:right="1440" w:bottom="1440" w:gutter="0" w:footer="0" w:header="0"/>
        </w:sectPr>
      </w:pPr>
    </w:p>
    <w:bookmarkStart w:id="142" w:name="page143"/>
    <w:bookmarkEnd w:id="142"/>
    <w:p>
      <w:pPr>
        <w:ind w:left="6460"/>
        <w:spacing w:after="0"/>
        <w:rPr>
          <w:sz w:val="20"/>
          <w:szCs w:val="20"/>
          <w:color w:val="auto"/>
        </w:rPr>
      </w:pPr>
      <w:r>
        <w:rPr>
          <w:rFonts w:ascii="Courier New" w:cs="Courier New" w:eastAsia="Courier New" w:hAnsi="Courier New"/>
          <w:sz w:val="15"/>
          <w:szCs w:val="15"/>
          <w:color w:val="auto"/>
        </w:rPr>
        <w:t>EXHIBIT A</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ESCROW AGREEMENT</w:t>
      </w:r>
    </w:p>
    <w:p>
      <w:pPr>
        <w:spacing w:after="0" w:line="15" w:lineRule="exact"/>
        <w:rPr>
          <w:sz w:val="20"/>
          <w:szCs w:val="20"/>
          <w:color w:val="auto"/>
        </w:rPr>
      </w:pPr>
    </w:p>
    <w:p>
      <w:pPr>
        <w:ind w:left="3860"/>
        <w:spacing w:after="0"/>
        <w:tabs>
          <w:tab w:leader="none" w:pos="3840" w:val="left"/>
        </w:tabs>
        <w:rPr>
          <w:sz w:val="20"/>
          <w:szCs w:val="20"/>
          <w:color w:val="auto"/>
        </w:rPr>
      </w:pPr>
      <w:r>
        <w:rPr>
          <w:rFonts w:ascii="Courier New" w:cs="Courier New" w:eastAsia="Courier New" w:hAnsi="Courier New"/>
          <w:sz w:val="1"/>
          <w:szCs w:val="1"/>
          <w:color w:val="auto"/>
        </w:rPr>
        <w:t>This Escrow Agreement, dated as of</w:t>
      </w:r>
      <w:r>
        <w:rPr>
          <w:sz w:val="20"/>
          <w:szCs w:val="20"/>
          <w:color w:val="auto"/>
        </w:rPr>
        <w:tab/>
      </w:r>
      <w:r>
        <w:rPr>
          <w:rFonts w:ascii="Courier New" w:cs="Courier New" w:eastAsia="Courier New" w:hAnsi="Courier New"/>
          <w:sz w:val="15"/>
          <w:szCs w:val="15"/>
          <w:color w:val="auto"/>
        </w:rPr>
        <w:t>, 1995, by and among Eli Lilly and</w:t>
      </w:r>
    </w:p>
    <w:p>
      <w:pPr>
        <w:spacing w:after="0" w:line="177"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Company, an Indiana corporation ("Lilly"), Integrated Medical Systems, Inc., a Colorado corporation ("IMS"), one or more shareholders of IMS identified on the signature pages hereof ("Holders") and , a (the "Escrow Agent").</w:t>
      </w:r>
    </w:p>
    <w:p>
      <w:pPr>
        <w:spacing w:after="0" w:line="350"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PRELIMINARY STATEMENT</w:t>
      </w:r>
    </w:p>
    <w:p>
      <w:pPr>
        <w:spacing w:after="0" w:line="185" w:lineRule="exact"/>
        <w:rPr>
          <w:sz w:val="20"/>
          <w:szCs w:val="20"/>
          <w:color w:val="auto"/>
        </w:rPr>
      </w:pPr>
    </w:p>
    <w:p>
      <w:pPr>
        <w:jc w:val="both"/>
        <w:ind w:right="3399" w:firstLine="185"/>
        <w:spacing w:after="0" w:line="252" w:lineRule="auto"/>
        <w:rPr>
          <w:sz w:val="20"/>
          <w:szCs w:val="20"/>
          <w:color w:val="auto"/>
        </w:rPr>
      </w:pPr>
      <w:r>
        <w:rPr>
          <w:rFonts w:ascii="Courier New" w:cs="Courier New" w:eastAsia="Courier New" w:hAnsi="Courier New"/>
          <w:sz w:val="15"/>
          <w:szCs w:val="15"/>
          <w:color w:val="auto"/>
        </w:rPr>
        <w:t>Each Holder is the owner of shares of Common Stock or Series B Preferred Stock of IMS, or is the owner of rights to acquire such shares pursuant to options or warrants or the conversion of convertible securities.</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Pursuant to an Agreement and Plan of Merger, dated as of August 2, 1995 (the "Merger Agreement"), following approval by the IMS shareholders, a subsidiary of Lilly has been or will be merged into IMS (the "Merger"), and upon the Merger the outstanding shares of Common Stock and certain outstanding shares of Series B Preferred Stock of IMS have been or will be converted into cash or shares of Series D Preferred Stock of IMS (the "New Preferred Stock"). In addition, rights to acquire Common Stock of IMS pursuant to options or warrants or the conversion of Series B Preferred Stock have or will become rights to acquire New Preferred Stock.</w:t>
      </w:r>
    </w:p>
    <w:p>
      <w:pPr>
        <w:spacing w:after="0" w:line="175" w:lineRule="exact"/>
        <w:rPr>
          <w:sz w:val="20"/>
          <w:szCs w:val="20"/>
          <w:color w:val="auto"/>
        </w:rPr>
      </w:pPr>
    </w:p>
    <w:p>
      <w:pPr>
        <w:ind w:right="3219" w:firstLine="185"/>
        <w:spacing w:after="0" w:line="251" w:lineRule="auto"/>
        <w:rPr>
          <w:sz w:val="20"/>
          <w:szCs w:val="20"/>
          <w:color w:val="auto"/>
        </w:rPr>
      </w:pPr>
      <w:r>
        <w:rPr>
          <w:rFonts w:ascii="Courier New" w:cs="Courier New" w:eastAsia="Courier New" w:hAnsi="Courier New"/>
          <w:sz w:val="15"/>
          <w:szCs w:val="15"/>
          <w:color w:val="auto"/>
        </w:rPr>
        <w:t>Lilly, IMS and Holders have entered into Put/Call Agreements pursuant to which Holders and Lilly have granted each other certain rights regarding the possible future purchase of some or all of the New Preferred Stock that such Holders may acquire (the "Subject Shares").</w:t>
      </w:r>
    </w:p>
    <w:p>
      <w:pPr>
        <w:spacing w:after="0" w:line="176" w:lineRule="exact"/>
        <w:rPr>
          <w:sz w:val="20"/>
          <w:szCs w:val="20"/>
          <w:color w:val="auto"/>
        </w:rPr>
      </w:pPr>
    </w:p>
    <w:p>
      <w:pPr>
        <w:jc w:val="both"/>
        <w:ind w:right="3119" w:firstLine="185"/>
        <w:spacing w:after="0" w:line="252" w:lineRule="auto"/>
        <w:rPr>
          <w:sz w:val="20"/>
          <w:szCs w:val="20"/>
          <w:color w:val="auto"/>
        </w:rPr>
      </w:pPr>
      <w:r>
        <w:rPr>
          <w:rFonts w:ascii="Courier New" w:cs="Courier New" w:eastAsia="Courier New" w:hAnsi="Courier New"/>
          <w:sz w:val="15"/>
          <w:szCs w:val="15"/>
          <w:color w:val="auto"/>
        </w:rPr>
        <w:t>Lilly, IMS and Holders desire that the stock certificates and related stock powers for the Subject Shares be held in escrow pending the possible purchase thereof pursuant to the Put/Call Agreements.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AGREEMENT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1. Establishment of Escrow.</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Lilly, IMS or any Holder may from time to time deliver to the Escrow Agent certificates representing Subject Shares registered in the name of Holder and undated stock powers endorsed in blank by such Holder relating to those Subject Shares (such certificates and stock powers are herein called "Escrowed Shares"). Escrowed Shares shall be held, administered and disposed of by the Escrow Agent in accordance with the terms and conditions of this Escrow Agreement. The Escrow Agent shall deliver promptly to Lilly and IMS written notice of the receipt by the Escrow Agent of any Escrowed Shares that are delivered by a Holder rather than by Lilly or IMS.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2. Custody and Release.</w:t>
      </w:r>
    </w:p>
    <w:p>
      <w:pPr>
        <w:spacing w:after="0" w:line="185" w:lineRule="exact"/>
        <w:rPr>
          <w:sz w:val="20"/>
          <w:szCs w:val="20"/>
          <w:color w:val="auto"/>
        </w:rPr>
      </w:pPr>
    </w:p>
    <w:p>
      <w:pPr>
        <w:ind w:left="540" w:hanging="361"/>
        <w:spacing w:after="0"/>
        <w:tabs>
          <w:tab w:leader="none" w:pos="5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act as custodian of the Escrowed Shares.</w:t>
      </w:r>
    </w:p>
    <w:p>
      <w:pPr>
        <w:spacing w:after="0" w:line="184" w:lineRule="exact"/>
        <w:rPr>
          <w:rFonts w:ascii="Courier New" w:cs="Courier New" w:eastAsia="Courier New" w:hAnsi="Courier New"/>
          <w:sz w:val="15"/>
          <w:szCs w:val="15"/>
          <w:color w:val="auto"/>
        </w:rPr>
      </w:pPr>
    </w:p>
    <w:p>
      <w:pPr>
        <w:ind w:right="3119" w:firstLine="179"/>
        <w:spacing w:after="0" w:line="250" w:lineRule="auto"/>
        <w:tabs>
          <w:tab w:leader="none" w:pos="55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by Lilly to the Escrow Agent of one or more Put Purchase Certificates or Call Purchase Certificates, together with funds sufficient to pay the aggregate Purchase Price for the Escrowed Shares specified in such Certificates, the Escrow Agent shall immediately release such Escrowed Shares to Lilly. In addition, the Escrow Agent shall as promptly as practicable, and in any event not later than five business days after Lilly delivery of such Certificates, issue its checks payable to the order of the Holders specified in the Put Purchase Certificates or Call Purchase Certificates. Such checks shall be in New York Clearing House funds and shall be sent to the addresses and in the manner specified in the applicable Put Purchase Certificates or Call Purchase</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19"/>
          </w:cols>
          <w:pgMar w:left="240" w:top="650" w:right="1440" w:bottom="1440" w:gutter="0" w:footer="0" w:header="0"/>
        </w:sectPr>
      </w:pPr>
    </w:p>
    <w:bookmarkStart w:id="143" w:name="page144"/>
    <w:bookmarkEnd w:id="143"/>
    <w:p>
      <w:pPr>
        <w:ind w:right="3119"/>
        <w:spacing w:after="0" w:line="251" w:lineRule="auto"/>
        <w:rPr>
          <w:sz w:val="20"/>
          <w:szCs w:val="20"/>
          <w:color w:val="auto"/>
        </w:rPr>
      </w:pPr>
      <w:r>
        <w:rPr>
          <w:rFonts w:ascii="Courier New" w:cs="Courier New" w:eastAsia="Courier New" w:hAnsi="Courier New"/>
          <w:sz w:val="15"/>
          <w:szCs w:val="15"/>
          <w:color w:val="auto"/>
        </w:rPr>
        <w:t>Certificates. As used in this Escrow Agreement, a Put Purchase Certificate shall mean a properly executed Certificate substantially in the form of Exhibit 1 attached hereto, and a Call Purchase Certificate shall mean a properly executed Certificate substantially in the form of Exhibit 2 attached hereto.</w:t>
      </w:r>
    </w:p>
    <w:p>
      <w:pPr>
        <w:spacing w:after="0" w:line="176" w:lineRule="exact"/>
        <w:rPr>
          <w:sz w:val="20"/>
          <w:szCs w:val="20"/>
          <w:color w:val="auto"/>
        </w:rPr>
      </w:pPr>
    </w:p>
    <w:p>
      <w:pPr>
        <w:ind w:right="3119" w:firstLine="179"/>
        <w:spacing w:after="0" w:line="251" w:lineRule="auto"/>
        <w:tabs>
          <w:tab w:leader="none" w:pos="5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to the Escrow Agent of instructions signed by Lilly and any Holder to release any Escrowed Shares held of record by such Holder, the Escrow Agent shall immediately release such Escrowed Shares to such Holder in accordance with such instructions.</w:t>
      </w:r>
    </w:p>
    <w:p>
      <w:pPr>
        <w:spacing w:after="0" w:line="176"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reason the Escrow Agreement has not been terminated by December 31, 2001, the Escrow Agent shall release promptly all Escrowed Shares to the respective Holders who are the record owners thereof.</w:t>
      </w:r>
    </w:p>
    <w:p>
      <w:pPr>
        <w:spacing w:after="0" w:line="175" w:lineRule="exact"/>
        <w:rPr>
          <w:sz w:val="20"/>
          <w:szCs w:val="20"/>
          <w:color w:val="auto"/>
        </w:rPr>
      </w:pPr>
    </w:p>
    <w:p>
      <w:pPr>
        <w:ind w:right="3299" w:firstLine="185"/>
        <w:spacing w:after="0" w:line="253" w:lineRule="auto"/>
        <w:rPr>
          <w:sz w:val="20"/>
          <w:szCs w:val="20"/>
          <w:color w:val="auto"/>
        </w:rPr>
      </w:pPr>
      <w:r>
        <w:rPr>
          <w:rFonts w:ascii="Courier New" w:cs="Courier New" w:eastAsia="Courier New" w:hAnsi="Courier New"/>
          <w:sz w:val="15"/>
          <w:szCs w:val="15"/>
          <w:color w:val="auto"/>
        </w:rPr>
        <w:t>[add boilerplate per form of escrow agreement to be provided by the Agent and reasonably satisfactory to Lilly and IMS]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19"/>
          </w:cols>
          <w:pgMar w:left="240" w:top="650" w:right="1440"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5"/>
        </w:trPr>
        <w:tc>
          <w:tcPr>
            <w:tcW w:w="2440" w:type="dxa"/>
            <w:vAlign w:val="bottom"/>
          </w:tcPr>
          <w:p>
            <w:pPr>
              <w:spacing w:after="0"/>
              <w:rPr>
                <w:sz w:val="24"/>
                <w:szCs w:val="24"/>
                <w:color w:val="auto"/>
              </w:rPr>
            </w:pPr>
          </w:p>
        </w:tc>
        <w:tc>
          <w:tcPr>
            <w:tcW w:w="2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PUT PURCHASE CERTIFICATE</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5"/>
        </w:trPr>
        <w:tc>
          <w:tcPr>
            <w:tcW w:w="3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Eli Lilly and Company ("Lilly")</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hereby certifies to</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 as Agent under</w:t>
            </w:r>
          </w:p>
        </w:tc>
        <w:tc>
          <w:tcPr>
            <w:tcW w:w="140" w:type="dxa"/>
            <w:vAlign w:val="bottom"/>
          </w:tcPr>
          <w:p>
            <w:pPr>
              <w:spacing w:after="0"/>
              <w:rPr>
                <w:sz w:val="24"/>
                <w:szCs w:val="24"/>
                <w:color w:val="auto"/>
              </w:rPr>
            </w:pPr>
          </w:p>
        </w:tc>
      </w:tr>
      <w:tr>
        <w:trPr>
          <w:trHeight w:val="177"/>
        </w:trPr>
        <w:tc>
          <w:tcPr>
            <w:tcW w:w="2440" w:type="dxa"/>
            <w:vAlign w:val="bottom"/>
          </w:tcPr>
          <w:p>
            <w:pPr>
              <w:spacing w:after="0"/>
              <w:rPr>
                <w:sz w:val="20"/>
                <w:szCs w:val="20"/>
                <w:color w:val="auto"/>
              </w:rPr>
            </w:pPr>
            <w:r>
              <w:rPr>
                <w:rFonts w:ascii="Courier New" w:cs="Courier New" w:eastAsia="Courier New" w:hAnsi="Courier New"/>
                <w:sz w:val="15"/>
                <w:szCs w:val="15"/>
                <w:color w:val="auto"/>
              </w:rPr>
              <w:t>the Escrow Agreement dated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60"/>
              <w:spacing w:after="0"/>
              <w:rPr>
                <w:sz w:val="20"/>
                <w:szCs w:val="20"/>
                <w:color w:val="auto"/>
              </w:rPr>
            </w:pPr>
            <w:r>
              <w:rPr>
                <w:rFonts w:ascii="Courier New" w:cs="Courier New" w:eastAsia="Courier New" w:hAnsi="Courier New"/>
                <w:sz w:val="15"/>
                <w:szCs w:val="15"/>
                <w:color w:val="auto"/>
              </w:rPr>
              <w:t>1995 as follows:</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 Lilly has received Put Exercise Notices executed by Holders pursuant to</w:t>
      </w:r>
    </w:p>
    <w:p>
      <w:pPr>
        <w:spacing w:after="0" w:line="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Section 1(d) of the Put/Call Agreement, dated , 1995 (the "Agreement"), as specified on Attachment 1 hereto;</w:t>
      </w:r>
    </w:p>
    <w:p>
      <w:pPr>
        <w:spacing w:after="0" w:line="174" w:lineRule="exact"/>
        <w:rPr>
          <w:sz w:val="20"/>
          <w:szCs w:val="20"/>
          <w:color w:val="auto"/>
        </w:rPr>
      </w:pPr>
    </w:p>
    <w:p>
      <w:pPr>
        <w:ind w:left="460" w:hanging="281"/>
        <w:spacing w:after="0"/>
        <w:tabs>
          <w:tab w:leader="none" w:pos="4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Put Exercise Notices have not been revoked;</w:t>
      </w:r>
    </w:p>
    <w:p>
      <w:pPr>
        <w:spacing w:after="0" w:line="184" w:lineRule="exact"/>
        <w:rPr>
          <w:rFonts w:ascii="Courier New" w:cs="Courier New" w:eastAsia="Courier New" w:hAnsi="Courier New"/>
          <w:sz w:val="15"/>
          <w:szCs w:val="15"/>
          <w:color w:val="auto"/>
        </w:rPr>
      </w:pPr>
    </w:p>
    <w:p>
      <w:pPr>
        <w:ind w:right="3219" w:firstLine="179"/>
        <w:spacing w:after="0" w:line="250" w:lineRule="auto"/>
        <w:tabs>
          <w:tab w:leader="none" w:pos="46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Subject Shares being sold by each Holder pursuant to such Put Exercise Notices is specified on Attachment 1 hereto, and the aggregate</w:t>
      </w:r>
    </w:p>
    <w:p>
      <w:pPr>
        <w:spacing w:after="0" w:line="1" w:lineRule="exact"/>
        <w:rPr>
          <w:sz w:val="20"/>
          <w:szCs w:val="20"/>
          <w:color w:val="auto"/>
        </w:rPr>
      </w:pPr>
    </w:p>
    <w:p>
      <w:pPr>
        <w:spacing w:after="0"/>
        <w:tabs>
          <w:tab w:leader="none" w:pos="6060" w:val="left"/>
        </w:tabs>
        <w:rPr>
          <w:sz w:val="20"/>
          <w:szCs w:val="20"/>
          <w:color w:val="auto"/>
        </w:rPr>
      </w:pPr>
      <w:r>
        <w:rPr>
          <w:rFonts w:ascii="Courier New" w:cs="Courier New" w:eastAsia="Courier New" w:hAnsi="Courier New"/>
          <w:sz w:val="15"/>
          <w:szCs w:val="15"/>
          <w:color w:val="auto"/>
        </w:rPr>
        <w:t>number of Subject Shares being sold by all such Holders is</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right="3119" w:firstLine="179"/>
        <w:spacing w:after="0" w:line="250" w:lineRule="auto"/>
        <w:tabs>
          <w:tab w:leader="none" w:pos="461"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the Subject Shares (net of any applicable taxes to be withheld pursuant to Section 3 of the Agreement) being sold by each such Holder is specified on Attachment 1 hereto, and the aggregate purchase price</w:t>
      </w:r>
    </w:p>
    <w:p>
      <w:pPr>
        <w:spacing w:after="0" w:line="1"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5"/>
          <w:szCs w:val="15"/>
          <w:color w:val="auto"/>
        </w:rPr>
        <w:t>(net of such taxes) for all such Subject Shares is $</w:t>
        <w:tab/>
        <w:t>; and</w:t>
      </w:r>
    </w:p>
    <w:p>
      <w:pPr>
        <w:spacing w:after="0" w:line="185" w:lineRule="exact"/>
        <w:rPr>
          <w:sz w:val="20"/>
          <w:szCs w:val="20"/>
          <w:color w:val="auto"/>
        </w:rPr>
      </w:pPr>
    </w:p>
    <w:p>
      <w:pPr>
        <w:ind w:right="3019" w:firstLine="179"/>
        <w:spacing w:after="0" w:line="251" w:lineRule="auto"/>
        <w:tabs>
          <w:tab w:leader="none" w:pos="46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of the Holders and the addresses to which payment for the Purchase Price should be mailed (or otherwise delivered in accordance with instructions as specified in the applicable Put Exercise Notice) are set forth on Attachment 1 hereto.</w:t>
      </w:r>
    </w:p>
    <w:p>
      <w:pPr>
        <w:spacing w:after="0" w:line="176"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Upon Agent's receipt of funds sufficient to pay the aggregate Purchase Price for the aforesaid Subject Shares, Agent is hereby instructed to release the certificates and related stock powers for such Subject Shares to Lilly and as promptly as practicable to pay the Purchase Price to the Holders in accordance with clause 5 above.</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IN WITNESS WHEREOF, Lilly has executed this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Certificate on</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199 .</w:t>
            </w:r>
          </w:p>
        </w:tc>
      </w:tr>
      <w:tr>
        <w:trPr>
          <w:trHeight w:val="355"/>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Eli</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Lilly and Company</w:t>
            </w:r>
          </w:p>
        </w:tc>
        <w:tc>
          <w:tcPr>
            <w:tcW w:w="800" w:type="dxa"/>
            <w:vAlign w:val="bottom"/>
          </w:tcPr>
          <w:p>
            <w:pPr>
              <w:spacing w:after="0"/>
              <w:rPr>
                <w:sz w:val="24"/>
                <w:szCs w:val="24"/>
                <w:color w:val="auto"/>
              </w:rPr>
            </w:pPr>
          </w:p>
        </w:tc>
      </w:tr>
    </w:tbl>
    <w:p>
      <w:pPr>
        <w:spacing w:after="0" w:line="18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219"/>
          </w:cols>
          <w:pgMar w:left="240" w:top="650" w:right="1440" w:bottom="1440" w:gutter="0" w:footer="0" w:header="0"/>
        </w:sectPr>
      </w:pPr>
    </w:p>
    <w:bookmarkStart w:id="145" w:name="page146"/>
    <w:bookmarkEnd w:id="145"/>
    <w:p>
      <w:pPr>
        <w:ind w:left="6265"/>
        <w:spacing w:after="0"/>
        <w:rPr>
          <w:sz w:val="20"/>
          <w:szCs w:val="20"/>
          <w:color w:val="auto"/>
        </w:rPr>
      </w:pPr>
      <w:r>
        <w:rPr>
          <w:rFonts w:ascii="Courier New" w:cs="Courier New" w:eastAsia="Courier New" w:hAnsi="Courier New"/>
          <w:sz w:val="15"/>
          <w:szCs w:val="15"/>
          <w:color w:val="auto"/>
        </w:rPr>
        <w:t>ATTACHMENT 1</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NAME AND ADDRESS*#</w:t>
      </w:r>
    </w:p>
    <w:p>
      <w:pPr>
        <w:spacing w:after="0" w:line="8"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OF HOLDER</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SOLD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445" w:space="720"/>
            <w:col w:w="1100" w:space="280"/>
            <w:col w:w="3679"/>
          </w:cols>
          <w:pgMar w:left="235" w:top="650" w:right="1440" w:bottom="1440" w:gutter="0" w:footer="0" w:header="0"/>
          <w:type w:val="continuous"/>
        </w:sect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Address to which payment should be mailed</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3505" w:right="5239" w:hanging="3505"/>
        <w:spacing w:after="0" w:line="504" w:lineRule="auto"/>
        <w:tabs>
          <w:tab w:leader="none" w:pos="184"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special delivery instructions to be noted here] B-12</w:t>
      </w:r>
    </w:p>
    <w:p>
      <w:pPr>
        <w:sectPr>
          <w:pgSz w:w="11900" w:h="16838" w:orient="portrait"/>
          <w:cols w:equalWidth="0" w:num="1">
            <w:col w:w="10225"/>
          </w:cols>
          <w:pgMar w:left="235" w:top="650" w:right="1440" w:bottom="1440" w:gutter="0" w:footer="0" w:header="0"/>
          <w:type w:val="continuous"/>
        </w:sectPr>
      </w:pPr>
    </w:p>
    <w:bookmarkStart w:id="146" w:name="page147"/>
    <w:bookmarkEnd w:id="146"/>
    <w:p>
      <w:pPr>
        <w:ind w:left="6000"/>
        <w:spacing w:after="0"/>
        <w:rPr>
          <w:sz w:val="20"/>
          <w:szCs w:val="20"/>
          <w:color w:val="auto"/>
        </w:rPr>
      </w:pPr>
      <w:r>
        <w:rPr>
          <w:rFonts w:ascii="Courier New" w:cs="Courier New" w:eastAsia="Courier New" w:hAnsi="Courier New"/>
          <w:sz w:val="15"/>
          <w:szCs w:val="15"/>
          <w:color w:val="auto"/>
        </w:rPr>
        <w:t>EXHIBIT 2</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CALL EXERCISE CERTIFICATE</w:t>
      </w:r>
    </w:p>
    <w:p>
      <w:pPr>
        <w:sectPr>
          <w:pgSz w:w="11900" w:h="16838" w:orient="portrait"/>
          <w:cols w:equalWidth="0" w:num="1">
            <w:col w:w="10219"/>
          </w:cols>
          <w:pgMar w:left="240" w:top="828" w:right="1440" w:bottom="1440" w:gutter="0" w:footer="0" w:header="0"/>
        </w:sectPr>
      </w:pP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Eli Lilly and Company ("Lilly") hereby certifies to</w:t>
      </w:r>
    </w:p>
    <w:p>
      <w:pPr>
        <w:spacing w:after="0" w:line="8"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5"/>
          <w:szCs w:val="15"/>
          <w:color w:val="auto"/>
        </w:rPr>
        <w:t>Escrow Agreement dated</w:t>
      </w:r>
      <w:r>
        <w:rPr>
          <w:sz w:val="20"/>
          <w:szCs w:val="20"/>
          <w:color w:val="auto"/>
        </w:rPr>
        <w:tab/>
      </w:r>
      <w:r>
        <w:rPr>
          <w:rFonts w:ascii="Courier New" w:cs="Courier New" w:eastAsia="Courier New" w:hAnsi="Courier New"/>
          <w:sz w:val="15"/>
          <w:szCs w:val="15"/>
          <w:color w:val="auto"/>
        </w:rPr>
        <w:t>, 1995 as follows: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as Agent under the</w:t>
      </w:r>
    </w:p>
    <w:p>
      <w:pPr>
        <w:spacing w:after="0" w:line="362" w:lineRule="exact"/>
        <w:rPr>
          <w:sz w:val="20"/>
          <w:szCs w:val="20"/>
          <w:color w:val="auto"/>
        </w:rPr>
      </w:pPr>
    </w:p>
    <w:p>
      <w:pPr>
        <w:sectPr>
          <w:pgSz w:w="11900" w:h="16838" w:orient="portrait"/>
          <w:cols w:equalWidth="0" w:num="2">
            <w:col w:w="4880" w:space="460"/>
            <w:col w:w="4879"/>
          </w:cols>
          <w:pgMar w:left="240" w:top="828" w:right="1440" w:bottom="1440" w:gutter="0" w:footer="0" w:header="0"/>
          <w:type w:val="continuous"/>
        </w:sectPr>
      </w:pPr>
    </w:p>
    <w:p>
      <w:pPr>
        <w:ind w:left="360"/>
        <w:spacing w:after="0"/>
        <w:rPr>
          <w:sz w:val="20"/>
          <w:szCs w:val="20"/>
          <w:color w:val="auto"/>
        </w:rPr>
      </w:pPr>
      <w:r>
        <w:rPr>
          <w:rFonts w:ascii="Courier New" w:cs="Courier New" w:eastAsia="Courier New" w:hAnsi="Courier New"/>
          <w:sz w:val="15"/>
          <w:szCs w:val="15"/>
          <w:color w:val="auto"/>
        </w:rPr>
        <w:t>1. Lilly has exercised its Call Right pursuant to Section 2 of the</w:t>
      </w:r>
    </w:p>
    <w:p>
      <w:pPr>
        <w:spacing w:after="0" w:line="8" w:lineRule="exact"/>
        <w:rPr>
          <w:sz w:val="20"/>
          <w:szCs w:val="20"/>
          <w:color w:val="auto"/>
        </w:rPr>
      </w:pPr>
    </w:p>
    <w:p>
      <w:pPr>
        <w:ind w:left="180" w:right="3479"/>
        <w:spacing w:after="0" w:line="253" w:lineRule="auto"/>
        <w:rPr>
          <w:sz w:val="20"/>
          <w:szCs w:val="20"/>
          <w:color w:val="auto"/>
        </w:rPr>
      </w:pPr>
      <w:r>
        <w:rPr>
          <w:rFonts w:ascii="Courier New" w:cs="Courier New" w:eastAsia="Courier New" w:hAnsi="Courier New"/>
          <w:sz w:val="15"/>
          <w:szCs w:val="15"/>
          <w:color w:val="auto"/>
        </w:rPr>
        <w:t>Put/Call Agreement, dated , 1995 (the "Agreement"), as specified on Attachment 1 hereto;</w:t>
      </w:r>
    </w:p>
    <w:p>
      <w:pPr>
        <w:spacing w:after="0" w:line="174" w:lineRule="exact"/>
        <w:rPr>
          <w:sz w:val="20"/>
          <w:szCs w:val="20"/>
          <w:color w:val="auto"/>
        </w:rPr>
      </w:pPr>
    </w:p>
    <w:p>
      <w:pPr>
        <w:ind w:left="640" w:hanging="276"/>
        <w:spacing w:after="0"/>
        <w:tabs>
          <w:tab w:leader="none" w:pos="6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exercise has not been revoked;</w:t>
      </w:r>
    </w:p>
    <w:p>
      <w:pPr>
        <w:spacing w:after="0" w:line="184" w:lineRule="exact"/>
        <w:rPr>
          <w:rFonts w:ascii="Courier New" w:cs="Courier New" w:eastAsia="Courier New" w:hAnsi="Courier New"/>
          <w:sz w:val="15"/>
          <w:szCs w:val="15"/>
          <w:color w:val="auto"/>
        </w:rPr>
      </w:pPr>
    </w:p>
    <w:p>
      <w:pPr>
        <w:ind w:left="180" w:right="3119" w:firstLine="184"/>
        <w:spacing w:after="0" w:line="250" w:lineRule="auto"/>
        <w:tabs>
          <w:tab w:leader="none" w:pos="64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Subject Shares being purchased from each Holder pursuant to such exercise is specified on Attachment 1 hereto, and the aggregate</w:t>
      </w:r>
    </w:p>
    <w:p>
      <w:pPr>
        <w:spacing w:after="0" w:line="1" w:lineRule="exact"/>
        <w:rPr>
          <w:sz w:val="20"/>
          <w:szCs w:val="20"/>
          <w:color w:val="auto"/>
        </w:rPr>
      </w:pPr>
    </w:p>
    <w:p>
      <w:pPr>
        <w:ind w:left="180"/>
        <w:spacing w:after="0"/>
        <w:tabs>
          <w:tab w:leader="none" w:pos="6620" w:val="left"/>
        </w:tabs>
        <w:rPr>
          <w:sz w:val="20"/>
          <w:szCs w:val="20"/>
          <w:color w:val="auto"/>
        </w:rPr>
      </w:pPr>
      <w:r>
        <w:rPr>
          <w:rFonts w:ascii="Courier New" w:cs="Courier New" w:eastAsia="Courier New" w:hAnsi="Courier New"/>
          <w:sz w:val="15"/>
          <w:szCs w:val="15"/>
          <w:color w:val="auto"/>
        </w:rPr>
        <w:t>number of Subject Shares being purchased from all such Holders is</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180" w:right="3119" w:firstLine="184"/>
        <w:spacing w:after="0" w:line="250" w:lineRule="auto"/>
        <w:tabs>
          <w:tab w:leader="none" w:pos="64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the Subject Shares (net of any applicable taxes to be withheld pursuant to Section 3 of the Agreement) being purchased from each such Holder is specified on Attachment 1 hereto, and the aggregate</w:t>
      </w:r>
    </w:p>
    <w:p>
      <w:pPr>
        <w:spacing w:after="0" w:line="1" w:lineRule="exact"/>
        <w:rPr>
          <w:sz w:val="20"/>
          <w:szCs w:val="20"/>
          <w:color w:val="auto"/>
        </w:rPr>
      </w:pPr>
    </w:p>
    <w:p>
      <w:pPr>
        <w:ind w:left="180"/>
        <w:spacing w:after="0"/>
        <w:tabs>
          <w:tab w:leader="none" w:pos="6620" w:val="left"/>
        </w:tabs>
        <w:rPr>
          <w:sz w:val="20"/>
          <w:szCs w:val="20"/>
          <w:color w:val="auto"/>
        </w:rPr>
      </w:pPr>
      <w:r>
        <w:rPr>
          <w:rFonts w:ascii="Courier New" w:cs="Courier New" w:eastAsia="Courier New" w:hAnsi="Courier New"/>
          <w:sz w:val="15"/>
          <w:szCs w:val="15"/>
          <w:color w:val="auto"/>
        </w:rPr>
        <w:t>purchase price (net of such taxes) for all such Subject Shares is $</w:t>
      </w:r>
      <w:r>
        <w:rPr>
          <w:sz w:val="20"/>
          <w:szCs w:val="20"/>
          <w:color w:val="auto"/>
        </w:rPr>
        <w:tab/>
      </w:r>
      <w:r>
        <w:rPr>
          <w:rFonts w:ascii="Courier New" w:cs="Courier New" w:eastAsia="Courier New" w:hAnsi="Courier New"/>
          <w:sz w:val="15"/>
          <w:szCs w:val="15"/>
          <w:color w:val="auto"/>
        </w:rPr>
        <w:t>; and</w:t>
      </w:r>
    </w:p>
    <w:p>
      <w:pPr>
        <w:spacing w:after="0" w:line="185" w:lineRule="exact"/>
        <w:rPr>
          <w:sz w:val="20"/>
          <w:szCs w:val="20"/>
          <w:color w:val="auto"/>
        </w:rPr>
      </w:pPr>
    </w:p>
    <w:p>
      <w:pPr>
        <w:ind w:left="180" w:right="3219" w:firstLine="184"/>
        <w:spacing w:after="0" w:line="252" w:lineRule="auto"/>
        <w:tabs>
          <w:tab w:leader="none" w:pos="64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of the Holders and the addresses to which payment for the Purchase Price should be mailed (or otherwise delivered in accordance with a Holder's instructions) are set forth on Attachment 1 hereto.</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Upon Agent's receipt of funds sufficient to pay the aggregate Purchase Price for the aforesaid Subject Shares, Agent is hereby instructed to release the certificates and related stock powers for such Subject Shares to Lilly and as promptly as practicable to pay the Purchase Price to the Holders in accordance with clause 5 above.</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IN WITNESS WHEREOF, Lilly has executed this</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Certificate 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199 .</w:t>
            </w:r>
          </w:p>
        </w:tc>
      </w:tr>
      <w:tr>
        <w:trPr>
          <w:trHeight w:val="355"/>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rPr>
              <w:t>ELI</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LILLY AND COMPANY</w:t>
            </w:r>
          </w:p>
        </w:tc>
        <w:tc>
          <w:tcPr>
            <w:tcW w:w="740" w:type="dxa"/>
            <w:vAlign w:val="bottom"/>
          </w:tcPr>
          <w:p>
            <w:pPr>
              <w:spacing w:after="0"/>
              <w:rPr>
                <w:sz w:val="24"/>
                <w:szCs w:val="24"/>
                <w:color w:val="auto"/>
              </w:rPr>
            </w:pPr>
          </w:p>
        </w:tc>
      </w:tr>
    </w:tbl>
    <w:p>
      <w:pPr>
        <w:spacing w:after="0" w:line="18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By______________________________</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B-13</w:t>
      </w:r>
    </w:p>
    <w:p>
      <w:pPr>
        <w:sectPr>
          <w:pgSz w:w="11900" w:h="16838" w:orient="portrait"/>
          <w:cols w:equalWidth="0" w:num="1">
            <w:col w:w="10219"/>
          </w:cols>
          <w:pgMar w:left="240" w:top="828" w:right="1440" w:bottom="1440" w:gutter="0" w:footer="0" w:header="0"/>
          <w:type w:val="continuous"/>
        </w:sectPr>
      </w:pPr>
    </w:p>
    <w:bookmarkStart w:id="147" w:name="page148"/>
    <w:bookmarkEnd w:id="147"/>
    <w:p>
      <w:pPr>
        <w:ind w:left="6265"/>
        <w:spacing w:after="0"/>
        <w:rPr>
          <w:sz w:val="20"/>
          <w:szCs w:val="20"/>
          <w:color w:val="auto"/>
        </w:rPr>
      </w:pPr>
      <w:r>
        <w:rPr>
          <w:rFonts w:ascii="Courier New" w:cs="Courier New" w:eastAsia="Courier New" w:hAnsi="Courier New"/>
          <w:sz w:val="15"/>
          <w:szCs w:val="15"/>
          <w:color w:val="auto"/>
        </w:rPr>
        <w:t>ATTACHMENT 1</w:t>
      </w:r>
    </w:p>
    <w:p>
      <w:pPr>
        <w:sectPr>
          <w:pgSz w:w="11900" w:h="16838" w:orient="portrait"/>
          <w:cols w:equalWidth="0" w:num="1">
            <w:col w:w="10225"/>
          </w:cols>
          <w:pgMar w:left="235" w:top="65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NAME AND ADDRESS*#</w:t>
      </w:r>
    </w:p>
    <w:p>
      <w:pPr>
        <w:spacing w:after="0" w:line="8"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OF HOLDER</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445" w:space="720"/>
            <w:col w:w="1100" w:space="280"/>
            <w:col w:w="3679"/>
          </w:cols>
          <w:pgMar w:left="235" w:top="650" w:right="1440" w:bottom="1440" w:gutter="0" w:footer="0" w:header="0"/>
          <w:type w:val="continuous"/>
        </w:sect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Address to which payment should be mailed</w:t>
      </w:r>
    </w:p>
    <w:p>
      <w:pPr>
        <w:sectPr>
          <w:pgSz w:w="11900" w:h="16838" w:orient="portrait"/>
          <w:cols w:equalWidth="0" w:num="1">
            <w:col w:w="10225"/>
          </w:cols>
          <w:pgMar w:left="235" w:top="650" w:right="1440" w:bottom="1440" w:gutter="0" w:footer="0" w:header="0"/>
          <w:type w:val="continuous"/>
        </w:sectPr>
      </w:pPr>
    </w:p>
    <w:p>
      <w:pPr>
        <w:spacing w:after="0" w:line="8" w:lineRule="exact"/>
        <w:rPr>
          <w:sz w:val="20"/>
          <w:szCs w:val="20"/>
          <w:color w:val="auto"/>
        </w:rPr>
      </w:pPr>
    </w:p>
    <w:p>
      <w:pPr>
        <w:ind w:left="3505" w:right="5239" w:hanging="3505"/>
        <w:spacing w:after="0" w:line="504" w:lineRule="auto"/>
        <w:tabs>
          <w:tab w:leader="none" w:pos="18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special delivery instructions to be noted here] B-14</w:t>
      </w:r>
    </w:p>
    <w:p>
      <w:pPr>
        <w:sectPr>
          <w:pgSz w:w="11900" w:h="16838" w:orient="portrait"/>
          <w:cols w:equalWidth="0" w:num="1">
            <w:col w:w="10225"/>
          </w:cols>
          <w:pgMar w:left="235" w:top="650" w:right="1440" w:bottom="1440" w:gutter="0" w:footer="0" w:header="0"/>
          <w:type w:val="continuous"/>
        </w:sectPr>
      </w:pPr>
    </w:p>
    <w:bookmarkStart w:id="148" w:name="page149"/>
    <w:bookmarkEnd w:id="148"/>
    <w:p>
      <w:pPr>
        <w:jc w:val="right"/>
        <w:ind w:right="2939"/>
        <w:spacing w:after="0"/>
        <w:rPr>
          <w:sz w:val="20"/>
          <w:szCs w:val="20"/>
          <w:color w:val="auto"/>
        </w:rPr>
      </w:pPr>
      <w:r>
        <w:rPr>
          <w:rFonts w:ascii="Courier New" w:cs="Courier New" w:eastAsia="Courier New" w:hAnsi="Courier New"/>
          <w:sz w:val="15"/>
          <w:szCs w:val="15"/>
          <w:color w:val="auto"/>
        </w:rPr>
        <w:t>APPENDIX C</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August 2,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 West 6th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400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Colorado 80401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of the consideration to be offered to the holders of the common stock of Integrated Medical Systems, Inc. (the "Company"), other than Eli Lilly and Company and its subsidiaries (collectively, "Lilly"), and the holders of the Series B Preferred Stock of the Company (the holders of common stock and Series B Preferred Stock of the Company, other than Lilly, are hereinafter collectively referred to as the "Majority Shareholders"), pursuant to the Agreement and Plan of Merger, dated as of July 31, 1995, by and among Eli Lilly and Company, Trans-IMS Corporation (the "Subsidiary") and the Company (together with the exhibits thereto, the "Merger Agreement"), As more fully described in the Merger Agreement, and subject to the terms and conditions specified therein, the Subsidiary shall be merged with and into the Company (the "Merger") and (a) each holder of common stock of the Company (other than Lilly) will have the opportunity to elect to receive, for each share held, either $8.00 in cash or one share of newly issued Series D Preferred Stock ("Series D Preferred Stock") of the Company and (b) each holder of Series B Preferred Stock of the Company will have the opportunity to elect to receive, for each share held, either $5.33 in cash or 2/3 of a share of Series D Preferred Stock, in each case subject to dissenters' appraisal rights (such cash elections and stock elections to be offered to such shareholders pursuant to the Merger Agreement are hereinafter collectively referred to as the "Merger Consideration").</w:t>
      </w:r>
    </w:p>
    <w:p>
      <w:pPr>
        <w:spacing w:after="0" w:line="187"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arriving at our opinion, we reviewed the Merger Agreement and held discussions with certain senior officers, directors and other representatives and advisors of the Company concerning the business, operations and prospects of the Company. We participated in discussions and negotiations among representatives of the Company and Lilly and their financial and legal advisors. We examined certain business and financial information relating to the Company as well as certain financial forecasts and other data which were provided to us by the management of the Company. We reviewed the financial terms of the Merger Consideration in relation to, among other things, the Company's historical and projected earnings and the capitalization and financial condition of the Company. We also considered, to the extent publicly available, the financial terms of certain other transactions which we deemed comparable to the Merger and analyzed certain financial and other publicly available information relating to the businesses of other companies whose operations we considered comparable to the Company. In addition, we conducted such other analyses and examinations and considered such other financial, economic and market criteria as we deemed necessary to arrive at our opinion.</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rendering our opinion, we have assumed and relied upon, without independent verification, the accuracy and completeness of all financial and other information publicly available or furnished to or otherwise reviewed by or discussed with us. Except as described above, we have not conducted any review or investigation of the Company or Lilly. With respect to financial forecasts and other information provided to or otherwise reviewed by or discussed with us, we assumed that such forecasts and other information were reasonably prepared on bases reflecting the best currently available estimates and judgments of the management of the Company as to the expected future financial performance of the Company. We have not made or been provided with an independent valuation or appraisal of the assets, liabilities (contingent or otherwise) or reserves of the Company nor have we made any physical inspection of the properties or assets of the Company. We have assumed the correctness of and relied upon the representations and warranties of the Company, the Subsidiary and Eli Lilly and Company in the Merger Agreement and have not attempted to independently verify the same. We were not asked to, and did not, solicit acquisition proposals from any third parties. Our opinion is necessarily based upon information</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650" w:right="1440" w:bottom="1440" w:gutter="0" w:footer="0" w:header="0"/>
        </w:sectPr>
      </w:pPr>
    </w:p>
    <w:bookmarkStart w:id="149" w:name="page150"/>
    <w:bookmarkEnd w:id="149"/>
    <w:p>
      <w:pPr>
        <w:ind w:right="3859"/>
        <w:spacing w:after="0" w:line="253" w:lineRule="auto"/>
        <w:rPr>
          <w:sz w:val="20"/>
          <w:szCs w:val="20"/>
          <w:color w:val="auto"/>
        </w:rPr>
      </w:pPr>
      <w:r>
        <w:rPr>
          <w:rFonts w:ascii="Courier New" w:cs="Courier New" w:eastAsia="Courier New" w:hAnsi="Courier New"/>
          <w:sz w:val="15"/>
          <w:szCs w:val="15"/>
          <w:color w:val="auto"/>
        </w:rPr>
        <w:t>available to us, and financial, stock market and other conditions and circumstances existing and disclosed to us, as of the date hereof.</w:t>
      </w:r>
    </w:p>
    <w:p>
      <w:pPr>
        <w:spacing w:after="0" w:line="174" w:lineRule="exact"/>
        <w:rPr>
          <w:sz w:val="20"/>
          <w:szCs w:val="20"/>
          <w:color w:val="auto"/>
        </w:rPr>
      </w:pPr>
    </w:p>
    <w:p>
      <w:pPr>
        <w:ind w:right="3019" w:firstLine="185"/>
        <w:spacing w:after="0" w:line="252" w:lineRule="auto"/>
        <w:rPr>
          <w:sz w:val="20"/>
          <w:szCs w:val="20"/>
          <w:color w:val="auto"/>
        </w:rPr>
      </w:pPr>
      <w:r>
        <w:rPr>
          <w:rFonts w:ascii="Courier New" w:cs="Courier New" w:eastAsia="Courier New" w:hAnsi="Courier New"/>
          <w:sz w:val="15"/>
          <w:szCs w:val="15"/>
          <w:color w:val="auto"/>
        </w:rPr>
        <w:t>Our opinion does not address the relative merits of the Merger as compared to any alternative business strategies that might exist for the Company or the effect of any other transaction in which the Company may engage.</w:t>
      </w:r>
    </w:p>
    <w:p>
      <w:pPr>
        <w:spacing w:after="0" w:line="17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We were not asked to, and do not, express any opinion as to the relative merits of receiving the cash consideration or the stock consideration in the Merger and accordingly, this opinion is not intended to be and shall not be deemed to be a recommendation to any shareholder as to whether or not to make a cash election. In addition, we were not asked to, and do not, express any opinion as to (a) what the value of the Series D Preferred Stock actually will be when issued to shareholders of the Company pursuant to the Merger--or the price at which the Series D Preferred Stock will trade, if at all, subsequent to the Merger, (b) any election by any shareholder of the Company to retain shares of Series B Preferred Stock of the Company or (c) the relative fairness of the Merger to the holders of the common stock of the Company and the holders of the Series B Preferred Stock of the Company.</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Smith Barney has been engaged to render financial advisory services to the Company in connection with the Merger and will receive a fee for our services, a significant portion of which is contingent upon completion of the Merger. We will also receive a fee upon delivery of this opinion. In the regular course of our business, we and our affiliates may actively trade the equity and debt securities of Lilly for our own account or for the account of our customers and, accordingly, may at any time hold a long or short position in such securities. In addition, we and our affiliates (including The Travelers Inc. and its affiliates) may maintain business relationships with the Company, Lilly and their affiliates.</w:t>
      </w:r>
    </w:p>
    <w:p>
      <w:pPr>
        <w:spacing w:after="0" w:line="18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Our advisory services, and the opinion expressed herein, are provided for the information of the Company (including its Board of Directors) in its evaluation of the proposed Merger. Our opinion may not be published or otherwise used or referred to, nor shall any public reference to Smith Barney be made, without our prior written consent, except that we consent to disclosure of this opinion in the proxy statement relating to the Merger so long as such disclosure is provided to us and our counsel for review and comment prior to its publication. This opinion is not intended to be and shall not be deemed to be a recommendation to any stockholder of the Company to vote in favor of the Merger.</w:t>
      </w:r>
    </w:p>
    <w:p>
      <w:pPr>
        <w:spacing w:after="0" w:line="182"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our work as described above and other factors we deemed relevant, we are of the opinion that, as of the date hereof, the Merger Consideration to be offered to the Majority Shareholders pursuant to the Merger Agreement is fair, from a financial point of view, to the Majority Shareholders.</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Very truly yours,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Smith Barney Inc.</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650" w:right="1440" w:bottom="1440" w:gutter="0" w:footer="0" w:header="0"/>
        </w:sectPr>
      </w:pPr>
    </w:p>
    <w:bookmarkStart w:id="150" w:name="page151"/>
    <w:bookmarkEnd w:id="150"/>
    <w:p>
      <w:pPr>
        <w:jc w:val="right"/>
        <w:ind w:right="2939"/>
        <w:spacing w:after="0"/>
        <w:rPr>
          <w:sz w:val="20"/>
          <w:szCs w:val="20"/>
          <w:color w:val="auto"/>
        </w:rPr>
      </w:pPr>
      <w:r>
        <w:rPr>
          <w:rFonts w:ascii="Courier New" w:cs="Courier New" w:eastAsia="Courier New" w:hAnsi="Courier New"/>
          <w:sz w:val="15"/>
          <w:szCs w:val="15"/>
          <w:color w:val="auto"/>
        </w:rPr>
        <w:t>APPENDIX D</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COLORADO BUSINESS CORPORATION ACT</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113</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DISSENTERS' RIGHTS</w:t>
      </w:r>
    </w:p>
    <w:p>
      <w:pPr>
        <w:spacing w:after="0" w:line="18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1</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RIGHT OF DISSENT -- PAYMENT FOR SHARES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7-113-101 Definitions. -- For purposes of this article:</w:t>
      </w:r>
    </w:p>
    <w:p>
      <w:pPr>
        <w:spacing w:after="0" w:line="185" w:lineRule="exact"/>
        <w:rPr>
          <w:sz w:val="20"/>
          <w:szCs w:val="20"/>
          <w:color w:val="auto"/>
        </w:rPr>
      </w:pPr>
    </w:p>
    <w:p>
      <w:pPr>
        <w:ind w:right="3119" w:firstLine="179"/>
        <w:spacing w:after="0" w:line="253"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shareholder" means the beneficial owner of shares held in a voting trust or by a nominee as the record shareholder.</w:t>
      </w:r>
    </w:p>
    <w:p>
      <w:pPr>
        <w:spacing w:after="0" w:line="174" w:lineRule="exact"/>
        <w:rPr>
          <w:rFonts w:ascii="Courier New" w:cs="Courier New" w:eastAsia="Courier New" w:hAnsi="Courier New"/>
          <w:sz w:val="15"/>
          <w:szCs w:val="15"/>
          <w:color w:val="auto"/>
        </w:rPr>
      </w:pPr>
    </w:p>
    <w:p>
      <w:pPr>
        <w:ind w:right="3119" w:firstLine="179"/>
        <w:spacing w:after="0" w:line="252"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means the issuer of the shares held by a dissenter before the corporate action, or the surviving or acquiring domestic or foreign corporation, by merger or share exchange of that issuer.</w:t>
      </w:r>
    </w:p>
    <w:p>
      <w:pPr>
        <w:spacing w:after="0" w:line="174" w:lineRule="exact"/>
        <w:rPr>
          <w:rFonts w:ascii="Courier New" w:cs="Courier New" w:eastAsia="Courier New" w:hAnsi="Courier New"/>
          <w:sz w:val="15"/>
          <w:szCs w:val="15"/>
          <w:color w:val="auto"/>
        </w:rPr>
      </w:pPr>
    </w:p>
    <w:p>
      <w:pPr>
        <w:ind w:right="3219" w:firstLine="179"/>
        <w:spacing w:after="0" w:line="252"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"Dissenter" means a shareholder who is entitled to dissent from corporate action under section 7-113-102 and who exercises that right at the time and in the manner required by part 2 of this article.</w:t>
      </w:r>
    </w:p>
    <w:p>
      <w:pPr>
        <w:spacing w:after="0" w:line="174" w:lineRule="exact"/>
        <w:rPr>
          <w:rFonts w:ascii="Courier New" w:cs="Courier New" w:eastAsia="Courier New" w:hAnsi="Courier New"/>
          <w:sz w:val="15"/>
          <w:szCs w:val="15"/>
          <w:color w:val="auto"/>
        </w:rPr>
      </w:pPr>
    </w:p>
    <w:p>
      <w:pPr>
        <w:ind w:right="3019" w:firstLine="179"/>
        <w:spacing w:after="0" w:line="251"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with respect to a dissenter's shares, means the value of the shares immediately before the effective date of the corporate action to which the dissenter objects, excluding any appreciation or depreciation in anticipation of the corporate action except to the extent that exclusion would be inequitable.</w:t>
      </w:r>
    </w:p>
    <w:p>
      <w:pPr>
        <w:spacing w:after="0" w:line="176" w:lineRule="exact"/>
        <w:rPr>
          <w:rFonts w:ascii="Courier New" w:cs="Courier New" w:eastAsia="Courier New" w:hAnsi="Courier New"/>
          <w:sz w:val="15"/>
          <w:szCs w:val="15"/>
          <w:color w:val="auto"/>
        </w:rPr>
      </w:pPr>
    </w:p>
    <w:p>
      <w:pPr>
        <w:ind w:right="3299" w:firstLine="179"/>
        <w:spacing w:after="0" w:line="251"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means interest from the effective date of the corporate action until the date of payment, at the average rate currently paid by the corporation on its principal bank loans or, if none, at the legal rate as specified in section 5-12-101, C.R.S.</w:t>
      </w:r>
    </w:p>
    <w:p>
      <w:pPr>
        <w:spacing w:after="0" w:line="176" w:lineRule="exact"/>
        <w:rPr>
          <w:rFonts w:ascii="Courier New" w:cs="Courier New" w:eastAsia="Courier New" w:hAnsi="Courier New"/>
          <w:sz w:val="15"/>
          <w:szCs w:val="15"/>
          <w:color w:val="auto"/>
        </w:rPr>
      </w:pPr>
    </w:p>
    <w:p>
      <w:pPr>
        <w:ind w:right="3019" w:firstLine="179"/>
        <w:spacing w:after="0" w:line="252"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shareholder" means the person in whose name shares are registered in the records of a corporation or the beneficial owner of shares that are registered in the name of a nominee to the extent such owner is recognized by the corporation as the shareholder as provided in section 7-107-204.</w:t>
      </w:r>
    </w:p>
    <w:p>
      <w:pPr>
        <w:spacing w:after="0" w:line="350" w:lineRule="exact"/>
        <w:rPr>
          <w:rFonts w:ascii="Courier New" w:cs="Courier New" w:eastAsia="Courier New" w:hAnsi="Courier New"/>
          <w:sz w:val="15"/>
          <w:szCs w:val="15"/>
          <w:color w:val="auto"/>
        </w:rPr>
      </w:pPr>
    </w:p>
    <w:p>
      <w:pPr>
        <w:ind w:right="3859" w:firstLine="179"/>
        <w:spacing w:after="0" w:line="253" w:lineRule="auto"/>
        <w:tabs>
          <w:tab w:leader="none" w:pos="55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means either a record shareholder or a beneficial shareholder.</w:t>
      </w:r>
    </w:p>
    <w:p>
      <w:pPr>
        <w:spacing w:after="0" w:line="174"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7-113-102 Right to Dissent.--(1) A shareholder, whether or not entitled to vote, is entitled to dissent and obtain payment of the fair value of his or her shares in the event of any of the following corporate actions:</w:t>
      </w:r>
    </w:p>
    <w:p>
      <w:pPr>
        <w:spacing w:after="0" w:line="175" w:lineRule="exact"/>
        <w:rPr>
          <w:sz w:val="20"/>
          <w:szCs w:val="20"/>
          <w:color w:val="auto"/>
        </w:rPr>
      </w:pPr>
    </w:p>
    <w:p>
      <w:pPr>
        <w:ind w:left="740" w:hanging="376"/>
        <w:spacing w:after="0"/>
        <w:tabs>
          <w:tab w:leader="none" w:pos="74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plan of merger to which the corporation is a party</w:t>
      </w:r>
    </w:p>
    <w:p>
      <w:pPr>
        <w:spacing w:after="0" w:line="7"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84" w:lineRule="exact"/>
        <w:rPr>
          <w:rFonts w:ascii="Courier New" w:cs="Courier New" w:eastAsia="Courier New" w:hAnsi="Courier New"/>
          <w:sz w:val="15"/>
          <w:szCs w:val="15"/>
          <w:color w:val="auto"/>
        </w:rPr>
      </w:pPr>
    </w:p>
    <w:p>
      <w:pPr>
        <w:ind w:left="360" w:right="3399" w:firstLine="188"/>
        <w:spacing w:after="0" w:line="252" w:lineRule="auto"/>
        <w:tabs>
          <w:tab w:leader="none" w:pos="914"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that corporation is required for the merger by section 7-111-103 or 7-111-104 or by the articles of incorporation, or</w:t>
      </w:r>
    </w:p>
    <w:p>
      <w:pPr>
        <w:spacing w:after="0" w:line="175" w:lineRule="exact"/>
        <w:rPr>
          <w:sz w:val="20"/>
          <w:szCs w:val="20"/>
          <w:color w:val="auto"/>
        </w:rPr>
      </w:pPr>
    </w:p>
    <w:p>
      <w:pPr>
        <w:ind w:left="360" w:right="3479" w:firstLine="188"/>
        <w:spacing w:after="0" w:line="253" w:lineRule="auto"/>
        <w:tabs>
          <w:tab w:leader="none" w:pos="1006"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a subsidiary that is merged with its parent corporation under section 7-111-104;</w:t>
      </w:r>
    </w:p>
    <w:p>
      <w:pPr>
        <w:spacing w:after="0" w:line="174" w:lineRule="exact"/>
        <w:rPr>
          <w:rFonts w:ascii="Courier New" w:cs="Courier New" w:eastAsia="Courier New" w:hAnsi="Courier New"/>
          <w:sz w:val="15"/>
          <w:szCs w:val="15"/>
          <w:color w:val="auto"/>
        </w:rPr>
      </w:pPr>
    </w:p>
    <w:p>
      <w:pPr>
        <w:ind w:left="180" w:right="3219" w:firstLine="184"/>
        <w:spacing w:after="0" w:line="253" w:lineRule="auto"/>
        <w:tabs>
          <w:tab w:leader="none" w:pos="73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plan of share exchange to which the corporation is a party as the corporation whose shares will be acquired;</w:t>
      </w:r>
    </w:p>
    <w:p>
      <w:pPr>
        <w:spacing w:after="0" w:line="174" w:lineRule="exact"/>
        <w:rPr>
          <w:rFonts w:ascii="Courier New" w:cs="Courier New" w:eastAsia="Courier New" w:hAnsi="Courier New"/>
          <w:sz w:val="15"/>
          <w:szCs w:val="15"/>
          <w:color w:val="auto"/>
        </w:rPr>
      </w:pPr>
    </w:p>
    <w:p>
      <w:pPr>
        <w:ind w:left="180" w:right="3119" w:firstLine="184"/>
        <w:spacing w:after="0" w:line="252" w:lineRule="auto"/>
        <w:tabs>
          <w:tab w:leader="none" w:pos="73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sale, lease, exchange, or other disposition of all, or substantially all, of the property of the corporation for which a shareholder vote is required under section 7-112-102(1); and</w:t>
      </w:r>
    </w:p>
    <w:p>
      <w:pPr>
        <w:spacing w:after="0" w:line="174" w:lineRule="exact"/>
        <w:rPr>
          <w:rFonts w:ascii="Courier New" w:cs="Courier New" w:eastAsia="Courier New" w:hAnsi="Courier New"/>
          <w:sz w:val="15"/>
          <w:szCs w:val="15"/>
          <w:color w:val="auto"/>
        </w:rPr>
      </w:pPr>
    </w:p>
    <w:p>
      <w:pPr>
        <w:ind w:left="180" w:right="3119" w:firstLine="184"/>
        <w:spacing w:after="0" w:line="251" w:lineRule="auto"/>
        <w:tabs>
          <w:tab w:leader="none" w:pos="734"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sale, lease, exchange, or other disposition of all, or substantially all, of the property of an entity controlled by the corporation if the shareholders of the corporation were entitled to vote upon the consent of the corporation to the disposition pursuant to section 7-112-102(2).</w:t>
      </w:r>
    </w:p>
    <w:p>
      <w:pPr>
        <w:spacing w:after="0" w:line="176" w:lineRule="exact"/>
        <w:rPr>
          <w:rFonts w:ascii="Courier New" w:cs="Courier New" w:eastAsia="Courier New" w:hAnsi="Courier New"/>
          <w:sz w:val="15"/>
          <w:szCs w:val="15"/>
          <w:color w:val="auto"/>
        </w:rPr>
      </w:pPr>
    </w:p>
    <w:p>
      <w:pPr>
        <w:ind w:right="3119" w:firstLine="179"/>
        <w:spacing w:after="0" w:line="252" w:lineRule="auto"/>
        <w:tabs>
          <w:tab w:leader="none" w:pos="55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whether or not entitled to vote, is entitled to dissent and obtain payment of the fair value of the shareholder's shares in the event 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650" w:right="1440" w:bottom="1440" w:gutter="0" w:footer="0" w:header="0"/>
        </w:sectPr>
      </w:pPr>
    </w:p>
    <w:bookmarkStart w:id="151" w:name="page152"/>
    <w:bookmarkEnd w:id="151"/>
    <w:p>
      <w:pPr>
        <w:ind w:left="180" w:right="3479" w:firstLine="184"/>
        <w:spacing w:after="0" w:line="253" w:lineRule="auto"/>
        <w:tabs>
          <w:tab w:leader="none" w:pos="734"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the articles of incorporation that materially and adversely affects rights in respect of the shares because it:</w:t>
      </w:r>
    </w:p>
    <w:p>
      <w:pPr>
        <w:spacing w:after="0" w:line="174" w:lineRule="exact"/>
        <w:rPr>
          <w:rFonts w:ascii="Courier New" w:cs="Courier New" w:eastAsia="Courier New" w:hAnsi="Courier New"/>
          <w:sz w:val="15"/>
          <w:szCs w:val="15"/>
          <w:color w:val="auto"/>
        </w:rPr>
      </w:pPr>
    </w:p>
    <w:p>
      <w:pPr>
        <w:ind w:left="920" w:hanging="372"/>
        <w:spacing w:after="0"/>
        <w:tabs>
          <w:tab w:leader="none" w:pos="920"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preferential right of the shares; or</w:t>
      </w:r>
    </w:p>
    <w:p>
      <w:pPr>
        <w:spacing w:after="0" w:line="185" w:lineRule="exact"/>
        <w:rPr>
          <w:sz w:val="20"/>
          <w:szCs w:val="20"/>
          <w:color w:val="auto"/>
        </w:rPr>
      </w:pPr>
    </w:p>
    <w:p>
      <w:pPr>
        <w:ind w:left="360" w:right="3479" w:firstLine="188"/>
        <w:spacing w:after="0" w:line="252" w:lineRule="auto"/>
        <w:tabs>
          <w:tab w:leader="none" w:pos="1006"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Creates, alters, or abolishes a right in respect of redemption of the shares, including a provision respecting a sinking fund for their redemption or repurchase; or</w:t>
      </w:r>
    </w:p>
    <w:p>
      <w:pPr>
        <w:spacing w:after="0" w:line="174" w:lineRule="exact"/>
        <w:rPr>
          <w:rFonts w:ascii="Courier New" w:cs="Courier New" w:eastAsia="Courier New" w:hAnsi="Courier New"/>
          <w:sz w:val="15"/>
          <w:szCs w:val="15"/>
          <w:color w:val="auto"/>
        </w:rPr>
      </w:pPr>
    </w:p>
    <w:p>
      <w:pPr>
        <w:ind w:left="180" w:right="3219" w:firstLine="184"/>
        <w:spacing w:after="0" w:line="253" w:lineRule="auto"/>
        <w:tabs>
          <w:tab w:leader="none" w:pos="73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the articles of incorporation that affects rights in respect of the shares because it:</w:t>
      </w:r>
    </w:p>
    <w:p>
      <w:pPr>
        <w:spacing w:after="0" w:line="174" w:lineRule="exact"/>
        <w:rPr>
          <w:rFonts w:ascii="Courier New" w:cs="Courier New" w:eastAsia="Courier New" w:hAnsi="Courier New"/>
          <w:sz w:val="15"/>
          <w:szCs w:val="15"/>
          <w:color w:val="auto"/>
        </w:rPr>
      </w:pPr>
    </w:p>
    <w:p>
      <w:pPr>
        <w:ind w:left="360" w:right="3299" w:firstLine="188"/>
        <w:spacing w:after="0" w:line="252" w:lineRule="auto"/>
        <w:tabs>
          <w:tab w:leader="none" w:pos="914"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or limits the right of the shares to vote on any matter, or to cumulate votes, other than a limitation by dilution through issuance of shares or other securities with similar voting rights; or</w:t>
      </w:r>
    </w:p>
    <w:p>
      <w:pPr>
        <w:spacing w:after="0" w:line="175" w:lineRule="exact"/>
        <w:rPr>
          <w:sz w:val="20"/>
          <w:szCs w:val="20"/>
          <w:color w:val="auto"/>
        </w:rPr>
      </w:pPr>
    </w:p>
    <w:p>
      <w:pPr>
        <w:ind w:left="360" w:right="3479" w:firstLine="188"/>
        <w:spacing w:after="0" w:line="251" w:lineRule="auto"/>
        <w:tabs>
          <w:tab w:leader="none" w:pos="1006"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the number of shares owned by the shareholder to a fraction of a share or to scrip if the fractional share or scrip so created is to be acquired for cash or the scrip is to be voided under section 7-106-104.</w:t>
      </w:r>
    </w:p>
    <w:p>
      <w:pPr>
        <w:spacing w:after="0" w:line="176" w:lineRule="exact"/>
        <w:rPr>
          <w:rFonts w:ascii="Courier New" w:cs="Courier New" w:eastAsia="Courier New" w:hAnsi="Courier New"/>
          <w:sz w:val="15"/>
          <w:szCs w:val="15"/>
          <w:color w:val="auto"/>
        </w:rPr>
      </w:pPr>
    </w:p>
    <w:p>
      <w:pPr>
        <w:jc w:val="both"/>
        <w:ind w:left="180" w:right="3299" w:firstLine="184"/>
        <w:spacing w:after="0" w:line="251" w:lineRule="auto"/>
        <w:tabs>
          <w:tab w:leader="none" w:pos="73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is entitled to dissent and obtain payment of the fair value of the shareholder's shares in the event of any corporate action to the extent provided by the bylaws or a resolution of the board of directors.</w:t>
      </w:r>
    </w:p>
    <w:p>
      <w:pPr>
        <w:spacing w:after="0" w:line="176" w:lineRule="exact"/>
        <w:rPr>
          <w:rFonts w:ascii="Courier New" w:cs="Courier New" w:eastAsia="Courier New" w:hAnsi="Courier New"/>
          <w:sz w:val="15"/>
          <w:szCs w:val="15"/>
          <w:color w:val="auto"/>
        </w:rPr>
      </w:pPr>
    </w:p>
    <w:p>
      <w:pPr>
        <w:ind w:left="180" w:right="3479" w:firstLine="184"/>
        <w:spacing w:after="0" w:line="251" w:lineRule="auto"/>
        <w:tabs>
          <w:tab w:leader="none" w:pos="73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entitled to dissent and obtain payment for the shareholder's shares under this article may not challenge the corporate action creating such entitlement unless the action is unlawful or fraudulent with respect to the shareholder or the corporation.</w:t>
      </w:r>
    </w:p>
    <w:p>
      <w:pPr>
        <w:spacing w:after="0" w:line="176"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7-113-103 Dissent by Nominees and Beneficial Owners. -- (1) A record shareholder may assert dissenters' rights as to fewer than all the shares registered in the record shareholder's name only if the record shareholder dissents with respect to all shares beneficially owned by any one person and causes the corporation to receive written notice which states such dissent and the name, address, and federal taxpayer identification number, if any, of each person on whose behalf the record shareholder asserts dissenters' rights. The rights of a record shareholder under this subsection (1) are determined as if the shares as to which the record shareholder dissents and the other shares of the record shareholder were registered in the names of different shareholders.</w:t>
      </w:r>
    </w:p>
    <w:p>
      <w:pPr>
        <w:spacing w:after="0" w:line="182" w:lineRule="exact"/>
        <w:rPr>
          <w:sz w:val="20"/>
          <w:szCs w:val="20"/>
          <w:color w:val="auto"/>
        </w:rPr>
      </w:pPr>
    </w:p>
    <w:p>
      <w:pPr>
        <w:ind w:right="3119" w:firstLine="179"/>
        <w:spacing w:after="0" w:line="253" w:lineRule="auto"/>
        <w:tabs>
          <w:tab w:leader="none" w:pos="55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beneficial shareholder may assert dissenters' rights as to the shares held on the beneficial shareholder's behalf only if:</w:t>
      </w:r>
    </w:p>
    <w:p>
      <w:pPr>
        <w:spacing w:after="0" w:line="174" w:lineRule="exact"/>
        <w:rPr>
          <w:rFonts w:ascii="Courier New" w:cs="Courier New" w:eastAsia="Courier New" w:hAnsi="Courier New"/>
          <w:sz w:val="15"/>
          <w:szCs w:val="15"/>
          <w:color w:val="auto"/>
        </w:rPr>
      </w:pPr>
    </w:p>
    <w:p>
      <w:pPr>
        <w:ind w:left="180" w:right="3119" w:firstLine="184"/>
        <w:spacing w:after="0" w:line="252" w:lineRule="auto"/>
        <w:tabs>
          <w:tab w:leader="none" w:pos="73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shareholder causes the corporation to receive the record shareholder's written consent to the dissent not later than the time the beneficial shareholder asserts dissenters' rights; and</w:t>
      </w:r>
    </w:p>
    <w:p>
      <w:pPr>
        <w:spacing w:after="0" w:line="174" w:lineRule="exact"/>
        <w:rPr>
          <w:rFonts w:ascii="Courier New" w:cs="Courier New" w:eastAsia="Courier New" w:hAnsi="Courier New"/>
          <w:sz w:val="15"/>
          <w:szCs w:val="15"/>
          <w:color w:val="auto"/>
        </w:rPr>
      </w:pPr>
    </w:p>
    <w:p>
      <w:pPr>
        <w:ind w:left="180" w:right="3759" w:firstLine="184"/>
        <w:spacing w:after="0" w:line="253" w:lineRule="auto"/>
        <w:tabs>
          <w:tab w:leader="none" w:pos="734"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beneficial shareholder dissents with respect to all shares beneficially owned by the beneficial shareholder.</w:t>
      </w:r>
    </w:p>
    <w:p>
      <w:pPr>
        <w:spacing w:after="0" w:line="174" w:lineRule="exact"/>
        <w:rPr>
          <w:rFonts w:ascii="Courier New" w:cs="Courier New" w:eastAsia="Courier New" w:hAnsi="Courier New"/>
          <w:sz w:val="15"/>
          <w:szCs w:val="15"/>
          <w:color w:val="auto"/>
        </w:rPr>
      </w:pPr>
    </w:p>
    <w:p>
      <w:pPr>
        <w:ind w:right="3019" w:firstLine="179"/>
        <w:spacing w:after="0" w:line="251" w:lineRule="auto"/>
        <w:tabs>
          <w:tab w:leader="none" w:pos="55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require that, when a record shareholder dissents with respect to the shares held by any one or more beneficial shareholders, each such beneficial shareholder must certify to the corporation that the beneficial shareholder and the record shareholder or record shareholders of all shares owned beneficially by the beneficial shareholder have asserted, or will timely assert, dissenters' rights as to all such shares as to which there is no limitation on the ability to exercise dissenters' rights. Any such requirement shall be stated in the dissenters' notice given pursuant to section 7-113-203.</w:t>
      </w:r>
    </w:p>
    <w:p>
      <w:pPr>
        <w:spacing w:after="0" w:line="35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2</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PROCEDURE FOR EXERCISE OF DISSENTERS' RIGHTS</w:t>
      </w:r>
    </w:p>
    <w:p>
      <w:pPr>
        <w:spacing w:after="0" w:line="18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7-113-201 Notice of Dissenters' Rights. -- (1) If a proposed corporate action creating dissenters' rights under section 7-113-102 is submitted to a vote at a shareholders' meeting, the notice of the meeting shall be given to all shareholders, whether or not entitled to vote. The notice shall state that shareholders are or may be entitled to assert dissenters' rights under this article and shall be accompanied by a copy of this article and</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650" w:right="1440" w:bottom="1440" w:gutter="0" w:footer="0" w:header="0"/>
        </w:sectPr>
      </w:pPr>
    </w:p>
    <w:bookmarkStart w:id="152" w:name="page153"/>
    <w:bookmarkEnd w:id="152"/>
    <w:p>
      <w:pPr>
        <w:ind w:left="5" w:right="3219"/>
        <w:spacing w:after="0" w:line="251" w:lineRule="auto"/>
        <w:rPr>
          <w:sz w:val="20"/>
          <w:szCs w:val="20"/>
          <w:color w:val="auto"/>
        </w:rPr>
      </w:pPr>
      <w:r>
        <w:rPr>
          <w:rFonts w:ascii="Courier New" w:cs="Courier New" w:eastAsia="Courier New" w:hAnsi="Courier New"/>
          <w:sz w:val="15"/>
          <w:szCs w:val="15"/>
          <w:color w:val="auto"/>
        </w:rPr>
        <w:t>the materials, if any, that, under articles 101 to 117 of this title, are required to be given to shareholders entitled to vote on the proposed action at the meeting. Failure to give notice as provided by this subsection (1) to shareholders not entitled to vote shall not affect any action taken at the shareholders' meeting for which the notice was to have been given.</w:t>
      </w:r>
    </w:p>
    <w:p>
      <w:pPr>
        <w:spacing w:after="0" w:line="176" w:lineRule="exact"/>
        <w:rPr>
          <w:sz w:val="20"/>
          <w:szCs w:val="20"/>
          <w:color w:val="auto"/>
        </w:rPr>
      </w:pPr>
    </w:p>
    <w:p>
      <w:pPr>
        <w:ind w:left="5" w:right="3019" w:firstLine="179"/>
        <w:spacing w:after="0" w:line="250" w:lineRule="auto"/>
        <w:tabs>
          <w:tab w:leader="none" w:pos="559"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corporate action creating dissenters' rights under section 7-113-102 is authorized without a meeting of shareholders pursuant to section 7-107-104, any written or oral solicitation of a shareholder to execute a writing consenting to such action contemplated in section 7-107-104 shall be accompanied or preceded by a written notice stating that shareholders are or may be entitled to assert dissenters' rights under this article, by a copy of this article, and by the materials, if any, that, under articles 101 to 117 of this title, would have been required to be given to shareholders entitled to vote on the proposed action if the proposed action were submitted to a vote at a shareholders' meeting. Failure to give notice as provided by this subsection</w:t>
      </w:r>
    </w:p>
    <w:p>
      <w:pPr>
        <w:spacing w:after="0" w:line="4" w:lineRule="exact"/>
        <w:rPr>
          <w:rFonts w:ascii="Courier New" w:cs="Courier New" w:eastAsia="Courier New" w:hAnsi="Courier New"/>
          <w:sz w:val="15"/>
          <w:szCs w:val="15"/>
          <w:color w:val="auto"/>
        </w:rPr>
      </w:pPr>
    </w:p>
    <w:p>
      <w:pPr>
        <w:jc w:val="both"/>
        <w:ind w:left="5" w:right="3399" w:hanging="5"/>
        <w:spacing w:after="0" w:line="253" w:lineRule="auto"/>
        <w:tabs>
          <w:tab w:leader="none" w:pos="37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shareholders not entitled to vote shall not affect any action taken pursuant to section 7-107-104 for which the notice was to have been given.</w:t>
      </w:r>
    </w:p>
    <w:p>
      <w:pPr>
        <w:spacing w:after="0" w:line="174"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7-113-202 Notice of Intent to Demand Payment. -- (1) If a proposed corporate action creating dissenters' rights under section 7-113-102 is submitted to a vote at a shareholders' meeting, a shareholder who wishes to assert dissenters' rights shall:</w:t>
      </w:r>
    </w:p>
    <w:p>
      <w:pPr>
        <w:spacing w:after="0" w:line="176" w:lineRule="exact"/>
        <w:rPr>
          <w:sz w:val="20"/>
          <w:szCs w:val="20"/>
          <w:color w:val="auto"/>
        </w:rPr>
      </w:pPr>
    </w:p>
    <w:p>
      <w:pPr>
        <w:ind w:left="185" w:right="3299" w:firstLine="184"/>
        <w:spacing w:after="0" w:line="252" w:lineRule="auto"/>
        <w:tabs>
          <w:tab w:leader="none" w:pos="739"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corporation to receive, before the vote is taken, written notice of the shareholder's intention to demand payment for the shareholder's shares if the proposed corporate action is effectuated; and</w:t>
      </w:r>
    </w:p>
    <w:p>
      <w:pPr>
        <w:spacing w:after="0" w:line="174" w:lineRule="exact"/>
        <w:rPr>
          <w:rFonts w:ascii="Courier New" w:cs="Courier New" w:eastAsia="Courier New" w:hAnsi="Courier New"/>
          <w:sz w:val="15"/>
          <w:szCs w:val="15"/>
          <w:color w:val="auto"/>
        </w:rPr>
      </w:pPr>
    </w:p>
    <w:p>
      <w:pPr>
        <w:ind w:left="745" w:hanging="376"/>
        <w:spacing w:after="0"/>
        <w:tabs>
          <w:tab w:leader="none" w:pos="745"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 the shares in favor of the proposed corporate action.</w:t>
      </w:r>
    </w:p>
    <w:p>
      <w:pPr>
        <w:spacing w:after="0" w:line="184" w:lineRule="exact"/>
        <w:rPr>
          <w:rFonts w:ascii="Courier New" w:cs="Courier New" w:eastAsia="Courier New" w:hAnsi="Courier New"/>
          <w:sz w:val="15"/>
          <w:szCs w:val="15"/>
          <w:color w:val="auto"/>
        </w:rPr>
      </w:pPr>
    </w:p>
    <w:p>
      <w:pPr>
        <w:ind w:left="5" w:right="3019" w:firstLine="179"/>
        <w:spacing w:after="0" w:line="251" w:lineRule="auto"/>
        <w:tabs>
          <w:tab w:leader="none" w:pos="55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corporate action creating dissenters' rights under section 7-113-102 is authorized without a meeting of shareholders pursuant to section 7-107-104, a shareholder who wishes to assert dissenters' rights shall not execute a writing consenting to the proposed corporate action.</w:t>
      </w:r>
    </w:p>
    <w:p>
      <w:pPr>
        <w:spacing w:after="0" w:line="176" w:lineRule="exact"/>
        <w:rPr>
          <w:rFonts w:ascii="Courier New" w:cs="Courier New" w:eastAsia="Courier New" w:hAnsi="Courier New"/>
          <w:sz w:val="15"/>
          <w:szCs w:val="15"/>
          <w:color w:val="auto"/>
        </w:rPr>
      </w:pPr>
    </w:p>
    <w:p>
      <w:pPr>
        <w:ind w:left="545" w:hanging="361"/>
        <w:spacing w:after="0"/>
        <w:tabs>
          <w:tab w:leader="none" w:pos="545"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who does not satisfy the requirements of subsection (1) or</w:t>
      </w:r>
    </w:p>
    <w:p>
      <w:pPr>
        <w:spacing w:after="0" w:line="7" w:lineRule="exact"/>
        <w:rPr>
          <w:rFonts w:ascii="Courier New" w:cs="Courier New" w:eastAsia="Courier New" w:hAnsi="Courier New"/>
          <w:sz w:val="15"/>
          <w:szCs w:val="15"/>
          <w:color w:val="auto"/>
        </w:rPr>
      </w:pPr>
    </w:p>
    <w:p>
      <w:pPr>
        <w:ind w:left="5" w:right="3299" w:hanging="5"/>
        <w:spacing w:after="0" w:line="253" w:lineRule="auto"/>
        <w:tabs>
          <w:tab w:leader="none" w:pos="375"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not entitled to demand payment for the shareholder's shares under this article.</w:t>
      </w:r>
    </w:p>
    <w:p>
      <w:pPr>
        <w:spacing w:after="0" w:line="174"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7-113-203 Dissenters' Notice. -- (1) If a proposed corporate action creating dissenters' rights under section 7-113-102 is authorized, the corporation shall give a written dissenters' notice to all shareholders who are entitled to demand payment for their shares under this article.</w:t>
      </w:r>
    </w:p>
    <w:p>
      <w:pPr>
        <w:spacing w:after="0" w:line="176" w:lineRule="exact"/>
        <w:rPr>
          <w:sz w:val="20"/>
          <w:szCs w:val="20"/>
          <w:color w:val="auto"/>
        </w:rPr>
      </w:pPr>
    </w:p>
    <w:p>
      <w:pPr>
        <w:ind w:left="5" w:right="3119" w:firstLine="179"/>
        <w:spacing w:after="0" w:line="252" w:lineRule="auto"/>
        <w:tabs>
          <w:tab w:leader="none" w:pos="559"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dissenters' notice required by subsection (1) of this section shall be given no later than ten days after the effective date of the corporate action creating dissenters' rights under section 7-113-102 and shall:</w:t>
      </w:r>
    </w:p>
    <w:p>
      <w:pPr>
        <w:spacing w:after="0" w:line="174" w:lineRule="exact"/>
        <w:rPr>
          <w:rFonts w:ascii="Courier New" w:cs="Courier New" w:eastAsia="Courier New" w:hAnsi="Courier New"/>
          <w:sz w:val="15"/>
          <w:szCs w:val="15"/>
          <w:color w:val="auto"/>
        </w:rPr>
      </w:pPr>
    </w:p>
    <w:p>
      <w:pPr>
        <w:jc w:val="both"/>
        <w:ind w:left="185" w:right="3959" w:firstLine="184"/>
        <w:spacing w:after="0" w:line="253"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that the corporate action was authorized and state the effective date or proposed effective date of the corporate action;</w:t>
      </w:r>
    </w:p>
    <w:p>
      <w:pPr>
        <w:spacing w:after="0" w:line="174" w:lineRule="exact"/>
        <w:rPr>
          <w:rFonts w:ascii="Courier New" w:cs="Courier New" w:eastAsia="Courier New" w:hAnsi="Courier New"/>
          <w:sz w:val="15"/>
          <w:szCs w:val="15"/>
          <w:color w:val="auto"/>
        </w:rPr>
      </w:pPr>
    </w:p>
    <w:p>
      <w:pPr>
        <w:ind w:left="185" w:right="3579" w:firstLine="184"/>
        <w:spacing w:after="0" w:line="252"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an address at which the corporation will receive payment demands and the address of a place where certificates for certificated shares must be deposited;</w:t>
      </w:r>
    </w:p>
    <w:p>
      <w:pPr>
        <w:spacing w:after="0" w:line="174" w:lineRule="exact"/>
        <w:rPr>
          <w:rFonts w:ascii="Courier New" w:cs="Courier New" w:eastAsia="Courier New" w:hAnsi="Courier New"/>
          <w:sz w:val="15"/>
          <w:szCs w:val="15"/>
          <w:color w:val="auto"/>
        </w:rPr>
      </w:pPr>
    </w:p>
    <w:p>
      <w:pPr>
        <w:ind w:left="185" w:right="3399" w:firstLine="184"/>
        <w:spacing w:after="0" w:line="253"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 holders of uncertificated shares to what extent transfer of the shares will be restricted after the payment demand is received;</w:t>
      </w:r>
    </w:p>
    <w:p>
      <w:pPr>
        <w:spacing w:after="0" w:line="174" w:lineRule="exact"/>
        <w:rPr>
          <w:rFonts w:ascii="Courier New" w:cs="Courier New" w:eastAsia="Courier New" w:hAnsi="Courier New"/>
          <w:sz w:val="15"/>
          <w:szCs w:val="15"/>
          <w:color w:val="auto"/>
        </w:rPr>
      </w:pPr>
    </w:p>
    <w:p>
      <w:pPr>
        <w:ind w:left="185" w:right="3679" w:firstLine="184"/>
        <w:spacing w:after="0" w:line="253"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 form for demanding payment, which form shall request a dissenter to state an address to which payment is to be made;</w:t>
      </w:r>
    </w:p>
    <w:p>
      <w:pPr>
        <w:spacing w:after="0" w:line="174" w:lineRule="exact"/>
        <w:rPr>
          <w:rFonts w:ascii="Courier New" w:cs="Courier New" w:eastAsia="Courier New" w:hAnsi="Courier New"/>
          <w:sz w:val="15"/>
          <w:szCs w:val="15"/>
          <w:color w:val="auto"/>
        </w:rPr>
      </w:pPr>
    </w:p>
    <w:p>
      <w:pPr>
        <w:jc w:val="both"/>
        <w:ind w:left="185" w:right="3119" w:firstLine="184"/>
        <w:spacing w:after="0" w:line="251"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the date by which the corporation must receive the payment demand and certificates for certificated shares, which date shall not be less than thirty days after the date the notice required by subsection (1) of this section is given;</w:t>
      </w:r>
    </w:p>
    <w:p>
      <w:pPr>
        <w:spacing w:after="0" w:line="176" w:lineRule="exact"/>
        <w:rPr>
          <w:rFonts w:ascii="Courier New" w:cs="Courier New" w:eastAsia="Courier New" w:hAnsi="Courier New"/>
          <w:sz w:val="15"/>
          <w:szCs w:val="15"/>
          <w:color w:val="auto"/>
        </w:rPr>
      </w:pPr>
    </w:p>
    <w:p>
      <w:pPr>
        <w:ind w:left="185" w:right="3299" w:firstLine="184"/>
        <w:spacing w:after="0" w:line="253" w:lineRule="auto"/>
        <w:tabs>
          <w:tab w:leader="none" w:pos="739"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the requirement contemplated in section 7-113-103(3), if such requirement is imposed; and</w:t>
      </w:r>
    </w:p>
    <w:p>
      <w:pPr>
        <w:spacing w:after="0" w:line="174" w:lineRule="exact"/>
        <w:rPr>
          <w:rFonts w:ascii="Courier New" w:cs="Courier New" w:eastAsia="Courier New" w:hAnsi="Courier New"/>
          <w:sz w:val="15"/>
          <w:szCs w:val="15"/>
          <w:color w:val="auto"/>
        </w:rPr>
      </w:pPr>
    </w:p>
    <w:p>
      <w:pPr>
        <w:ind w:left="745" w:hanging="376"/>
        <w:spacing w:after="0"/>
        <w:tabs>
          <w:tab w:leader="none" w:pos="74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accompanied by a copy of this article.</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25"/>
          </w:cols>
          <w:pgMar w:left="235" w:top="650" w:right="1440" w:bottom="1440" w:gutter="0" w:footer="0" w:header="0"/>
        </w:sectPr>
      </w:pPr>
    </w:p>
    <w:bookmarkStart w:id="153" w:name="page154"/>
    <w:bookmarkEnd w:id="153"/>
    <w:p>
      <w:pPr>
        <w:ind w:right="3219" w:firstLine="185"/>
        <w:spacing w:after="0" w:line="251" w:lineRule="auto"/>
        <w:rPr>
          <w:sz w:val="20"/>
          <w:szCs w:val="20"/>
          <w:color w:val="auto"/>
        </w:rPr>
      </w:pPr>
      <w:r>
        <w:rPr>
          <w:rFonts w:ascii="Courier New" w:cs="Courier New" w:eastAsia="Courier New" w:hAnsi="Courier New"/>
          <w:sz w:val="15"/>
          <w:szCs w:val="15"/>
          <w:color w:val="auto"/>
        </w:rPr>
        <w:t>7-113-204 Procedure to Demand Payment. -- (1) A shareholder who is given a dissenters' notice pursuant to section 7-113-203 and who wishes to assert dissenters' rights shall, in accordance with the terms of the dissenters' notice:</w:t>
      </w:r>
    </w:p>
    <w:p>
      <w:pPr>
        <w:spacing w:after="0" w:line="176" w:lineRule="exact"/>
        <w:rPr>
          <w:sz w:val="20"/>
          <w:szCs w:val="20"/>
          <w:color w:val="auto"/>
        </w:rPr>
      </w:pPr>
    </w:p>
    <w:p>
      <w:pPr>
        <w:ind w:left="180" w:right="3299" w:firstLine="184"/>
        <w:spacing w:after="0" w:line="252" w:lineRule="auto"/>
        <w:tabs>
          <w:tab w:leader="none" w:pos="734"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corporation to receive a payment demand, which may be the payment demand form contemplated in section 7-113-203(2)(d), duly completed, or may be stated in another writing; and</w:t>
      </w:r>
    </w:p>
    <w:p>
      <w:pPr>
        <w:spacing w:after="0" w:line="174" w:lineRule="exact"/>
        <w:rPr>
          <w:rFonts w:ascii="Courier New" w:cs="Courier New" w:eastAsia="Courier New" w:hAnsi="Courier New"/>
          <w:sz w:val="15"/>
          <w:szCs w:val="15"/>
          <w:color w:val="auto"/>
        </w:rPr>
      </w:pPr>
    </w:p>
    <w:p>
      <w:pPr>
        <w:ind w:left="740" w:hanging="376"/>
        <w:spacing w:after="0"/>
        <w:tabs>
          <w:tab w:leader="none" w:pos="74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the shareholder's certificates for certificated shares.</w:t>
      </w:r>
    </w:p>
    <w:p>
      <w:pPr>
        <w:spacing w:after="0" w:line="184" w:lineRule="exact"/>
        <w:rPr>
          <w:rFonts w:ascii="Courier New" w:cs="Courier New" w:eastAsia="Courier New" w:hAnsi="Courier New"/>
          <w:sz w:val="15"/>
          <w:szCs w:val="15"/>
          <w:color w:val="auto"/>
        </w:rPr>
      </w:pPr>
    </w:p>
    <w:p>
      <w:pPr>
        <w:ind w:right="3019" w:firstLine="179"/>
        <w:spacing w:after="0" w:line="251" w:lineRule="auto"/>
        <w:tabs>
          <w:tab w:leader="none" w:pos="55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who demands payment in accordance with subsection (1) of this section retains all rights of a shareholder, except the right to transfer the shares, until the effective date of the proposed corporate action giving rise to the shareholder's exercise of dissenters' rights and has only the right to receive payment for the shares after the effective date of such corporate action.</w:t>
      </w:r>
    </w:p>
    <w:p>
      <w:pPr>
        <w:spacing w:after="0" w:line="175" w:lineRule="exact"/>
        <w:rPr>
          <w:rFonts w:ascii="Courier New" w:cs="Courier New" w:eastAsia="Courier New" w:hAnsi="Courier New"/>
          <w:sz w:val="15"/>
          <w:szCs w:val="15"/>
          <w:color w:val="auto"/>
        </w:rPr>
      </w:pPr>
    </w:p>
    <w:p>
      <w:pPr>
        <w:ind w:right="3219" w:firstLine="179"/>
        <w:spacing w:after="0" w:line="253" w:lineRule="auto"/>
        <w:tabs>
          <w:tab w:leader="none" w:pos="55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7-113-207 or 7-113-209(1)(b), the demand for payment and deposit of certificates are irrevocable.</w:t>
      </w:r>
    </w:p>
    <w:p>
      <w:pPr>
        <w:spacing w:after="0" w:line="174" w:lineRule="exact"/>
        <w:rPr>
          <w:rFonts w:ascii="Courier New" w:cs="Courier New" w:eastAsia="Courier New" w:hAnsi="Courier New"/>
          <w:sz w:val="15"/>
          <w:szCs w:val="15"/>
          <w:color w:val="auto"/>
        </w:rPr>
      </w:pPr>
    </w:p>
    <w:p>
      <w:pPr>
        <w:ind w:right="3119" w:firstLine="179"/>
        <w:spacing w:after="0" w:line="252" w:lineRule="auto"/>
        <w:tabs>
          <w:tab w:leader="none" w:pos="55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who does not demand payment and deposit the shareholder's share certificates as required by the date or dates set in the dissenters' notice is not entitled to payment for the shares under this article.</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7-113-205 Uncertificated Shares. -- (1) Upon receipt of a demand for payment under section 7-113-204 from a shareholder holding uncertificated shares, and in lieu of the deposit of certificates representing the shares, the corporation may restrict the transfer thereof.</w:t>
      </w:r>
    </w:p>
    <w:p>
      <w:pPr>
        <w:spacing w:after="0" w:line="176" w:lineRule="exact"/>
        <w:rPr>
          <w:sz w:val="20"/>
          <w:szCs w:val="20"/>
          <w:color w:val="auto"/>
        </w:rPr>
      </w:pPr>
    </w:p>
    <w:p>
      <w:pPr>
        <w:ind w:right="3479" w:firstLine="179"/>
        <w:spacing w:after="0" w:line="253" w:lineRule="auto"/>
        <w:tabs>
          <w:tab w:leader="none" w:pos="55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respects, the provisions of section 7-113-204 shall be applicable to shareholders who own uncertificated shares.</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7-113-206 Payment. -- (1) Except as provided in section 7-113-208, upon the effective date of the corporate action creating dissenters' rights under section 7-113-102 or upon receipt of a payment demand pursuant to section 7-113-204, whichever is later, the corporation shall pay each dissenter who complied with section 7-113-204, at the address stated in the payment demand, or if no such address is stated in the payment demand, at the address shown on the corporation's current record of shareholders for the record shareholder holding the dissenter's shares, the amount the corporation estimates to be the fair value of the dissenter's shares, plus accrued interest.</w:t>
      </w:r>
    </w:p>
    <w:p>
      <w:pPr>
        <w:spacing w:after="0" w:line="175" w:lineRule="exact"/>
        <w:rPr>
          <w:sz w:val="20"/>
          <w:szCs w:val="20"/>
          <w:color w:val="auto"/>
        </w:rPr>
      </w:pPr>
    </w:p>
    <w:p>
      <w:pPr>
        <w:ind w:right="3399" w:firstLine="179"/>
        <w:spacing w:after="0" w:line="253" w:lineRule="auto"/>
        <w:tabs>
          <w:tab w:leader="none" w:pos="55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made pursuant to subsection (1) of this section shall be accompanied by:</w:t>
      </w:r>
    </w:p>
    <w:p>
      <w:pPr>
        <w:spacing w:after="0" w:line="174" w:lineRule="exact"/>
        <w:rPr>
          <w:rFonts w:ascii="Courier New" w:cs="Courier New" w:eastAsia="Courier New" w:hAnsi="Courier New"/>
          <w:sz w:val="15"/>
          <w:szCs w:val="15"/>
          <w:color w:val="auto"/>
        </w:rPr>
      </w:pPr>
    </w:p>
    <w:p>
      <w:pPr>
        <w:ind w:left="180" w:right="3219" w:firstLine="184"/>
        <w:spacing w:after="0" w:line="250" w:lineRule="auto"/>
        <w:tabs>
          <w:tab w:leader="none" w:pos="734"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balance sheet as of the end of its most recent fiscal year or, if that is not available, the corporation's balance sheet as of the end of a fiscal year ending not more than sixteen months before the date of payment, an income statement for that year, and, if the corporation customarily provides such statements to shareholders, a statement of changes in shareholders' equity for that year and a statement of cash flow for that year, which balance sheet and statements shall have been audited if the corporation customarily provides audited financial statements to shareholders, as well as the latest available financial statements, if any, for the interim or full-year period, which financial statements need not be audited;</w:t>
      </w:r>
    </w:p>
    <w:p>
      <w:pPr>
        <w:spacing w:after="0" w:line="182" w:lineRule="exact"/>
        <w:rPr>
          <w:rFonts w:ascii="Courier New" w:cs="Courier New" w:eastAsia="Courier New" w:hAnsi="Courier New"/>
          <w:sz w:val="15"/>
          <w:szCs w:val="15"/>
          <w:color w:val="auto"/>
        </w:rPr>
      </w:pPr>
    </w:p>
    <w:p>
      <w:pPr>
        <w:ind w:left="180" w:right="3399" w:firstLine="184"/>
        <w:spacing w:after="0" w:line="253" w:lineRule="auto"/>
        <w:tabs>
          <w:tab w:leader="none" w:pos="734"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the corporation's estimate of the fair value of the shares;</w:t>
      </w:r>
    </w:p>
    <w:p>
      <w:pPr>
        <w:spacing w:after="0" w:line="174" w:lineRule="exact"/>
        <w:rPr>
          <w:rFonts w:ascii="Courier New" w:cs="Courier New" w:eastAsia="Courier New" w:hAnsi="Courier New"/>
          <w:sz w:val="15"/>
          <w:szCs w:val="15"/>
          <w:color w:val="auto"/>
        </w:rPr>
      </w:pPr>
    </w:p>
    <w:p>
      <w:pPr>
        <w:ind w:left="740" w:hanging="376"/>
        <w:spacing w:after="0"/>
        <w:tabs>
          <w:tab w:leader="none" w:pos="74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explanation of how the interest was calculated;</w:t>
      </w:r>
    </w:p>
    <w:p>
      <w:pPr>
        <w:spacing w:after="0" w:line="184" w:lineRule="exact"/>
        <w:rPr>
          <w:rFonts w:ascii="Courier New" w:cs="Courier New" w:eastAsia="Courier New" w:hAnsi="Courier New"/>
          <w:sz w:val="15"/>
          <w:szCs w:val="15"/>
          <w:color w:val="auto"/>
        </w:rPr>
      </w:pPr>
    </w:p>
    <w:p>
      <w:pPr>
        <w:ind w:left="180" w:right="3219" w:firstLine="184"/>
        <w:spacing w:after="0" w:line="253" w:lineRule="auto"/>
        <w:tabs>
          <w:tab w:leader="none" w:pos="734"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of the dissenter's right to demand payment under section 7- 113-209; and</w:t>
      </w:r>
    </w:p>
    <w:p>
      <w:pPr>
        <w:spacing w:after="0" w:line="174" w:lineRule="exact"/>
        <w:rPr>
          <w:rFonts w:ascii="Courier New" w:cs="Courier New" w:eastAsia="Courier New" w:hAnsi="Courier New"/>
          <w:sz w:val="15"/>
          <w:szCs w:val="15"/>
          <w:color w:val="auto"/>
        </w:rPr>
      </w:pPr>
    </w:p>
    <w:p>
      <w:pPr>
        <w:ind w:left="740" w:hanging="376"/>
        <w:spacing w:after="0"/>
        <w:tabs>
          <w:tab w:leader="none" w:pos="74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this article.</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19"/>
          </w:cols>
          <w:pgMar w:left="240" w:top="651" w:right="1440" w:bottom="1440" w:gutter="0" w:footer="0" w:header="0"/>
        </w:sectPr>
      </w:pPr>
    </w:p>
    <w:bookmarkStart w:id="154" w:name="page155"/>
    <w:bookmarkEnd w:id="154"/>
    <w:p>
      <w:pPr>
        <w:ind w:left="5" w:right="3119" w:firstLine="185"/>
        <w:spacing w:after="0" w:line="251" w:lineRule="auto"/>
        <w:rPr>
          <w:sz w:val="20"/>
          <w:szCs w:val="20"/>
          <w:color w:val="auto"/>
        </w:rPr>
      </w:pPr>
      <w:r>
        <w:rPr>
          <w:rFonts w:ascii="Courier New" w:cs="Courier New" w:eastAsia="Courier New" w:hAnsi="Courier New"/>
          <w:sz w:val="15"/>
          <w:szCs w:val="15"/>
          <w:color w:val="auto"/>
        </w:rPr>
        <w:t>7-113-207 Failure to Take Action. -- (1) If the effective date of the corporate action creating dissenters' rights under section 7-113-102 does not occur within sixty days after the date set by the corporation by which the corporation must receive the payment demand as provided in section 7-113-203, the corporation shall return the deposited certificates and release the transfer restrictions imposed on uncertificated shares.</w:t>
      </w:r>
    </w:p>
    <w:p>
      <w:pPr>
        <w:spacing w:after="0" w:line="176" w:lineRule="exact"/>
        <w:rPr>
          <w:sz w:val="20"/>
          <w:szCs w:val="20"/>
          <w:color w:val="auto"/>
        </w:rPr>
      </w:pPr>
    </w:p>
    <w:p>
      <w:pPr>
        <w:ind w:left="5" w:right="3019" w:firstLine="179"/>
        <w:spacing w:after="0" w:line="251" w:lineRule="auto"/>
        <w:tabs>
          <w:tab w:leader="none" w:pos="55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effective date of the corporate action creating dissenters' rights under section 7-113-102 occurs more than sixty days after the date set by the corporation by which the corporation must receive the payment demand as provided in section 7-113-203, then the corporation shall send a new dissenters' notice, as provided in section 7-113-203, and the provisions of sections 7-113-204 to 7-113-209 shall again be applicable.</w:t>
      </w:r>
    </w:p>
    <w:p>
      <w:pPr>
        <w:spacing w:after="0" w:line="176"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7-113-208 Special Provisions Relating to Shares Acquired After Announcement of Proposed Corporate Action. -- (1) The corporation may, in or with the dissenters' notice given pursuant to section 7-113-203, state the date of the first announcement to news media or to shareholders of the terms of the proposed corporate action creating dissenters' rights under section 7-113-102 and state that the dissenter shall certify in writing, in or with the dissenter's payment demand under section 7-113-204, whether or not the dissenter (or the person on whose behalf dissenters' rights are asserted) acquired beneficial ownership of the shares before that date. With respect to any dissenter who does not so certify in writing, in or with the payment demand, that the dissenter or the person on whose behalf the dissenter asserts dissenters' rights acquired beneficial ownership of the shares before such date, the corporation may, in lieu of making the payment provided in section</w:t>
      </w:r>
    </w:p>
    <w:p>
      <w:pPr>
        <w:spacing w:after="0" w:line="6"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7-113-206, offer to make such payment if the dissenter agrees to accept it in full satisfaction of the demand.</w:t>
      </w:r>
    </w:p>
    <w:p>
      <w:pPr>
        <w:spacing w:after="0" w:line="174" w:lineRule="exact"/>
        <w:rPr>
          <w:sz w:val="20"/>
          <w:szCs w:val="20"/>
          <w:color w:val="auto"/>
        </w:rPr>
      </w:pPr>
    </w:p>
    <w:p>
      <w:pPr>
        <w:ind w:left="5" w:right="3019" w:firstLine="179"/>
        <w:spacing w:after="0" w:line="253" w:lineRule="auto"/>
        <w:tabs>
          <w:tab w:leader="none" w:pos="55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offer to make payment under subsection (1) of this section shall include or be accompanied by the information required by section 7-113-206(2).</w:t>
      </w:r>
    </w:p>
    <w:p>
      <w:pPr>
        <w:spacing w:after="0" w:line="174"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7-113-209 Procedure if Dissenter is Dissatisfied with Payment or Offer. --</w:t>
      </w:r>
    </w:p>
    <w:p>
      <w:pPr>
        <w:spacing w:after="0" w:line="8" w:lineRule="exact"/>
        <w:rPr>
          <w:sz w:val="20"/>
          <w:szCs w:val="20"/>
          <w:color w:val="auto"/>
        </w:rPr>
      </w:pPr>
    </w:p>
    <w:p>
      <w:pPr>
        <w:ind w:left="5" w:right="3119" w:firstLine="87"/>
        <w:spacing w:after="0" w:line="251" w:lineRule="auto"/>
        <w:tabs>
          <w:tab w:leader="none" w:pos="46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dissenter may give notice to the corporation in writing of the dissenter's estimate of the fair value of the dissenter's shares and of the amount of interest due and may demand payment of such estimate, less any payment made under section 7-113-206, or reject the corporation's offer under section 7-113-208 and demand payment of the fair value of the shares and interest due, if:</w:t>
      </w:r>
    </w:p>
    <w:p>
      <w:pPr>
        <w:spacing w:after="0" w:line="175" w:lineRule="exact"/>
        <w:rPr>
          <w:rFonts w:ascii="Courier New" w:cs="Courier New" w:eastAsia="Courier New" w:hAnsi="Courier New"/>
          <w:sz w:val="15"/>
          <w:szCs w:val="15"/>
          <w:color w:val="auto"/>
        </w:rPr>
      </w:pPr>
    </w:p>
    <w:p>
      <w:pPr>
        <w:ind w:left="185" w:right="3299" w:firstLine="184"/>
        <w:spacing w:after="0" w:line="252" w:lineRule="auto"/>
        <w:tabs>
          <w:tab w:leader="none" w:pos="739"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dissenter believes that the amount paid under section 7-113-206 or offered under section 7-113-208 is less than the fair value of the shares or that the interest due was incorrectly calculated;</w:t>
      </w:r>
    </w:p>
    <w:p>
      <w:pPr>
        <w:spacing w:after="0" w:line="174" w:lineRule="exact"/>
        <w:rPr>
          <w:rFonts w:ascii="Courier New" w:cs="Courier New" w:eastAsia="Courier New" w:hAnsi="Courier New"/>
          <w:sz w:val="15"/>
          <w:szCs w:val="15"/>
          <w:color w:val="auto"/>
        </w:rPr>
      </w:pPr>
    </w:p>
    <w:p>
      <w:pPr>
        <w:ind w:left="185" w:right="3219" w:firstLine="184"/>
        <w:spacing w:after="0" w:line="252" w:lineRule="auto"/>
        <w:tabs>
          <w:tab w:leader="none" w:pos="739"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fails to make payment under section 7-113-206 within sixty days after the date set by the corporation by which the corporation must receive the payment demand; or</w:t>
      </w:r>
    </w:p>
    <w:p>
      <w:pPr>
        <w:spacing w:after="0" w:line="174" w:lineRule="exact"/>
        <w:rPr>
          <w:rFonts w:ascii="Courier New" w:cs="Courier New" w:eastAsia="Courier New" w:hAnsi="Courier New"/>
          <w:sz w:val="15"/>
          <w:szCs w:val="15"/>
          <w:color w:val="auto"/>
        </w:rPr>
      </w:pPr>
    </w:p>
    <w:p>
      <w:pPr>
        <w:ind w:left="185" w:right="3119" w:firstLine="184"/>
        <w:spacing w:after="0" w:line="252" w:lineRule="auto"/>
        <w:tabs>
          <w:tab w:leader="none" w:pos="739"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does not return the deposited certificates or release the transfer restrictions imposed on uncertificated shares as required by section 7-113-207(1).</w:t>
      </w:r>
    </w:p>
    <w:p>
      <w:pPr>
        <w:spacing w:after="0" w:line="174" w:lineRule="exact"/>
        <w:rPr>
          <w:rFonts w:ascii="Courier New" w:cs="Courier New" w:eastAsia="Courier New" w:hAnsi="Courier New"/>
          <w:sz w:val="15"/>
          <w:szCs w:val="15"/>
          <w:color w:val="auto"/>
        </w:rPr>
      </w:pPr>
    </w:p>
    <w:p>
      <w:pPr>
        <w:ind w:left="5" w:right="3019" w:firstLine="179"/>
        <w:spacing w:after="0" w:line="251" w:lineRule="auto"/>
        <w:tabs>
          <w:tab w:leader="none" w:pos="559"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dissenter waives the right to demand payment under this section unless the dissenter causes the corporation to receive the notice required by subsection (1) of this section within thirty days after the corporation made or offered payment for the dissenter's shares.</w:t>
      </w:r>
    </w:p>
    <w:p>
      <w:pPr>
        <w:spacing w:after="0" w:line="176"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PART 3</w:t>
      </w:r>
    </w:p>
    <w:p>
      <w:pPr>
        <w:spacing w:after="0" w:line="185"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JUDICIAL APPRAISAL OF SHARES</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7-113-301 Court Action. -- (1) If a demand for payment under section 7-113-209 remains unresolved, the corporation may, within sixty days after receiving the payment demand, commence a proceeding and petition the court to determine the fair value of the shares and accrued interest. If the corporation does not commence the proceeding within the sixty-day period, it shall pay to each dissenter whose demand remains unresolved the amount demanded.</w:t>
      </w:r>
    </w:p>
    <w:p>
      <w:pPr>
        <w:spacing w:after="0" w:line="176" w:lineRule="exact"/>
        <w:rPr>
          <w:sz w:val="20"/>
          <w:szCs w:val="20"/>
          <w:color w:val="auto"/>
        </w:rPr>
      </w:pPr>
    </w:p>
    <w:p>
      <w:pPr>
        <w:ind w:left="545" w:hanging="361"/>
        <w:spacing w:after="0"/>
        <w:tabs>
          <w:tab w:leader="none" w:pos="545"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commence the proceeding described in subsection</w:t>
      </w:r>
    </w:p>
    <w:p>
      <w:pPr>
        <w:spacing w:after="0" w:line="7" w:lineRule="exact"/>
        <w:rPr>
          <w:rFonts w:ascii="Courier New" w:cs="Courier New" w:eastAsia="Courier New" w:hAnsi="Courier New"/>
          <w:sz w:val="15"/>
          <w:szCs w:val="15"/>
          <w:color w:val="auto"/>
        </w:rPr>
      </w:pPr>
    </w:p>
    <w:p>
      <w:pPr>
        <w:ind w:left="5" w:right="3299" w:hanging="5"/>
        <w:spacing w:after="0" w:line="252" w:lineRule="auto"/>
        <w:tabs>
          <w:tab w:leader="none" w:pos="37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in the district court of the county in this state where the corporation's principal office is located or, if it has no principal office</w:t>
      </w:r>
    </w:p>
    <w:p>
      <w:pPr>
        <w:spacing w:after="0" w:line="17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25"/>
          </w:cols>
          <w:pgMar w:left="235" w:top="650" w:right="1440" w:bottom="1440" w:gutter="0" w:footer="0" w:header="0"/>
        </w:sectPr>
      </w:pPr>
    </w:p>
    <w:bookmarkStart w:id="155" w:name="page156"/>
    <w:bookmarkEnd w:id="155"/>
    <w:p>
      <w:pPr>
        <w:ind w:left="5" w:right="3219"/>
        <w:spacing w:after="0" w:line="251" w:lineRule="auto"/>
        <w:rPr>
          <w:sz w:val="20"/>
          <w:szCs w:val="20"/>
          <w:color w:val="auto"/>
        </w:rPr>
      </w:pPr>
      <w:r>
        <w:rPr>
          <w:rFonts w:ascii="Courier New" w:cs="Courier New" w:eastAsia="Courier New" w:hAnsi="Courier New"/>
          <w:sz w:val="15"/>
          <w:szCs w:val="15"/>
          <w:color w:val="auto"/>
        </w:rPr>
        <w:t>in this state, in the district court of the county in which its registered office is located. If the corporation is a foreign corporation without a registered office in this state, it shall commence the proceeding in the county in this state where the registered office of the domestic corporation merged into, or whose shares were acquired by, the foreign corporation was located.</w:t>
      </w:r>
    </w:p>
    <w:p>
      <w:pPr>
        <w:spacing w:after="0" w:line="176" w:lineRule="exact"/>
        <w:rPr>
          <w:sz w:val="20"/>
          <w:szCs w:val="20"/>
          <w:color w:val="auto"/>
        </w:rPr>
      </w:pPr>
    </w:p>
    <w:p>
      <w:pPr>
        <w:ind w:left="5" w:right="3019" w:firstLine="179"/>
        <w:spacing w:after="0" w:line="251" w:lineRule="auto"/>
        <w:tabs>
          <w:tab w:leader="none" w:pos="55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make all dissenters, whether or not residents of this state, whose demands remain unresolved parties to the proceeding commenced under subsection (2) of this section as in an action against their shares, and all parties shall be served with a copy of the petition. Service on each dissenter shall be by registered or certified mall, to the address stated in such dissenter's payment demand, or if no such address is stated in the payment demand, at the address shown on the corporations current record of shareholders for the record shareholder holding the dissenter's shares, or as provided by law.</w:t>
      </w:r>
    </w:p>
    <w:p>
      <w:pPr>
        <w:spacing w:after="0" w:line="175" w:lineRule="exact"/>
        <w:rPr>
          <w:rFonts w:ascii="Courier New" w:cs="Courier New" w:eastAsia="Courier New" w:hAnsi="Courier New"/>
          <w:sz w:val="15"/>
          <w:szCs w:val="15"/>
          <w:color w:val="auto"/>
        </w:rPr>
      </w:pPr>
    </w:p>
    <w:p>
      <w:pPr>
        <w:ind w:left="5" w:right="3019" w:firstLine="179"/>
        <w:spacing w:after="0" w:line="251" w:lineRule="auto"/>
        <w:tabs>
          <w:tab w:leader="none" w:pos="559"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jurisdiction of the court in which the proceeding is commenced under subsection (2) of this section is plenary and exclusive. The court may appoint one or more persons as appraisers to receive evidence and recommend a decision on the question of fair value. The appraisers have the powers described in the order appointing them, or in any amendment to such order. The parties to the proceeding are entitled to the same discovery rights as parties in other civil proceedings.</w:t>
      </w:r>
    </w:p>
    <w:p>
      <w:pPr>
        <w:spacing w:after="0" w:line="175" w:lineRule="exact"/>
        <w:rPr>
          <w:rFonts w:ascii="Courier New" w:cs="Courier New" w:eastAsia="Courier New" w:hAnsi="Courier New"/>
          <w:sz w:val="15"/>
          <w:szCs w:val="15"/>
          <w:color w:val="auto"/>
        </w:rPr>
      </w:pPr>
    </w:p>
    <w:p>
      <w:pPr>
        <w:ind w:left="545" w:hanging="361"/>
        <w:spacing w:after="0"/>
        <w:tabs>
          <w:tab w:leader="none" w:pos="54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dissenter made a party to the proceeding commenced under subsection</w:t>
      </w:r>
    </w:p>
    <w:p>
      <w:pPr>
        <w:spacing w:after="0" w:line="7" w:lineRule="exact"/>
        <w:rPr>
          <w:rFonts w:ascii="Courier New" w:cs="Courier New" w:eastAsia="Courier New" w:hAnsi="Courier New"/>
          <w:sz w:val="15"/>
          <w:szCs w:val="15"/>
          <w:color w:val="auto"/>
        </w:rPr>
      </w:pPr>
    </w:p>
    <w:p>
      <w:pPr>
        <w:ind w:left="5" w:right="3219" w:hanging="5"/>
        <w:spacing w:after="0" w:line="251" w:lineRule="auto"/>
        <w:tabs>
          <w:tab w:leader="none" w:pos="375"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entitled to judgment for the amount, if any, by which the court finds the fair value of the dissenter's shares, plus interest, exceeds the amount paid by the corporation, or for the fair value, plus interest, of the dissenter's shares for which the corporation elected to withhold payment under section 7-113-208.</w:t>
      </w:r>
    </w:p>
    <w:p>
      <w:pPr>
        <w:spacing w:after="0" w:line="176"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7-113-302 Court Costs and Counsel Fees. -- (1) The court in an appraisal proceeding commenced under section 7-113-301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7-113-209.</w:t>
      </w:r>
    </w:p>
    <w:p>
      <w:pPr>
        <w:spacing w:after="0" w:line="175" w:lineRule="exact"/>
        <w:rPr>
          <w:sz w:val="20"/>
          <w:szCs w:val="20"/>
          <w:color w:val="auto"/>
        </w:rPr>
      </w:pPr>
    </w:p>
    <w:p>
      <w:pPr>
        <w:ind w:left="5" w:right="3219" w:firstLine="179"/>
        <w:spacing w:after="0" w:line="253" w:lineRule="auto"/>
        <w:tabs>
          <w:tab w:leader="none" w:pos="55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court may also assess the fees and expenses of counsel and experts for the respective parties, in amounts the court finds equitable:</w:t>
      </w:r>
    </w:p>
    <w:p>
      <w:pPr>
        <w:spacing w:after="0" w:line="174" w:lineRule="exact"/>
        <w:rPr>
          <w:rFonts w:ascii="Courier New" w:cs="Courier New" w:eastAsia="Courier New" w:hAnsi="Courier New"/>
          <w:sz w:val="15"/>
          <w:szCs w:val="15"/>
          <w:color w:val="auto"/>
        </w:rPr>
      </w:pPr>
    </w:p>
    <w:p>
      <w:pPr>
        <w:ind w:left="185" w:right="3119" w:firstLine="184"/>
        <w:spacing w:after="0" w:line="252" w:lineRule="auto"/>
        <w:tabs>
          <w:tab w:leader="none" w:pos="739"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the corporation and in favor of any dissenters if the court finds the corporation did not substantially comply with the requirements of part 2 of this article; or</w:t>
      </w:r>
    </w:p>
    <w:p>
      <w:pPr>
        <w:spacing w:after="0" w:line="174" w:lineRule="exact"/>
        <w:rPr>
          <w:rFonts w:ascii="Courier New" w:cs="Courier New" w:eastAsia="Courier New" w:hAnsi="Courier New"/>
          <w:sz w:val="15"/>
          <w:szCs w:val="15"/>
          <w:color w:val="auto"/>
        </w:rPr>
      </w:pPr>
    </w:p>
    <w:p>
      <w:pPr>
        <w:ind w:left="185" w:right="3119" w:firstLine="184"/>
        <w:spacing w:after="0" w:line="251" w:lineRule="auto"/>
        <w:tabs>
          <w:tab w:leader="none" w:pos="739"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either the corporation or one or more dissenters, in favor of any other party, if the court finds that the party against whom the fees and expenses are assessed acted arbitrarily, vexatiously, or not in good faith with respect to the rights provided by this article.</w:t>
      </w:r>
    </w:p>
    <w:p>
      <w:pPr>
        <w:spacing w:after="0" w:line="176" w:lineRule="exact"/>
        <w:rPr>
          <w:rFonts w:ascii="Courier New" w:cs="Courier New" w:eastAsia="Courier New" w:hAnsi="Courier New"/>
          <w:sz w:val="15"/>
          <w:szCs w:val="15"/>
          <w:color w:val="auto"/>
        </w:rPr>
      </w:pPr>
    </w:p>
    <w:p>
      <w:pPr>
        <w:ind w:left="5" w:right="3119" w:firstLine="179"/>
        <w:spacing w:after="0" w:line="251" w:lineRule="auto"/>
        <w:tabs>
          <w:tab w:leader="none" w:pos="55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court finds that the services of counsel for any dissenter were of substantial benefit to other dissenters similarly situated, and that the fees for those services should not be assessed against the corporation, the court may award to said counsel reasonable fees to be paid out of the amounts awarded to the dissenters who were benefitted.</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D-6</w:t>
      </w:r>
    </w:p>
    <w:p>
      <w:pPr>
        <w:sectPr>
          <w:pgSz w:w="11900" w:h="16838" w:orient="portrait"/>
          <w:cols w:equalWidth="0" w:num="1">
            <w:col w:w="10225"/>
          </w:cols>
          <w:pgMar w:left="235" w:top="650" w:right="1440" w:bottom="1440" w:gutter="0" w:footer="0" w:header="0"/>
        </w:sectPr>
      </w:pPr>
    </w:p>
    <w:bookmarkStart w:id="156" w:name="page157"/>
    <w:bookmarkEnd w:id="156"/>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8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Eli Lilly and Company</w:t>
      </w:r>
    </w:p>
    <w:p>
      <w:pPr>
        <w:spacing w:after="0" w:line="185"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Sections 23-1-37-1 to 23-1-37-15 of the Indiana Business Corporation Law give Indiana corporations broad powers to indemnify their directors and officers and those of affiliated corporations against liability incurred in any proceeding to which they are made parties by reason of being or having been such directors or officers, subject to specified conditions and exclusions; authorizes the payment for or reimbursement of reasonable expenses incurred by such persons in such proceedings; gives a director or officer who successfully defends a proceeding the right to be so indemnified; and authorizes Indiana corporations to buy directors' and officers' liability insurance. Such indemnification is not exclusive of any other rights to which those indemnified may be entitled under the corporation's articles of incorporation or by-laws, resolution of the board of directors or stockholders or otherwise.</w:t>
      </w:r>
    </w:p>
    <w:p>
      <w:pPr>
        <w:spacing w:after="0" w:line="360" w:lineRule="exact"/>
        <w:rPr>
          <w:sz w:val="20"/>
          <w:szCs w:val="20"/>
          <w:color w:val="auto"/>
        </w:rPr>
      </w:pPr>
    </w:p>
    <w:p>
      <w:pPr>
        <w:ind w:right="3119" w:firstLine="185"/>
        <w:spacing w:after="0" w:line="253" w:lineRule="auto"/>
        <w:rPr>
          <w:sz w:val="20"/>
          <w:szCs w:val="20"/>
          <w:color w:val="auto"/>
        </w:rPr>
      </w:pPr>
      <w:r>
        <w:rPr>
          <w:rFonts w:ascii="Courier New" w:cs="Courier New" w:eastAsia="Courier New" w:hAnsi="Courier New"/>
          <w:sz w:val="15"/>
          <w:szCs w:val="15"/>
          <w:color w:val="auto"/>
        </w:rPr>
        <w:t>Article 12(g) of the Amended Articles of Incorporation of Lilly provides as follows:</w:t>
      </w:r>
    </w:p>
    <w:p>
      <w:pPr>
        <w:spacing w:after="0" w:line="174" w:lineRule="exact"/>
        <w:rPr>
          <w:sz w:val="20"/>
          <w:szCs w:val="20"/>
          <w:color w:val="auto"/>
        </w:rPr>
      </w:pPr>
    </w:p>
    <w:p>
      <w:pPr>
        <w:ind w:left="180" w:right="3119" w:firstLine="185"/>
        <w:spacing w:after="0" w:line="250" w:lineRule="auto"/>
        <w:rPr>
          <w:sz w:val="20"/>
          <w:szCs w:val="20"/>
          <w:color w:val="auto"/>
        </w:rPr>
      </w:pPr>
      <w:r>
        <w:rPr>
          <w:rFonts w:ascii="Courier New" w:cs="Courier New" w:eastAsia="Courier New" w:hAnsi="Courier New"/>
          <w:sz w:val="15"/>
          <w:szCs w:val="15"/>
          <w:color w:val="auto"/>
        </w:rPr>
        <w:t>"The Corporation shall indemnify each person who is or was a director, officer or employee of the Corporation, or of any other corporation which he is serving or served in any capacity at the request of the Corporation, against any and all liability and reasonable expense that may be incurred by him in connection with or resulting from any claim, action, suit, or proceeding (whether actual or threatened, brought by or in the right of the Corporation or such other corporation or otherwise, civil, criminal, administrative, investigative, or in connection with an appeal relating thereto), in which he may become involved, as a party or otherwise, by reason of his being or having been a director, officer, or employee of the Corporation or of such other corporation, or by reason of any past or future action taken or not taken in his capacity as such director, officer, or employee, whether or not he continues to be such at the time such liability or expense is incurred, provided such person acted in good faith, in what he reasonably believed to be the best interests of the Corporation or such other corporation, as the case may be, and, in addition, in any criminal action or proceeding, had no reasonable cause to believe that his conduct was unlawful. As used in this Article 12(g), the terms "liability" and "expense" shall include, but shall not be limited to, attorneys' fees and disbursements and amounts of judgments, fines, or penalties against, and amounts paid in settlement by, a director, officer, or employee. The termination of any claim, action, suit, or proceeding, civil or criminal, by judgment, settlement (whether with or without court approval) or conviction or upon a plea of guilty or of nolo contendere, or its equivalent, shall not create a presumption that a director, officer, or employee did not meet the standards of conduct set forth in the first sentence of this Article 12(g).</w:t>
      </w:r>
    </w:p>
    <w:p>
      <w:pPr>
        <w:spacing w:after="0" w:line="366" w:lineRule="exact"/>
        <w:rPr>
          <w:sz w:val="20"/>
          <w:szCs w:val="20"/>
          <w:color w:val="auto"/>
        </w:rPr>
      </w:pPr>
    </w:p>
    <w:p>
      <w:pPr>
        <w:ind w:left="180" w:right="3219" w:firstLine="185"/>
        <w:spacing w:after="0" w:line="250" w:lineRule="auto"/>
        <w:rPr>
          <w:sz w:val="20"/>
          <w:szCs w:val="20"/>
          <w:color w:val="auto"/>
        </w:rPr>
      </w:pPr>
      <w:r>
        <w:rPr>
          <w:rFonts w:ascii="Courier New" w:cs="Courier New" w:eastAsia="Courier New" w:hAnsi="Courier New"/>
          <w:sz w:val="15"/>
          <w:szCs w:val="15"/>
          <w:color w:val="auto"/>
        </w:rPr>
        <w:t>"Any such director, officer, or employee who has been wholly successful, on the merits or otherwise, with respect to any claim, action, suit, or proceeding of the character described herein shall be entitled to indemnification as of right. Except as provided in the preceding sentence, any indemnification hereunder shall be made at the discretion of the Corporation, but only if (1) the Board of Directors, acting by a quorum consisting of directors who are not parties to or who have been wholly successful with respect to such claim, action, suit or proceeding, shall find that the director, officer, or employee has met the standards of conduct set forth in the first sentence of this Article 12(g), or (2) independent legal counsel (who may be regular counsel of the Corporation) shall deliver to it their written opinion that such director, officer, or employee has met such standards.</w:t>
      </w:r>
    </w:p>
    <w:p>
      <w:pPr>
        <w:spacing w:after="0" w:line="183" w:lineRule="exact"/>
        <w:rPr>
          <w:sz w:val="20"/>
          <w:szCs w:val="20"/>
          <w:color w:val="auto"/>
        </w:rPr>
      </w:pPr>
    </w:p>
    <w:p>
      <w:pPr>
        <w:ind w:left="180" w:right="3119" w:firstLine="185"/>
        <w:spacing w:after="0" w:line="252" w:lineRule="auto"/>
        <w:rPr>
          <w:sz w:val="20"/>
          <w:szCs w:val="20"/>
          <w:color w:val="auto"/>
        </w:rPr>
      </w:pPr>
      <w:r>
        <w:rPr>
          <w:rFonts w:ascii="Courier New" w:cs="Courier New" w:eastAsia="Courier New" w:hAnsi="Courier New"/>
          <w:sz w:val="15"/>
          <w:szCs w:val="15"/>
          <w:color w:val="auto"/>
        </w:rPr>
        <w:t>"If several claims, issues, or matters of action are involved, any such person may be entitled to indemnification as to some matters even though he is not so entitled as to others.</w:t>
      </w:r>
    </w:p>
    <w:p>
      <w:pPr>
        <w:spacing w:after="0" w:line="175" w:lineRule="exact"/>
        <w:rPr>
          <w:sz w:val="20"/>
          <w:szCs w:val="20"/>
          <w:color w:val="auto"/>
        </w:rPr>
      </w:pPr>
    </w:p>
    <w:p>
      <w:pPr>
        <w:ind w:left="180" w:right="3119" w:firstLine="185"/>
        <w:spacing w:after="0" w:line="251" w:lineRule="auto"/>
        <w:rPr>
          <w:sz w:val="20"/>
          <w:szCs w:val="20"/>
          <w:color w:val="auto"/>
        </w:rPr>
      </w:pPr>
      <w:r>
        <w:rPr>
          <w:rFonts w:ascii="Courier New" w:cs="Courier New" w:eastAsia="Courier New" w:hAnsi="Courier New"/>
          <w:sz w:val="15"/>
          <w:szCs w:val="15"/>
          <w:color w:val="auto"/>
        </w:rPr>
        <w:t>"The Corporation may advance expenses to, or where appropriate may at its expense undertake the defense of, any such director, officer or employee upon receipt of an undertaking by or on behalf of such person to repay such expenses if it should ultimately be determined that he is not entitled to indemnification under this Article 12(g).</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50" w:right="1440" w:bottom="1440" w:gutter="0" w:footer="0" w:header="0"/>
        </w:sectPr>
      </w:pPr>
    </w:p>
    <w:bookmarkStart w:id="157" w:name="page158"/>
    <w:bookmarkEnd w:id="157"/>
    <w:p>
      <w:pPr>
        <w:ind w:left="180" w:right="3119" w:firstLine="185"/>
        <w:spacing w:after="0" w:line="251" w:lineRule="auto"/>
        <w:rPr>
          <w:sz w:val="20"/>
          <w:szCs w:val="20"/>
          <w:color w:val="auto"/>
        </w:rPr>
      </w:pPr>
      <w:r>
        <w:rPr>
          <w:rFonts w:ascii="Courier New" w:cs="Courier New" w:eastAsia="Courier New" w:hAnsi="Courier New"/>
          <w:sz w:val="15"/>
          <w:szCs w:val="15"/>
          <w:color w:val="auto"/>
        </w:rPr>
        <w:t>"The provisions of this Article 12(g) shall be applicable to claims, actions, suits or proceedings made or commenced after the adoption hereof, whether arising from acts or omissions to act occurring before or after the adoption hereof.</w:t>
      </w:r>
    </w:p>
    <w:p>
      <w:pPr>
        <w:spacing w:after="0" w:line="176" w:lineRule="exact"/>
        <w:rPr>
          <w:sz w:val="20"/>
          <w:szCs w:val="20"/>
          <w:color w:val="auto"/>
        </w:rPr>
      </w:pPr>
    </w:p>
    <w:p>
      <w:pPr>
        <w:ind w:left="180" w:right="3119" w:firstLine="185"/>
        <w:spacing w:after="0" w:line="251" w:lineRule="auto"/>
        <w:rPr>
          <w:sz w:val="20"/>
          <w:szCs w:val="20"/>
          <w:color w:val="auto"/>
        </w:rPr>
      </w:pPr>
      <w:r>
        <w:rPr>
          <w:rFonts w:ascii="Courier New" w:cs="Courier New" w:eastAsia="Courier New" w:hAnsi="Courier New"/>
          <w:sz w:val="15"/>
          <w:szCs w:val="15"/>
          <w:color w:val="auto"/>
        </w:rPr>
        <w:t>"The rights of indemnification provided hereunder shall be in addition to any rights to which any person concerned may otherwise be entitled by contract or as matter of law, and shall inure to the benefits of the heirs, executors, and administrators of any such person."</w:t>
      </w:r>
    </w:p>
    <w:p>
      <w:pPr>
        <w:spacing w:after="0" w:line="176" w:lineRule="exact"/>
        <w:rPr>
          <w:sz w:val="20"/>
          <w:szCs w:val="20"/>
          <w:color w:val="auto"/>
        </w:rPr>
      </w:pPr>
    </w:p>
    <w:p>
      <w:pPr>
        <w:ind w:right="3119" w:firstLine="185"/>
        <w:spacing w:after="0" w:line="250" w:lineRule="auto"/>
        <w:rPr>
          <w:sz w:val="20"/>
          <w:szCs w:val="20"/>
          <w:color w:val="auto"/>
        </w:rPr>
      </w:pPr>
      <w:r>
        <w:rPr>
          <w:rFonts w:ascii="Courier New" w:cs="Courier New" w:eastAsia="Courier New" w:hAnsi="Courier New"/>
          <w:sz w:val="15"/>
          <w:szCs w:val="15"/>
          <w:color w:val="auto"/>
        </w:rPr>
        <w:t>Lilly has insurance coverages indemnifying directors, officers and certain other employees for expenditures incurred by them in connection with certain acts in their capacities as such, and providing reimbursement to Lilly for expenditures in indemnifying directors, officers and other insured employees for such acts. The maximum aggregate coverage for Lilly and insured individuals is currently $130,000,000 per policy year, with the policies subject to self-retention and deductible provisions. Reference is made to the Cover Notes for Directors and Officers Liability including Company Reimbursement insurance coverage and Excess Directors and Officers Liability and Corporate Reimbursement coverage filed as Exhibit 6 to Lilly's Registration Statement No. 2-66741 and incorporated herein and made a part hereof.</w:t>
      </w:r>
    </w:p>
    <w:p>
      <w:pPr>
        <w:spacing w:after="0" w:line="183"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Lilly also has insurance coverage indemnifying directors, officers, and employees for expenditures incurred by them as a result of liabilities that may be imposed under the Employee Retirement Income Security Act of 1974 by reason of their acting as fiduciaries in relation to certain employee benefit plans of Lilly. The maximum aggregate coverage under such insurance is currently $20,000,000 per policy year, with the policy subject to deductible provisions. Reference is made to the Corporate Fiduciary's Liability Insurance Policy and Excess Corporate Fiduciary Liability Policy filed as Exhibit 4.2 to Lilly's Registration Statement No. 2-63891 and incorporated herein and made part hereof.</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Integrated Medical Systems, Inc.</w:t>
      </w:r>
    </w:p>
    <w:p>
      <w:pPr>
        <w:spacing w:after="0" w:line="185"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Article 109 of the Colorado Business Corporation Act provides that the Company may indemnify directors, officers, employees, fiduciaries and agents of the Company.</w:t>
      </w:r>
    </w:p>
    <w:p>
      <w:pPr>
        <w:spacing w:after="0" w:line="175"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Article VIII of the Company's Amended Articles of Incorporation in effect prior to the Merger which are filed herewith as Exhibit 4.3, provide that the Company, through the Company's Board of Directors, shall possess and may exercise all powers of indemnification of directors, officers, employees, agents and other persons whether or not such powers and authority are provided for by the Colorado Business Corporation Act. The Articles of Incorporation to be in effect following the Merger do not contain any provisions regarding indemnification.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40" w:lineRule="exact"/>
        <w:rPr>
          <w:sz w:val="20"/>
          <w:szCs w:val="20"/>
          <w:color w:val="auto"/>
        </w:rPr>
      </w:pPr>
    </w:p>
    <w:p>
      <w:pPr>
        <w:ind w:left="640" w:right="3479" w:hanging="645"/>
        <w:spacing w:after="0" w:line="250" w:lineRule="auto"/>
        <w:tabs>
          <w:tab w:leader="none" w:pos="620" w:val="left"/>
        </w:tabs>
        <w:rPr>
          <w:sz w:val="20"/>
          <w:szCs w:val="20"/>
          <w:color w:val="auto"/>
        </w:rPr>
      </w:pPr>
      <w:r>
        <w:rPr>
          <w:rFonts w:ascii="Courier New" w:cs="Courier New" w:eastAsia="Courier New" w:hAnsi="Courier New"/>
          <w:sz w:val="15"/>
          <w:szCs w:val="15"/>
          <w:color w:val="auto"/>
        </w:rPr>
        <w:t>2.1</w:t>
        <w:tab/>
        <w:t>--Agreement and Plan of Merger, dated August 2, 1995, among Lilly, Trans-IMS Corporation, and IMS.</w:t>
      </w:r>
    </w:p>
    <w:p>
      <w:pPr>
        <w:spacing w:after="0" w:line="1" w:lineRule="exact"/>
        <w:rPr>
          <w:sz w:val="20"/>
          <w:szCs w:val="20"/>
          <w:color w:val="auto"/>
        </w:rPr>
      </w:pPr>
    </w:p>
    <w:p>
      <w:pPr>
        <w:ind w:left="640" w:right="3119" w:hanging="645"/>
        <w:spacing w:after="0" w:line="250" w:lineRule="auto"/>
        <w:tabs>
          <w:tab w:leader="none" w:pos="620" w:val="left"/>
        </w:tabs>
        <w:rPr>
          <w:sz w:val="20"/>
          <w:szCs w:val="20"/>
          <w:color w:val="auto"/>
        </w:rPr>
      </w:pPr>
      <w:r>
        <w:rPr>
          <w:rFonts w:ascii="Courier New" w:cs="Courier New" w:eastAsia="Courier New" w:hAnsi="Courier New"/>
          <w:sz w:val="15"/>
          <w:szCs w:val="15"/>
          <w:color w:val="auto"/>
        </w:rPr>
        <w:t>2.2</w:t>
        <w:tab/>
        <w:t>--Form of Put/Call Agreement among Lilly, IMS and certain shareholders of IMS (attached as Appendix B to the Proxy Statement-Prospectus).</w:t>
      </w:r>
    </w:p>
    <w:p>
      <w:pPr>
        <w:spacing w:after="0" w:line="1" w:lineRule="exact"/>
        <w:rPr>
          <w:sz w:val="20"/>
          <w:szCs w:val="20"/>
          <w:color w:val="auto"/>
        </w:rPr>
      </w:pPr>
    </w:p>
    <w:p>
      <w:pPr>
        <w:ind w:left="640" w:right="3299" w:hanging="645"/>
        <w:spacing w:after="0" w:line="250" w:lineRule="auto"/>
        <w:tabs>
          <w:tab w:leader="none" w:pos="620" w:val="left"/>
        </w:tabs>
        <w:rPr>
          <w:sz w:val="20"/>
          <w:szCs w:val="20"/>
          <w:color w:val="auto"/>
        </w:rPr>
      </w:pPr>
      <w:r>
        <w:rPr>
          <w:rFonts w:ascii="Courier New" w:cs="Courier New" w:eastAsia="Courier New" w:hAnsi="Courier New"/>
          <w:sz w:val="15"/>
          <w:szCs w:val="15"/>
          <w:color w:val="auto"/>
        </w:rPr>
        <w:t>2.3</w:t>
        <w:tab/>
        <w:t>--Form of Support Agreement, dated August 2, 1995, between Lilly and certain shareholders of IMS.</w:t>
      </w:r>
    </w:p>
    <w:p>
      <w:pPr>
        <w:spacing w:after="0" w:line="1"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2.4</w:t>
        <w:tab/>
        <w:t>--Form of Proxy for holders of stock of IMS.</w:t>
      </w:r>
    </w:p>
    <w:p>
      <w:pPr>
        <w:spacing w:after="0" w:line="8" w:lineRule="exact"/>
        <w:rPr>
          <w:sz w:val="20"/>
          <w:szCs w:val="20"/>
          <w:color w:val="auto"/>
        </w:rPr>
      </w:pPr>
    </w:p>
    <w:p>
      <w:pPr>
        <w:ind w:left="640" w:right="2839" w:hanging="645"/>
        <w:spacing w:after="0" w:line="250" w:lineRule="auto"/>
        <w:tabs>
          <w:tab w:leader="none" w:pos="620" w:val="left"/>
        </w:tabs>
        <w:rPr>
          <w:sz w:val="20"/>
          <w:szCs w:val="20"/>
          <w:color w:val="auto"/>
        </w:rPr>
      </w:pPr>
      <w:r>
        <w:rPr>
          <w:rFonts w:ascii="Courier New" w:cs="Courier New" w:eastAsia="Courier New" w:hAnsi="Courier New"/>
          <w:sz w:val="15"/>
          <w:szCs w:val="15"/>
          <w:color w:val="auto"/>
        </w:rPr>
        <w:t>4.1</w:t>
        <w:tab/>
        <w:t>--Articles of Incorporation to be in effect following the Merger (included in the Articles of Merger attached as Appendix A to the Proxy Statement-Prospectus).</w:t>
      </w:r>
    </w:p>
    <w:p>
      <w:pPr>
        <w:spacing w:after="0" w:line="1"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4.2</w:t>
        <w:tab/>
        <w:t>--By Laws of IMS to be in effect following the Merger.</w:t>
      </w:r>
    </w:p>
    <w:p>
      <w:pPr>
        <w:spacing w:after="0" w:line="8" w:lineRule="exact"/>
        <w:rPr>
          <w:sz w:val="20"/>
          <w:szCs w:val="20"/>
          <w:color w:val="auto"/>
        </w:rPr>
      </w:pPr>
    </w:p>
    <w:p>
      <w:pPr>
        <w:ind w:left="640" w:right="3579" w:hanging="645"/>
        <w:spacing w:after="0" w:line="250" w:lineRule="auto"/>
        <w:tabs>
          <w:tab w:leader="none" w:pos="620" w:val="left"/>
        </w:tabs>
        <w:rPr>
          <w:sz w:val="20"/>
          <w:szCs w:val="20"/>
          <w:color w:val="auto"/>
        </w:rPr>
      </w:pPr>
      <w:r>
        <w:rPr>
          <w:rFonts w:ascii="Courier New" w:cs="Courier New" w:eastAsia="Courier New" w:hAnsi="Courier New"/>
          <w:sz w:val="15"/>
          <w:szCs w:val="15"/>
          <w:color w:val="auto"/>
        </w:rPr>
        <w:t>4.3</w:t>
        <w:tab/>
        <w:t>--Amended Articles of Incorporation of IMS in effect prior to the Merger.</w:t>
      </w:r>
    </w:p>
    <w:p>
      <w:pPr>
        <w:spacing w:after="0" w:line="1" w:lineRule="exact"/>
        <w:rPr>
          <w:sz w:val="20"/>
          <w:szCs w:val="20"/>
          <w:color w:val="auto"/>
        </w:rPr>
      </w:pPr>
    </w:p>
    <w:p>
      <w:pPr>
        <w:ind w:left="180"/>
        <w:spacing w:after="0"/>
        <w:tabs>
          <w:tab w:leader="none" w:pos="620" w:val="left"/>
        </w:tabs>
        <w:rPr>
          <w:sz w:val="20"/>
          <w:szCs w:val="20"/>
          <w:color w:val="auto"/>
        </w:rPr>
      </w:pPr>
      <w:r>
        <w:rPr>
          <w:rFonts w:ascii="Courier New" w:cs="Courier New" w:eastAsia="Courier New" w:hAnsi="Courier New"/>
          <w:sz w:val="15"/>
          <w:szCs w:val="15"/>
          <w:color w:val="auto"/>
        </w:rPr>
        <w:t>4.4</w:t>
        <w:tab/>
        <w:t>--By-Laws of IMS in effect prior to the Merger.</w:t>
      </w:r>
    </w:p>
    <w:p>
      <w:pPr>
        <w:spacing w:after="0" w:line="8" w:lineRule="exact"/>
        <w:rPr>
          <w:sz w:val="20"/>
          <w:szCs w:val="20"/>
          <w:color w:val="auto"/>
        </w:rPr>
      </w:pPr>
    </w:p>
    <w:p>
      <w:pPr>
        <w:ind w:left="820" w:right="2939" w:hanging="645"/>
        <w:spacing w:after="0" w:line="250" w:lineRule="auto"/>
        <w:rPr>
          <w:sz w:val="20"/>
          <w:szCs w:val="20"/>
          <w:color w:val="auto"/>
        </w:rPr>
      </w:pPr>
      <w:r>
        <w:rPr>
          <w:rFonts w:ascii="Courier New" w:cs="Courier New" w:eastAsia="Courier New" w:hAnsi="Courier New"/>
          <w:sz w:val="15"/>
          <w:szCs w:val="15"/>
          <w:color w:val="auto"/>
        </w:rPr>
        <w:t>5.1* --Opinion of Dewey Ballantine as to the legality of the Lilly securities to be issued in the Merger.</w:t>
      </w:r>
    </w:p>
    <w:p>
      <w:pPr>
        <w:spacing w:after="0" w:line="1" w:lineRule="exact"/>
        <w:rPr>
          <w:sz w:val="20"/>
          <w:szCs w:val="20"/>
          <w:color w:val="auto"/>
        </w:rPr>
      </w:pPr>
    </w:p>
    <w:p>
      <w:pPr>
        <w:ind w:left="820" w:right="3399" w:hanging="645"/>
        <w:spacing w:after="0" w:line="250" w:lineRule="auto"/>
        <w:rPr>
          <w:sz w:val="20"/>
          <w:szCs w:val="20"/>
          <w:color w:val="auto"/>
        </w:rPr>
      </w:pPr>
      <w:r>
        <w:rPr>
          <w:rFonts w:ascii="Courier New" w:cs="Courier New" w:eastAsia="Courier New" w:hAnsi="Courier New"/>
          <w:sz w:val="15"/>
          <w:szCs w:val="15"/>
          <w:color w:val="auto"/>
        </w:rPr>
        <w:t>5.2* --Opinion of Hopper and Kanouff, P.C. as to the legality of the IMS securities to be issued in the Merger.</w:t>
      </w:r>
    </w:p>
    <w:p>
      <w:pPr>
        <w:spacing w:after="0" w:line="1" w:lineRule="exact"/>
        <w:rPr>
          <w:sz w:val="20"/>
          <w:szCs w:val="20"/>
          <w:color w:val="auto"/>
        </w:rPr>
      </w:pPr>
    </w:p>
    <w:p>
      <w:pPr>
        <w:ind w:left="820" w:right="3119" w:hanging="645"/>
        <w:spacing w:after="0" w:line="253" w:lineRule="auto"/>
        <w:rPr>
          <w:sz w:val="20"/>
          <w:szCs w:val="20"/>
          <w:color w:val="auto"/>
        </w:rPr>
      </w:pPr>
      <w:r>
        <w:rPr>
          <w:rFonts w:ascii="Courier New" w:cs="Courier New" w:eastAsia="Courier New" w:hAnsi="Courier New"/>
          <w:sz w:val="15"/>
          <w:szCs w:val="15"/>
          <w:color w:val="auto"/>
        </w:rPr>
        <w:t>7.1* --Liquidation Preference Opinion of Hopper and Kanouff, P.C. (included in Exhibit 5.2)</w:t>
      </w:r>
    </w:p>
    <w:p>
      <w:pPr>
        <w:spacing w:after="0" w:line="200" w:lineRule="exact"/>
        <w:rPr>
          <w:sz w:val="20"/>
          <w:szCs w:val="20"/>
          <w:color w:val="auto"/>
        </w:r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50" w:right="1440" w:bottom="1440" w:gutter="0" w:footer="0" w:header="0"/>
        </w:sectPr>
      </w:pPr>
    </w:p>
    <w:bookmarkStart w:id="158" w:name="page159"/>
    <w:bookmarkEnd w:id="158"/>
    <w:p>
      <w:pPr>
        <w:ind w:left="80"/>
        <w:spacing w:after="0"/>
        <w:tabs>
          <w:tab w:leader="none" w:pos="72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--Tax Opinion of Dewey Ballantine.</w:t>
      </w:r>
    </w:p>
    <w:p>
      <w:pPr>
        <w:spacing w:after="0" w:line="8" w:lineRule="exact"/>
        <w:rPr>
          <w:sz w:val="20"/>
          <w:szCs w:val="20"/>
          <w:color w:val="auto"/>
        </w:rPr>
      </w:pPr>
    </w:p>
    <w:p>
      <w:pPr>
        <w:ind w:left="80"/>
        <w:spacing w:after="0"/>
        <w:tabs>
          <w:tab w:leader="none" w:pos="7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--Tax Opinion of Cleary, Gottlieb, Steen &amp; Hamilton.</w:t>
      </w:r>
    </w:p>
    <w:p>
      <w:pPr>
        <w:spacing w:after="0" w:line="8" w:lineRule="exact"/>
        <w:rPr>
          <w:sz w:val="20"/>
          <w:szCs w:val="20"/>
          <w:color w:val="auto"/>
        </w:rPr>
      </w:pPr>
    </w:p>
    <w:p>
      <w:pPr>
        <w:ind w:left="740" w:right="255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--Stock Purchase Agreement, dated January 6, 1994, between IMS and McKesson Corporation.</w:t>
      </w:r>
    </w:p>
    <w:p>
      <w:pPr>
        <w:spacing w:after="0" w:line="1" w:lineRule="exact"/>
        <w:rPr>
          <w:sz w:val="20"/>
          <w:szCs w:val="20"/>
          <w:color w:val="auto"/>
        </w:rPr>
      </w:pPr>
    </w:p>
    <w:p>
      <w:pPr>
        <w:ind w:left="740" w:right="181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--Sponsorship and Participation Agreement, dated November 17, 1993, between IMS and McKesson Corporation.</w:t>
      </w:r>
    </w:p>
    <w:p>
      <w:pPr>
        <w:spacing w:after="0" w:line="1" w:lineRule="exact"/>
        <w:rPr>
          <w:sz w:val="20"/>
          <w:szCs w:val="20"/>
          <w:color w:val="auto"/>
        </w:rPr>
      </w:pPr>
    </w:p>
    <w:p>
      <w:pPr>
        <w:ind w:left="740" w:right="201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--Stockholder's Rights Agreement, dated January 6, 1994, between IMS and McKesson Corporation.</w:t>
      </w:r>
    </w:p>
    <w:p>
      <w:pPr>
        <w:spacing w:after="0" w:line="1" w:lineRule="exact"/>
        <w:rPr>
          <w:sz w:val="20"/>
          <w:szCs w:val="20"/>
          <w:color w:val="auto"/>
        </w:rPr>
      </w:pPr>
    </w:p>
    <w:p>
      <w:pPr>
        <w:ind w:left="740" w:right="219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--Senior Subordinated Note from IMS (which includes the registration rights for Charles Brown).</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--Indemnification Agreement, dated August 14, 1992, between IMS and David Holbrooke.</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--IMS 1989 Restated Stock Option Plan.</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--IMS 1994 Employee Stock Option Plan.</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--Promissory Note, dated June 12,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--Security Agreement, dated June 12,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--Pledge Agreement, dated June 12,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--Promissory Note, dated July 27,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--Security Agreement, dated July 27,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--Pledge Agreement, dated July 27,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--Promissory Note, dated August 28,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--Security Agreement, dated August 28,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--Pledge Agreement, dated August 28,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--Form of Registration Agreement applicable to holders of Series B Preferred Stock.</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10.18+</w:t>
        <w:tab/>
        <w:t>--Joint Venture Agreement, dated May 15, 1992, with HFN, Inc.</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10.19+</w:t>
        <w:tab/>
        <w:t>--Shareholder's Agreement, dated May 31, 1992, with Adventist Health System.</w:t>
      </w:r>
    </w:p>
    <w:p>
      <w:pPr>
        <w:spacing w:after="0" w:line="8" w:lineRule="exact"/>
        <w:rPr>
          <w:sz w:val="20"/>
          <w:szCs w:val="20"/>
          <w:color w:val="auto"/>
        </w:rPr>
      </w:pPr>
    </w:p>
    <w:p>
      <w:pPr>
        <w:ind w:left="740" w:right="181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10.20+</w:t>
        <w:tab/>
        <w:t>--Joint Venture Limited Partnership Agreement, dated June 30, 1992, with Blue Cross and Blue Shield of Arizona, Inc.</w:t>
      </w:r>
    </w:p>
    <w:p>
      <w:pPr>
        <w:spacing w:after="0" w:line="1" w:lineRule="exact"/>
        <w:rPr>
          <w:sz w:val="20"/>
          <w:szCs w:val="20"/>
          <w:color w:val="auto"/>
        </w:rPr>
      </w:pPr>
    </w:p>
    <w:p>
      <w:pPr>
        <w:ind w:left="740" w:right="219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10.21+</w:t>
        <w:tab/>
        <w:t>--Operating Agreement for Indiana Medical Communications Network, L.L.C., dated April 10, 1993.</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10.22*</w:t>
        <w:tab/>
        <w:t>--Operating Agreement for Minnesota Medical Communications dated November 7, 1993.</w:t>
      </w:r>
    </w:p>
    <w:p>
      <w:pPr>
        <w:spacing w:after="0" w:line="8" w:lineRule="exact"/>
        <w:rPr>
          <w:sz w:val="20"/>
          <w:szCs w:val="20"/>
          <w:color w:val="auto"/>
        </w:rPr>
      </w:pPr>
    </w:p>
    <w:p>
      <w:pPr>
        <w:ind w:left="740" w:right="173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10.23*</w:t>
        <w:tab/>
        <w:t>--Stock Purchase and Termination Agreement, dated September 30, 1995, with Unihealth America Ventures.</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10.24+</w:t>
        <w:tab/>
        <w:t>--Promissory Note, dated September 25,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10.25+</w:t>
        <w:tab/>
        <w:t>--Promissory Note, dated October 17,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10.26+</w:t>
        <w:tab/>
        <w:t>--Promissory Note, dated October 25, 1995 between Lilly and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10.27*</w:t>
        <w:tab/>
        <w:t>--Form of Severance Agreement with certain employees of IMS.</w:t>
      </w:r>
    </w:p>
    <w:p>
      <w:pPr>
        <w:spacing w:after="0" w:line="8" w:lineRule="exact"/>
        <w:rPr>
          <w:sz w:val="20"/>
          <w:szCs w:val="20"/>
          <w:color w:val="auto"/>
        </w:rPr>
      </w:pPr>
    </w:p>
    <w:p>
      <w:pPr>
        <w:ind w:left="740" w:right="191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10.28*</w:t>
        <w:tab/>
        <w:t>--Form of Letter of Transmittal and Form of Election to accompany Certificates for shares of Common Stock of IMS.</w:t>
      </w:r>
    </w:p>
    <w:p>
      <w:pPr>
        <w:spacing w:after="0" w:line="1" w:lineRule="exact"/>
        <w:rPr>
          <w:sz w:val="20"/>
          <w:szCs w:val="20"/>
          <w:color w:val="auto"/>
        </w:rPr>
      </w:pPr>
    </w:p>
    <w:p>
      <w:pPr>
        <w:ind w:left="740" w:right="191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10.29*</w:t>
        <w:tab/>
        <w:t>--Form of Letter of Transmittal and Form of Election to accompany Certificates for Shares of Series B Preferred Stock of IMS.</w:t>
      </w:r>
    </w:p>
    <w:p>
      <w:pPr>
        <w:spacing w:after="0" w:line="1" w:lineRule="exact"/>
        <w:rPr>
          <w:sz w:val="20"/>
          <w:szCs w:val="20"/>
          <w:color w:val="auto"/>
        </w:rPr>
      </w:pPr>
    </w:p>
    <w:p>
      <w:pPr>
        <w:ind w:left="740" w:right="255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10.30*</w:t>
        <w:tab/>
        <w:t>--Form of Letter of Transmittal, Form of Election and Exercise Form to make Elections with respect to Options to Purchase Common Stock of IMS.</w:t>
      </w:r>
    </w:p>
    <w:p>
      <w:pPr>
        <w:spacing w:after="0" w:line="1" w:lineRule="exact"/>
        <w:rPr>
          <w:sz w:val="20"/>
          <w:szCs w:val="20"/>
          <w:color w:val="auto"/>
        </w:rPr>
      </w:pPr>
    </w:p>
    <w:p>
      <w:pPr>
        <w:ind w:left="740" w:right="2559" w:hanging="922"/>
        <w:spacing w:after="0" w:line="250" w:lineRule="auto"/>
        <w:tabs>
          <w:tab w:leader="none" w:pos="720" w:val="left"/>
        </w:tabs>
        <w:rPr>
          <w:sz w:val="20"/>
          <w:szCs w:val="20"/>
          <w:color w:val="auto"/>
        </w:rPr>
      </w:pPr>
      <w:r>
        <w:rPr>
          <w:rFonts w:ascii="Courier New" w:cs="Courier New" w:eastAsia="Courier New" w:hAnsi="Courier New"/>
          <w:sz w:val="15"/>
          <w:szCs w:val="15"/>
          <w:color w:val="auto"/>
        </w:rPr>
        <w:t>10.31*</w:t>
        <w:tab/>
        <w:t>--Form of Letter of Transmittal, Form of Election and Exercise Form to make Elections with respect to Warrants to Purchase Common Stock of IMS.</w:t>
      </w:r>
    </w:p>
    <w:p>
      <w:pPr>
        <w:spacing w:after="0" w:line="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5"/>
          <w:szCs w:val="15"/>
          <w:color w:val="auto"/>
        </w:rPr>
        <w:t>--List of Subsidiaries of IMS.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Arthur Andersen LLP.</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Ernst &amp; Young LLP.</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Deloitte &amp; Touche.</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Dewey Ballantine (included in Exhibits 5.1 and 8.1 hereto).</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1005" w:right="1440" w:bottom="1440" w:gutter="0" w:footer="0" w:header="0"/>
        </w:sectPr>
      </w:pPr>
    </w:p>
    <w:bookmarkStart w:id="159" w:name="page160"/>
    <w:bookmarkEnd w:id="159"/>
    <w:p>
      <w:pPr>
        <w:ind w:left="5"/>
        <w:spacing w:after="0"/>
        <w:tabs>
          <w:tab w:leader="none" w:pos="625"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Hopper and Kaunoff, P.C. (included in Exhibits 5.2 and 7.1 hereto).</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--Consent of Cleary, Gottlieb, Steen &amp; Hamilton (included in Exhibit 8.2 hereto).</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23.7+</w:t>
        <w:tab/>
        <w:t>--Consent of Smith Barney Inc.</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23.8*</w:t>
        <w:tab/>
        <w:t>--Consent of Robert Ashworth</w:t>
      </w:r>
    </w:p>
    <w:p>
      <w:pPr>
        <w:spacing w:after="0" w:line="8"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23.9*</w:t>
        <w:tab/>
        <w:t>--Consent of Thomas Trainer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 w:right="7639" w:hanging="5"/>
        <w:spacing w:after="0" w:line="501" w:lineRule="auto"/>
        <w:tabs>
          <w:tab w:leader="none" w:pos="28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Filed herewith.</w:t>
      </w: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Financial Statement Schedules</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 Information Provided Pursuant to Item 4(b)</w:t>
      </w:r>
    </w:p>
    <w:p>
      <w:pPr>
        <w:spacing w:after="0" w:line="185" w:lineRule="exact"/>
        <w:rPr>
          <w:sz w:val="20"/>
          <w:szCs w:val="20"/>
          <w:color w:val="auto"/>
        </w:rPr>
      </w:pPr>
    </w:p>
    <w:p>
      <w:pPr>
        <w:ind w:left="5" w:right="3119" w:firstLine="185"/>
        <w:spacing w:after="0" w:line="253" w:lineRule="auto"/>
        <w:rPr>
          <w:sz w:val="20"/>
          <w:szCs w:val="20"/>
          <w:color w:val="auto"/>
        </w:rPr>
      </w:pPr>
      <w:r>
        <w:rPr>
          <w:rFonts w:ascii="Courier New" w:cs="Courier New" w:eastAsia="Courier New" w:hAnsi="Courier New"/>
          <w:sz w:val="15"/>
          <w:szCs w:val="15"/>
          <w:color w:val="auto"/>
        </w:rPr>
        <w:t>Fairness Opinion provided by Smith Barney Inc. is included as Appendix C to the Proxy Statement-Prospectus.</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22. UNDERTAKINGS.</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52" w:lineRule="exact"/>
        <w:rPr>
          <w:sz w:val="20"/>
          <w:szCs w:val="20"/>
          <w:color w:val="auto"/>
        </w:rPr>
      </w:pPr>
    </w:p>
    <w:p>
      <w:pPr>
        <w:ind w:left="5" w:right="3019" w:firstLine="185"/>
        <w:spacing w:after="0" w:line="250"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4" w:lineRule="exact"/>
        <w:rPr>
          <w:sz w:val="20"/>
          <w:szCs w:val="20"/>
          <w:color w:val="auto"/>
        </w:rPr>
      </w:pPr>
    </w:p>
    <w:p>
      <w:pPr>
        <w:ind w:left="5" w:right="3219" w:firstLine="185"/>
        <w:spacing w:after="0" w:line="251" w:lineRule="auto"/>
        <w:rPr>
          <w:sz w:val="20"/>
          <w:szCs w:val="20"/>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5" w:lineRule="exact"/>
        <w:rPr>
          <w:sz w:val="20"/>
          <w:szCs w:val="20"/>
          <w:color w:val="auto"/>
        </w:rPr>
      </w:pPr>
    </w:p>
    <w:p>
      <w:pPr>
        <w:ind w:left="5" w:right="3119" w:firstLine="185"/>
        <w:spacing w:after="0" w:line="250" w:lineRule="auto"/>
        <w:rPr>
          <w:sz w:val="20"/>
          <w:szCs w:val="20"/>
          <w:color w:val="auto"/>
        </w:rPr>
      </w:pPr>
      <w:r>
        <w:rPr>
          <w:rFonts w:ascii="Courier New" w:cs="Courier New" w:eastAsia="Courier New" w:hAnsi="Courier New"/>
          <w:sz w:val="15"/>
          <w:szCs w:val="15"/>
          <w:color w:val="auto"/>
        </w:rPr>
        <w:t>The registrant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ind w:left="5" w:right="3119" w:firstLine="185"/>
        <w:spacing w:after="0" w:line="251" w:lineRule="auto"/>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5"/>
          </w:cols>
          <w:pgMar w:left="235" w:top="1005" w:right="1440" w:bottom="1440" w:gutter="0" w:footer="0" w:header="0"/>
        </w:sectPr>
      </w:pPr>
    </w:p>
    <w:bookmarkStart w:id="160" w:name="page161"/>
    <w:bookmarkEnd w:id="160"/>
    <w:p>
      <w:pPr>
        <w:ind w:right="3019" w:firstLine="185"/>
        <w:spacing w:after="0" w:line="250" w:lineRule="auto"/>
        <w:rPr>
          <w:sz w:val="20"/>
          <w:szCs w:val="20"/>
          <w:color w:val="auto"/>
        </w:rPr>
      </w:pPr>
      <w:r>
        <w:rPr>
          <w:rFonts w:ascii="Courier New" w:cs="Courier New" w:eastAsia="Courier New" w:hAnsi="Courier New"/>
          <w:sz w:val="15"/>
          <w:szCs w:val="15"/>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whom the prospectus is sent or given, the latest quarterly report that is specifically incorporated by reference in the prospectus to provide such interim financial information.</w:t>
      </w:r>
    </w:p>
    <w:p>
      <w:pPr>
        <w:spacing w:after="0" w:line="182" w:lineRule="exact"/>
        <w:rPr>
          <w:sz w:val="20"/>
          <w:szCs w:val="20"/>
          <w:color w:val="auto"/>
        </w:rPr>
      </w:pPr>
    </w:p>
    <w:p>
      <w:pPr>
        <w:ind w:right="3119" w:firstLine="185"/>
        <w:spacing w:after="0" w:line="251" w:lineRule="auto"/>
        <w:rPr>
          <w:sz w:val="20"/>
          <w:szCs w:val="20"/>
          <w:color w:val="auto"/>
        </w:rPr>
      </w:pPr>
      <w:r>
        <w:rPr>
          <w:rFonts w:ascii="Courier New" w:cs="Courier New" w:eastAsia="Courier New" w:hAnsi="Courier New"/>
          <w:sz w:val="15"/>
          <w:szCs w:val="15"/>
          <w:color w:val="auto"/>
        </w:rPr>
        <w:t>The undersigned registrant hereby undertakes to supply by means of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85" w:lineRule="exact"/>
        <w:rPr>
          <w:sz w:val="20"/>
          <w:szCs w:val="20"/>
          <w:color w:val="auto"/>
        </w:rPr>
      </w:pPr>
    </w:p>
    <w:p>
      <w:pPr>
        <w:ind w:left="180" w:right="3119" w:firstLine="184"/>
        <w:spacing w:after="0" w:line="253" w:lineRule="auto"/>
        <w:tabs>
          <w:tab w:leader="none" w:pos="73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sz w:val="20"/>
          <w:szCs w:val="20"/>
          <w:color w:val="auto"/>
        </w:rPr>
      </w:pPr>
    </w:p>
    <w:p>
      <w:pPr>
        <w:ind w:left="180" w:right="3759" w:firstLine="184"/>
        <w:spacing w:after="0" w:line="253" w:lineRule="auto"/>
        <w:tabs>
          <w:tab w:leader="none" w:pos="73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 (3) of the Securities Act of 1933;</w:t>
      </w:r>
    </w:p>
    <w:p>
      <w:pPr>
        <w:spacing w:after="0" w:line="174" w:lineRule="exact"/>
        <w:rPr>
          <w:rFonts w:ascii="Courier New" w:cs="Courier New" w:eastAsia="Courier New" w:hAnsi="Courier New"/>
          <w:sz w:val="15"/>
          <w:szCs w:val="15"/>
          <w:color w:val="auto"/>
        </w:rPr>
      </w:pPr>
    </w:p>
    <w:p>
      <w:pPr>
        <w:ind w:left="180" w:right="3299" w:firstLine="184"/>
        <w:spacing w:after="0" w:line="251" w:lineRule="auto"/>
        <w:tabs>
          <w:tab w:leader="none" w:pos="826"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6" w:lineRule="exact"/>
        <w:rPr>
          <w:rFonts w:ascii="Courier New" w:cs="Courier New" w:eastAsia="Courier New" w:hAnsi="Courier New"/>
          <w:sz w:val="15"/>
          <w:szCs w:val="15"/>
          <w:color w:val="auto"/>
        </w:rPr>
      </w:pPr>
    </w:p>
    <w:p>
      <w:pPr>
        <w:ind w:left="180" w:right="3219" w:firstLine="184"/>
        <w:spacing w:after="0" w:line="252" w:lineRule="auto"/>
        <w:tabs>
          <w:tab w:leader="none" w:pos="91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provided, however, that paragraphs (a)(1)(i) and (a)(1)(ii)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15(d) of the Securities Exchange Act of 1934 that are incorporated by reference in the registration statement.</w:t>
      </w:r>
    </w:p>
    <w:p>
      <w:pPr>
        <w:spacing w:after="0" w:line="176" w:lineRule="exact"/>
        <w:rPr>
          <w:sz w:val="20"/>
          <w:szCs w:val="20"/>
          <w:color w:val="auto"/>
        </w:rPr>
      </w:pPr>
    </w:p>
    <w:p>
      <w:pPr>
        <w:ind w:right="3119" w:firstLine="179"/>
        <w:spacing w:after="0" w:line="251" w:lineRule="auto"/>
        <w:tabs>
          <w:tab w:leader="none" w:pos="55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jc w:val="both"/>
        <w:ind w:right="3219" w:firstLine="179"/>
        <w:spacing w:after="0" w:line="252" w:lineRule="auto"/>
        <w:tabs>
          <w:tab w:leader="none" w:pos="55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form registration by means of a post-effective amendment any of the securities being registered which remain unsold at the termination of the offering.</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50" w:right="1440" w:bottom="1440" w:gutter="0" w:footer="0" w:header="0"/>
        </w:sectPr>
      </w:pPr>
    </w:p>
    <w:bookmarkStart w:id="161" w:name="page162"/>
    <w:bookmarkEnd w:id="161"/>
    <w:p>
      <w:pPr>
        <w:jc w:val="center"/>
        <w:ind w:right="2834"/>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3019" w:firstLine="185"/>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AMENDMENT TO THE REGISTRATION STATEMENT TO BE SIGNED ON ITS BEHALF BY THE UNDERSIGNED, THEREUNTO DULY AUTHORIZED, IN THE CITY OF INDIANAPOLIS, STATE OF INDIANA, ON OCTOBER 26, 1995.</w:t>
      </w:r>
    </w:p>
    <w:p>
      <w:pPr>
        <w:spacing w:after="0" w:line="176"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Eli Lilly and Company</w:t>
      </w:r>
    </w:p>
    <w:p>
      <w:pPr>
        <w:sectPr>
          <w:pgSz w:w="11900" w:h="16838" w:orient="portrait"/>
          <w:cols w:equalWidth="0" w:num="1">
            <w:col w:w="10225"/>
          </w:cols>
          <w:pgMar w:left="235" w:top="650" w:right="1440" w:bottom="1440" w:gutter="0" w:footer="0" w:header="0"/>
        </w:sectPr>
      </w:pPr>
    </w:p>
    <w:p>
      <w:pPr>
        <w:spacing w:after="0" w:line="362"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Randall L. Tobias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RANDALL L. TOBIAS,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CHAIRMAN OF THE BOARD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DIRECTORS AND CHIEF EXECUTIVE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3965" w:space="100"/>
            <w:col w:w="6159"/>
          </w:cols>
          <w:pgMar w:left="235" w:top="650" w:right="1440" w:bottom="1440" w:gutter="0" w:footer="0" w:header="0"/>
          <w:type w:val="continuous"/>
        </w:sectPr>
      </w:pPr>
    </w:p>
    <w:p>
      <w:pPr>
        <w:spacing w:after="0" w:line="162" w:lineRule="exact"/>
        <w:rPr>
          <w:sz w:val="20"/>
          <w:szCs w:val="20"/>
          <w:color w:val="auto"/>
        </w:rPr>
      </w:pPr>
    </w:p>
    <w:p>
      <w:pPr>
        <w:ind w:left="5" w:right="2939" w:firstLine="185"/>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THIS AMENDMENT TO THE REGISTRATION STATEMENT HAS BEEN SIGNED BY THE FOLLOWING PERSONS IN THE CAPACITIES AND ON THE DATES INDICATED.</w:t>
      </w:r>
    </w:p>
    <w:p>
      <w:pPr>
        <w:sectPr>
          <w:pgSz w:w="11900" w:h="16838" w:orient="portrait"/>
          <w:cols w:equalWidth="0" w:num="1">
            <w:col w:w="10225"/>
          </w:cols>
          <w:pgMar w:left="235" w:top="650" w:right="1440" w:bottom="1440" w:gutter="0" w:footer="0" w:header="0"/>
          <w:type w:val="continuous"/>
        </w:sectPr>
      </w:pPr>
    </w:p>
    <w:p>
      <w:pPr>
        <w:spacing w:after="0" w:line="352"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3525" w:space="720"/>
            <w:col w:w="1300" w:space="720"/>
            <w:col w:w="3959"/>
          </w:cols>
          <w:pgMar w:left="235" w:top="650"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/s/ Randall L. Tobias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RANDALL L. TOBIAS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Chief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Executive Officer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and a 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October 26, 1995</w:t>
      </w:r>
    </w:p>
    <w:p>
      <w:pPr>
        <w:spacing w:after="0" w:line="1249" w:lineRule="exact"/>
        <w:rPr>
          <w:sz w:val="20"/>
          <w:szCs w:val="20"/>
          <w:color w:val="auto"/>
        </w:rPr>
      </w:pPr>
    </w:p>
    <w:p>
      <w:pPr>
        <w:sectPr>
          <w:pgSz w:w="11900" w:h="16838" w:orient="portrait"/>
          <w:cols w:equalWidth="0" w:num="3">
            <w:col w:w="3505" w:space="0"/>
            <w:col w:w="1940" w:space="360"/>
            <w:col w:w="4419"/>
          </w:cols>
          <w:pgMar w:left="235" w:top="650" w:right="1440" w:bottom="1440" w:gutter="0" w:footer="0" w:header="0"/>
          <w:type w:val="continuous"/>
        </w:sectPr>
      </w:pPr>
    </w:p>
    <w:p>
      <w:pPr>
        <w:ind w:left="545"/>
        <w:spacing w:after="0"/>
        <w:rPr>
          <w:sz w:val="20"/>
          <w:szCs w:val="20"/>
          <w:color w:val="auto"/>
        </w:rPr>
      </w:pPr>
      <w:r>
        <w:rPr>
          <w:rFonts w:ascii="Courier New" w:cs="Courier New" w:eastAsia="Courier New" w:hAnsi="Courier New"/>
          <w:sz w:val="15"/>
          <w:szCs w:val="15"/>
          <w:color w:val="auto"/>
        </w:rPr>
        <w:t>/s/ Sidney Taurel*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SIDNEY TAUREL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President, and a</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3505" w:space="0"/>
            <w:col w:w="6719"/>
          </w:cols>
          <w:pgMar w:left="235" w:top="650" w:right="1440" w:bottom="1440" w:gutter="0" w:footer="0" w:header="0"/>
          <w:type w:val="continuous"/>
        </w:sectPr>
      </w:pPr>
    </w:p>
    <w:p>
      <w:pPr>
        <w:spacing w:after="0" w:line="162"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/s/ Arnold C. Hanish*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ARNOLD C. HANISH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 (principal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accounting</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sectPr>
          <w:pgSz w:w="11900" w:h="16838" w:orient="portrait"/>
          <w:cols w:equalWidth="0" w:num="2">
            <w:col w:w="3505" w:space="0"/>
            <w:col w:w="6719"/>
          </w:cols>
          <w:pgMar w:left="235" w:top="650" w:right="1440" w:bottom="1440" w:gutter="0" w:footer="0" w:header="0"/>
          <w:type w:val="continuous"/>
        </w:sectPr>
      </w:pPr>
    </w:p>
    <w:p>
      <w:pPr>
        <w:ind w:left="85"/>
        <w:spacing w:after="0"/>
        <w:rPr>
          <w:sz w:val="20"/>
          <w:szCs w:val="20"/>
          <w:color w:val="auto"/>
        </w:rPr>
      </w:pPr>
      <w:r>
        <w:rPr>
          <w:rFonts w:ascii="Courier New" w:cs="Courier New" w:eastAsia="Courier New" w:hAnsi="Courier New"/>
          <w:sz w:val="15"/>
          <w:szCs w:val="15"/>
          <w:color w:val="auto"/>
        </w:rPr>
        <w:t>/s/ Steven C. Beering,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2785" w:space="720"/>
            <w:col w:w="6719"/>
          </w:cols>
          <w:pgMar w:left="235" w:top="650" w:right="1440" w:bottom="1440" w:gutter="0" w:footer="0" w:header="0"/>
          <w:type w:val="continuous"/>
        </w:sectPr>
      </w:pPr>
    </w:p>
    <w:p>
      <w:pPr>
        <w:ind w:left="185" w:hanging="185"/>
        <w:spacing w:after="0"/>
        <w:tabs>
          <w:tab w:leader="none" w:pos="18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STEVEN C. BEERING, M.D.</w:t>
      </w:r>
    </w:p>
    <w:p>
      <w:pPr>
        <w:spacing w:after="0" w:line="362" w:lineRule="exact"/>
        <w:rPr>
          <w:sz w:val="20"/>
          <w:szCs w:val="20"/>
          <w:color w:val="auto"/>
        </w:rPr>
      </w:pPr>
    </w:p>
    <w:p>
      <w:pPr>
        <w:ind w:left="545"/>
        <w:spacing w:after="0"/>
        <w:tabs>
          <w:tab w:leader="none" w:pos="3485" w:val="left"/>
        </w:tabs>
        <w:rPr>
          <w:sz w:val="20"/>
          <w:szCs w:val="20"/>
          <w:color w:val="auto"/>
        </w:rPr>
      </w:pPr>
      <w:r>
        <w:rPr>
          <w:rFonts w:ascii="Courier New" w:cs="Courier New" w:eastAsia="Courier New" w:hAnsi="Courier New"/>
          <w:sz w:val="15"/>
          <w:szCs w:val="15"/>
          <w:color w:val="auto"/>
        </w:rPr>
        <w:t>/s/ James W. Cozad*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W. COZAD</w:t>
      </w:r>
    </w:p>
    <w:p>
      <w:pPr>
        <w:spacing w:after="0" w:line="362" w:lineRule="exact"/>
        <w:rPr>
          <w:sz w:val="20"/>
          <w:szCs w:val="20"/>
          <w:color w:val="auto"/>
        </w:rPr>
      </w:pPr>
    </w:p>
    <w:p>
      <w:pPr>
        <w:ind w:left="85"/>
        <w:spacing w:after="0"/>
        <w:tabs>
          <w:tab w:leader="none" w:pos="3485" w:val="left"/>
        </w:tabs>
        <w:rPr>
          <w:sz w:val="20"/>
          <w:szCs w:val="20"/>
          <w:color w:val="auto"/>
        </w:rPr>
      </w:pPr>
      <w:r>
        <w:rPr>
          <w:rFonts w:ascii="Courier New" w:cs="Courier New" w:eastAsia="Courier New" w:hAnsi="Courier New"/>
          <w:sz w:val="15"/>
          <w:szCs w:val="15"/>
          <w:color w:val="auto"/>
        </w:rPr>
        <w:t>/s/ Alfred G. Gilman, M.D. Ph.D.*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ALFRED G. GILMAN, M.D., PH.D.</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5"/>
          </w:cols>
          <w:pgMar w:left="235" w:top="650" w:right="1440" w:bottom="1440" w:gutter="0" w:footer="0" w:header="0"/>
          <w:type w:val="continuous"/>
        </w:sectPr>
      </w:pPr>
    </w:p>
    <w:bookmarkStart w:id="162" w:name="page163"/>
    <w:bookmarkEnd w:id="162"/>
    <w:p>
      <w:pPr>
        <w:ind w:left="100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705" w:space="720"/>
            <w:col w:w="1120" w:space="720"/>
            <w:col w:w="3959"/>
          </w:cols>
          <w:pgMar w:left="235" w:top="1005" w:right="1440" w:bottom="1440" w:gutter="0" w:footer="0" w:header="0"/>
        </w:sectPr>
      </w:pPr>
    </w:p>
    <w:p>
      <w:pPr>
        <w:spacing w:after="0" w:line="162"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/s/ Karen N. Horn, Ph.D*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3345" w:space="720"/>
            <w:col w:w="6159"/>
          </w:cols>
          <w:pgMar w:left="235" w:top="1005" w:right="1440" w:bottom="1440" w:gutter="0" w:footer="0" w:header="0"/>
          <w:type w:val="continuous"/>
        </w:sectPr>
      </w:pPr>
    </w:p>
    <w:p>
      <w:pPr>
        <w:ind w:left="185" w:hanging="185"/>
        <w:spacing w:after="0"/>
        <w:tabs>
          <w:tab w:leader="none" w:pos="18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KAREN N. HORN, PH.D</w:t>
      </w:r>
    </w:p>
    <w:p>
      <w:pPr>
        <w:spacing w:after="0" w:line="362" w:lineRule="exact"/>
        <w:rPr>
          <w:sz w:val="20"/>
          <w:szCs w:val="20"/>
          <w:color w:val="auto"/>
        </w:rPr>
      </w:pPr>
    </w:p>
    <w:p>
      <w:pPr>
        <w:ind w:left="285"/>
        <w:spacing w:after="0"/>
        <w:tabs>
          <w:tab w:leader="none" w:pos="4045" w:val="left"/>
        </w:tabs>
        <w:rPr>
          <w:sz w:val="20"/>
          <w:szCs w:val="20"/>
          <w:color w:val="auto"/>
        </w:rPr>
      </w:pPr>
      <w:r>
        <w:rPr>
          <w:rFonts w:ascii="Courier New" w:cs="Courier New" w:eastAsia="Courier New" w:hAnsi="Courier New"/>
          <w:sz w:val="15"/>
          <w:szCs w:val="15"/>
          <w:color w:val="auto"/>
        </w:rPr>
        <w:t>/s/ J. Clayburn La Force Jr., Ph.D.*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 CLAYBURN LA FORCE JR., PH.D.</w:t>
      </w:r>
    </w:p>
    <w:p>
      <w:pPr>
        <w:spacing w:after="0" w:line="362" w:lineRule="exact"/>
        <w:rPr>
          <w:sz w:val="20"/>
          <w:szCs w:val="20"/>
          <w:color w:val="auto"/>
        </w:rPr>
      </w:pPr>
    </w:p>
    <w:p>
      <w:pPr>
        <w:ind w:left="185"/>
        <w:spacing w:after="0"/>
        <w:tabs>
          <w:tab w:leader="none" w:pos="4045" w:val="left"/>
        </w:tabs>
        <w:rPr>
          <w:sz w:val="20"/>
          <w:szCs w:val="20"/>
          <w:color w:val="auto"/>
        </w:rPr>
      </w:pPr>
      <w:r>
        <w:rPr>
          <w:rFonts w:ascii="Courier New" w:cs="Courier New" w:eastAsia="Courier New" w:hAnsi="Courier New"/>
          <w:sz w:val="15"/>
          <w:szCs w:val="15"/>
          <w:color w:val="auto"/>
        </w:rPr>
        <w:t>/s/ Kenneth L. Lay, Ph.D.*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6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KENNETH L. LAY, PH.D.</w:t>
      </w:r>
    </w:p>
    <w:p>
      <w:pPr>
        <w:spacing w:after="0" w:line="362" w:lineRule="exact"/>
        <w:rPr>
          <w:sz w:val="20"/>
          <w:szCs w:val="20"/>
          <w:color w:val="auto"/>
        </w:rPr>
      </w:pPr>
    </w:p>
    <w:p>
      <w:pPr>
        <w:ind w:left="85"/>
        <w:spacing w:after="0"/>
        <w:tabs>
          <w:tab w:leader="none" w:pos="4045" w:val="left"/>
        </w:tabs>
        <w:rPr>
          <w:sz w:val="20"/>
          <w:szCs w:val="20"/>
          <w:color w:val="auto"/>
        </w:rPr>
      </w:pPr>
      <w:r>
        <w:rPr>
          <w:rFonts w:ascii="Courier New" w:cs="Courier New" w:eastAsia="Courier New" w:hAnsi="Courier New"/>
          <w:sz w:val="15"/>
          <w:szCs w:val="15"/>
          <w:color w:val="auto"/>
        </w:rPr>
        <w:t>/s/ Franklyn G. Prendergast, M.D., Ph.D.*</w:t>
        <w:tab/>
        <w:t>Director</w:t>
      </w:r>
    </w:p>
    <w:p>
      <w:pPr>
        <w:spacing w:after="0" w:line="8" w:lineRule="exact"/>
        <w:rPr>
          <w:sz w:val="20"/>
          <w:szCs w:val="20"/>
          <w:color w:val="auto"/>
        </w:rPr>
      </w:pPr>
    </w:p>
    <w:p>
      <w:pPr>
        <w:ind w:left="185" w:hanging="185"/>
        <w:spacing w:after="0"/>
        <w:tabs>
          <w:tab w:leader="none" w:pos="18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FRANKLYN G. PRENDERGAST, M.D., PH.D.</w:t>
      </w:r>
    </w:p>
    <w:p>
      <w:pPr>
        <w:spacing w:after="0" w:line="200" w:lineRule="exact"/>
        <w:rPr>
          <w:sz w:val="20"/>
          <w:szCs w:val="20"/>
          <w:color w:val="auto"/>
        </w:rPr>
      </w:pPr>
    </w:p>
    <w:p>
      <w:pPr>
        <w:spacing w:after="0" w:line="340" w:lineRule="exact"/>
        <w:rPr>
          <w:sz w:val="20"/>
          <w:szCs w:val="20"/>
          <w:color w:val="auto"/>
        </w:rPr>
      </w:pPr>
    </w:p>
    <w:p>
      <w:pPr>
        <w:ind w:left="465"/>
        <w:spacing w:after="0"/>
        <w:tabs>
          <w:tab w:leader="none" w:pos="4045" w:val="left"/>
        </w:tabs>
        <w:rPr>
          <w:sz w:val="20"/>
          <w:szCs w:val="20"/>
          <w:color w:val="auto"/>
        </w:rPr>
      </w:pPr>
      <w:r>
        <w:rPr>
          <w:rFonts w:ascii="Courier New" w:cs="Courier New" w:eastAsia="Courier New" w:hAnsi="Courier New"/>
          <w:sz w:val="15"/>
          <w:szCs w:val="15"/>
          <w:color w:val="auto"/>
        </w:rPr>
        <w:t>/s/ Kathi P. Seifert*</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KATHI P. SEIFERT</w:t>
      </w:r>
    </w:p>
    <w:p>
      <w:pPr>
        <w:spacing w:after="0" w:line="362" w:lineRule="exact"/>
        <w:rPr>
          <w:sz w:val="20"/>
          <w:szCs w:val="20"/>
          <w:color w:val="auto"/>
        </w:rPr>
      </w:pPr>
    </w:p>
    <w:p>
      <w:pPr>
        <w:ind w:left="85"/>
        <w:spacing w:after="0"/>
        <w:tabs>
          <w:tab w:leader="none" w:pos="4045" w:val="left"/>
        </w:tabs>
        <w:rPr>
          <w:sz w:val="20"/>
          <w:szCs w:val="20"/>
          <w:color w:val="auto"/>
        </w:rPr>
      </w:pPr>
      <w:r>
        <w:rPr>
          <w:rFonts w:ascii="Courier New" w:cs="Courier New" w:eastAsia="Courier New" w:hAnsi="Courier New"/>
          <w:sz w:val="15"/>
          <w:szCs w:val="15"/>
          <w:color w:val="auto"/>
        </w:rPr>
        <w:t>/s/ August M. Watanabe, M.D.*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AUGUST M. WATANABE, M.D.</w:t>
      </w:r>
    </w:p>
    <w:p>
      <w:pPr>
        <w:spacing w:after="0" w:line="362" w:lineRule="exact"/>
        <w:rPr>
          <w:sz w:val="20"/>
          <w:szCs w:val="20"/>
          <w:color w:val="auto"/>
        </w:rPr>
      </w:pPr>
    </w:p>
    <w:p>
      <w:pPr>
        <w:jc w:val="right"/>
        <w:ind w:right="5419"/>
        <w:spacing w:after="0"/>
        <w:tabs>
          <w:tab w:leader="none" w:pos="720" w:val="left"/>
        </w:tabs>
        <w:rPr>
          <w:sz w:val="20"/>
          <w:szCs w:val="20"/>
          <w:color w:val="auto"/>
        </w:rPr>
      </w:pPr>
      <w:r>
        <w:rPr>
          <w:rFonts w:ascii="Courier New" w:cs="Courier New" w:eastAsia="Courier New" w:hAnsi="Courier New"/>
          <w:sz w:val="15"/>
          <w:szCs w:val="15"/>
          <w:color w:val="auto"/>
        </w:rPr>
        <w:t>/s/ Alva O. Way*</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1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ALVA O. WAY</w:t>
      </w:r>
    </w:p>
    <w:p>
      <w:pPr>
        <w:spacing w:after="0" w:line="362" w:lineRule="exact"/>
        <w:rPr>
          <w:sz w:val="20"/>
          <w:szCs w:val="20"/>
          <w:color w:val="auto"/>
        </w:rPr>
      </w:pPr>
    </w:p>
    <w:p>
      <w:pPr>
        <w:ind w:left="465"/>
        <w:spacing w:after="0"/>
        <w:tabs>
          <w:tab w:leader="none" w:pos="4045" w:val="left"/>
        </w:tabs>
        <w:rPr>
          <w:sz w:val="20"/>
          <w:szCs w:val="20"/>
          <w:color w:val="auto"/>
        </w:rPr>
      </w:pPr>
      <w:r>
        <w:rPr>
          <w:rFonts w:ascii="Courier New" w:cs="Courier New" w:eastAsia="Courier New" w:hAnsi="Courier New"/>
          <w:sz w:val="15"/>
          <w:szCs w:val="15"/>
          <w:color w:val="auto"/>
        </w:rPr>
        <w:t>/s/ Richard D. Wood*</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D. WOOD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
        <w:spacing w:after="0"/>
        <w:tabs>
          <w:tab w:leader="none" w:pos="62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Randall L. Tobias</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RANDALL L. TOBIAS ATTORNEY-IN-FACT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5"/>
          </w:cols>
          <w:pgMar w:left="235" w:top="1005" w:right="1440" w:bottom="1440" w:gutter="0" w:footer="0" w:header="0"/>
          <w:type w:val="continuous"/>
        </w:sectPr>
      </w:pPr>
    </w:p>
    <w:bookmarkStart w:id="163" w:name="page164"/>
    <w:bookmarkEnd w:id="163"/>
    <w:p>
      <w:pPr>
        <w:jc w:val="center"/>
        <w:ind w:right="3014"/>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jc w:val="both"/>
        <w:ind w:left="5" w:right="3019" w:firstLine="185"/>
        <w:spacing w:after="0" w:line="251"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AMENDMENT TO THE REGISTRATION STATEMENT TO BE SIGNED ON ITS BEHALF BY THE UNDERSIGNED, THEREUNTO DULY AUTHORIZED, IN THE CITY OF GOLDEN, STATE OF COLORADO, ON OCTOBER 26, 1995.</w:t>
      </w:r>
    </w:p>
    <w:p>
      <w:pPr>
        <w:spacing w:after="0" w:line="176"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Integrated Medical Systems, Inc.</w:t>
      </w:r>
    </w:p>
    <w:p>
      <w:pPr>
        <w:sectPr>
          <w:pgSz w:w="11900" w:h="16838" w:orient="portrait"/>
          <w:cols w:equalWidth="0" w:num="1">
            <w:col w:w="10225"/>
          </w:cols>
          <w:pgMar w:left="235" w:top="650" w:right="1440" w:bottom="1440" w:gutter="0" w:footer="0" w:header="0"/>
        </w:sectPr>
      </w:pPr>
    </w:p>
    <w:p>
      <w:pPr>
        <w:spacing w:after="0" w:line="362"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Kevin R. Green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KEVIN R. GREEN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4065" w:space="180"/>
            <w:col w:w="5979"/>
          </w:cols>
          <w:pgMar w:left="235" w:top="650" w:right="1440" w:bottom="1440" w:gutter="0" w:footer="0" w:header="0"/>
          <w:type w:val="continuous"/>
        </w:sectPr>
      </w:pPr>
    </w:p>
    <w:p>
      <w:pPr>
        <w:spacing w:after="0" w:line="162" w:lineRule="exact"/>
        <w:rPr>
          <w:sz w:val="20"/>
          <w:szCs w:val="20"/>
          <w:color w:val="auto"/>
        </w:rPr>
      </w:pPr>
    </w:p>
    <w:p>
      <w:pPr>
        <w:jc w:val="both"/>
        <w:ind w:left="5" w:right="3119" w:firstLine="185"/>
        <w:spacing w:after="0" w:line="252" w:lineRule="auto"/>
        <w:rPr>
          <w:sz w:val="20"/>
          <w:szCs w:val="20"/>
          <w:color w:val="auto"/>
        </w:rPr>
      </w:pPr>
      <w:r>
        <w:rPr>
          <w:rFonts w:ascii="Courier New" w:cs="Courier New" w:eastAsia="Courier New" w:hAnsi="Courier New"/>
          <w:sz w:val="15"/>
          <w:szCs w:val="15"/>
          <w:color w:val="auto"/>
        </w:rPr>
        <w:t>PURSUANT TO THE REQUIREMENTS OF THE SECURITIES ACT OF 1933, THIS AMENDMENT TO THE REGISTRATION STATEMENT HAS BEEN SIGNED BY THE FOLLOWING PERSONS IN THE CAPACITIES AND ON THE DATES INDICATED.</w:t>
      </w:r>
    </w:p>
    <w:p>
      <w:pPr>
        <w:sectPr>
          <w:pgSz w:w="11900" w:h="16838" w:orient="portrait"/>
          <w:cols w:equalWidth="0" w:num="1">
            <w:col w:w="10225"/>
          </w:cols>
          <w:pgMar w:left="235" w:top="650"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3">
            <w:col w:w="3625" w:space="720"/>
            <w:col w:w="1300" w:space="720"/>
            <w:col w:w="3859"/>
          </w:cols>
          <w:pgMar w:left="235" w:top="650" w:right="1440" w:bottom="1440" w:gutter="0" w:footer="0" w:header="0"/>
          <w:type w:val="continuous"/>
        </w:sectPr>
      </w:pPr>
    </w:p>
    <w:p>
      <w:pPr>
        <w:ind w:left="645"/>
        <w:spacing w:after="0"/>
        <w:rPr>
          <w:sz w:val="20"/>
          <w:szCs w:val="20"/>
          <w:color w:val="auto"/>
        </w:rPr>
      </w:pPr>
      <w:r>
        <w:rPr>
          <w:rFonts w:ascii="Courier New" w:cs="Courier New" w:eastAsia="Courier New" w:hAnsi="Courier New"/>
          <w:sz w:val="15"/>
          <w:szCs w:val="15"/>
          <w:color w:val="auto"/>
        </w:rPr>
        <w:t>/s/ Kevin R. Green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KEVIN R. GREEN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 and Chief</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Executive Officer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and a Director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(principal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October 26, 1995</w:t>
      </w:r>
    </w:p>
    <w:p>
      <w:pPr>
        <w:spacing w:after="0" w:line="894" w:lineRule="exact"/>
        <w:rPr>
          <w:sz w:val="20"/>
          <w:szCs w:val="20"/>
          <w:color w:val="auto"/>
        </w:rPr>
      </w:pPr>
    </w:p>
    <w:p>
      <w:pPr>
        <w:sectPr>
          <w:pgSz w:w="11900" w:h="16838" w:orient="portrait"/>
          <w:cols w:equalWidth="0" w:num="3">
            <w:col w:w="3605" w:space="0"/>
            <w:col w:w="1840" w:space="560"/>
            <w:col w:w="4219"/>
          </w:cols>
          <w:pgMar w:left="235" w:top="650" w:right="1440" w:bottom="1440" w:gutter="0" w:footer="0" w:header="0"/>
          <w:type w:val="continuous"/>
        </w:sectPr>
      </w:pPr>
    </w:p>
    <w:p>
      <w:pPr>
        <w:ind w:left="545"/>
        <w:spacing w:after="0"/>
        <w:rPr>
          <w:sz w:val="20"/>
          <w:szCs w:val="20"/>
          <w:color w:val="auto"/>
        </w:rPr>
      </w:pPr>
      <w:r>
        <w:rPr>
          <w:rFonts w:ascii="Courier New" w:cs="Courier New" w:eastAsia="Courier New" w:hAnsi="Courier New"/>
          <w:sz w:val="15"/>
          <w:szCs w:val="15"/>
          <w:color w:val="auto"/>
        </w:rPr>
        <w:t>/s/ Charles I. Brown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CHARLES I. BROWN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Chief Financial</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Officer and a</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Director (principal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October 26, 1995</w:t>
      </w:r>
    </w:p>
    <w:p>
      <w:pPr>
        <w:spacing w:after="0" w:line="717" w:lineRule="exact"/>
        <w:rPr>
          <w:sz w:val="20"/>
          <w:szCs w:val="20"/>
          <w:color w:val="auto"/>
        </w:rPr>
      </w:pPr>
    </w:p>
    <w:p>
      <w:pPr>
        <w:sectPr>
          <w:pgSz w:w="11900" w:h="16838" w:orient="portrait"/>
          <w:cols w:equalWidth="0" w:num="3">
            <w:col w:w="3605" w:space="0"/>
            <w:col w:w="1840" w:space="560"/>
            <w:col w:w="4219"/>
          </w:cols>
          <w:pgMar w:left="235" w:top="650"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/s/ Richard J. Smeltz*</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RICHARD J. SMELTZ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Finance (principal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3605" w:space="0"/>
            <w:col w:w="6619"/>
          </w:cols>
          <w:pgMar w:left="235" w:top="650" w:right="1440" w:bottom="1440" w:gutter="0" w:footer="0" w:header="0"/>
          <w:type w:val="continuous"/>
        </w:sectPr>
      </w:pPr>
    </w:p>
    <w:p>
      <w:pPr>
        <w:spacing w:after="0" w:line="162"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/s/ James A. Larson*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2885" w:space="720"/>
            <w:col w:w="6619"/>
          </w:cols>
          <w:pgMar w:left="235" w:top="650" w:right="1440" w:bottom="1440" w:gutter="0" w:footer="0" w:header="0"/>
          <w:type w:val="continuous"/>
        </w:sectPr>
      </w:pPr>
    </w:p>
    <w:p>
      <w:pPr>
        <w:ind w:left="185" w:hanging="185"/>
        <w:spacing w:after="0"/>
        <w:tabs>
          <w:tab w:leader="none" w:pos="18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A. LARSON</w:t>
      </w:r>
    </w:p>
    <w:p>
      <w:pPr>
        <w:spacing w:after="0" w:line="362" w:lineRule="exact"/>
        <w:rPr>
          <w:sz w:val="20"/>
          <w:szCs w:val="20"/>
          <w:color w:val="auto"/>
        </w:rPr>
      </w:pPr>
    </w:p>
    <w:p>
      <w:pPr>
        <w:ind w:left="545"/>
        <w:spacing w:after="0"/>
        <w:tabs>
          <w:tab w:leader="none" w:pos="3585" w:val="left"/>
        </w:tabs>
        <w:rPr>
          <w:sz w:val="20"/>
          <w:szCs w:val="20"/>
          <w:color w:val="auto"/>
        </w:rPr>
      </w:pPr>
      <w:r>
        <w:rPr>
          <w:rFonts w:ascii="Courier New" w:cs="Courier New" w:eastAsia="Courier New" w:hAnsi="Courier New"/>
          <w:sz w:val="15"/>
          <w:szCs w:val="15"/>
          <w:color w:val="auto"/>
        </w:rPr>
        <w:t>/s/ Alan S. Danson*</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S. DANSON</w:t>
      </w:r>
    </w:p>
    <w:p>
      <w:pPr>
        <w:spacing w:after="0" w:line="362" w:lineRule="exact"/>
        <w:rPr>
          <w:sz w:val="20"/>
          <w:szCs w:val="20"/>
          <w:color w:val="auto"/>
        </w:rPr>
      </w:pPr>
    </w:p>
    <w:p>
      <w:pPr>
        <w:ind w:left="365"/>
        <w:spacing w:after="0"/>
        <w:tabs>
          <w:tab w:leader="none" w:pos="3585" w:val="left"/>
        </w:tabs>
        <w:rPr>
          <w:sz w:val="20"/>
          <w:szCs w:val="20"/>
          <w:color w:val="auto"/>
        </w:rPr>
      </w:pPr>
      <w:r>
        <w:rPr>
          <w:rFonts w:ascii="Courier New" w:cs="Courier New" w:eastAsia="Courier New" w:hAnsi="Courier New"/>
          <w:sz w:val="15"/>
          <w:szCs w:val="15"/>
          <w:color w:val="auto"/>
        </w:rPr>
        <w:t>/s/ John W. Hanes, Jr.*</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W. HANES, JR.</w:t>
      </w:r>
    </w:p>
    <w:p>
      <w:pPr>
        <w:spacing w:after="0" w:line="362"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5"/>
          </w:cols>
          <w:pgMar w:left="235" w:top="650" w:right="1440" w:bottom="1440" w:gutter="0" w:footer="0" w:header="0"/>
          <w:type w:val="continuous"/>
        </w:sectPr>
      </w:pPr>
    </w:p>
    <w:bookmarkStart w:id="164" w:name="page165"/>
    <w:bookmarkEnd w:id="164"/>
    <w:p>
      <w:pPr>
        <w:ind w:left="1285"/>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705" w:space="720"/>
            <w:col w:w="1220" w:space="720"/>
            <w:col w:w="3859"/>
          </w:cols>
          <w:pgMar w:left="235" w:top="1005" w:right="1440" w:bottom="1440" w:gutter="0" w:footer="0" w:header="0"/>
        </w:sectPr>
      </w:pPr>
    </w:p>
    <w:p>
      <w:pPr>
        <w:spacing w:after="0" w:line="162"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/s/ David R. Holbrooke*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8" w:lineRule="exact"/>
        <w:rPr>
          <w:sz w:val="20"/>
          <w:szCs w:val="20"/>
          <w:color w:val="auto"/>
        </w:rPr>
      </w:pPr>
    </w:p>
    <w:p>
      <w:pPr>
        <w:sectPr>
          <w:pgSz w:w="11900" w:h="16838" w:orient="portrait"/>
          <w:cols w:equalWidth="0" w:num="2">
            <w:col w:w="2965" w:space="720"/>
            <w:col w:w="6539"/>
          </w:cols>
          <w:pgMar w:left="235" w:top="1005" w:right="1440" w:bottom="1440" w:gutter="0" w:footer="0" w:header="0"/>
          <w:type w:val="continuous"/>
        </w:sectPr>
      </w:pPr>
    </w:p>
    <w:p>
      <w:pPr>
        <w:ind w:left="185" w:hanging="185"/>
        <w:spacing w:after="0"/>
        <w:tabs>
          <w:tab w:leader="none" w:pos="18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R. HOLBROOKE</w:t>
      </w:r>
    </w:p>
    <w:p>
      <w:pPr>
        <w:spacing w:after="0" w:line="362" w:lineRule="exact"/>
        <w:rPr>
          <w:sz w:val="20"/>
          <w:szCs w:val="20"/>
          <w:color w:val="auto"/>
        </w:rPr>
      </w:pPr>
    </w:p>
    <w:p>
      <w:pPr>
        <w:jc w:val="right"/>
        <w:ind w:right="5799"/>
        <w:spacing w:after="0"/>
        <w:tabs>
          <w:tab w:leader="none" w:pos="720" w:val="left"/>
        </w:tabs>
        <w:rPr>
          <w:sz w:val="20"/>
          <w:szCs w:val="20"/>
          <w:color w:val="auto"/>
        </w:rPr>
      </w:pPr>
      <w:r>
        <w:rPr>
          <w:rFonts w:ascii="Courier New" w:cs="Courier New" w:eastAsia="Courier New" w:hAnsi="Courier New"/>
          <w:sz w:val="15"/>
          <w:szCs w:val="15"/>
          <w:color w:val="auto"/>
        </w:rPr>
        <w:t>/s/ Michael S. Hunt*</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S. HUNT</w:t>
      </w:r>
    </w:p>
    <w:p>
      <w:pPr>
        <w:spacing w:after="0" w:line="362" w:lineRule="exact"/>
        <w:rPr>
          <w:sz w:val="20"/>
          <w:szCs w:val="20"/>
          <w:color w:val="auto"/>
        </w:rPr>
      </w:pPr>
    </w:p>
    <w:p>
      <w:pPr>
        <w:jc w:val="right"/>
        <w:ind w:right="5799"/>
        <w:spacing w:after="0"/>
        <w:tabs>
          <w:tab w:leader="none" w:pos="720" w:val="left"/>
        </w:tabs>
        <w:rPr>
          <w:sz w:val="20"/>
          <w:szCs w:val="20"/>
          <w:color w:val="auto"/>
        </w:rPr>
      </w:pPr>
      <w:r>
        <w:rPr>
          <w:rFonts w:ascii="Courier New" w:cs="Courier New" w:eastAsia="Courier New" w:hAnsi="Courier New"/>
          <w:sz w:val="15"/>
          <w:szCs w:val="15"/>
          <w:color w:val="auto"/>
        </w:rPr>
        <w:t>/s/ John A. McChesney*</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A. MCCHESNEY</w:t>
      </w:r>
    </w:p>
    <w:p>
      <w:pPr>
        <w:spacing w:after="0" w:line="362" w:lineRule="exact"/>
        <w:rPr>
          <w:sz w:val="20"/>
          <w:szCs w:val="20"/>
          <w:color w:val="auto"/>
        </w:rPr>
      </w:pPr>
    </w:p>
    <w:p>
      <w:pPr>
        <w:jc w:val="right"/>
        <w:ind w:right="5799"/>
        <w:spacing w:after="0"/>
        <w:tabs>
          <w:tab w:leader="none" w:pos="720" w:val="left"/>
        </w:tabs>
        <w:rPr>
          <w:sz w:val="20"/>
          <w:szCs w:val="20"/>
          <w:color w:val="auto"/>
        </w:rPr>
      </w:pPr>
      <w:r>
        <w:rPr>
          <w:rFonts w:ascii="Courier New" w:cs="Courier New" w:eastAsia="Courier New" w:hAnsi="Courier New"/>
          <w:sz w:val="15"/>
          <w:szCs w:val="15"/>
          <w:color w:val="auto"/>
        </w:rPr>
        <w:t>/s/ Kevin E. Moley*</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KEVIN E. MOLEY</w:t>
      </w:r>
    </w:p>
    <w:p>
      <w:pPr>
        <w:spacing w:after="0" w:line="362" w:lineRule="exact"/>
        <w:rPr>
          <w:sz w:val="20"/>
          <w:szCs w:val="20"/>
          <w:color w:val="auto"/>
        </w:rPr>
      </w:pPr>
    </w:p>
    <w:p>
      <w:pPr>
        <w:jc w:val="right"/>
        <w:ind w:right="5799"/>
        <w:spacing w:after="0"/>
        <w:tabs>
          <w:tab w:leader="none" w:pos="720" w:val="left"/>
        </w:tabs>
        <w:rPr>
          <w:sz w:val="20"/>
          <w:szCs w:val="20"/>
          <w:color w:val="auto"/>
        </w:rPr>
      </w:pPr>
      <w:r>
        <w:rPr>
          <w:rFonts w:ascii="Courier New" w:cs="Courier New" w:eastAsia="Courier New" w:hAnsi="Courier New"/>
          <w:sz w:val="15"/>
          <w:szCs w:val="15"/>
          <w:color w:val="auto"/>
        </w:rPr>
        <w:t>/s/ James T. Murphy*</w:t>
      </w:r>
      <w:r>
        <w:rPr>
          <w:sz w:val="20"/>
          <w:szCs w:val="20"/>
          <w:color w:val="auto"/>
        </w:rPr>
        <w:tab/>
      </w:r>
      <w:r>
        <w:rPr>
          <w:rFonts w:ascii="Courier New" w:cs="Courier New" w:eastAsia="Courier New" w:hAnsi="Courier New"/>
          <w:sz w:val="15"/>
          <w:szCs w:val="15"/>
          <w:color w:val="auto"/>
        </w:rPr>
        <w:t>Director</w:t>
      </w:r>
    </w:p>
    <w:p>
      <w:pPr>
        <w:spacing w:after="0" w:line="8" w:lineRule="exact"/>
        <w:rPr>
          <w:sz w:val="20"/>
          <w:szCs w:val="20"/>
          <w:color w:val="auto"/>
        </w:rPr>
      </w:pPr>
    </w:p>
    <w:p>
      <w:pPr>
        <w:ind w:left="185" w:hanging="185"/>
        <w:spacing w:after="0"/>
        <w:tabs>
          <w:tab w:leader="none" w:pos="18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T. MURPHY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By /s/ Charles I. Brown</w:t>
      </w:r>
    </w:p>
    <w:p>
      <w:pPr>
        <w:spacing w:after="0" w:line="8"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CHARLES I. BROWN</w:t>
      </w:r>
    </w:p>
    <w:p>
      <w:pPr>
        <w:spacing w:after="0" w:line="8"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ATTORNEY-IN-FACT</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5"/>
          </w:cols>
          <w:pgMar w:left="235" w:top="1005" w:right="1440" w:bottom="1440" w:gutter="0" w:footer="0" w:header="0"/>
          <w:type w:val="continuous"/>
        </w:sectPr>
      </w:pPr>
    </w:p>
    <w:bookmarkStart w:id="165" w:name="page166"/>
    <w:bookmarkEnd w:id="165"/>
    <w:p>
      <w:pPr>
        <w:jc w:val="right"/>
        <w:ind w:right="2839"/>
        <w:spacing w:after="0"/>
        <w:rPr>
          <w:sz w:val="20"/>
          <w:szCs w:val="20"/>
          <w:color w:val="auto"/>
        </w:rPr>
      </w:pPr>
      <w:r>
        <w:rPr>
          <w:rFonts w:ascii="Courier New" w:cs="Courier New" w:eastAsia="Courier New" w:hAnsi="Courier New"/>
          <w:sz w:val="15"/>
          <w:szCs w:val="15"/>
          <w:color w:val="auto"/>
        </w:rPr>
        <w:t>Exhibit 10.18</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JOINT VENTURE AGREEMENT</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THIS JOINT VENTURE AGREEMENT is made and entered into as of May 15, 1992, by and between HFN, Inc., an Illinois corporation ("HFN"), Integrated Medical Systems, Inc., a Colorado corporation ("IMS"), IMS-NET of Illinois, Inc., an Illinois corporation ("IMS-NET"), and HFN Information Systems, Inc., an Illinois corporation ("HFN Info") (HFN, IMS-NET and HFN Info shall sometimes be collectively referred to herein as the "Shareholders" and individually referred to as a "Shareholder"), and Illinois Medical Information Network, Inc., an Illinois corporation to be formed hereunder (the "Company").</w:t>
      </w:r>
    </w:p>
    <w:p>
      <w:pPr>
        <w:spacing w:after="0" w:line="17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 I T N E S S E T H:</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WHEREAS, HFN markets an array of health care services to members of the health care community and has extensive contacts and good will with various members of the health care community, including hospitals;</w:t>
      </w:r>
    </w:p>
    <w:p>
      <w:pPr>
        <w:spacing w:after="0" w:line="175" w:lineRule="exact"/>
        <w:rPr>
          <w:sz w:val="20"/>
          <w:szCs w:val="20"/>
          <w:color w:val="auto"/>
        </w:rPr>
      </w:pPr>
    </w:p>
    <w:p>
      <w:pPr>
        <w:ind w:right="2839" w:firstLine="923"/>
        <w:spacing w:after="0" w:line="253" w:lineRule="auto"/>
        <w:rPr>
          <w:sz w:val="20"/>
          <w:szCs w:val="20"/>
          <w:color w:val="auto"/>
        </w:rPr>
      </w:pPr>
      <w:r>
        <w:rPr>
          <w:rFonts w:ascii="Courier New" w:cs="Courier New" w:eastAsia="Courier New" w:hAnsi="Courier New"/>
          <w:sz w:val="15"/>
          <w:szCs w:val="15"/>
          <w:color w:val="auto"/>
        </w:rPr>
        <w:t>WHEREAS, IMS establishes and operates medical information networks within health care communities using proprietary technology and business rights;</w:t>
      </w:r>
    </w:p>
    <w:p>
      <w:pPr>
        <w:spacing w:after="0" w:line="174" w:lineRule="exact"/>
        <w:rPr>
          <w:sz w:val="20"/>
          <w:szCs w:val="20"/>
          <w:color w:val="auto"/>
        </w:rPr>
      </w:pPr>
    </w:p>
    <w:p>
      <w:pPr>
        <w:jc w:val="both"/>
        <w:ind w:right="3119" w:firstLine="923"/>
        <w:spacing w:after="0" w:line="251" w:lineRule="auto"/>
        <w:rPr>
          <w:sz w:val="20"/>
          <w:szCs w:val="20"/>
          <w:color w:val="auto"/>
        </w:rPr>
      </w:pPr>
      <w:r>
        <w:rPr>
          <w:rFonts w:ascii="Courier New" w:cs="Courier New" w:eastAsia="Courier New" w:hAnsi="Courier New"/>
          <w:sz w:val="15"/>
          <w:szCs w:val="15"/>
          <w:color w:val="auto"/>
        </w:rPr>
        <w:t>WHEREAS, IMS has established IMS-NET, a wholly-owned subsidiary of IMS, and has transferred to IMS-NET the know-how and certain rights to enable IMS-NET to establish and operate medical information networks in the State of Illinois and certain contiguous areas (as defined herein); and</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WHEREAS, HFN, IMS-NET and HFN Info (an affiliate of HFN) desire to organize the Company under the laws of the State of Illinois for the purpose of owning, operating and marketing a medical information network or networks in the Exclusive Territory (as hereinafter defined), and to operate the Company in accordance with the terms of this Agreement.</w:t>
      </w:r>
    </w:p>
    <w:p>
      <w:pPr>
        <w:spacing w:after="0" w:line="176" w:lineRule="exact"/>
        <w:rPr>
          <w:sz w:val="20"/>
          <w:szCs w:val="20"/>
          <w:color w:val="auto"/>
        </w:rPr>
      </w:pPr>
    </w:p>
    <w:p>
      <w:pPr>
        <w:ind w:right="3679" w:firstLine="923"/>
        <w:spacing w:after="0" w:line="253" w:lineRule="auto"/>
        <w:rPr>
          <w:sz w:val="20"/>
          <w:szCs w:val="20"/>
          <w:color w:val="auto"/>
        </w:rPr>
      </w:pPr>
      <w:r>
        <w:rPr>
          <w:rFonts w:ascii="Courier New" w:cs="Courier New" w:eastAsia="Courier New" w:hAnsi="Courier New"/>
          <w:sz w:val="15"/>
          <w:szCs w:val="15"/>
          <w:color w:val="auto"/>
        </w:rPr>
        <w:t>NOW, THEREFORE, in consideration of the recitals, covenants, conditions and promises contained herein, the parties agree as follows:</w:t>
      </w:r>
    </w:p>
    <w:p>
      <w:pPr>
        <w:spacing w:after="0" w:line="174" w:lineRule="exact"/>
        <w:rPr>
          <w:sz w:val="20"/>
          <w:szCs w:val="20"/>
          <w:color w:val="auto"/>
        </w:rPr>
      </w:pPr>
    </w:p>
    <w:p>
      <w:pPr>
        <w:ind w:left="1280" w:hanging="363"/>
        <w:spacing w:after="0"/>
        <w:tabs>
          <w:tab w:leader="none" w:pos="12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and in addition to</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terms otherwise defined herein, the following terms shall have the meanings set forth below:</w:t>
      </w:r>
    </w:p>
    <w:p>
      <w:pPr>
        <w:sectPr>
          <w:pgSz w:w="11900" w:h="16838" w:orient="portrait"/>
          <w:cols w:equalWidth="0" w:num="1">
            <w:col w:w="10219"/>
          </w:cols>
          <w:pgMar w:left="240" w:top="497" w:right="1440" w:bottom="1440" w:gutter="0" w:footer="0" w:header="0"/>
        </w:sectPr>
      </w:pPr>
    </w:p>
    <w:bookmarkStart w:id="166" w:name="page167"/>
    <w:bookmarkEnd w:id="166"/>
    <w:p>
      <w:pPr>
        <w:ind w:left="920"/>
        <w:spacing w:after="0"/>
        <w:tabs>
          <w:tab w:leader="none" w:pos="1360" w:val="left"/>
          <w:tab w:leader="none" w:pos="2460" w:val="left"/>
        </w:tabs>
        <w:rPr>
          <w:sz w:val="20"/>
          <w:szCs w:val="20"/>
          <w:color w:val="auto"/>
        </w:rPr>
      </w:pPr>
      <w:r>
        <w:rPr>
          <w:rFonts w:ascii="Courier New" w:cs="Courier New" w:eastAsia="Courier New" w:hAnsi="Courier New"/>
          <w:sz w:val="15"/>
          <w:szCs w:val="15"/>
          <w:color w:val="auto"/>
        </w:rPr>
        <w:t>1.1</w:t>
        <w:tab/>
        <w:t>Agreement.</w:t>
        <w:tab/>
        <w:t>"Agreement" means this document dated on the day and</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year appearing in the opening paragraph hereof and all Exhibits attached hereto, as amended from time to time.</w:t>
      </w:r>
    </w:p>
    <w:p>
      <w:pPr>
        <w:spacing w:after="0" w:line="174" w:lineRule="exact"/>
        <w:rPr>
          <w:sz w:val="20"/>
          <w:szCs w:val="20"/>
          <w:color w:val="auto"/>
        </w:rPr>
      </w:pPr>
    </w:p>
    <w:p>
      <w:pPr>
        <w:ind w:left="920"/>
        <w:spacing w:after="0"/>
        <w:tabs>
          <w:tab w:leader="none" w:pos="1360" w:val="left"/>
          <w:tab w:leader="none" w:pos="2280" w:val="left"/>
        </w:tabs>
        <w:rPr>
          <w:sz w:val="20"/>
          <w:szCs w:val="20"/>
          <w:color w:val="auto"/>
        </w:rPr>
      </w:pPr>
      <w:r>
        <w:rPr>
          <w:rFonts w:ascii="Courier New" w:cs="Courier New" w:eastAsia="Courier New" w:hAnsi="Courier New"/>
          <w:sz w:val="15"/>
          <w:szCs w:val="15"/>
          <w:color w:val="auto"/>
        </w:rPr>
        <w:t>1.2</w:t>
        <w:tab/>
        <w:t>Closing.</w:t>
        <w:tab/>
        <w:t>"Closing" shall mean the closings of the various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purchases and sales of the Stock, as hereafter defined, and related transactions pursuant to Paragraphs 2 and 3 of this Agreement.</w:t>
      </w:r>
    </w:p>
    <w:p>
      <w:pPr>
        <w:spacing w:after="0" w:line="174" w:lineRule="exact"/>
        <w:rPr>
          <w:sz w:val="20"/>
          <w:szCs w:val="20"/>
          <w:color w:val="auto"/>
        </w:rPr>
      </w:pPr>
    </w:p>
    <w:p>
      <w:pPr>
        <w:jc w:val="right"/>
        <w:ind w:right="2839"/>
        <w:spacing w:after="0"/>
        <w:tabs>
          <w:tab w:leader="none" w:pos="5980" w:val="left"/>
          <w:tab w:leader="none" w:pos="4040" w:val="left"/>
        </w:tabs>
        <w:rPr>
          <w:sz w:val="20"/>
          <w:szCs w:val="20"/>
          <w:color w:val="auto"/>
        </w:rPr>
      </w:pPr>
      <w:r>
        <w:rPr>
          <w:rFonts w:ascii="Courier New" w:cs="Courier New" w:eastAsia="Courier New" w:hAnsi="Courier New"/>
          <w:sz w:val="15"/>
          <w:szCs w:val="15"/>
          <w:color w:val="auto"/>
        </w:rPr>
        <w:t>1.3</w:t>
        <w:tab/>
        <w:t>ComCenter Hardware.</w:t>
        <w:tab/>
        <w:t>"ComCenter (Communications Center) Hardware"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5"/>
          <w:szCs w:val="15"/>
          <w:color w:val="auto"/>
        </w:rPr>
        <w:t>refers to the Network-owned, message switching computer(s) on which the ComCenter Software runs. Such hardware is part of the Digital Equipment Corporation ("DEC") VAX family of computers.</w:t>
      </w:r>
    </w:p>
    <w:p>
      <w:pPr>
        <w:spacing w:after="0" w:line="175" w:lineRule="exact"/>
        <w:rPr>
          <w:sz w:val="20"/>
          <w:szCs w:val="20"/>
          <w:color w:val="auto"/>
        </w:rPr>
      </w:pPr>
    </w:p>
    <w:p>
      <w:pPr>
        <w:ind w:left="920"/>
        <w:spacing w:after="0"/>
        <w:tabs>
          <w:tab w:leader="none" w:pos="1360" w:val="left"/>
          <w:tab w:leader="none" w:pos="3760" w:val="left"/>
        </w:tabs>
        <w:rPr>
          <w:sz w:val="20"/>
          <w:szCs w:val="20"/>
          <w:color w:val="auto"/>
        </w:rPr>
      </w:pPr>
      <w:r>
        <w:rPr>
          <w:rFonts w:ascii="Courier New" w:cs="Courier New" w:eastAsia="Courier New" w:hAnsi="Courier New"/>
          <w:sz w:val="15"/>
          <w:szCs w:val="15"/>
          <w:color w:val="auto"/>
        </w:rPr>
        <w:t>1.4</w:t>
        <w:tab/>
        <w:t>Com-Center(TM) Software.</w:t>
        <w:tab/>
        <w:t>The "Com-Center(TM) Software" shall</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mean the computer software, as defined on Exhibit A attached to the Software License Agreement (as hereafter defined), developed and owned by IMS, and which shall be licensed to the Company pursuant to the covenants, terms and conditions of the Software License Agreement, that supports and facilitates the transmission of data, text, voice, clinical graphics and diagnostic images over a telephone network which resides on and operates the ComCenter Hardware and includes the Network Interface.</w:t>
      </w:r>
    </w:p>
    <w:p>
      <w:pPr>
        <w:spacing w:after="0" w:line="176" w:lineRule="exact"/>
        <w:rPr>
          <w:sz w:val="20"/>
          <w:szCs w:val="20"/>
          <w:color w:val="auto"/>
        </w:rPr>
      </w:pPr>
    </w:p>
    <w:p>
      <w:pPr>
        <w:ind w:left="920"/>
        <w:spacing w:after="0"/>
        <w:tabs>
          <w:tab w:leader="none" w:pos="1360" w:val="left"/>
          <w:tab w:leader="none" w:pos="3380" w:val="left"/>
        </w:tabs>
        <w:rPr>
          <w:sz w:val="20"/>
          <w:szCs w:val="20"/>
          <w:color w:val="auto"/>
        </w:rPr>
      </w:pPr>
      <w:r>
        <w:rPr>
          <w:rFonts w:ascii="Courier New" w:cs="Courier New" w:eastAsia="Courier New" w:hAnsi="Courier New"/>
          <w:sz w:val="15"/>
          <w:szCs w:val="15"/>
          <w:color w:val="auto"/>
        </w:rPr>
        <w:t>1.5</w:t>
        <w:tab/>
        <w:t>Exclusive Territory.</w:t>
        <w:tab/>
        <w:t>"Exclusive Territory" shall mean (a)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State of Illinois with the exception of the counties in northwestern Illinois which constitute the territory of the Northern Illinois Health Care Network which operates pursuant to a nonexclusive license of the software to which the Software License Agreement relates, provided that the Software License Agreement grants a nonexclusive license in such counties, except as to certain hospitals in such counties which hold exclusive rights thereto, (b) Lake and Porter Counties in Indiana, and (c) certain collar cities to the State of Illinois, including, without limitation, Dubuque and Quad cities, but excluding Saint Louis.</w:t>
      </w:r>
    </w:p>
    <w:p>
      <w:pPr>
        <w:spacing w:after="0" w:line="353" w:lineRule="exact"/>
        <w:rPr>
          <w:sz w:val="20"/>
          <w:szCs w:val="20"/>
          <w:color w:val="auto"/>
        </w:rPr>
      </w:pPr>
    </w:p>
    <w:p>
      <w:pPr>
        <w:ind w:left="920"/>
        <w:spacing w:after="0"/>
        <w:tabs>
          <w:tab w:leader="none" w:pos="1360" w:val="left"/>
          <w:tab w:leader="none" w:pos="3480" w:val="left"/>
        </w:tabs>
        <w:rPr>
          <w:sz w:val="20"/>
          <w:szCs w:val="20"/>
          <w:color w:val="auto"/>
        </w:rPr>
      </w:pPr>
      <w:r>
        <w:rPr>
          <w:rFonts w:ascii="Courier New" w:cs="Courier New" w:eastAsia="Courier New" w:hAnsi="Courier New"/>
          <w:sz w:val="15"/>
          <w:szCs w:val="15"/>
          <w:color w:val="auto"/>
        </w:rPr>
        <w:t>1.6</w:t>
        <w:tab/>
        <w:t>IMS-Net(TM) Software.</w:t>
        <w:tab/>
        <w:t>The "IMS-Net(TM) Software" is a series 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independent but interrelated computer programs, which includes the PC-Com(TM) Software, the Com-Center(TM) Software and Network Interface, which interacts with a central processor and remotely located personal computers and their operating systems to form a complete and functioning network by which medical and other information and data, text, voice, clinical graphics and diagnostic images can be transmitted, shared, stored and accessed randomly over a dial-up telephone network. The IMS-Net(TM) Software includes, but is not limited to, computer program listings, user manuals, functional specifications, technical documentation, source code, object code, related procedure codes and tangible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650" w:right="1440" w:bottom="1440" w:gutter="0" w:footer="0" w:header="0"/>
        </w:sectPr>
      </w:pPr>
    </w:p>
    <w:bookmarkStart w:id="167" w:name="page168"/>
    <w:bookmarkEnd w:id="167"/>
    <w:p>
      <w:pPr>
        <w:ind w:right="2939"/>
        <w:spacing w:after="0" w:line="251" w:lineRule="auto"/>
        <w:rPr>
          <w:sz w:val="20"/>
          <w:szCs w:val="20"/>
          <w:color w:val="auto"/>
        </w:rPr>
      </w:pPr>
      <w:r>
        <w:rPr>
          <w:rFonts w:ascii="Courier New" w:cs="Courier New" w:eastAsia="Courier New" w:hAnsi="Courier New"/>
          <w:sz w:val="15"/>
          <w:szCs w:val="15"/>
          <w:color w:val="auto"/>
        </w:rPr>
        <w:t>media upon which the computer programs are recorded. The IMS-Net(TM) Software performs the functions described on Exhibit A attached to the Software License Agreement and shall be licensed to the Company pursuant to the covenants, terms and conditions of the Software License Agreement.</w:t>
      </w:r>
    </w:p>
    <w:p>
      <w:pPr>
        <w:spacing w:after="0" w:line="176" w:lineRule="exact"/>
        <w:rPr>
          <w:sz w:val="20"/>
          <w:szCs w:val="20"/>
          <w:color w:val="auto"/>
        </w:rPr>
      </w:pPr>
    </w:p>
    <w:p>
      <w:pPr>
        <w:ind w:left="920"/>
        <w:spacing w:after="0"/>
        <w:tabs>
          <w:tab w:leader="none" w:pos="1360" w:val="left"/>
          <w:tab w:leader="none" w:pos="2840" w:val="left"/>
        </w:tabs>
        <w:rPr>
          <w:sz w:val="20"/>
          <w:szCs w:val="20"/>
          <w:color w:val="auto"/>
        </w:rPr>
      </w:pPr>
      <w:r>
        <w:rPr>
          <w:rFonts w:ascii="Courier New" w:cs="Courier New" w:eastAsia="Courier New" w:hAnsi="Courier New"/>
          <w:sz w:val="15"/>
          <w:szCs w:val="15"/>
          <w:color w:val="auto"/>
        </w:rPr>
        <w:t>1.7</w:t>
        <w:tab/>
        <w:t>Local Sponsor.</w:t>
        <w:tab/>
        <w:t>"Local Sponsor" shall mean any individual or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entity desiring to use any portion of the Network, as hereafter defined, to receive and/or disseminate information from or to Network users and who or which agrees to pay fees to the Company for the right to use the Network.</w:t>
      </w:r>
    </w:p>
    <w:p>
      <w:pPr>
        <w:spacing w:after="0" w:line="175" w:lineRule="exact"/>
        <w:rPr>
          <w:sz w:val="20"/>
          <w:szCs w:val="20"/>
          <w:color w:val="auto"/>
        </w:rPr>
      </w:pPr>
    </w:p>
    <w:p>
      <w:pPr>
        <w:ind w:left="920"/>
        <w:spacing w:after="0"/>
        <w:tabs>
          <w:tab w:leader="none" w:pos="1360" w:val="left"/>
          <w:tab w:leader="none" w:pos="3120" w:val="left"/>
        </w:tabs>
        <w:rPr>
          <w:sz w:val="20"/>
          <w:szCs w:val="20"/>
          <w:color w:val="auto"/>
        </w:rPr>
      </w:pPr>
      <w:r>
        <w:rPr>
          <w:rFonts w:ascii="Courier New" w:cs="Courier New" w:eastAsia="Courier New" w:hAnsi="Courier New"/>
          <w:sz w:val="15"/>
          <w:szCs w:val="15"/>
          <w:color w:val="auto"/>
        </w:rPr>
        <w:t>1.8</w:t>
        <w:tab/>
        <w:t>National Sponsor.</w:t>
        <w:tab/>
        <w:t>"National Sponsor" shall mean any health care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related entity desiring to use the Network and any other network operated by an affiliate of IMS or which uses IMS-Net(TM) Software to receive and/or disseminate information from or to Network users, and which agrees to pay fees to the Company for the right to use the Network.</w:t>
      </w:r>
    </w:p>
    <w:p>
      <w:pPr>
        <w:spacing w:after="0" w:line="176" w:lineRule="exact"/>
        <w:rPr>
          <w:sz w:val="20"/>
          <w:szCs w:val="20"/>
          <w:color w:val="auto"/>
        </w:rPr>
      </w:pPr>
    </w:p>
    <w:p>
      <w:pPr>
        <w:jc w:val="right"/>
        <w:ind w:right="2839"/>
        <w:spacing w:after="0"/>
        <w:tabs>
          <w:tab w:leader="none" w:pos="5980" w:val="left"/>
          <w:tab w:leader="none" w:pos="5060" w:val="left"/>
        </w:tabs>
        <w:rPr>
          <w:sz w:val="20"/>
          <w:szCs w:val="20"/>
          <w:color w:val="auto"/>
        </w:rPr>
      </w:pPr>
      <w:r>
        <w:rPr>
          <w:rFonts w:ascii="Courier New" w:cs="Courier New" w:eastAsia="Courier New" w:hAnsi="Courier New"/>
          <w:sz w:val="15"/>
          <w:szCs w:val="15"/>
          <w:color w:val="auto"/>
        </w:rPr>
        <w:t>1.9</w:t>
        <w:tab/>
        <w:t>Network.</w:t>
        <w:tab/>
        <w:t>"Network" shall mean the electronic medical information</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0" w:lineRule="auto"/>
        <w:rPr>
          <w:sz w:val="20"/>
          <w:szCs w:val="20"/>
          <w:color w:val="auto"/>
        </w:rPr>
      </w:pPr>
      <w:r>
        <w:rPr>
          <w:rFonts w:ascii="Courier New" w:cs="Courier New" w:eastAsia="Courier New" w:hAnsi="Courier New"/>
          <w:sz w:val="15"/>
          <w:szCs w:val="15"/>
          <w:color w:val="auto"/>
        </w:rPr>
        <w:t>network or networks to be owned and operated by the Company and/or sublicensees, which utilizes IMS-Net(TM) Software to permit messages, data, voice, facsimile, medical images and clinical graphics to be transmitted in an "open architecture" format (i.e., all users can secure electronic access to the Network for a user</w:t>
      </w:r>
    </w:p>
    <w:p>
      <w:pPr>
        <w:spacing w:after="0" w:line="2"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fee--thus "open" architecture) between and among physicians, hospitals, clinical laboratories, pharmacies, managed care organizations, insurance companies, other payors, employers and other members of the health care community.</w:t>
      </w:r>
    </w:p>
    <w:p>
      <w:pPr>
        <w:spacing w:after="0" w:line="175" w:lineRule="exact"/>
        <w:rPr>
          <w:sz w:val="20"/>
          <w:szCs w:val="20"/>
          <w:color w:val="auto"/>
        </w:rPr>
      </w:pPr>
    </w:p>
    <w:p>
      <w:pPr>
        <w:ind w:left="820"/>
        <w:spacing w:after="0"/>
        <w:tabs>
          <w:tab w:leader="none" w:pos="1360" w:val="left"/>
          <w:tab w:leader="none" w:pos="3200" w:val="left"/>
        </w:tabs>
        <w:rPr>
          <w:sz w:val="20"/>
          <w:szCs w:val="20"/>
          <w:color w:val="auto"/>
        </w:rPr>
      </w:pPr>
      <w:r>
        <w:rPr>
          <w:rFonts w:ascii="Courier New" w:cs="Courier New" w:eastAsia="Courier New" w:hAnsi="Courier New"/>
          <w:sz w:val="15"/>
          <w:szCs w:val="15"/>
          <w:color w:val="auto"/>
        </w:rPr>
        <w:t>1.10</w:t>
        <w:tab/>
        <w:t>Network Interface.</w:t>
        <w:tab/>
        <w:t>"Network Interface" refers to portions 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IMS-Net(TM) Software which automate or partially automate message transmission and which shall be used to interface the Company's computer system(s) to the Network.</w:t>
      </w:r>
    </w:p>
    <w:p>
      <w:pPr>
        <w:spacing w:after="0" w:line="175" w:lineRule="exact"/>
        <w:rPr>
          <w:sz w:val="20"/>
          <w:szCs w:val="20"/>
          <w:color w:val="auto"/>
        </w:rPr>
      </w:pPr>
    </w:p>
    <w:p>
      <w:pPr>
        <w:ind w:left="820"/>
        <w:spacing w:after="0"/>
        <w:tabs>
          <w:tab w:leader="none" w:pos="1360" w:val="left"/>
          <w:tab w:leader="none" w:pos="3380" w:val="left"/>
        </w:tabs>
        <w:rPr>
          <w:sz w:val="20"/>
          <w:szCs w:val="20"/>
          <w:color w:val="auto"/>
        </w:rPr>
      </w:pPr>
      <w:r>
        <w:rPr>
          <w:rFonts w:ascii="Courier New" w:cs="Courier New" w:eastAsia="Courier New" w:hAnsi="Courier New"/>
          <w:sz w:val="15"/>
          <w:szCs w:val="15"/>
          <w:color w:val="auto"/>
        </w:rPr>
        <w:t>1.11</w:t>
        <w:tab/>
        <w:t>PC-Com(TM) Software.</w:t>
        <w:tab/>
        <w:t>"PC Com Software" shall mean the computer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software, as defined on Exhibit A attached to the Software License Agreement, developed and owned by IMS, and which shall be licensed to the Company pursuant to the covenants, terms and conditions of the Software License Agreement, that supports and facilitates the transmission of data, text, voice, clinical graphics and diagnostic images over a telephone network and which operates on International Business Machine ("IBM") Personal Computers or IBM-compatible Personal Computers.</w:t>
      </w:r>
    </w:p>
    <w:p>
      <w:pPr>
        <w:spacing w:after="0" w:line="176" w:lineRule="exact"/>
        <w:rPr>
          <w:sz w:val="20"/>
          <w:szCs w:val="20"/>
          <w:color w:val="auto"/>
        </w:rPr>
      </w:pPr>
    </w:p>
    <w:p>
      <w:pPr>
        <w:ind w:left="820"/>
        <w:spacing w:after="0"/>
        <w:tabs>
          <w:tab w:leader="none" w:pos="1360" w:val="left"/>
          <w:tab w:leader="none" w:pos="4040" w:val="left"/>
        </w:tabs>
        <w:rPr>
          <w:sz w:val="20"/>
          <w:szCs w:val="20"/>
          <w:color w:val="auto"/>
        </w:rPr>
      </w:pPr>
      <w:r>
        <w:rPr>
          <w:rFonts w:ascii="Courier New" w:cs="Courier New" w:eastAsia="Courier New" w:hAnsi="Courier New"/>
          <w:sz w:val="15"/>
          <w:szCs w:val="15"/>
          <w:color w:val="auto"/>
        </w:rPr>
        <w:t>1.12</w:t>
        <w:tab/>
        <w:t>Software License Agreement.</w:t>
        <w:tab/>
        <w:t>"Software License Agreement" shall</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mean that certain Software License Agreement between IMS, as licensor, and HFN Info and SwedishAmerican Corporation as licensees, which shall be assigned by HFN Info and SwedishAmerican Corporation to the Company, and the license granted thereunder.</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19"/>
          </w:cols>
          <w:pgMar w:left="240" w:top="650" w:right="1440" w:bottom="1440" w:gutter="0" w:footer="0" w:header="0"/>
        </w:sectPr>
      </w:pPr>
    </w:p>
    <w:bookmarkStart w:id="168" w:name="page169"/>
    <w:bookmarkEnd w:id="168"/>
    <w:p>
      <w:pPr>
        <w:ind w:left="820"/>
        <w:spacing w:after="0"/>
        <w:tabs>
          <w:tab w:leader="none" w:pos="1360" w:val="left"/>
          <w:tab w:leader="none" w:pos="2100" w:val="left"/>
        </w:tabs>
        <w:rPr>
          <w:sz w:val="20"/>
          <w:szCs w:val="20"/>
          <w:color w:val="auto"/>
        </w:rPr>
      </w:pPr>
      <w:r>
        <w:rPr>
          <w:rFonts w:ascii="Courier New" w:cs="Courier New" w:eastAsia="Courier New" w:hAnsi="Courier New"/>
          <w:sz w:val="15"/>
          <w:szCs w:val="15"/>
          <w:color w:val="auto"/>
        </w:rPr>
        <w:t>1.13</w:t>
        <w:tab/>
        <w:t>Stock.</w:t>
        <w:tab/>
        <w:t>"Stock" shall mean the no par value common stock of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Company sold and purchased pursuant to this Agreement for the consideration set forth herein.</w:t>
      </w:r>
    </w:p>
    <w:p>
      <w:pPr>
        <w:spacing w:after="0" w:line="174" w:lineRule="exact"/>
        <w:rPr>
          <w:sz w:val="20"/>
          <w:szCs w:val="20"/>
          <w:color w:val="auto"/>
        </w:rPr>
      </w:pPr>
    </w:p>
    <w:p>
      <w:pPr>
        <w:jc w:val="right"/>
        <w:ind w:right="2839"/>
        <w:spacing w:after="0"/>
        <w:tabs>
          <w:tab w:leader="none" w:pos="5980" w:val="left"/>
          <w:tab w:leader="none" w:pos="4780" w:val="left"/>
        </w:tabs>
        <w:rPr>
          <w:sz w:val="20"/>
          <w:szCs w:val="20"/>
          <w:color w:val="auto"/>
        </w:rPr>
      </w:pPr>
      <w:r>
        <w:rPr>
          <w:rFonts w:ascii="Courier New" w:cs="Courier New" w:eastAsia="Courier New" w:hAnsi="Courier New"/>
          <w:sz w:val="15"/>
          <w:szCs w:val="15"/>
          <w:color w:val="auto"/>
        </w:rPr>
        <w:t>1.14</w:t>
        <w:tab/>
        <w:t>Subscriber.</w:t>
        <w:tab/>
        <w:t>"Subscriber" shall mean physicians and other members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of the health care community who use the Network and with whom Local and National Sponsors wish to communicate over one or more Networks.</w:t>
      </w:r>
    </w:p>
    <w:p>
      <w:pPr>
        <w:spacing w:after="0" w:line="174" w:lineRule="exact"/>
        <w:rPr>
          <w:sz w:val="20"/>
          <w:szCs w:val="20"/>
          <w:color w:val="auto"/>
        </w:rPr>
      </w:pPr>
    </w:p>
    <w:p>
      <w:pPr>
        <w:ind w:left="820"/>
        <w:spacing w:after="0"/>
        <w:tabs>
          <w:tab w:leader="none" w:pos="1360" w:val="left"/>
          <w:tab w:leader="none" w:pos="4120" w:val="left"/>
        </w:tabs>
        <w:rPr>
          <w:sz w:val="20"/>
          <w:szCs w:val="20"/>
          <w:color w:val="auto"/>
        </w:rPr>
      </w:pPr>
      <w:r>
        <w:rPr>
          <w:rFonts w:ascii="Courier New" w:cs="Courier New" w:eastAsia="Courier New" w:hAnsi="Courier New"/>
          <w:sz w:val="15"/>
          <w:szCs w:val="15"/>
          <w:color w:val="auto"/>
        </w:rPr>
        <w:t>1.15</w:t>
        <w:tab/>
        <w:t>Synergy Series(TM) Software.</w:t>
        <w:tab/>
        <w:t>The "Synergy Series(TM) Software"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shall mean the computer software, portions of which were developed and are owned by IMS and portions of which IMS possesses and uses pursuant to one or more perpetual licenses under which IMS has the right to use and to sub-license, and includes practice support software intended primarily for use by persons or entities who use the Network, including such capabilities as "Word-Pro(TM)" word processing, "Clinical Manager(TM)" clinical data management "RX-Manager(TM)" drug therapy manager, "CME-Manager(TM)" continuing medical education management and others, as described in more detail on Exhibit B attached to the Software License Agreement. The portions of such Software owned by IMS shall be licensed to the Company pursuant to the covenants, terms and conditions of the Software License Agreement.</w:t>
      </w:r>
    </w:p>
    <w:p>
      <w:pPr>
        <w:spacing w:after="0" w:line="182" w:lineRule="exact"/>
        <w:rPr>
          <w:sz w:val="20"/>
          <w:szCs w:val="20"/>
          <w:color w:val="auto"/>
        </w:rPr>
      </w:pPr>
    </w:p>
    <w:p>
      <w:pPr>
        <w:ind w:left="820" w:hanging="364"/>
        <w:spacing w:after="0"/>
        <w:tabs>
          <w:tab w:leader="none" w:pos="8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of the Company.</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0"/>
        <w:spacing w:after="0"/>
        <w:tabs>
          <w:tab w:leader="none" w:pos="1260" w:val="left"/>
          <w:tab w:leader="none" w:pos="3840" w:val="left"/>
        </w:tabs>
        <w:rPr>
          <w:sz w:val="20"/>
          <w:szCs w:val="20"/>
          <w:color w:val="auto"/>
        </w:rPr>
      </w:pPr>
      <w:r>
        <w:rPr>
          <w:rFonts w:ascii="Courier New" w:cs="Courier New" w:eastAsia="Courier New" w:hAnsi="Courier New"/>
          <w:sz w:val="15"/>
          <w:szCs w:val="15"/>
          <w:color w:val="auto"/>
        </w:rPr>
        <w:t>2.1</w:t>
        <w:tab/>
        <w:t>Articles of Incorporation.</w:t>
        <w:tab/>
        <w:t>The Articles of Incorporation of the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are attached hereto as Exhibit A.</w:t>
      </w:r>
    </w:p>
    <w:p>
      <w:pPr>
        <w:spacing w:after="0" w:line="185" w:lineRule="exact"/>
        <w:rPr>
          <w:sz w:val="20"/>
          <w:szCs w:val="20"/>
          <w:color w:val="auto"/>
        </w:rPr>
      </w:pPr>
    </w:p>
    <w:p>
      <w:pPr>
        <w:ind w:left="820"/>
        <w:spacing w:after="0"/>
        <w:tabs>
          <w:tab w:leader="none" w:pos="1260" w:val="left"/>
          <w:tab w:leader="none" w:pos="3760" w:val="left"/>
        </w:tabs>
        <w:rPr>
          <w:sz w:val="20"/>
          <w:szCs w:val="20"/>
          <w:color w:val="auto"/>
        </w:rPr>
      </w:pPr>
      <w:r>
        <w:rPr>
          <w:rFonts w:ascii="Courier New" w:cs="Courier New" w:eastAsia="Courier New" w:hAnsi="Courier New"/>
          <w:sz w:val="15"/>
          <w:szCs w:val="15"/>
          <w:color w:val="auto"/>
        </w:rPr>
        <w:t>2.2</w:t>
        <w:tab/>
        <w:t>Sale of Stock to IMS-NET.</w:t>
        <w:tab/>
        <w:t>At the Closing, the Company shall</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sell to IMS-NET, and IMS-NET shall purchase from the Company, fifty-one (51) shares of the Stock for Fifty-One Thousand Dollars ($51,000), due and payable at the Closing by delivery to the Company of a certified or cashier's check in that amount.</w:t>
      </w:r>
    </w:p>
    <w:p>
      <w:pPr>
        <w:spacing w:after="0" w:line="176" w:lineRule="exact"/>
        <w:rPr>
          <w:sz w:val="20"/>
          <w:szCs w:val="20"/>
          <w:color w:val="auto"/>
        </w:rPr>
      </w:pPr>
    </w:p>
    <w:p>
      <w:pPr>
        <w:ind w:left="820"/>
        <w:spacing w:after="0"/>
        <w:tabs>
          <w:tab w:leader="none" w:pos="1260" w:val="left"/>
          <w:tab w:leader="none" w:pos="3380" w:val="left"/>
        </w:tabs>
        <w:rPr>
          <w:sz w:val="20"/>
          <w:szCs w:val="20"/>
          <w:color w:val="auto"/>
        </w:rPr>
      </w:pPr>
      <w:r>
        <w:rPr>
          <w:rFonts w:ascii="Courier New" w:cs="Courier New" w:eastAsia="Courier New" w:hAnsi="Courier New"/>
          <w:sz w:val="15"/>
          <w:szCs w:val="15"/>
          <w:color w:val="auto"/>
        </w:rPr>
        <w:t>2.3</w:t>
        <w:tab/>
        <w:t>Sale of Stock to HFN.</w:t>
        <w:tab/>
        <w:t>At the Closing, the Company shall sell to</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HFN, and HFN shall purchase from the Company, twenty-five (25) shares of the Stock for Forty-Nine Thousand Dollars ($49,000), due and payable at the Closing by delivery to the Company of a certified or cashier's check in that amount.</w:t>
      </w:r>
    </w:p>
    <w:p>
      <w:pPr>
        <w:spacing w:after="0" w:line="175" w:lineRule="exact"/>
        <w:rPr>
          <w:sz w:val="20"/>
          <w:szCs w:val="20"/>
          <w:color w:val="auto"/>
        </w:rPr>
      </w:pPr>
    </w:p>
    <w:p>
      <w:pPr>
        <w:ind w:left="820"/>
        <w:spacing w:after="0"/>
        <w:tabs>
          <w:tab w:leader="none" w:pos="1260" w:val="left"/>
          <w:tab w:leader="none" w:pos="3840" w:val="left"/>
        </w:tabs>
        <w:rPr>
          <w:sz w:val="20"/>
          <w:szCs w:val="20"/>
          <w:color w:val="auto"/>
        </w:rPr>
      </w:pPr>
      <w:r>
        <w:rPr>
          <w:rFonts w:ascii="Courier New" w:cs="Courier New" w:eastAsia="Courier New" w:hAnsi="Courier New"/>
          <w:sz w:val="15"/>
          <w:szCs w:val="15"/>
          <w:color w:val="auto"/>
        </w:rPr>
        <w:t>2.4</w:t>
        <w:tab/>
        <w:t>Sale of Stock to HFN Info.</w:t>
        <w:tab/>
        <w:t>At the Closing, the Company shall</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sell to HFN Info, and HFN Info shall purchase from the Company, nineteen (19) shares of the Stock in consideration of HFN Info assigning all of its rights, title and interest in and to the Software License Agreement to the Company.</w:t>
      </w:r>
    </w:p>
    <w:p>
      <w:pPr>
        <w:spacing w:after="0" w:line="175" w:lineRule="exact"/>
        <w:rPr>
          <w:sz w:val="20"/>
          <w:szCs w:val="20"/>
          <w:color w:val="auto"/>
        </w:rPr>
      </w:pPr>
    </w:p>
    <w:p>
      <w:pPr>
        <w:jc w:val="right"/>
        <w:ind w:right="2839"/>
        <w:spacing w:after="0"/>
        <w:tabs>
          <w:tab w:leader="none" w:pos="6080" w:val="left"/>
          <w:tab w:leader="none" w:pos="1740" w:val="left"/>
        </w:tabs>
        <w:rPr>
          <w:sz w:val="20"/>
          <w:szCs w:val="20"/>
          <w:color w:val="auto"/>
        </w:rPr>
      </w:pPr>
      <w:r>
        <w:rPr>
          <w:rFonts w:ascii="Courier New" w:cs="Courier New" w:eastAsia="Courier New" w:hAnsi="Courier New"/>
          <w:sz w:val="15"/>
          <w:szCs w:val="15"/>
          <w:color w:val="auto"/>
        </w:rPr>
        <w:t>2.5</w:t>
        <w:tab/>
        <w:t>Sale of Stock to SwedishAmerican Corporation.</w:t>
        <w:tab/>
        <w:t>At the Closing, the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Company shall sell Five (5) shares of Stock to SwedishAmerican Corporation ("Swedish") in consideration of</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51" w:right="1440" w:bottom="1440" w:gutter="0" w:footer="0" w:header="0"/>
        </w:sectPr>
      </w:pPr>
    </w:p>
    <w:bookmarkStart w:id="169" w:name="page170"/>
    <w:bookmarkEnd w:id="169"/>
    <w:p>
      <w:pPr>
        <w:ind w:right="3019"/>
        <w:spacing w:after="0" w:line="251" w:lineRule="auto"/>
        <w:rPr>
          <w:sz w:val="20"/>
          <w:szCs w:val="20"/>
          <w:color w:val="auto"/>
        </w:rPr>
      </w:pPr>
      <w:r>
        <w:rPr>
          <w:rFonts w:ascii="Courier New" w:cs="Courier New" w:eastAsia="Courier New" w:hAnsi="Courier New"/>
          <w:sz w:val="15"/>
          <w:szCs w:val="15"/>
          <w:color w:val="auto"/>
        </w:rPr>
        <w:t>Swedish assigning all of its rights, title and interest in and to the Software License Agreement to the Company. To reflect that transaction and the restrictions and requirements relative to the Stock to be acquired by Swedish, Swedish will be required to sign a Stock Subscription Agreement in the form attached hereto as Exhibit B.</w:t>
      </w:r>
    </w:p>
    <w:p>
      <w:pPr>
        <w:spacing w:after="0" w:line="176" w:lineRule="exact"/>
        <w:rPr>
          <w:sz w:val="20"/>
          <w:szCs w:val="20"/>
          <w:color w:val="auto"/>
        </w:rPr>
      </w:pPr>
    </w:p>
    <w:p>
      <w:pPr>
        <w:ind w:left="820"/>
        <w:spacing w:after="0"/>
        <w:tabs>
          <w:tab w:leader="none" w:pos="1260" w:val="left"/>
          <w:tab w:leader="none" w:pos="2560" w:val="left"/>
        </w:tabs>
        <w:rPr>
          <w:sz w:val="20"/>
          <w:szCs w:val="20"/>
          <w:color w:val="auto"/>
        </w:rPr>
      </w:pPr>
      <w:r>
        <w:rPr>
          <w:rFonts w:ascii="Courier New" w:cs="Courier New" w:eastAsia="Courier New" w:hAnsi="Courier New"/>
          <w:sz w:val="15"/>
          <w:szCs w:val="15"/>
          <w:color w:val="auto"/>
        </w:rPr>
        <w:t>2.6</w:t>
        <w:tab/>
        <w:t>The Closing.</w:t>
        <w:tab/>
        <w:t>The Closing shall take place at a time and place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agreed upon by IMS-NET and HFN. At the Closing, the Company will deliver to each Shareholder a certificate evidencing the number of shares of the Stock purchased by such Shareholder, against delivery of the consideration therefore. Also at the Closing, the Company and HFN shall execute and deliver the Management Services Agreement, and directors and officers shall be appointed and Bylaws adopted for the Company, all as provided in Paragraph 3.</w:t>
      </w:r>
    </w:p>
    <w:p>
      <w:pPr>
        <w:spacing w:after="0" w:line="176" w:lineRule="exact"/>
        <w:rPr>
          <w:sz w:val="20"/>
          <w:szCs w:val="20"/>
          <w:color w:val="auto"/>
        </w:rPr>
      </w:pPr>
    </w:p>
    <w:p>
      <w:pPr>
        <w:ind w:left="820"/>
        <w:spacing w:after="0"/>
        <w:tabs>
          <w:tab w:leader="none" w:pos="1260" w:val="left"/>
          <w:tab w:leader="none" w:pos="2660" w:val="left"/>
        </w:tabs>
        <w:rPr>
          <w:sz w:val="20"/>
          <w:szCs w:val="20"/>
          <w:color w:val="auto"/>
        </w:rPr>
      </w:pPr>
      <w:r>
        <w:rPr>
          <w:rFonts w:ascii="Courier New" w:cs="Courier New" w:eastAsia="Courier New" w:hAnsi="Courier New"/>
          <w:sz w:val="15"/>
          <w:szCs w:val="15"/>
          <w:color w:val="auto"/>
        </w:rPr>
        <w:t>2.7</w:t>
        <w:tab/>
        <w:t>Post-Closing.</w:t>
        <w:tab/>
        <w:t>Following consummation of the purchases and sales</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80" w:type="dxa"/>
            <w:vAlign w:val="bottom"/>
            <w:gridSpan w:val="5"/>
          </w:tcPr>
          <w:p>
            <w:pPr>
              <w:spacing w:after="0"/>
              <w:rPr>
                <w:sz w:val="20"/>
                <w:szCs w:val="20"/>
                <w:color w:val="auto"/>
              </w:rPr>
            </w:pPr>
            <w:r>
              <w:rPr>
                <w:rFonts w:ascii="Courier New" w:cs="Courier New" w:eastAsia="Courier New" w:hAnsi="Courier New"/>
                <w:sz w:val="15"/>
                <w:szCs w:val="15"/>
                <w:color w:val="auto"/>
              </w:rPr>
              <w:t>described in Paragraphs 2.2-2.5, shares of the Stock shall be held as follows:</w:t>
            </w:r>
          </w:p>
        </w:tc>
      </w:tr>
      <w:tr>
        <w:trPr>
          <w:trHeight w:val="710"/>
        </w:trPr>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Percentage</w:t>
            </w:r>
          </w:p>
        </w:tc>
        <w:tc>
          <w:tcPr>
            <w:tcW w:w="2680" w:type="dxa"/>
            <w:vAlign w:val="bottom"/>
          </w:tcPr>
          <w:p>
            <w:pPr>
              <w:ind w:left="200"/>
              <w:spacing w:after="0"/>
              <w:rPr>
                <w:sz w:val="20"/>
                <w:szCs w:val="20"/>
                <w:color w:val="auto"/>
              </w:rPr>
            </w:pPr>
            <w:r>
              <w:rPr>
                <w:rFonts w:ascii="Courier New" w:cs="Courier New" w:eastAsia="Courier New" w:hAnsi="Courier New"/>
                <w:sz w:val="15"/>
                <w:szCs w:val="15"/>
                <w:color w:val="auto"/>
              </w:rPr>
              <w:t>Consideration</w:t>
            </w:r>
          </w:p>
        </w:tc>
      </w:tr>
      <w:tr>
        <w:trPr>
          <w:trHeight w:val="177"/>
        </w:trPr>
        <w:tc>
          <w:tcPr>
            <w:tcW w:w="1280" w:type="dxa"/>
            <w:vAlign w:val="bottom"/>
          </w:tcPr>
          <w:p>
            <w:pPr>
              <w:spacing w:after="0"/>
              <w:rPr>
                <w:sz w:val="20"/>
                <w:szCs w:val="20"/>
                <w:color w:val="auto"/>
              </w:rPr>
            </w:pPr>
            <w:r>
              <w:rPr>
                <w:rFonts w:ascii="Courier New" w:cs="Courier New" w:eastAsia="Courier New" w:hAnsi="Courier New"/>
                <w:sz w:val="15"/>
                <w:szCs w:val="15"/>
                <w:color w:val="auto"/>
              </w:rPr>
              <w:t>Shareholder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Number of</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Interest</w:t>
            </w:r>
          </w:p>
        </w:tc>
        <w:tc>
          <w:tcPr>
            <w:tcW w:w="2680" w:type="dxa"/>
            <w:vAlign w:val="bottom"/>
          </w:tcPr>
          <w:p>
            <w:pPr>
              <w:ind w:left="200"/>
              <w:spacing w:after="0"/>
              <w:rPr>
                <w:sz w:val="20"/>
                <w:szCs w:val="20"/>
                <w:color w:val="auto"/>
              </w:rPr>
            </w:pPr>
            <w:r>
              <w:rPr>
                <w:rFonts w:ascii="Courier New" w:cs="Courier New" w:eastAsia="Courier New" w:hAnsi="Courier New"/>
                <w:sz w:val="15"/>
                <w:szCs w:val="15"/>
                <w:color w:val="auto"/>
              </w:rPr>
              <w:t>Paid</w:t>
            </w:r>
          </w:p>
        </w:tc>
      </w:tr>
      <w:tr>
        <w:trPr>
          <w:trHeight w:val="177"/>
        </w:trPr>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w:t>
            </w:r>
          </w:p>
        </w:tc>
        <w:tc>
          <w:tcPr>
            <w:tcW w:w="1900" w:type="dxa"/>
            <w:vAlign w:val="bottom"/>
            <w:gridSpan w:val="2"/>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355"/>
        </w:trPr>
        <w:tc>
          <w:tcPr>
            <w:tcW w:w="1280" w:type="dxa"/>
            <w:vAlign w:val="bottom"/>
          </w:tcPr>
          <w:p>
            <w:pPr>
              <w:spacing w:after="0"/>
              <w:rPr>
                <w:sz w:val="20"/>
                <w:szCs w:val="20"/>
                <w:color w:val="auto"/>
              </w:rPr>
            </w:pPr>
            <w:r>
              <w:rPr>
                <w:rFonts w:ascii="Courier New" w:cs="Courier New" w:eastAsia="Courier New" w:hAnsi="Courier New"/>
                <w:sz w:val="15"/>
                <w:szCs w:val="15"/>
                <w:color w:val="auto"/>
              </w:rPr>
              <w:t>IMS-NET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920" w:type="dxa"/>
            <w:vAlign w:val="bottom"/>
          </w:tcPr>
          <w:p>
            <w:pPr>
              <w:spacing w:after="0"/>
              <w:rPr>
                <w:sz w:val="24"/>
                <w:szCs w:val="24"/>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51%</w:t>
            </w: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$51,000</w:t>
            </w:r>
          </w:p>
        </w:tc>
      </w:tr>
      <w:tr>
        <w:trPr>
          <w:trHeight w:val="355"/>
        </w:trPr>
        <w:tc>
          <w:tcPr>
            <w:tcW w:w="1280" w:type="dxa"/>
            <w:vAlign w:val="bottom"/>
          </w:tcPr>
          <w:p>
            <w:pPr>
              <w:spacing w:after="0"/>
              <w:rPr>
                <w:sz w:val="20"/>
                <w:szCs w:val="20"/>
                <w:color w:val="auto"/>
              </w:rPr>
            </w:pPr>
            <w:r>
              <w:rPr>
                <w:rFonts w:ascii="Courier New" w:cs="Courier New" w:eastAsia="Courier New" w:hAnsi="Courier New"/>
                <w:sz w:val="15"/>
                <w:szCs w:val="15"/>
                <w:color w:val="auto"/>
              </w:rPr>
              <w:t>HFN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spacing w:after="0"/>
              <w:rPr>
                <w:sz w:val="24"/>
                <w:szCs w:val="24"/>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25%</w:t>
            </w: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$49,000</w:t>
            </w:r>
          </w:p>
        </w:tc>
      </w:tr>
      <w:tr>
        <w:trPr>
          <w:trHeight w:val="355"/>
        </w:trPr>
        <w:tc>
          <w:tcPr>
            <w:tcW w:w="1280" w:type="dxa"/>
            <w:vAlign w:val="bottom"/>
          </w:tcPr>
          <w:p>
            <w:pPr>
              <w:spacing w:after="0"/>
              <w:rPr>
                <w:sz w:val="20"/>
                <w:szCs w:val="20"/>
                <w:color w:val="auto"/>
              </w:rPr>
            </w:pPr>
            <w:r>
              <w:rPr>
                <w:rFonts w:ascii="Courier New" w:cs="Courier New" w:eastAsia="Courier New" w:hAnsi="Courier New"/>
                <w:sz w:val="15"/>
                <w:szCs w:val="15"/>
                <w:color w:val="auto"/>
              </w:rPr>
              <w:t>HFN Info</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spacing w:after="0"/>
              <w:rPr>
                <w:sz w:val="24"/>
                <w:szCs w:val="24"/>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w:t>
            </w: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Software</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License</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Agreement</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Assignment</w:t>
            </w:r>
          </w:p>
        </w:tc>
      </w:tr>
      <w:tr>
        <w:trPr>
          <w:trHeight w:val="355"/>
        </w:trPr>
        <w:tc>
          <w:tcPr>
            <w:tcW w:w="1280" w:type="dxa"/>
            <w:vAlign w:val="bottom"/>
          </w:tcPr>
          <w:p>
            <w:pPr>
              <w:spacing w:after="0"/>
              <w:rPr>
                <w:sz w:val="20"/>
                <w:szCs w:val="20"/>
                <w:color w:val="auto"/>
              </w:rPr>
            </w:pPr>
            <w:r>
              <w:rPr>
                <w:rFonts w:ascii="Courier New" w:cs="Courier New" w:eastAsia="Courier New" w:hAnsi="Courier New"/>
                <w:sz w:val="15"/>
                <w:szCs w:val="15"/>
                <w:color w:val="auto"/>
              </w:rPr>
              <w:t>Swedish</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spacing w:after="0"/>
              <w:rPr>
                <w:sz w:val="24"/>
                <w:szCs w:val="24"/>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w:t>
            </w: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Software</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License</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Agreement</w:t>
            </w:r>
          </w:p>
        </w:tc>
      </w:tr>
      <w:tr>
        <w:trPr>
          <w:trHeight w:val="177"/>
        </w:trPr>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80" w:type="dxa"/>
            <w:vAlign w:val="bottom"/>
          </w:tcPr>
          <w:p>
            <w:pPr>
              <w:ind w:left="280"/>
              <w:spacing w:after="0"/>
              <w:rPr>
                <w:sz w:val="20"/>
                <w:szCs w:val="20"/>
                <w:color w:val="auto"/>
              </w:rPr>
            </w:pPr>
            <w:r>
              <w:rPr>
                <w:rFonts w:ascii="Courier New" w:cs="Courier New" w:eastAsia="Courier New" w:hAnsi="Courier New"/>
                <w:sz w:val="15"/>
                <w:szCs w:val="15"/>
                <w:color w:val="auto"/>
              </w:rPr>
              <w:t>Assignment</w:t>
            </w:r>
          </w:p>
        </w:tc>
      </w:tr>
      <w:tr>
        <w:trPr>
          <w:trHeight w:val="177"/>
        </w:trPr>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spacing w:after="0"/>
              <w:rPr>
                <w:sz w:val="15"/>
                <w:szCs w:val="15"/>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100%</w:t>
            </w:r>
          </w:p>
        </w:tc>
        <w:tc>
          <w:tcPr>
            <w:tcW w:w="2680" w:type="dxa"/>
            <w:vAlign w:val="bottom"/>
          </w:tcPr>
          <w:p>
            <w:pPr>
              <w:spacing w:after="0"/>
              <w:rPr>
                <w:sz w:val="15"/>
                <w:szCs w:val="15"/>
                <w:color w:val="auto"/>
              </w:rPr>
            </w:pPr>
          </w:p>
        </w:tc>
      </w:tr>
      <w:tr>
        <w:trPr>
          <w:trHeight w:val="177"/>
        </w:trPr>
        <w:tc>
          <w:tcPr>
            <w:tcW w:w="1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5"/>
                <w:szCs w:val="15"/>
                <w:color w:val="auto"/>
              </w:rPr>
            </w:pP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r>
      <w:tr>
        <w:trPr>
          <w:trHeight w:val="532"/>
        </w:trPr>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Potential</w:t>
            </w:r>
          </w:p>
        </w:tc>
        <w:tc>
          <w:tcPr>
            <w:tcW w:w="5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Reductions in Purchase Prices.  If at any time during</w:t>
            </w:r>
          </w:p>
        </w:tc>
      </w:tr>
      <w:tr>
        <w:trPr>
          <w:trHeight w:val="177"/>
        </w:trPr>
        <w:tc>
          <w:tcPr>
            <w:tcW w:w="1280" w:type="dxa"/>
            <w:vAlign w:val="bottom"/>
          </w:tcPr>
          <w:p>
            <w:pPr>
              <w:spacing w:after="0"/>
              <w:rPr>
                <w:sz w:val="15"/>
                <w:szCs w:val="15"/>
                <w:color w:val="auto"/>
              </w:rPr>
            </w:pPr>
          </w:p>
        </w:tc>
        <w:tc>
          <w:tcPr>
            <w:tcW w:w="60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the first five (5) years</w:t>
            </w:r>
          </w:p>
        </w:tc>
        <w:tc>
          <w:tcPr>
            <w:tcW w:w="50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the term of this Agreement, IMS or an IMS affiliate</w:t>
            </w:r>
          </w:p>
        </w:tc>
      </w:tr>
    </w:tbl>
    <w:p>
      <w:pPr>
        <w:spacing w:after="0" w:line="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offers ownership interests in an "open architecture" medical information network in any of the ten (10) largest metropolitan markets in the United States (excluding Los Angeles, Denver and Minneapolis) at a price less than Fifty Thousand Dollars ($50,000.00) per One Percent (1%) ownership interest, then HFN Info and Swedish each shall receive a credit equal to (a) Fifty Thousand Dollars ($50,000) per One Percent (1%) ownership interest times its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19"/>
          </w:cols>
          <w:pgMar w:left="240" w:top="650" w:right="1440" w:bottom="1440" w:gutter="0" w:footer="0" w:header="0"/>
        </w:sectPr>
      </w:pPr>
    </w:p>
    <w:bookmarkStart w:id="170" w:name="page171"/>
    <w:bookmarkEnd w:id="170"/>
    <w:p>
      <w:pPr>
        <w:ind w:right="2839"/>
        <w:spacing w:after="0" w:line="251" w:lineRule="auto"/>
        <w:rPr>
          <w:sz w:val="20"/>
          <w:szCs w:val="20"/>
          <w:color w:val="auto"/>
        </w:rPr>
      </w:pPr>
      <w:r>
        <w:rPr>
          <w:rFonts w:ascii="Courier New" w:cs="Courier New" w:eastAsia="Courier New" w:hAnsi="Courier New"/>
          <w:sz w:val="15"/>
          <w:szCs w:val="15"/>
          <w:color w:val="auto"/>
        </w:rPr>
        <w:t>percentage ownership interest in the Company, minus (b) the lower price offered elsewhere per One Percent (1%) ownership interest times its percentage ownership interest in the Company. Such credit shall be given through the preferential distribution to HFN Info and Swedish, on a pro rata basis according to their relative percentage ownership interests in the Company, of Fifty Percent (50%) of any net after-tax profits otherwise payable to IMS-NET by the Company up to the amount of such credits. Such preferential distributions shall be at fiscal year end.</w:t>
      </w:r>
    </w:p>
    <w:p>
      <w:pPr>
        <w:spacing w:after="0" w:line="175" w:lineRule="exact"/>
        <w:rPr>
          <w:sz w:val="20"/>
          <w:szCs w:val="20"/>
          <w:color w:val="auto"/>
        </w:rPr>
      </w:pPr>
    </w:p>
    <w:p>
      <w:pPr>
        <w:ind w:left="920"/>
        <w:spacing w:after="0"/>
        <w:tabs>
          <w:tab w:leader="none" w:pos="1360" w:val="left"/>
          <w:tab w:leader="none" w:pos="4580" w:val="left"/>
        </w:tabs>
        <w:rPr>
          <w:sz w:val="20"/>
          <w:szCs w:val="20"/>
          <w:color w:val="auto"/>
        </w:rPr>
      </w:pPr>
      <w:r>
        <w:rPr>
          <w:rFonts w:ascii="Courier New" w:cs="Courier New" w:eastAsia="Courier New" w:hAnsi="Courier New"/>
          <w:sz w:val="15"/>
          <w:szCs w:val="15"/>
          <w:color w:val="auto"/>
        </w:rPr>
        <w:t>2.9</w:t>
        <w:tab/>
        <w:t>Additional Capital Contributions.</w:t>
        <w:tab/>
        <w:t>If at any time (or from time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to time) the Board of Directors of the Company determines that funds in excess of the initial capital contributions of the Shareholders and Swedish and the Company's revenues from operations are required by the Company for its business or any of its obligations, expenses, costs, liabilities or expenditures, the Board of Directors may require the Shareholders and Swedish to make additional contributions to the Company as follows:</w:t>
      </w:r>
    </w:p>
    <w:p>
      <w:pPr>
        <w:spacing w:after="0" w:line="176" w:lineRule="exact"/>
        <w:rPr>
          <w:sz w:val="20"/>
          <w:szCs w:val="20"/>
          <w:color w:val="auto"/>
        </w:rPr>
      </w:pPr>
    </w:p>
    <w:p>
      <w:pPr>
        <w:ind w:right="2839" w:firstLine="1379"/>
        <w:spacing w:after="0" w:line="250" w:lineRule="auto"/>
        <w:tabs>
          <w:tab w:leader="none" w:pos="1753"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capital requirements up to Five Hundred Thousand Dollars ($500,000) in the aggregate during the term hereof, each Shareholder and Swedish shall make additional capital contributions to the Company in proportion to its relative ownership interest in the Company, on such date(s) set by the Board of Directors. Such contributions shall be made in cash, provided, however, that HFN and IMS shall have the right, in their sole discretion, to satisfy their additional contributions through the forgiveness of fees due to them from the Company for services rendered (e.g., for HFN, fees due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under the Management Services Agreement entered into pursuant to Paragraph 3.5). If all of the Shareholders and Swedish satisfy the additional capital contributions required of them, there shall be no change in Stock ownership. If a Shareholder or Swedish fails to make an additional capital contribution (a "Defaulting Shareholder"), each non-defaulting party (a "Non-Defaulting Shareholder") shall be entitled, in its sole discretion, to contribute its pro rata share of the additional capital contribution of the Defaulting Shareholder. For purposes hereof, a Non-Defaulting Shareholder's "pro rata share" shall equal the percentage which the number of shares of Stock owned by it bears to the total number of shares of Stock owned by all of the NonDefaulting Shareholders desiring to satisfy the Defaulting Shareholder's additional capital contribution. Further, each Non-Defaulting Shareholder shall, in return for its additional capital contribution (including any portion of a Defaulting Shareholder's contribution made by it), be issued by the Company additional shares of Stock at a value of $50,000 per share if the additional contribution is made during the first two (2) years of the term of this Agreement and, for contributions made thereafter, at fair market value per share on the date of the contribution, as determined by the appraisal consultants of the Company's regularly retained independent auditors (at the</w:t>
      </w:r>
    </w:p>
    <w:p>
      <w:pPr>
        <w:spacing w:after="0" w:line="18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650"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5"/>
          <w:szCs w:val="15"/>
          <w:color w:val="auto"/>
        </w:rPr>
        <w:t>Company's expense), and relative Stock ownership shall be adjusted accordingly.</w:t>
      </w:r>
    </w:p>
    <w:p>
      <w:pPr>
        <w:spacing w:after="0" w:line="185" w:lineRule="exact"/>
        <w:rPr>
          <w:sz w:val="20"/>
          <w:szCs w:val="20"/>
          <w:color w:val="auto"/>
        </w:rPr>
      </w:pPr>
    </w:p>
    <w:p>
      <w:pPr>
        <w:ind w:right="2839" w:firstLine="1379"/>
        <w:spacing w:after="0" w:line="251" w:lineRule="auto"/>
        <w:tabs>
          <w:tab w:leader="none" w:pos="1753"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additional capital requirements over Five Hundred Thousand Dollars ($500,000) shall be met by loans to the Company from any or all of the Shareholders and/or Swedish. Such loans shall be classified as senior indebtedness, bear interest at the prime rate set by Northern Trust Bank, Chicago, Illinois, and be repaid in full by the Company before any distributions are made with respect to the Stock.</w:t>
      </w:r>
    </w:p>
    <w:p>
      <w:pPr>
        <w:spacing w:after="0" w:line="176" w:lineRule="exact"/>
        <w:rPr>
          <w:sz w:val="20"/>
          <w:szCs w:val="20"/>
          <w:color w:val="auto"/>
        </w:rPr>
      </w:pPr>
    </w:p>
    <w:p>
      <w:pPr>
        <w:ind w:left="1740" w:hanging="361"/>
        <w:spacing w:after="0"/>
        <w:tabs>
          <w:tab w:leader="none" w:pos="17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Governance of the Company.</w:t>
      </w:r>
    </w:p>
    <w:p>
      <w:pPr>
        <w:spacing w:after="0" w:line="7" w:lineRule="exact"/>
        <w:rPr>
          <w:rFonts w:ascii="Courier New" w:cs="Courier New" w:eastAsia="Courier New" w:hAnsi="Courier New"/>
          <w:sz w:val="15"/>
          <w:szCs w:val="15"/>
          <w:color w:val="auto"/>
        </w:rPr>
      </w:pPr>
    </w:p>
    <w:p>
      <w:pPr>
        <w:ind w:left="1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740"/>
        <w:spacing w:after="0"/>
        <w:tabs>
          <w:tab w:leader="none" w:pos="2180" w:val="left"/>
          <w:tab w:leader="none" w:pos="3020" w:val="left"/>
        </w:tabs>
        <w:rPr>
          <w:sz w:val="20"/>
          <w:szCs w:val="20"/>
          <w:color w:val="auto"/>
        </w:rPr>
      </w:pPr>
      <w:r>
        <w:rPr>
          <w:rFonts w:ascii="Courier New" w:cs="Courier New" w:eastAsia="Courier New" w:hAnsi="Courier New"/>
          <w:sz w:val="15"/>
          <w:szCs w:val="15"/>
          <w:color w:val="auto"/>
        </w:rPr>
        <w:t>3.1</w:t>
        <w:tab/>
        <w:t>Bylaws.</w:t>
        <w:tab/>
        <w:t>As of the Closing, the Company's Bylaws in the</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attached hereto as Exhibit C shall be in full force and effect.</w:t>
      </w:r>
    </w:p>
    <w:p>
      <w:pPr>
        <w:spacing w:after="0" w:line="185" w:lineRule="exact"/>
        <w:rPr>
          <w:sz w:val="20"/>
          <w:szCs w:val="20"/>
          <w:color w:val="auto"/>
        </w:rPr>
      </w:pPr>
    </w:p>
    <w:p>
      <w:pPr>
        <w:ind w:left="1740"/>
        <w:spacing w:after="0"/>
        <w:tabs>
          <w:tab w:leader="none" w:pos="2180" w:val="left"/>
          <w:tab w:leader="none" w:pos="4120" w:val="left"/>
        </w:tabs>
        <w:rPr>
          <w:sz w:val="20"/>
          <w:szCs w:val="20"/>
          <w:color w:val="auto"/>
        </w:rPr>
      </w:pPr>
      <w:r>
        <w:rPr>
          <w:rFonts w:ascii="Courier New" w:cs="Courier New" w:eastAsia="Courier New" w:hAnsi="Courier New"/>
          <w:sz w:val="15"/>
          <w:szCs w:val="15"/>
          <w:color w:val="auto"/>
        </w:rPr>
        <w:t>3.2</w:t>
        <w:tab/>
        <w:t>Board of Directors.</w:t>
        <w:tab/>
        <w:t>From and after the Closing, each</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Shareholder shall vote all of its Stock and shall take all other necessary or desirable actions within its control (whether in its capacity as a Shareholder, through its representatives who are directors or officers of the Company or otherwise, and including, without limitation, attendance at Shareholder meetings in person or by proxy for purposes of obtaining a quorum and execution of written consents in lieu of meetings), and the Company shall take all necessary or desirable actions within its control (including, without limitation, calling special board and shareholder meetings), so that:</w:t>
      </w:r>
    </w:p>
    <w:p>
      <w:pPr>
        <w:spacing w:after="0" w:line="175" w:lineRule="exact"/>
        <w:rPr>
          <w:sz w:val="20"/>
          <w:szCs w:val="20"/>
          <w:color w:val="auto"/>
        </w:rPr>
      </w:pPr>
    </w:p>
    <w:p>
      <w:pPr>
        <w:ind w:right="2839" w:firstLine="1748"/>
        <w:spacing w:after="0" w:line="252" w:lineRule="auto"/>
        <w:tabs>
          <w:tab w:leader="none" w:pos="212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number of directors on the Company's Board of Directors (the "Board") shall be established and maintained at six (6) directors;</w:t>
      </w:r>
    </w:p>
    <w:p>
      <w:pPr>
        <w:spacing w:after="0" w:line="174"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persons shall be elected to the Board:</w:t>
      </w:r>
    </w:p>
    <w:p>
      <w:pPr>
        <w:spacing w:after="0" w:line="184" w:lineRule="exact"/>
        <w:rPr>
          <w:rFonts w:ascii="Courier New" w:cs="Courier New" w:eastAsia="Courier New" w:hAnsi="Courier New"/>
          <w:sz w:val="15"/>
          <w:szCs w:val="15"/>
          <w:color w:val="auto"/>
        </w:rPr>
      </w:pPr>
    </w:p>
    <w:p>
      <w:pPr>
        <w:ind w:left="2480" w:hanging="363"/>
        <w:spacing w:after="0"/>
        <w:tabs>
          <w:tab w:leader="none" w:pos="248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representatives designated by IMS-NET;</w:t>
      </w:r>
    </w:p>
    <w:p>
      <w:pPr>
        <w:spacing w:after="0" w:line="184" w:lineRule="exact"/>
        <w:rPr>
          <w:rFonts w:ascii="Courier New" w:cs="Courier New" w:eastAsia="Courier New" w:hAnsi="Courier New"/>
          <w:sz w:val="15"/>
          <w:szCs w:val="15"/>
          <w:color w:val="auto"/>
        </w:rPr>
      </w:pPr>
    </w:p>
    <w:p>
      <w:pPr>
        <w:ind w:left="1740" w:right="2839" w:firstLine="377"/>
        <w:spacing w:after="0" w:line="251" w:lineRule="auto"/>
        <w:tabs>
          <w:tab w:leader="none" w:pos="257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(2) representatives designated by HFN; provided, however, that only one (1) HFN representative shall be entitled to serve on the Board if, at any time following the Closing, HFN and HFN Info, in the aggregate, own less than twenty percent (20%) of the total issued and outstanding shares of Stock; and</w:t>
      </w:r>
    </w:p>
    <w:p>
      <w:pPr>
        <w:spacing w:after="0" w:line="175" w:lineRule="exact"/>
        <w:rPr>
          <w:rFonts w:ascii="Courier New" w:cs="Courier New" w:eastAsia="Courier New" w:hAnsi="Courier New"/>
          <w:sz w:val="15"/>
          <w:szCs w:val="15"/>
          <w:color w:val="auto"/>
        </w:rPr>
      </w:pPr>
    </w:p>
    <w:p>
      <w:pPr>
        <w:ind w:left="2680" w:hanging="563"/>
        <w:spacing w:after="0"/>
        <w:tabs>
          <w:tab w:leader="none" w:pos="268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President/CEO of HFN;</w:t>
      </w:r>
    </w:p>
    <w:p>
      <w:pPr>
        <w:spacing w:after="0" w:line="184" w:lineRule="exact"/>
        <w:rPr>
          <w:rFonts w:ascii="Courier New" w:cs="Courier New" w:eastAsia="Courier New" w:hAnsi="Courier New"/>
          <w:sz w:val="15"/>
          <w:szCs w:val="15"/>
          <w:color w:val="auto"/>
        </w:rPr>
      </w:pPr>
    </w:p>
    <w:p>
      <w:pPr>
        <w:jc w:val="both"/>
        <w:ind w:right="3119" w:firstLine="1748"/>
        <w:spacing w:after="0" w:line="252" w:lineRule="auto"/>
        <w:tabs>
          <w:tab w:leader="none" w:pos="212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committees of the Board shall be created only upon the approval of a majority of the members of the Board and the composition of each such committee (if any) shall be</w:t>
      </w:r>
    </w:p>
    <w:p>
      <w:pPr>
        <w:spacing w:after="0" w:line="174" w:lineRule="exact"/>
        <w:rPr>
          <w:rFonts w:ascii="Courier New" w:cs="Courier New" w:eastAsia="Courier New" w:hAnsi="Courier New"/>
          <w:sz w:val="15"/>
          <w:szCs w:val="15"/>
          <w:color w:val="auto"/>
        </w:rPr>
      </w:pPr>
    </w:p>
    <w:p>
      <w:pPr>
        <w:ind w:left="3600" w:hanging="191"/>
        <w:spacing w:after="0"/>
        <w:tabs>
          <w:tab w:leader="none" w:pos="3600"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19"/>
          </w:cols>
          <w:pgMar w:left="240" w:top="650" w:right="1440" w:bottom="1440" w:gutter="0" w:footer="0" w:header="0"/>
        </w:sectPr>
      </w:pPr>
    </w:p>
    <w:bookmarkStart w:id="172" w:name="page173"/>
    <w:bookmarkEnd w:id="172"/>
    <w:p>
      <w:pPr>
        <w:ind w:right="3399"/>
        <w:spacing w:after="0" w:line="253" w:lineRule="auto"/>
        <w:rPr>
          <w:sz w:val="20"/>
          <w:szCs w:val="20"/>
          <w:color w:val="auto"/>
        </w:rPr>
      </w:pPr>
      <w:r>
        <w:rPr>
          <w:rFonts w:ascii="Courier New" w:cs="Courier New" w:eastAsia="Courier New" w:hAnsi="Courier New"/>
          <w:sz w:val="15"/>
          <w:szCs w:val="15"/>
          <w:color w:val="auto"/>
        </w:rPr>
        <w:t>proportionately equivalent to that of the Board (including with respect to voting rights of members);</w:t>
      </w:r>
    </w:p>
    <w:p>
      <w:pPr>
        <w:spacing w:after="0" w:line="174" w:lineRule="exact"/>
        <w:rPr>
          <w:sz w:val="20"/>
          <w:szCs w:val="20"/>
          <w:color w:val="auto"/>
        </w:rPr>
      </w:pPr>
    </w:p>
    <w:p>
      <w:pPr>
        <w:ind w:right="2939" w:firstLine="1748"/>
        <w:spacing w:after="0" w:line="251" w:lineRule="auto"/>
        <w:tabs>
          <w:tab w:leader="none" w:pos="212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removal from the Board (with or without cause) of any representative designated hereunder by HFN or IMS-NET shall be at HFN's or IMS-NET's written request, respectively, but only upon such written request and under no other circumstances; and</w:t>
      </w:r>
    </w:p>
    <w:p>
      <w:pPr>
        <w:spacing w:after="0" w:line="176" w:lineRule="exact"/>
        <w:rPr>
          <w:rFonts w:ascii="Courier New" w:cs="Courier New" w:eastAsia="Courier New" w:hAnsi="Courier New"/>
          <w:sz w:val="15"/>
          <w:szCs w:val="15"/>
          <w:color w:val="auto"/>
        </w:rPr>
      </w:pPr>
    </w:p>
    <w:p>
      <w:pPr>
        <w:ind w:right="2839" w:firstLine="1748"/>
        <w:spacing w:after="0" w:line="251" w:lineRule="auto"/>
        <w:tabs>
          <w:tab w:leader="none" w:pos="2122"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representative designated hereunder by HFN or by IMS-NET for any reason ceases to serve as a member of the Board during his or her term of office, the resulting vacancy on the Board shall be filled by a representative designated by HFN or IMS-NET, respectively, as provided hereunder.</w:t>
      </w:r>
    </w:p>
    <w:p>
      <w:pPr>
        <w:spacing w:after="0" w:line="176" w:lineRule="exact"/>
        <w:rPr>
          <w:sz w:val="20"/>
          <w:szCs w:val="20"/>
          <w:color w:val="auto"/>
        </w:rPr>
      </w:pPr>
    </w:p>
    <w:p>
      <w:pPr>
        <w:ind w:left="1740"/>
        <w:spacing w:after="0"/>
        <w:tabs>
          <w:tab w:leader="none" w:pos="2180" w:val="left"/>
          <w:tab w:leader="none" w:pos="3940" w:val="left"/>
        </w:tabs>
        <w:rPr>
          <w:sz w:val="20"/>
          <w:szCs w:val="20"/>
          <w:color w:val="auto"/>
        </w:rPr>
      </w:pPr>
      <w:r>
        <w:rPr>
          <w:rFonts w:ascii="Courier New" w:cs="Courier New" w:eastAsia="Courier New" w:hAnsi="Courier New"/>
          <w:sz w:val="15"/>
          <w:szCs w:val="15"/>
          <w:color w:val="auto"/>
        </w:rPr>
        <w:t>3.3</w:t>
        <w:tab/>
        <w:t>Unfilled Vacancy.</w:t>
        <w:tab/>
        <w:t>If any party fails to designate a</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representative to fill a directorship pursuant to the terms of this Paragraph 3, the election of a person to such directorship shall be accomplished in accordance with the Company's Bylaws and applicable law.</w:t>
      </w:r>
    </w:p>
    <w:p>
      <w:pPr>
        <w:spacing w:after="0" w:line="175" w:lineRule="exact"/>
        <w:rPr>
          <w:sz w:val="20"/>
          <w:szCs w:val="20"/>
          <w:color w:val="auto"/>
        </w:rPr>
      </w:pPr>
    </w:p>
    <w:p>
      <w:pPr>
        <w:ind w:left="1740"/>
        <w:spacing w:after="0"/>
        <w:tabs>
          <w:tab w:leader="none" w:pos="2180" w:val="left"/>
          <w:tab w:leader="none" w:pos="4580" w:val="left"/>
        </w:tabs>
        <w:rPr>
          <w:sz w:val="20"/>
          <w:szCs w:val="20"/>
          <w:color w:val="auto"/>
        </w:rPr>
      </w:pPr>
      <w:r>
        <w:rPr>
          <w:rFonts w:ascii="Courier New" w:cs="Courier New" w:eastAsia="Courier New" w:hAnsi="Courier New"/>
          <w:sz w:val="15"/>
          <w:szCs w:val="15"/>
          <w:color w:val="auto"/>
        </w:rPr>
        <w:t>3.4</w:t>
        <w:tab/>
        <w:t>Major Corporate Changes.</w:t>
        <w:tab/>
        <w:t>From and after the Closing,</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the Shareholders agree that the affirmative vote of shares constituting at least 80% of all issued and outstanding shares of the Stock entitled to vote shall be required to effectuate any of the following transactions:</w:t>
      </w:r>
    </w:p>
    <w:p>
      <w:pPr>
        <w:spacing w:after="0" w:line="175" w:lineRule="exact"/>
        <w:rPr>
          <w:sz w:val="20"/>
          <w:szCs w:val="20"/>
          <w:color w:val="auto"/>
        </w:rPr>
      </w:pPr>
    </w:p>
    <w:p>
      <w:pPr>
        <w:ind w:right="3219" w:firstLine="1748"/>
        <w:spacing w:after="0" w:line="253" w:lineRule="auto"/>
        <w:tabs>
          <w:tab w:leader="none" w:pos="212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restatement of the Company's Articles of Incorporation or Bylaws attached hereto as Exhibits A and E, respectively;</w:t>
      </w:r>
    </w:p>
    <w:p>
      <w:pPr>
        <w:spacing w:after="0" w:line="174" w:lineRule="exact"/>
        <w:rPr>
          <w:rFonts w:ascii="Courier New" w:cs="Courier New" w:eastAsia="Courier New" w:hAnsi="Courier New"/>
          <w:sz w:val="15"/>
          <w:szCs w:val="15"/>
          <w:color w:val="auto"/>
        </w:rPr>
      </w:pPr>
    </w:p>
    <w:p>
      <w:pPr>
        <w:ind w:right="3219" w:firstLine="1748"/>
        <w:spacing w:after="0" w:line="251" w:lineRule="auto"/>
        <w:tabs>
          <w:tab w:leader="none" w:pos="212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sale or other distribution of, or the issuance, sale, distribution or granting of any rights to subscribe for or purchase or warrants or options for the purchase of, by the Company any additional shares of the Stock or any other stock or security of the Company (including any securities convertible into shares of the Stock), except as expressly provided for herein; or</w:t>
      </w:r>
    </w:p>
    <w:p>
      <w:pPr>
        <w:spacing w:after="0" w:line="175"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of the Company.</w:t>
      </w:r>
    </w:p>
    <w:p>
      <w:pPr>
        <w:spacing w:after="0" w:line="185" w:lineRule="exact"/>
        <w:rPr>
          <w:sz w:val="20"/>
          <w:szCs w:val="20"/>
          <w:color w:val="auto"/>
        </w:rPr>
      </w:pPr>
    </w:p>
    <w:p>
      <w:pPr>
        <w:ind w:left="1740"/>
        <w:spacing w:after="0"/>
        <w:tabs>
          <w:tab w:leader="none" w:pos="2180" w:val="left"/>
        </w:tabs>
        <w:rPr>
          <w:sz w:val="20"/>
          <w:szCs w:val="20"/>
          <w:color w:val="auto"/>
        </w:rPr>
      </w:pPr>
      <w:r>
        <w:rPr>
          <w:rFonts w:ascii="Courier New" w:cs="Courier New" w:eastAsia="Courier New" w:hAnsi="Courier New"/>
          <w:sz w:val="15"/>
          <w:szCs w:val="15"/>
          <w:color w:val="auto"/>
        </w:rPr>
        <w:t>3.5</w:t>
        <w:tab/>
        <w:t>Management Services Agreement; Officers of the Company.</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At the Closing, the Company will enter into a Management Services Agreement with HFN in the form attached hereto as Exhibit D whereby HFN will be given the authority and responsibility to manage the day-to-day operations of the Company. Also at the Closing, the Board shall elect individuals to fill the following offices with the Company: (i) Chairman of the Board; (ii) vice Chairman of the Board; (iii) President/CEO; (iv) Treasurer; (v) Secretary; and (vi) Assistant Secretary. The parties agree that the President/CEO of the Company shall be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19"/>
          </w:cols>
          <w:pgMar w:left="240" w:top="650" w:right="1440" w:bottom="1440" w:gutter="0" w:footer="0" w:header="0"/>
        </w:sectPr>
      </w:pPr>
    </w:p>
    <w:bookmarkStart w:id="173" w:name="page174"/>
    <w:bookmarkEnd w:id="173"/>
    <w:p>
      <w:pPr>
        <w:ind w:right="2839"/>
        <w:spacing w:after="0" w:line="251" w:lineRule="auto"/>
        <w:rPr>
          <w:sz w:val="20"/>
          <w:szCs w:val="20"/>
          <w:color w:val="auto"/>
        </w:rPr>
      </w:pPr>
      <w:r>
        <w:rPr>
          <w:rFonts w:ascii="Courier New" w:cs="Courier New" w:eastAsia="Courier New" w:hAnsi="Courier New"/>
          <w:sz w:val="15"/>
          <w:szCs w:val="15"/>
          <w:color w:val="auto"/>
        </w:rPr>
        <w:t>President/CEO of HFN for so long as the current President/CEO of HFN holds such office at HFN and the Management Services Agreement is in effect. If the Company's Board of Directors decides to separate the offices of President and CEO during such time period, the current HFN President/CEO shall be the Company's CEO. Upon the current HFN President/CEO ceasing to hold such office at HFN or the Management Services Agreement being terminated, the Company will be free to retain a President/CEO independent of HFN.</w:t>
      </w:r>
    </w:p>
    <w:p>
      <w:pPr>
        <w:spacing w:after="0" w:line="176" w:lineRule="exact"/>
        <w:rPr>
          <w:sz w:val="20"/>
          <w:szCs w:val="20"/>
          <w:color w:val="auto"/>
        </w:rPr>
      </w:pPr>
    </w:p>
    <w:p>
      <w:pPr>
        <w:ind w:left="1740"/>
        <w:spacing w:after="0"/>
        <w:tabs>
          <w:tab w:leader="none" w:pos="2180" w:val="left"/>
          <w:tab w:leader="none" w:pos="4580" w:val="left"/>
        </w:tabs>
        <w:rPr>
          <w:sz w:val="20"/>
          <w:szCs w:val="20"/>
          <w:color w:val="auto"/>
        </w:rPr>
      </w:pPr>
      <w:r>
        <w:rPr>
          <w:rFonts w:ascii="Courier New" w:cs="Courier New" w:eastAsia="Courier New" w:hAnsi="Courier New"/>
          <w:sz w:val="15"/>
          <w:szCs w:val="15"/>
          <w:color w:val="auto"/>
        </w:rPr>
        <w:t>3.6</w:t>
        <w:tab/>
        <w:t>Resolution of Deadlocks.</w:t>
        <w:tab/>
        <w:t>In the event of a deadlock of</w:t>
      </w:r>
    </w:p>
    <w:p>
      <w:pPr>
        <w:spacing w:after="0" w:line="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Board on any issue which does or threatens to materially and adversely affect the ability of the Company to conduct its business in the ordinary course, and such deadlock continues for a period of sixty (60) days, HFN and/or IMS-NET may submit the deadlocked issue to an independent, nationally recognized management consultant for final, binding resolution. The management consultant shall be selected by the Company's regularly retained independent auditors. The management consultant shall submit his/her/its decision/recommendations to the Board within thirty (30) days of the date of the submission of the dispute to him/her/it, which shall be binding on the Board and all parties. The cost of the management consultant's services shall be borne by the Company.</w:t>
      </w:r>
    </w:p>
    <w:p>
      <w:pPr>
        <w:spacing w:after="0" w:line="182" w:lineRule="exact"/>
        <w:rPr>
          <w:sz w:val="20"/>
          <w:szCs w:val="20"/>
          <w:color w:val="auto"/>
        </w:rPr>
      </w:pPr>
    </w:p>
    <w:p>
      <w:pPr>
        <w:ind w:left="1280" w:hanging="363"/>
        <w:spacing w:after="0"/>
        <w:tabs>
          <w:tab w:leader="none" w:pos="12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and Representations of Shareholders.  Each Shareholder</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hereby represents and warrants to the Company that:</w:t>
      </w:r>
    </w:p>
    <w:p>
      <w:pPr>
        <w:spacing w:after="0" w:line="185" w:lineRule="exact"/>
        <w:rPr>
          <w:sz w:val="20"/>
          <w:szCs w:val="20"/>
          <w:color w:val="auto"/>
        </w:rPr>
      </w:pPr>
    </w:p>
    <w:p>
      <w:pPr>
        <w:ind w:right="2839" w:firstLine="1286"/>
        <w:spacing w:after="0" w:line="251" w:lineRule="auto"/>
        <w:tabs>
          <w:tab w:leader="none" w:pos="166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officers and directors understand that the Stock is not registered under the Securities Act of 1933, as amended, on the grounds that the issuance thereof is exempt under the Securities Act of 1933 and applicable state securities laws and that the reliance on such exemption is predicated in part on the Shareholder's representations in this Agreement;</w:t>
      </w:r>
    </w:p>
    <w:p>
      <w:pPr>
        <w:spacing w:after="0" w:line="176" w:lineRule="exact"/>
        <w:rPr>
          <w:rFonts w:ascii="Courier New" w:cs="Courier New" w:eastAsia="Courier New" w:hAnsi="Courier New"/>
          <w:sz w:val="15"/>
          <w:szCs w:val="15"/>
          <w:color w:val="auto"/>
        </w:rPr>
      </w:pPr>
    </w:p>
    <w:p>
      <w:pPr>
        <w:ind w:right="2939" w:firstLine="1286"/>
        <w:spacing w:after="0" w:line="251" w:lineRule="auto"/>
        <w:tabs>
          <w:tab w:leader="none" w:pos="166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officers and directors understand that the statutory basis for the exemption claimed under the Securities Act of 1933 would not be present if, notwithstanding each of these representations hereunder, any investor has in mind merely acquiring any of the shares for resale upon the occurrence or non-occurrence of some pre-determined event or if any Shareholder is not financially responsible; and</w:t>
      </w:r>
    </w:p>
    <w:p>
      <w:pPr>
        <w:spacing w:after="0" w:line="175" w:lineRule="exact"/>
        <w:rPr>
          <w:rFonts w:ascii="Courier New" w:cs="Courier New" w:eastAsia="Courier New" w:hAnsi="Courier New"/>
          <w:sz w:val="15"/>
          <w:szCs w:val="15"/>
          <w:color w:val="auto"/>
        </w:rPr>
      </w:pPr>
    </w:p>
    <w:p>
      <w:pPr>
        <w:ind w:right="2939" w:firstLine="1286"/>
        <w:spacing w:after="0" w:line="251" w:lineRule="auto"/>
        <w:tabs>
          <w:tab w:leader="none" w:pos="1661"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officers and directors understand that the Stock may not be offered, sold, transferred, pledged or hypothecated in the absence of registration or the availability of and exemption from registration under the Securities Act of 1933. Furthermore, no offer, sale, transfer, pledge or hypothecation is to take place unless the prior written approval of counsel for the Company has been affixed to the certificate evidencing the Stock, the stock transfer agent of the Company has</w:t>
      </w:r>
    </w:p>
    <w:p>
      <w:pPr>
        <w:spacing w:after="0" w:line="175" w:lineRule="exact"/>
        <w:rPr>
          <w:rFonts w:ascii="Courier New" w:cs="Courier New" w:eastAsia="Courier New" w:hAnsi="Courier New"/>
          <w:sz w:val="15"/>
          <w:szCs w:val="15"/>
          <w:color w:val="auto"/>
        </w:rPr>
      </w:pPr>
    </w:p>
    <w:p>
      <w:pPr>
        <w:ind w:left="3600" w:hanging="191"/>
        <w:spacing w:after="0"/>
        <w:tabs>
          <w:tab w:leader="none" w:pos="360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19"/>
          </w:cols>
          <w:pgMar w:left="240" w:top="650" w:right="1440" w:bottom="1440" w:gutter="0" w:footer="0" w:header="0"/>
        </w:sectPr>
      </w:pPr>
    </w:p>
    <w:bookmarkStart w:id="174" w:name="page175"/>
    <w:bookmarkEnd w:id="174"/>
    <w:p>
      <w:pPr>
        <w:ind w:left="5" w:right="2839"/>
        <w:spacing w:after="0" w:line="251" w:lineRule="auto"/>
        <w:rPr>
          <w:sz w:val="20"/>
          <w:szCs w:val="20"/>
          <w:color w:val="auto"/>
        </w:rPr>
      </w:pPr>
      <w:r>
        <w:rPr>
          <w:rFonts w:ascii="Courier New" w:cs="Courier New" w:eastAsia="Courier New" w:hAnsi="Courier New"/>
          <w:sz w:val="15"/>
          <w:szCs w:val="15"/>
          <w:color w:val="auto"/>
        </w:rPr>
        <w:t>been ordered to effectuate transfers of the Stock only in accordance with the above instructions and the appropriate restrictive legend has been placed on all certificates representing outstanding shares of the Stock (as described in Paragraph 12.1).</w:t>
      </w:r>
    </w:p>
    <w:p>
      <w:pPr>
        <w:spacing w:after="0" w:line="176" w:lineRule="exact"/>
        <w:rPr>
          <w:sz w:val="20"/>
          <w:szCs w:val="20"/>
          <w:color w:val="auto"/>
        </w:rPr>
      </w:pPr>
    </w:p>
    <w:p>
      <w:pPr>
        <w:ind w:left="1285" w:hanging="363"/>
        <w:spacing w:after="0"/>
        <w:tabs>
          <w:tab w:leader="none" w:pos="1285"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HFN's Performance Obligation.  HFN agrees, as a performance</w:t>
      </w:r>
    </w:p>
    <w:p>
      <w:pPr>
        <w:spacing w:after="0" w:line="7"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obligation, that it shall obtain Network planning and option agreements from at least two (2) hospitals in the Exclusive Territory within one hundred twenty</w:t>
      </w:r>
    </w:p>
    <w:p>
      <w:pPr>
        <w:spacing w:after="0" w:line="1" w:lineRule="exact"/>
        <w:rPr>
          <w:sz w:val="20"/>
          <w:szCs w:val="20"/>
          <w:color w:val="auto"/>
        </w:rPr>
      </w:pPr>
    </w:p>
    <w:p>
      <w:pPr>
        <w:ind w:left="5" w:right="2939" w:hanging="5"/>
        <w:spacing w:after="0" w:line="250" w:lineRule="auto"/>
        <w:tabs>
          <w:tab w:leader="none" w:pos="559"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the date of this Agreement (the "Performance Obligation"). If HFN fails to meet the Performance Obligation, at the election of IMSNET, this joint venture shall unwind by automatic termination of this Agreement and all related agreements and instruments involving HFN, IMS-NET, HFN Info, Swedish, the Company and IMS, the pro rata return of the cash consideration paid by HFN for its Stock (based on the total cash consideration for all of the Stock and the Company's expenditures prior to termination hereof), the transfer of all of HFN's, HFN Info's and Swedish's Stock to the Company and the resignation of all HFN representatives as directors and officers of the Company. The provisions of Subparagraphs 12.1(a)-(c) and Paragraph 12.3 shall not apply in the event of dissolution of the Company hereunder.</w:t>
      </w:r>
    </w:p>
    <w:p>
      <w:pPr>
        <w:spacing w:after="0" w:line="182" w:lineRule="exact"/>
        <w:rPr>
          <w:sz w:val="20"/>
          <w:szCs w:val="20"/>
          <w:color w:val="auto"/>
        </w:rPr>
      </w:pPr>
    </w:p>
    <w:p>
      <w:pPr>
        <w:ind w:left="1285" w:hanging="363"/>
        <w:spacing w:after="0"/>
        <w:tabs>
          <w:tab w:leader="none" w:pos="128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Exclusive Territory; Rights of First Refusal.  The Company shall</w:t>
      </w:r>
    </w:p>
    <w:p>
      <w:pPr>
        <w:spacing w:after="0" w:line="7"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own, operate and market the Network in the Exclusive Territory, as defined herein. In addition, if IMS or an affiliate of IMS proposes to establish any medical information network in the State of Wisconsin and/or any areas east of Interstate 35 in Iowa, HFN shall have the right of first refusal to participate with IMS or its affiliate, on an exclusive basis, in the establishment, ownership and operation of such network(s), on such terms as the parties may agree.</w:t>
      </w:r>
    </w:p>
    <w:p>
      <w:pPr>
        <w:spacing w:after="0" w:line="176" w:lineRule="exact"/>
        <w:rPr>
          <w:sz w:val="20"/>
          <w:szCs w:val="20"/>
          <w:color w:val="auto"/>
        </w:rPr>
      </w:pPr>
    </w:p>
    <w:p>
      <w:pPr>
        <w:ind w:left="1285" w:hanging="363"/>
        <w:spacing w:after="0"/>
        <w:tabs>
          <w:tab w:leader="none" w:pos="128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Preferential Pricing for HFN Hospitals and Affiliates.  During</w:t>
      </w:r>
    </w:p>
    <w:p>
      <w:pPr>
        <w:spacing w:after="0" w:line="7"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the term of this Agreement, HFN-affiliated hospitals and hospital systems and physicians on their medical staffs will be entitled to preferential pricing for Network products and services, as set forth in Exhibit E attached hereto. Such preferential pricing shall involve discounts of not less than twenty-five percent (25%) from IMS' published charges. The form of agreement to be entered into by the Company with HFN-affiliated hospitals and systems and other hospitals and systems as Local Sponsors, and physicians as Subscribers, shall be attached hereto as Exhibit F.</w:t>
      </w:r>
    </w:p>
    <w:p>
      <w:pPr>
        <w:spacing w:after="0" w:line="175" w:lineRule="exact"/>
        <w:rPr>
          <w:sz w:val="20"/>
          <w:szCs w:val="20"/>
          <w:color w:val="auto"/>
        </w:rPr>
      </w:pPr>
    </w:p>
    <w:p>
      <w:pPr>
        <w:ind w:left="1285" w:hanging="363"/>
        <w:spacing w:after="0"/>
        <w:tabs>
          <w:tab w:leader="none" w:pos="1285"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 Sponsors.  IMS will, on behalf of the Company and the</w:t>
      </w:r>
    </w:p>
    <w:p>
      <w:pPr>
        <w:spacing w:after="0" w:line="7" w:lineRule="exact"/>
        <w:rPr>
          <w:rFonts w:ascii="Courier New" w:cs="Courier New" w:eastAsia="Courier New" w:hAnsi="Courier New"/>
          <w:sz w:val="15"/>
          <w:szCs w:val="15"/>
          <w:color w:val="auto"/>
        </w:rPr>
      </w:pPr>
    </w:p>
    <w:p>
      <w:pPr>
        <w:ind w:left="1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Network, market the Network to, contract with and be responsible for billing and collecting charges due from National Sponsors. The terms of the relationship between the Company and IMS with respect to National Sponsors shall be set</w:t>
      </w:r>
    </w:p>
    <w:p>
      <w:pPr>
        <w:spacing w:after="0" w:line="17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25"/>
          </w:cols>
          <w:pgMar w:left="235" w:top="650" w:right="1440" w:bottom="1440" w:gutter="0" w:footer="0" w:header="0"/>
        </w:sectPr>
      </w:pPr>
    </w:p>
    <w:bookmarkStart w:id="175" w:name="page176"/>
    <w:bookmarkEnd w:id="175"/>
    <w:p>
      <w:pPr>
        <w:ind w:right="3119"/>
        <w:spacing w:after="0" w:line="253" w:lineRule="auto"/>
        <w:rPr>
          <w:sz w:val="20"/>
          <w:szCs w:val="20"/>
          <w:color w:val="auto"/>
        </w:rPr>
      </w:pPr>
      <w:r>
        <w:rPr>
          <w:rFonts w:ascii="Courier New" w:cs="Courier New" w:eastAsia="Courier New" w:hAnsi="Courier New"/>
          <w:sz w:val="15"/>
          <w:szCs w:val="15"/>
          <w:color w:val="auto"/>
        </w:rPr>
        <w:t>forth in the National Sponsor Marketing Agreement entered into by the Company and IMS, which shall be attached hereto as Exhibit G.</w:t>
      </w:r>
    </w:p>
    <w:p>
      <w:pPr>
        <w:spacing w:after="0" w:line="174" w:lineRule="exact"/>
        <w:rPr>
          <w:sz w:val="20"/>
          <w:szCs w:val="20"/>
          <w:color w:val="auto"/>
        </w:rPr>
      </w:pPr>
    </w:p>
    <w:p>
      <w:pPr>
        <w:ind w:left="1280" w:hanging="363"/>
        <w:spacing w:after="0"/>
        <w:tabs>
          <w:tab w:leader="none" w:pos="128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Transfer Restrictions.  Except as expressly provided herein</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or in Paragraph 10, neither HFN nor HFN Info shall assign, sell, transfer, pledge, hypothecate, gift or otherwise dispose of or encumber all or any portion of its shares of the Stock or any interest therein. If at any time during the term hereof, HFN or HFN Info desires to transfer any interest in Stock, such transfer must be effectuated as follows:</w:t>
      </w:r>
    </w:p>
    <w:p>
      <w:pPr>
        <w:spacing w:after="0" w:line="176" w:lineRule="exact"/>
        <w:rPr>
          <w:sz w:val="20"/>
          <w:szCs w:val="20"/>
          <w:color w:val="auto"/>
        </w:rPr>
      </w:pPr>
    </w:p>
    <w:p>
      <w:pPr>
        <w:ind w:right="2839" w:firstLine="1286"/>
        <w:spacing w:after="0" w:line="250" w:lineRule="auto"/>
        <w:tabs>
          <w:tab w:leader="none" w:pos="1661"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HFN or HFN Info (the "Selling Shareholders") shall first offer to sell its Stock to the Company and the other Shareholders (including, for purposes hereof, Swedish) by presenting to the Company and to the other Shareholders an executed written offer (the "Offer Notice") to sell its Stock on the same terms and conditions on which the Selling Shareholder proposes to transfer its Stock and a copy of the bona fide written offer to sell or purchase</w:t>
      </w:r>
    </w:p>
    <w:p>
      <w:pPr>
        <w:spacing w:after="0" w:line="2" w:lineRule="exact"/>
        <w:rPr>
          <w:rFonts w:ascii="Courier New" w:cs="Courier New" w:eastAsia="Courier New" w:hAnsi="Courier New"/>
          <w:sz w:val="15"/>
          <w:szCs w:val="15"/>
          <w:color w:val="auto"/>
        </w:rPr>
      </w:pPr>
    </w:p>
    <w:p>
      <w:pPr>
        <w:ind w:left="3860" w:hanging="451"/>
        <w:spacing w:after="0"/>
        <w:tabs>
          <w:tab w:leader="none" w:pos="38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any);</w:t>
      </w:r>
    </w:p>
    <w:p>
      <w:pPr>
        <w:spacing w:after="0" w:line="185" w:lineRule="exact"/>
        <w:rPr>
          <w:sz w:val="20"/>
          <w:szCs w:val="20"/>
          <w:color w:val="auto"/>
        </w:rPr>
      </w:pPr>
    </w:p>
    <w:p>
      <w:pPr>
        <w:ind w:right="2939" w:firstLine="1286"/>
        <w:spacing w:after="0" w:line="251" w:lineRule="auto"/>
        <w:tabs>
          <w:tab w:leader="none" w:pos="166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receipt of the Offer Notice, the Company, acting through its Board of Directors (any director who is an HFN representative not voting), shall have thirty (30) days in which to notify the Selling Shareholder in writing of its desire to purchase the Selling Shareholder's Stock. If the Company does not elect to purchase the Selling Shareholder's Stock as just described or takes no action, the provisions of Subparagraph (c) below shall become applicable;</w:t>
      </w:r>
    </w:p>
    <w:p>
      <w:pPr>
        <w:spacing w:after="0" w:line="175" w:lineRule="exact"/>
        <w:rPr>
          <w:rFonts w:ascii="Courier New" w:cs="Courier New" w:eastAsia="Courier New" w:hAnsi="Courier New"/>
          <w:sz w:val="15"/>
          <w:szCs w:val="15"/>
          <w:color w:val="auto"/>
        </w:rPr>
      </w:pPr>
    </w:p>
    <w:p>
      <w:pPr>
        <w:ind w:right="2839" w:firstLine="1286"/>
        <w:spacing w:after="0" w:line="250" w:lineRule="auto"/>
        <w:tabs>
          <w:tab w:leader="none" w:pos="1661"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does not elect to purchase the Selling Shareholder's Stock pursuant to Subparagraph (b) above, the other Shareholders shall have thirty (30) days after expiration of the thirty (30) day period referred to in Subparagraph (b) to notify the Selling Shareholder in writing of their offer to purchase their pro rata share of the Selling Shareholder's Stock.</w:t>
      </w:r>
    </w:p>
    <w:p>
      <w:pPr>
        <w:spacing w:after="0" w:line="2" w:lineRule="exact"/>
        <w:rPr>
          <w:rFonts w:ascii="Courier New" w:cs="Courier New" w:eastAsia="Courier New" w:hAnsi="Courier New"/>
          <w:sz w:val="15"/>
          <w:szCs w:val="15"/>
          <w:color w:val="auto"/>
        </w:rPr>
      </w:pPr>
    </w:p>
    <w:p>
      <w:pPr>
        <w:ind w:left="3140" w:hanging="377"/>
        <w:spacing w:after="0"/>
        <w:tabs>
          <w:tab w:leader="none" w:pos="314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this Agreement, a Shareholder's "pro rata share" shall equal the</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jc w:val="both"/>
        <w:ind w:right="3119"/>
        <w:spacing w:after="0" w:line="252" w:lineRule="auto"/>
        <w:rPr>
          <w:sz w:val="20"/>
          <w:szCs w:val="20"/>
          <w:color w:val="auto"/>
        </w:rPr>
      </w:pPr>
      <w:r>
        <w:rPr>
          <w:rFonts w:ascii="Courier New" w:cs="Courier New" w:eastAsia="Courier New" w:hAnsi="Courier New"/>
          <w:sz w:val="15"/>
          <w:szCs w:val="15"/>
          <w:color w:val="auto"/>
        </w:rPr>
        <w:t>percentage which the number of shares of Stock owned by it bears to the total number of shares of Stock owned by all of the Shareholders desiring to accept the Selling Shareholder's offer;</w:t>
      </w:r>
    </w:p>
    <w:p>
      <w:pPr>
        <w:spacing w:after="0" w:line="175" w:lineRule="exact"/>
        <w:rPr>
          <w:sz w:val="20"/>
          <w:szCs w:val="20"/>
          <w:color w:val="auto"/>
        </w:rPr>
      </w:pPr>
    </w:p>
    <w:p>
      <w:pPr>
        <w:ind w:right="2939" w:firstLine="1286"/>
        <w:spacing w:after="0" w:line="251" w:lineRule="auto"/>
        <w:tabs>
          <w:tab w:leader="none" w:pos="166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and/or the other Shareholders do not elect to purchase the Selling Shareholder's Stock as just described, the Selling Shareholder shall be free to sell its Stock to the prospective purchaser at the price and on the other terms and conditions described in the Offer Notice delivered pursuant to Subparagraph (a) above; and</w:t>
      </w:r>
    </w:p>
    <w:p>
      <w:pPr>
        <w:spacing w:after="0" w:line="176" w:lineRule="exact"/>
        <w:rPr>
          <w:rFonts w:ascii="Courier New" w:cs="Courier New" w:eastAsia="Courier New" w:hAnsi="Courier New"/>
          <w:sz w:val="15"/>
          <w:szCs w:val="15"/>
          <w:color w:val="auto"/>
        </w:rPr>
      </w:pPr>
    </w:p>
    <w:p>
      <w:pPr>
        <w:ind w:right="2839" w:firstLine="1286"/>
        <w:spacing w:after="0" w:line="251" w:lineRule="auto"/>
        <w:tabs>
          <w:tab w:leader="none" w:pos="166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any purchase by the Company or the other Shareholders pursuant to this Paragraph 10 shall occur on a date designated by the purchasing party(s) not more than sixty (60) nor less than fifteen (15) days after exercising</w:t>
      </w:r>
    </w:p>
    <w:p>
      <w:pPr>
        <w:spacing w:after="0" w:line="176" w:lineRule="exact"/>
        <w:rPr>
          <w:rFonts w:ascii="Courier New" w:cs="Courier New" w:eastAsia="Courier New" w:hAnsi="Courier New"/>
          <w:sz w:val="15"/>
          <w:szCs w:val="15"/>
          <w:color w:val="auto"/>
        </w:rPr>
      </w:pPr>
    </w:p>
    <w:p>
      <w:pPr>
        <w:ind w:left="3600" w:hanging="191"/>
        <w:spacing w:after="0"/>
        <w:tabs>
          <w:tab w:leader="none" w:pos="360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19"/>
          </w:cols>
          <w:pgMar w:left="240" w:top="650" w:right="1440" w:bottom="1440" w:gutter="0" w:footer="0" w:header="0"/>
        </w:sectPr>
      </w:pPr>
    </w:p>
    <w:bookmarkStart w:id="176" w:name="page177"/>
    <w:bookmarkEnd w:id="176"/>
    <w:p>
      <w:pPr>
        <w:ind w:right="3019"/>
        <w:spacing w:after="0" w:line="251" w:lineRule="auto"/>
        <w:rPr>
          <w:sz w:val="20"/>
          <w:szCs w:val="20"/>
          <w:color w:val="auto"/>
        </w:rPr>
      </w:pPr>
      <w:r>
        <w:rPr>
          <w:rFonts w:ascii="Courier New" w:cs="Courier New" w:eastAsia="Courier New" w:hAnsi="Courier New"/>
          <w:sz w:val="15"/>
          <w:szCs w:val="15"/>
          <w:color w:val="auto"/>
        </w:rPr>
        <w:t>its/their option to purchase. Against payment of the purchase price at the closing (by certified or cashier's check or wire transfer of immediately available funds), the Selling Shareholder shall assign and deliver to the Company or the purchasing Shareholders the share certificates and/or other documents representing its interest in the Stock to be sold, free and clear of all liens, claims or other encumbrances, in form ready for transfer and duly endorsed for transfer or accompanied by stock powers duly executed by the Selling Shareholder.</w:t>
      </w:r>
    </w:p>
    <w:p>
      <w:pPr>
        <w:spacing w:after="0" w:line="175" w:lineRule="exact"/>
        <w:rPr>
          <w:sz w:val="20"/>
          <w:szCs w:val="20"/>
          <w:color w:val="auto"/>
        </w:rPr>
      </w:pPr>
    </w:p>
    <w:p>
      <w:pPr>
        <w:ind w:left="1280" w:hanging="455"/>
        <w:spacing w:after="0"/>
        <w:tabs>
          <w:tab w:leader="none" w:pos="128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Sales and IMS Public Offering.</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280"/>
        <w:spacing w:after="0"/>
        <w:tabs>
          <w:tab w:leader="none" w:pos="1820" w:val="left"/>
          <w:tab w:leader="none" w:pos="3840" w:val="left"/>
        </w:tabs>
        <w:rPr>
          <w:sz w:val="20"/>
          <w:szCs w:val="20"/>
          <w:color w:val="auto"/>
        </w:rPr>
      </w:pPr>
      <w:r>
        <w:rPr>
          <w:rFonts w:ascii="Courier New" w:cs="Courier New" w:eastAsia="Courier New" w:hAnsi="Courier New"/>
          <w:sz w:val="15"/>
          <w:szCs w:val="15"/>
          <w:color w:val="auto"/>
        </w:rPr>
        <w:t>10.1</w:t>
        <w:tab/>
        <w:t>Sale of the Company.</w:t>
        <w:tab/>
        <w:t>Subject to the provisions hereof, if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IMS-NET, as the holder of a majority of the shares of the Stock, approves a Sale of the Company (an "Approved Sale"), the other Shareholders shall vote for, consent to and raise no objections to the Approved Sale. If the Approved Sale is structured as a merger or consolidation, the other Shareholders shall waive any dissenter's rights, appraisal rights or similar rights in connection with such merger or consolidation. If the Approved Sale is structured as a sale of Stock, HFN shall have the option to: (a) sell all of its Stock, and require the other Shareholders to sell all of their Stock, on the terms and conditions approved by IMS-NET; (b) purchase all of IMS-NET's Stock at the approved price plus $1.00; or (c) elect, on its own behalf and on behalf of the other Shareholders, not to sell Stock in connection with the Sale of the Company. All of the other Shareholders, including HFN Info and Swedish, shall be bound by HFN's election. The obligations of HFN and the other Shareholders with respect to an Approved Sale of the Company also are subject to the satisfaction of the following conditions: (a) upon the consummation of the Approved Sale, each Shareholder shall receive the same form of consideration and the same amount of consideration for its Stock as all other Shareholders; (b) if any Shareholders are given options as to the form and amount of consideration to be received, each Shareholder shall be given the same options; and (c) HFN and the other Shareholders, in the case of a Stock sale in which HFN has elected to participate, shall have the right to sell the same proportion of their Stock as IMS-NET and shall not be obligated to sell a greater proportion of their Stock than IMS-NET.</w:t>
      </w:r>
    </w:p>
    <w:p>
      <w:pPr>
        <w:spacing w:after="0" w:line="365" w:lineRule="exact"/>
        <w:rPr>
          <w:sz w:val="20"/>
          <w:szCs w:val="20"/>
          <w:color w:val="auto"/>
        </w:rPr>
      </w:pPr>
    </w:p>
    <w:p>
      <w:pPr>
        <w:ind w:left="1280"/>
        <w:spacing w:after="0"/>
        <w:tabs>
          <w:tab w:leader="none" w:pos="1820" w:val="left"/>
          <w:tab w:leader="none" w:pos="3120" w:val="left"/>
        </w:tabs>
        <w:rPr>
          <w:sz w:val="20"/>
          <w:szCs w:val="20"/>
          <w:color w:val="auto"/>
        </w:rPr>
      </w:pPr>
      <w:r>
        <w:rPr>
          <w:rFonts w:ascii="Courier New" w:cs="Courier New" w:eastAsia="Courier New" w:hAnsi="Courier New"/>
          <w:sz w:val="15"/>
          <w:szCs w:val="15"/>
          <w:color w:val="auto"/>
        </w:rPr>
        <w:t>10.2</w:t>
        <w:tab/>
        <w:t>Sale of IMS.</w:t>
        <w:tab/>
        <w:t>In the event of a proposed Sale of IMS,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immediately prior to such Sale, HFN will have the option to: (a) purchase all of IMS-NET's Stock at a price based on the greater of the fair market value per share, determined by the appraisal consultants of the Company's regularly retained independent auditors (at the Company's expense), and Fifty</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19"/>
          </w:cols>
          <w:pgMar w:left="240" w:top="651" w:right="1440" w:bottom="1440" w:gutter="0" w:footer="0" w:header="0"/>
        </w:sectPr>
      </w:pPr>
    </w:p>
    <w:bookmarkStart w:id="177" w:name="page178"/>
    <w:bookmarkEnd w:id="177"/>
    <w:p>
      <w:pPr>
        <w:ind w:right="2839"/>
        <w:spacing w:after="0" w:line="250" w:lineRule="auto"/>
        <w:rPr>
          <w:sz w:val="20"/>
          <w:szCs w:val="20"/>
          <w:color w:val="auto"/>
        </w:rPr>
      </w:pPr>
      <w:r>
        <w:rPr>
          <w:rFonts w:ascii="Courier New" w:cs="Courier New" w:eastAsia="Courier New" w:hAnsi="Courier New"/>
          <w:sz w:val="15"/>
          <w:szCs w:val="15"/>
          <w:color w:val="auto"/>
        </w:rPr>
        <w:t>Thousand Dollars ($50,000) per share; (b) sell all of its Stock, and require the other Shareholders to sell all of their Stock, to IMS-NET at a price based on the greater of the fair market value per share (determined as provided in Subparagraph (a)), and Fifty Thousand Dollars ($50,000) per share; or (c) retain, and require the other Shareholders to retain, the same interest in the Company notwithstanding the Sale of IMS. HFN will have thirty (30) days from its receipt of notice of the proposed Sale of IMS to make such election and, if no affirmative election is made within such time period, HFN will be deemed to have elected option (c). In the event IMS or HFN disputes the valuation placed on the Company hereunder, either party may submit the dispute to binding arbitration in Chicago, Illinois in accordance with the Commercial Arbitration Rules of the American Arbitration Association. All of the other Shareholders, including HFN Info and Swedish, will be bound by HFN's election hereunder.</w:t>
      </w:r>
    </w:p>
    <w:p>
      <w:pPr>
        <w:spacing w:after="0" w:line="183" w:lineRule="exact"/>
        <w:rPr>
          <w:sz w:val="20"/>
          <w:szCs w:val="20"/>
          <w:color w:val="auto"/>
        </w:rPr>
      </w:pPr>
    </w:p>
    <w:p>
      <w:pPr>
        <w:ind w:left="1280"/>
        <w:spacing w:after="0"/>
        <w:tabs>
          <w:tab w:leader="none" w:pos="1820" w:val="left"/>
          <w:tab w:leader="none" w:pos="4680" w:val="left"/>
        </w:tabs>
        <w:rPr>
          <w:sz w:val="20"/>
          <w:szCs w:val="20"/>
          <w:color w:val="auto"/>
        </w:rPr>
      </w:pPr>
      <w:r>
        <w:rPr>
          <w:rFonts w:ascii="Courier New" w:cs="Courier New" w:eastAsia="Courier New" w:hAnsi="Courier New"/>
          <w:sz w:val="15"/>
          <w:szCs w:val="15"/>
          <w:color w:val="auto"/>
        </w:rPr>
        <w:t>10.3</w:t>
        <w:tab/>
        <w:t>Public Offering of IMS Stock.</w:t>
        <w:tab/>
        <w:t>In the event of a proposed</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Public Offering of IMS common stock, neither HFN, HFN Info, Swedish nor any future minority shareholder of the Company shall have the right to exchange their shares of Stock for shares of IMS common stock prior to the Public Offering. However, in the event that IMS, in its sole discretion, offers such exchange rights to HFN Info, Swedish and any future minority shareholders, and all of those parties agree to exchange all of their Stock, HFN shall be obligated to exchange, on the same terms and conditions agreed upon by such parties and IMS, an amount of its Stock equal to no more than the amount needed to give IMS, following the exchange, ownership of eighty percent (80%) of all of the issued and outstanding Stock. In such event, IMS also agrees that HFN, in its sole discretion, shall have the option to exchange any additional amount or all of its Stock for IMS common stock, on the same terms and conditions.</w:t>
      </w:r>
    </w:p>
    <w:p>
      <w:pPr>
        <w:spacing w:after="0" w:line="183" w:lineRule="exact"/>
        <w:rPr>
          <w:sz w:val="20"/>
          <w:szCs w:val="20"/>
          <w:color w:val="auto"/>
        </w:rPr>
      </w:pPr>
    </w:p>
    <w:p>
      <w:pPr>
        <w:ind w:left="1280"/>
        <w:spacing w:after="0"/>
        <w:tabs>
          <w:tab w:leader="none" w:pos="1820" w:val="left"/>
          <w:tab w:leader="none" w:pos="3120" w:val="left"/>
        </w:tabs>
        <w:rPr>
          <w:sz w:val="20"/>
          <w:szCs w:val="20"/>
          <w:color w:val="auto"/>
        </w:rPr>
      </w:pPr>
      <w:r>
        <w:rPr>
          <w:rFonts w:ascii="Courier New" w:cs="Courier New" w:eastAsia="Courier New" w:hAnsi="Courier New"/>
          <w:sz w:val="15"/>
          <w:szCs w:val="15"/>
          <w:color w:val="auto"/>
        </w:rPr>
        <w:t>10.4</w:t>
        <w:tab/>
        <w:t>Definitions.</w:t>
        <w:tab/>
        <w:t>For purposes hereof, a Sale of the Company or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 Sale of IMS means the sale of the Company or IMS to an unrelated third party or group of unrelated third parties pursuant to which such party or parties acquire: (a) a majority of the Stock of the Company (whether by merger, consolidation or sale of Stock) or the capital stock of IMS possessing the voting power to elect a majority of IMS' board of directors (whether by merger, consolidation or sale of stock); or (b) all or substantially all of the assets of the Company, or of all or substantially all of the assets of IMS on a consolidated basis. For purposed hereof, a Public Offering means any sale of IMS common stock to the public pursuant to an offering registered under the Securities Act of 1933, as amended, or through a broker, dealer or market maker pursuant to the provisions of Rule 144 promulgated under the Securities Act of 1933, as amended.</w:t>
      </w:r>
    </w:p>
    <w:p>
      <w:pPr>
        <w:spacing w:after="0" w:line="360" w:lineRule="exact"/>
        <w:rPr>
          <w:sz w:val="20"/>
          <w:szCs w:val="20"/>
          <w:color w:val="auto"/>
        </w:rPr>
      </w:pPr>
    </w:p>
    <w:p>
      <w:pPr>
        <w:ind w:left="1280" w:hanging="455"/>
        <w:spacing w:after="0"/>
        <w:tabs>
          <w:tab w:leader="none" w:pos="128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Restrictive Legend; All Shares of Stock Subject to Restriction.</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right"/>
        <w:ind w:right="2839"/>
        <w:spacing w:after="0"/>
        <w:tabs>
          <w:tab w:leader="none" w:pos="5520" w:val="left"/>
          <w:tab w:leader="none" w:pos="3580" w:val="left"/>
        </w:tabs>
        <w:rPr>
          <w:sz w:val="20"/>
          <w:szCs w:val="20"/>
          <w:color w:val="auto"/>
        </w:rPr>
      </w:pPr>
      <w:r>
        <w:rPr>
          <w:rFonts w:ascii="Courier New" w:cs="Courier New" w:eastAsia="Courier New" w:hAnsi="Courier New"/>
          <w:sz w:val="15"/>
          <w:szCs w:val="15"/>
          <w:color w:val="auto"/>
        </w:rPr>
        <w:t>11.1</w:t>
        <w:tab/>
        <w:t>Restrictive Legend.</w:t>
        <w:tab/>
        <w:t>Each certificate representing shares of</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the Stock shall be endorsed with a legend in substantially the following form:</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651" w:right="1440" w:bottom="1440" w:gutter="0" w:footer="0" w:header="0"/>
        </w:sectPr>
      </w:pPr>
    </w:p>
    <w:bookmarkStart w:id="178" w:name="page179"/>
    <w:bookmarkEnd w:id="178"/>
    <w:p>
      <w:pPr>
        <w:ind w:left="820" w:right="3579" w:firstLine="461"/>
        <w:spacing w:after="0" w:line="250" w:lineRule="auto"/>
        <w:rPr>
          <w:sz w:val="20"/>
          <w:szCs w:val="20"/>
          <w:color w:val="auto"/>
        </w:rPr>
      </w:pPr>
      <w:r>
        <w:rPr>
          <w:rFonts w:ascii="Courier New" w:cs="Courier New" w:eastAsia="Courier New" w:hAnsi="Courier New"/>
          <w:sz w:val="15"/>
          <w:szCs w:val="15"/>
          <w:color w:val="auto"/>
        </w:rPr>
        <w:t>"The sale, transfer, pledge, hypothecation, gift or other disposition or encumbrance of the shares represented by this certificate is subject to, and the shares are transferable only in accordance with, the terms of a Joint Venture Agreement between the Company and certain of its Shareholders dated</w:t>
      </w:r>
    </w:p>
    <w:p>
      <w:pPr>
        <w:spacing w:after="0" w:line="2" w:lineRule="exact"/>
        <w:rPr>
          <w:sz w:val="20"/>
          <w:szCs w:val="20"/>
          <w:color w:val="auto"/>
        </w:rPr>
      </w:pPr>
    </w:p>
    <w:p>
      <w:pPr>
        <w:ind w:left="820" w:right="3479"/>
        <w:spacing w:after="0" w:line="250" w:lineRule="auto"/>
        <w:rPr>
          <w:sz w:val="20"/>
          <w:szCs w:val="20"/>
          <w:color w:val="auto"/>
        </w:rPr>
      </w:pPr>
      <w:r>
        <w:rPr>
          <w:rFonts w:ascii="Courier New" w:cs="Courier New" w:eastAsia="Courier New" w:hAnsi="Courier New"/>
          <w:sz w:val="15"/>
          <w:szCs w:val="15"/>
          <w:color w:val="auto"/>
        </w:rPr>
        <w:t>May 15, 1992, a copy of which is on file at the offices of the Company. The securities represented by this certificate have not been registered under the Securities Act of 1933. These securities may not be offered, sold, transferred, pledged or hypothecated in the absence of registration or the availability of and exemption from registration under the Securities Act of 1933. Furthermore, no offer, sale, transfer, pledge or hypothecation is to take place unless the prior written approval of counsel for the Company has been affixed to this certificate. The stock transfer agent of the Company has been ordered to effectuate transfers of this certificate only in accordance with the above instructions."</w:t>
      </w:r>
    </w:p>
    <w:p>
      <w:pPr>
        <w:spacing w:after="0" w:line="183" w:lineRule="exact"/>
        <w:rPr>
          <w:sz w:val="20"/>
          <w:szCs w:val="20"/>
          <w:color w:val="auto"/>
        </w:rPr>
      </w:pPr>
    </w:p>
    <w:p>
      <w:pPr>
        <w:ind w:left="1280"/>
        <w:spacing w:after="0"/>
        <w:tabs>
          <w:tab w:leader="none" w:pos="1820" w:val="left"/>
        </w:tabs>
        <w:rPr>
          <w:sz w:val="20"/>
          <w:szCs w:val="20"/>
          <w:color w:val="auto"/>
        </w:rPr>
      </w:pPr>
      <w:r>
        <w:rPr>
          <w:rFonts w:ascii="Courier New" w:cs="Courier New" w:eastAsia="Courier New" w:hAnsi="Courier New"/>
          <w:sz w:val="15"/>
          <w:szCs w:val="15"/>
          <w:color w:val="auto"/>
        </w:rPr>
        <w:t>11.2</w:t>
        <w:tab/>
        <w:t>All Shares of Stock Subject to Restriction.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1286"/>
        <w:spacing w:after="0" w:line="250" w:lineRule="auto"/>
        <w:tabs>
          <w:tab w:leader="none" w:pos="166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hereof to the contrary, in the case of any transfer or disposition of shares of the Stock or the issuance of any new shares of the Stock, each transferee shall execute an appropriate instrument agreeing to be bound by the restrictions set forth in this Agreement (which shall be substantially in the form of the Stock Subscription Agreement attached hereto as Exhibit B). The transferee or transferees shall receive and hold such Stock subject to all of the restrictions, obligations and rights created hereunder, and the Shareholders and each transferee shall be bound by the restrictions contained in this Agreement with respect to each subsequent transferee.</w:t>
      </w:r>
    </w:p>
    <w:p>
      <w:pPr>
        <w:spacing w:after="0" w:line="181" w:lineRule="exact"/>
        <w:rPr>
          <w:rFonts w:ascii="Courier New" w:cs="Courier New" w:eastAsia="Courier New" w:hAnsi="Courier New"/>
          <w:sz w:val="15"/>
          <w:szCs w:val="15"/>
          <w:color w:val="auto"/>
        </w:rPr>
      </w:pPr>
    </w:p>
    <w:p>
      <w:pPr>
        <w:ind w:right="3019" w:firstLine="1286"/>
        <w:spacing w:after="0" w:line="252" w:lineRule="auto"/>
        <w:tabs>
          <w:tab w:leader="none" w:pos="1661"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"Shareholder" or "Shareholders" as used in this Agreement shall include any new shareholder or any transferee of a Shareholder as just described.</w:t>
      </w:r>
    </w:p>
    <w:p>
      <w:pPr>
        <w:spacing w:after="0" w:line="174" w:lineRule="exact"/>
        <w:rPr>
          <w:rFonts w:ascii="Courier New" w:cs="Courier New" w:eastAsia="Courier New" w:hAnsi="Courier New"/>
          <w:sz w:val="15"/>
          <w:szCs w:val="15"/>
          <w:color w:val="auto"/>
        </w:rPr>
      </w:pPr>
    </w:p>
    <w:p>
      <w:pPr>
        <w:ind w:left="1280" w:hanging="455"/>
        <w:spacing w:after="0"/>
        <w:tabs>
          <w:tab w:leader="none" w:pos="12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w:t>
      </w:r>
    </w:p>
    <w:p>
      <w:pPr>
        <w:spacing w:after="0" w:line="7"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12.1  Voluntary Dissolution.  In the event that the shareholders</w:t>
      </w:r>
    </w:p>
    <w:p>
      <w:pPr>
        <w:spacing w:after="0" w:line="7" w:lineRule="exact"/>
        <w:rPr>
          <w:rFonts w:ascii="Courier New" w:cs="Courier New" w:eastAsia="Courier New" w:hAnsi="Courier New"/>
          <w:sz w:val="15"/>
          <w:szCs w:val="15"/>
          <w:color w:val="auto"/>
        </w:rPr>
      </w:pPr>
    </w:p>
    <w:p>
      <w:pPr>
        <w:ind w:left="18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 the Company at any time and for any reason agree to a voluntary dissolution and winding up of the business operations of the Company, the rights and obligations of the Shareholders, as well as the procedures governing dissolution and winding up, shall be as provided in the Illinois Business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19"/>
          </w:cols>
          <w:pgMar w:left="240" w:top="651" w:right="1440" w:bottom="1440" w:gutter="0" w:footer="0" w:header="0"/>
        </w:sectPr>
      </w:pPr>
    </w:p>
    <w:bookmarkStart w:id="179" w:name="page180"/>
    <w:bookmarkEnd w:id="179"/>
    <w:p>
      <w:pPr>
        <w:ind w:right="3019"/>
        <w:spacing w:after="0" w:line="252" w:lineRule="auto"/>
        <w:rPr>
          <w:sz w:val="20"/>
          <w:szCs w:val="20"/>
          <w:color w:val="auto"/>
        </w:rPr>
      </w:pPr>
      <w:r>
        <w:rPr>
          <w:rFonts w:ascii="Courier New" w:cs="Courier New" w:eastAsia="Courier New" w:hAnsi="Courier New"/>
          <w:sz w:val="15"/>
          <w:szCs w:val="15"/>
          <w:color w:val="auto"/>
        </w:rPr>
        <w:t>Corporation Act of 1983, as amended; provided, however, that the parties shall have the following additional rights and obligations upon such dissolution (except dissolution pursuant to Paragraph 5):</w:t>
      </w:r>
    </w:p>
    <w:p>
      <w:pPr>
        <w:spacing w:after="0" w:line="175" w:lineRule="exact"/>
        <w:rPr>
          <w:sz w:val="20"/>
          <w:szCs w:val="20"/>
          <w:color w:val="auto"/>
        </w:rPr>
      </w:pPr>
    </w:p>
    <w:p>
      <w:pPr>
        <w:ind w:right="2839" w:firstLine="1286"/>
        <w:spacing w:after="0" w:line="250" w:lineRule="auto"/>
        <w:tabs>
          <w:tab w:leader="none" w:pos="166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ninety (90) days prior written notice from HFN to IMS and subject to payment of the consideration described below, the Software License Agreement (along with the accompanying Escrow Agreement) will be assigned by the Company to HFN, and consented to as necessary by IMS, without consideration. IMS will thereafter abide by the then existing terms of the Software License Agreement, except as those terms may be amended from time to time pursuant to the provisions of said Agreement and further except that, upon such assignment, the license granted thereunder shall convert to a non-exclusive license. Such assignment is, however, subject to the prior payment of total cash consideration to IMS for the license granted under the Software License Agreement of One Million Two Hundred Thousand Dollars ($1,200,000), including amounts paid by HFN Info and/or Swedish therefor;</w:t>
      </w:r>
    </w:p>
    <w:p>
      <w:pPr>
        <w:spacing w:after="0" w:line="182" w:lineRule="exact"/>
        <w:rPr>
          <w:rFonts w:ascii="Courier New" w:cs="Courier New" w:eastAsia="Courier New" w:hAnsi="Courier New"/>
          <w:sz w:val="15"/>
          <w:szCs w:val="15"/>
          <w:color w:val="auto"/>
        </w:rPr>
      </w:pPr>
    </w:p>
    <w:p>
      <w:pPr>
        <w:ind w:right="2839" w:firstLine="1286"/>
        <w:spacing w:after="0" w:line="250" w:lineRule="auto"/>
        <w:tabs>
          <w:tab w:leader="none" w:pos="166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Software License Agreement is assigned to HFN pursuant to Subparagraph (a), IMS will thereafter also provide such technical and other maintenance, support and assistance (in addition to that required under the Software License) which is available from IMS and requested by HFN, on terms at least as favorable as those available to IMS' most favored clients. In addition, National Sponsors and Local Sponsors which continue to do business with IMS following dissolution of the Company shall continue to have access to the Network pursuant to an assignment of the National Sponsor Marketing Agreement attached hereto as Exhibit G to HFN or the creation of a substantially comparable new arrangement between HFN and IMS using the same reimbursement system then in effect. Participants in HFN's Network also will be given access to the products and services offered by CSC Health Care Services, Inc. through IMS, to the extent possible; and</w:t>
      </w:r>
    </w:p>
    <w:p>
      <w:pPr>
        <w:spacing w:after="0" w:line="183" w:lineRule="exact"/>
        <w:rPr>
          <w:rFonts w:ascii="Courier New" w:cs="Courier New" w:eastAsia="Courier New" w:hAnsi="Courier New"/>
          <w:sz w:val="15"/>
          <w:szCs w:val="15"/>
          <w:color w:val="auto"/>
        </w:rPr>
      </w:pPr>
    </w:p>
    <w:p>
      <w:pPr>
        <w:ind w:right="2839" w:firstLine="1286"/>
        <w:spacing w:after="0" w:line="250" w:lineRule="auto"/>
        <w:tabs>
          <w:tab w:leader="none" w:pos="166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in the event the Software License Agreement is assigned to HFN pursuant to Subparagraph (a), all of the Company's agreements with Local Sponsors and Subscribers shall be assigned to HFN without consideration, subject to the consent of the Local Sponsors and Subscribers, if necessary. In addition, following dissolution of the Company, IMS hereby authorizes HFN to market the Network to and to contract with any and all potential Local Sponsors and Subscribers affiliated with HFN and located within the Exclusive Territory. For purposes hereof, a Local Sponsor shall be considered affiliated with HFN" if it is: (i) an HFN shareholder hospital/system, affiliate hospital/system or participant hospital/system; (ii) a hospital for which HFN acts as a contracting agent; or (iii) an affiliated entity of any of the foregoing hospitals. A Subscriber shall be</w:t>
      </w:r>
    </w:p>
    <w:p>
      <w:pPr>
        <w:spacing w:after="0" w:line="182" w:lineRule="exact"/>
        <w:rPr>
          <w:rFonts w:ascii="Courier New" w:cs="Courier New" w:eastAsia="Courier New" w:hAnsi="Courier New"/>
          <w:sz w:val="15"/>
          <w:szCs w:val="15"/>
          <w:color w:val="auto"/>
        </w:rPr>
      </w:pPr>
    </w:p>
    <w:p>
      <w:pPr>
        <w:ind w:left="3600" w:hanging="191"/>
        <w:spacing w:after="0"/>
        <w:tabs>
          <w:tab w:leader="none" w:pos="3600"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15 -</w:t>
      </w:r>
    </w:p>
    <w:p>
      <w:pPr>
        <w:sectPr>
          <w:pgSz w:w="11900" w:h="16838" w:orient="portrait"/>
          <w:cols w:equalWidth="0" w:num="1">
            <w:col w:w="10219"/>
          </w:cols>
          <w:pgMar w:left="240" w:top="650" w:right="1440" w:bottom="1440" w:gutter="0" w:footer="0" w:header="0"/>
        </w:sectPr>
      </w:pPr>
    </w:p>
    <w:bookmarkStart w:id="180" w:name="page181"/>
    <w:bookmarkEnd w:id="180"/>
    <w:p>
      <w:pPr>
        <w:ind w:right="3019"/>
        <w:spacing w:after="0" w:line="252" w:lineRule="auto"/>
        <w:rPr>
          <w:sz w:val="20"/>
          <w:szCs w:val="20"/>
          <w:color w:val="auto"/>
        </w:rPr>
      </w:pPr>
      <w:r>
        <w:rPr>
          <w:rFonts w:ascii="Courier New" w:cs="Courier New" w:eastAsia="Courier New" w:hAnsi="Courier New"/>
          <w:sz w:val="15"/>
          <w:szCs w:val="15"/>
          <w:color w:val="auto"/>
        </w:rPr>
        <w:t>considered "affiliated with HFN" if he/she has medical staff privileges at any of the foregoing hospitals or refers patients for admission to any of the foregoing hospitals.</w:t>
      </w:r>
    </w:p>
    <w:p>
      <w:pPr>
        <w:spacing w:after="0" w:line="175" w:lineRule="exact"/>
        <w:rPr>
          <w:sz w:val="20"/>
          <w:szCs w:val="20"/>
          <w:color w:val="auto"/>
        </w:rPr>
      </w:pPr>
    </w:p>
    <w:p>
      <w:pPr>
        <w:ind w:left="820"/>
        <w:spacing w:after="0"/>
        <w:tabs>
          <w:tab w:leader="none" w:pos="1360" w:val="left"/>
          <w:tab w:leader="none" w:pos="3760" w:val="left"/>
        </w:tabs>
        <w:rPr>
          <w:sz w:val="20"/>
          <w:szCs w:val="20"/>
          <w:color w:val="auto"/>
        </w:rPr>
      </w:pPr>
      <w:r>
        <w:rPr>
          <w:rFonts w:ascii="Courier New" w:cs="Courier New" w:eastAsia="Courier New" w:hAnsi="Courier New"/>
          <w:sz w:val="15"/>
          <w:szCs w:val="15"/>
          <w:color w:val="auto"/>
        </w:rPr>
        <w:t>12.2</w:t>
        <w:tab/>
        <w:t>Involuntary Dissolution.</w:t>
        <w:tab/>
        <w:t>Involuntary dissolution proceedings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commenced against the Company shall trigger and be governed by all of the same rights, obligations and terms set forth in Paragraph 12.1 as to a voluntary dissolution, subject to the requirements of the United States Bankruptcy laws, if applicable.</w:t>
      </w:r>
    </w:p>
    <w:p>
      <w:pPr>
        <w:spacing w:after="0" w:line="176" w:lineRule="exact"/>
        <w:rPr>
          <w:sz w:val="20"/>
          <w:szCs w:val="20"/>
          <w:color w:val="auto"/>
        </w:rPr>
      </w:pPr>
    </w:p>
    <w:p>
      <w:pPr>
        <w:ind w:left="820"/>
        <w:spacing w:after="0"/>
        <w:tabs>
          <w:tab w:leader="none" w:pos="1360" w:val="left"/>
          <w:tab w:leader="none" w:pos="4320" w:val="left"/>
        </w:tabs>
        <w:rPr>
          <w:sz w:val="20"/>
          <w:szCs w:val="20"/>
          <w:color w:val="auto"/>
        </w:rPr>
      </w:pPr>
      <w:r>
        <w:rPr>
          <w:rFonts w:ascii="Courier New" w:cs="Courier New" w:eastAsia="Courier New" w:hAnsi="Courier New"/>
          <w:sz w:val="15"/>
          <w:szCs w:val="15"/>
          <w:color w:val="auto"/>
        </w:rPr>
        <w:t>12.3</w:t>
        <w:tab/>
        <w:t>Competition After Dissolution.</w:t>
        <w:tab/>
        <w:t>For a period of three (3) years</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following dissolution and completion of the winding up of the affairs of the Company pursuant to Paragraphs 12.1 or 12.2, HFN shall not, alone or with third parties, establish, own, manage or operate a medical information network or networks within the Exclusive Territory other than the Network as permitted pursuant to this Paragraph 12, and further shall not solicit, market the Network to or contract with any Local Sponsors or Subscribers which or who are not affiliated with HFN (other than those unaffiliated Local Sponsors or Subscribers under contract at the time of dissolution). Also for a period of three (3) years following dissolution and completion of the winding up of the affairs of the Corporation pursuant to Paragraphs 12.1 or 12.2, IMS shall not, alone or with third parties, solicit, market or contract with any Local Sponsors or Subscribers affiliated with HFN in the Exclusive Territory for the purposes of offering a medical information network competitive with the Network owned and operated by HFN within the Exclusive Territory.</w:t>
      </w:r>
    </w:p>
    <w:p>
      <w:pPr>
        <w:spacing w:after="0" w:line="184" w:lineRule="exact"/>
        <w:rPr>
          <w:sz w:val="20"/>
          <w:szCs w:val="20"/>
          <w:color w:val="auto"/>
        </w:rPr>
      </w:pPr>
    </w:p>
    <w:p>
      <w:pPr>
        <w:ind w:left="740" w:hanging="469"/>
        <w:spacing w:after="0"/>
        <w:tabs>
          <w:tab w:leader="none" w:pos="74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7" w:lineRule="exact"/>
        <w:rPr>
          <w:rFonts w:ascii="Courier New" w:cs="Courier New" w:eastAsia="Courier New" w:hAnsi="Courier New"/>
          <w:sz w:val="15"/>
          <w:szCs w:val="15"/>
          <w:color w:val="auto"/>
        </w:rPr>
      </w:pPr>
    </w:p>
    <w:p>
      <w:pPr>
        <w:ind w:left="7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820"/>
        <w:spacing w:after="0"/>
        <w:tabs>
          <w:tab w:leader="none" w:pos="1360" w:val="left"/>
          <w:tab w:leader="none" w:pos="2280" w:val="left"/>
        </w:tabs>
        <w:rPr>
          <w:sz w:val="20"/>
          <w:szCs w:val="20"/>
          <w:color w:val="auto"/>
        </w:rPr>
      </w:pPr>
      <w:r>
        <w:rPr>
          <w:rFonts w:ascii="Courier New" w:cs="Courier New" w:eastAsia="Courier New" w:hAnsi="Courier New"/>
          <w:sz w:val="15"/>
          <w:szCs w:val="15"/>
          <w:color w:val="auto"/>
        </w:rPr>
        <w:t>13.1</w:t>
        <w:tab/>
        <w:t>Notices.</w:t>
        <w:tab/>
        <w:t>All notices required to be given hereunder shall be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given in writing and shall be personally delivered or deemed delivered if dispatched by certified mail, return receipt requested, postage prepaid, addressed to the parties at its last known business address, or such other addresses the party may designate in writing. A notice shall be deemed given on the date it is personally delivered or deposited in the mail in accordance with the foregoing.</w:t>
      </w:r>
    </w:p>
    <w:p>
      <w:pPr>
        <w:spacing w:after="0" w:line="176" w:lineRule="exact"/>
        <w:rPr>
          <w:sz w:val="20"/>
          <w:szCs w:val="20"/>
          <w:color w:val="auto"/>
        </w:rPr>
      </w:pPr>
    </w:p>
    <w:p>
      <w:pPr>
        <w:ind w:left="820"/>
        <w:spacing w:after="0"/>
        <w:tabs>
          <w:tab w:leader="none" w:pos="1360" w:val="left"/>
          <w:tab w:leader="none" w:pos="2840" w:val="left"/>
        </w:tabs>
        <w:rPr>
          <w:sz w:val="20"/>
          <w:szCs w:val="20"/>
          <w:color w:val="auto"/>
        </w:rPr>
      </w:pPr>
      <w:r>
        <w:rPr>
          <w:rFonts w:ascii="Courier New" w:cs="Courier New" w:eastAsia="Courier New" w:hAnsi="Courier New"/>
          <w:sz w:val="15"/>
          <w:szCs w:val="15"/>
          <w:color w:val="auto"/>
        </w:rPr>
        <w:t>13.2</w:t>
        <w:tab/>
        <w:t>Governing Law.</w:t>
        <w:tab/>
        <w:t>This Agreement and all rights, duties and</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obligations hereunder shall be construed and interpreted in accordance with the internal laws (not the choice of law) of the State of Illinois.</w:t>
      </w:r>
    </w:p>
    <w:p>
      <w:pPr>
        <w:spacing w:after="0" w:line="174" w:lineRule="exact"/>
        <w:rPr>
          <w:sz w:val="20"/>
          <w:szCs w:val="20"/>
          <w:color w:val="auto"/>
        </w:rPr>
      </w:pPr>
    </w:p>
    <w:p>
      <w:pPr>
        <w:ind w:left="820"/>
        <w:spacing w:after="0"/>
        <w:tabs>
          <w:tab w:leader="none" w:pos="1360" w:val="left"/>
          <w:tab w:leader="none" w:pos="2180" w:val="left"/>
        </w:tabs>
        <w:rPr>
          <w:sz w:val="20"/>
          <w:szCs w:val="20"/>
          <w:color w:val="auto"/>
        </w:rPr>
      </w:pPr>
      <w:r>
        <w:rPr>
          <w:rFonts w:ascii="Courier New" w:cs="Courier New" w:eastAsia="Courier New" w:hAnsi="Courier New"/>
          <w:sz w:val="15"/>
          <w:szCs w:val="15"/>
          <w:color w:val="auto"/>
        </w:rPr>
        <w:t>13.3</w:t>
        <w:tab/>
        <w:t>Waiver.</w:t>
        <w:tab/>
        <w:t>No waiver of any term, covenant or condition contained</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in this Agreement or failure to exercise a right or remedy shall be deemed to imply a further waiver of such term, covenant, right or remedy.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650" w:right="1440" w:bottom="1440" w:gutter="0" w:footer="0" w:header="0"/>
        </w:sectPr>
      </w:pPr>
    </w:p>
    <w:bookmarkStart w:id="181" w:name="page182"/>
    <w:bookmarkEnd w:id="181"/>
    <w:p>
      <w:pPr>
        <w:ind w:left="820"/>
        <w:spacing w:after="0"/>
        <w:tabs>
          <w:tab w:leader="none" w:pos="1360" w:val="left"/>
          <w:tab w:leader="none" w:pos="2740" w:val="left"/>
        </w:tabs>
        <w:rPr>
          <w:sz w:val="20"/>
          <w:szCs w:val="20"/>
          <w:color w:val="auto"/>
        </w:rPr>
      </w:pPr>
      <w:r>
        <w:rPr>
          <w:rFonts w:ascii="Courier New" w:cs="Courier New" w:eastAsia="Courier New" w:hAnsi="Courier New"/>
          <w:sz w:val="15"/>
          <w:szCs w:val="15"/>
          <w:color w:val="auto"/>
        </w:rPr>
        <w:t>13.4</w:t>
        <w:tab/>
        <w:t>Severability.</w:t>
        <w:tab/>
        <w:t>Nothing contained in this Agreement shall be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construed so as to require the commission of an act contrary to law and whenever there is any conflict between any provision of this Agreement and any present statute, law, ordinance or regulation contrary to which the parties have no legal right to contract, the latter shall prevail, but in such event, the provisions of the Agreement affected shall be curtailed and limited only to the extent necessary to bring it within the requirements of the law and to carry out the purposes of this Agreement.</w:t>
      </w:r>
    </w:p>
    <w:p>
      <w:pPr>
        <w:spacing w:after="0" w:line="176" w:lineRule="exact"/>
        <w:rPr>
          <w:sz w:val="20"/>
          <w:szCs w:val="20"/>
          <w:color w:val="auto"/>
        </w:rPr>
      </w:pPr>
    </w:p>
    <w:p>
      <w:pPr>
        <w:jc w:val="right"/>
        <w:ind w:right="2839"/>
        <w:spacing w:after="0"/>
        <w:tabs>
          <w:tab w:leader="none" w:pos="5980" w:val="left"/>
          <w:tab w:leader="none" w:pos="4140" w:val="left"/>
        </w:tabs>
        <w:rPr>
          <w:sz w:val="20"/>
          <w:szCs w:val="20"/>
          <w:color w:val="auto"/>
        </w:rPr>
      </w:pPr>
      <w:r>
        <w:rPr>
          <w:rFonts w:ascii="Courier New" w:cs="Courier New" w:eastAsia="Courier New" w:hAnsi="Courier New"/>
          <w:sz w:val="15"/>
          <w:szCs w:val="15"/>
          <w:color w:val="auto"/>
        </w:rPr>
        <w:t>13.5</w:t>
        <w:tab/>
        <w:t>Binding Agreement.</w:t>
        <w:tab/>
        <w:t>Subject to the restrictions set forth herein,</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this Agreement shall inure to the benefit of and be binding upon all parties hereto and their respective legal representatives, successors, transferees, and assigns. Whenever a reference is herein made to any party such reference shall be deemed to include a reference to the legal representatives, successors, transferees, and assigns of such party.</w:t>
      </w:r>
    </w:p>
    <w:p>
      <w:pPr>
        <w:spacing w:after="0" w:line="176" w:lineRule="exact"/>
        <w:rPr>
          <w:sz w:val="20"/>
          <w:szCs w:val="20"/>
          <w:color w:val="auto"/>
        </w:rPr>
      </w:pPr>
    </w:p>
    <w:p>
      <w:pPr>
        <w:ind w:left="820"/>
        <w:spacing w:after="0"/>
        <w:tabs>
          <w:tab w:leader="none" w:pos="1360" w:val="left"/>
          <w:tab w:leader="none" w:pos="2560" w:val="left"/>
        </w:tabs>
        <w:rPr>
          <w:sz w:val="20"/>
          <w:szCs w:val="20"/>
          <w:color w:val="auto"/>
        </w:rPr>
      </w:pPr>
      <w:r>
        <w:rPr>
          <w:rFonts w:ascii="Courier New" w:cs="Courier New" w:eastAsia="Courier New" w:hAnsi="Courier New"/>
          <w:sz w:val="15"/>
          <w:szCs w:val="15"/>
          <w:color w:val="auto"/>
        </w:rPr>
        <w:t>13.6</w:t>
        <w:tab/>
        <w:t>Assignment.</w:t>
        <w:tab/>
        <w:t>Except as provided herein, this Agreement shall</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not be assigned by any party without the express prior written consent of all of the other parties.</w:t>
      </w:r>
    </w:p>
    <w:p>
      <w:pPr>
        <w:spacing w:after="0" w:line="174" w:lineRule="exact"/>
        <w:rPr>
          <w:sz w:val="20"/>
          <w:szCs w:val="20"/>
          <w:color w:val="auto"/>
        </w:rPr>
      </w:pPr>
    </w:p>
    <w:p>
      <w:pPr>
        <w:ind w:left="820"/>
        <w:spacing w:after="0"/>
        <w:tabs>
          <w:tab w:leader="none" w:pos="1360" w:val="left"/>
          <w:tab w:leader="none" w:pos="2380" w:val="left"/>
        </w:tabs>
        <w:rPr>
          <w:sz w:val="20"/>
          <w:szCs w:val="20"/>
          <w:color w:val="auto"/>
        </w:rPr>
      </w:pPr>
      <w:r>
        <w:rPr>
          <w:rFonts w:ascii="Courier New" w:cs="Courier New" w:eastAsia="Courier New" w:hAnsi="Courier New"/>
          <w:sz w:val="15"/>
          <w:szCs w:val="15"/>
          <w:color w:val="auto"/>
        </w:rPr>
        <w:t>13.7</w:t>
        <w:tab/>
        <w:t>Headings.</w:t>
        <w:tab/>
        <w:t>All headings and captions used herein are for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959"/>
        <w:spacing w:after="0" w:line="253" w:lineRule="auto"/>
        <w:rPr>
          <w:sz w:val="20"/>
          <w:szCs w:val="20"/>
          <w:color w:val="auto"/>
        </w:rPr>
      </w:pPr>
      <w:r>
        <w:rPr>
          <w:rFonts w:ascii="Courier New" w:cs="Courier New" w:eastAsia="Courier New" w:hAnsi="Courier New"/>
          <w:sz w:val="15"/>
          <w:szCs w:val="15"/>
          <w:color w:val="auto"/>
        </w:rPr>
        <w:t>convenience of reference only, and shall not be a part or affect the interpretation of this Agreement.</w:t>
      </w:r>
    </w:p>
    <w:p>
      <w:pPr>
        <w:spacing w:after="0" w:line="174" w:lineRule="exact"/>
        <w:rPr>
          <w:sz w:val="20"/>
          <w:szCs w:val="20"/>
          <w:color w:val="auto"/>
        </w:rPr>
      </w:pPr>
    </w:p>
    <w:p>
      <w:pPr>
        <w:ind w:left="820"/>
        <w:spacing w:after="0"/>
        <w:tabs>
          <w:tab w:leader="none" w:pos="1360" w:val="left"/>
          <w:tab w:leader="none" w:pos="3120" w:val="left"/>
        </w:tabs>
        <w:rPr>
          <w:sz w:val="20"/>
          <w:szCs w:val="20"/>
          <w:color w:val="auto"/>
        </w:rPr>
      </w:pPr>
      <w:r>
        <w:rPr>
          <w:rFonts w:ascii="Courier New" w:cs="Courier New" w:eastAsia="Courier New" w:hAnsi="Courier New"/>
          <w:sz w:val="15"/>
          <w:szCs w:val="15"/>
          <w:color w:val="auto"/>
        </w:rPr>
        <w:t>13.8</w:t>
        <w:tab/>
        <w:t>Entire Agreement.</w:t>
        <w:tab/>
        <w:t>This Agreement supersedes all prior oral and</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written understandings and agreements between the parties hereto with respect to the subject matter hereof. The parties acknowledge and agree that this Agreement, together with all Exhibits, documents and agreements referenced and incorporated herein, contain the entire agreement between the parties. No representations, promises, conditions or warranties with reference to the execution of this Agreement have been made or entered into between the parties hereto other than as herein expressly provided.</w:t>
      </w:r>
    </w:p>
    <w:p>
      <w:pPr>
        <w:spacing w:after="0" w:line="176" w:lineRule="exact"/>
        <w:rPr>
          <w:sz w:val="20"/>
          <w:szCs w:val="20"/>
          <w:color w:val="auto"/>
        </w:rPr>
      </w:pPr>
    </w:p>
    <w:p>
      <w:pPr>
        <w:ind w:left="820"/>
        <w:spacing w:after="0"/>
        <w:tabs>
          <w:tab w:leader="none" w:pos="1360" w:val="left"/>
          <w:tab w:leader="none" w:pos="2740" w:val="left"/>
        </w:tabs>
        <w:rPr>
          <w:sz w:val="20"/>
          <w:szCs w:val="20"/>
          <w:color w:val="auto"/>
        </w:rPr>
      </w:pPr>
      <w:r>
        <w:rPr>
          <w:rFonts w:ascii="Courier New" w:cs="Courier New" w:eastAsia="Courier New" w:hAnsi="Courier New"/>
          <w:sz w:val="15"/>
          <w:szCs w:val="15"/>
          <w:color w:val="auto"/>
        </w:rPr>
        <w:t>13.9</w:t>
        <w:tab/>
        <w:t>Counterparts.</w:t>
        <w:tab/>
        <w:t>This Agreement may be executed in two or more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counterparts, each of which shall be deemed an original but all of which together shall constitute one and the same instrument.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650" w:right="1440" w:bottom="1440" w:gutter="0" w:footer="0" w:header="0"/>
        </w:sectPr>
      </w:pPr>
    </w:p>
    <w:bookmarkStart w:id="182" w:name="page183"/>
    <w:bookmarkEnd w:id="182"/>
    <w:p>
      <w:pPr>
        <w:ind w:left="820"/>
        <w:spacing w:after="0"/>
        <w:tabs>
          <w:tab w:leader="none" w:pos="1460" w:val="left"/>
          <w:tab w:leader="none" w:pos="2840" w:val="left"/>
        </w:tabs>
        <w:rPr>
          <w:sz w:val="20"/>
          <w:szCs w:val="20"/>
          <w:color w:val="auto"/>
        </w:rPr>
      </w:pPr>
      <w:r>
        <w:rPr>
          <w:rFonts w:ascii="Courier New" w:cs="Courier New" w:eastAsia="Courier New" w:hAnsi="Courier New"/>
          <w:sz w:val="15"/>
          <w:szCs w:val="15"/>
          <w:color w:val="auto"/>
        </w:rPr>
        <w:t>13.10</w:t>
        <w:tab/>
        <w:t>Modification.</w:t>
        <w:tab/>
        <w:t>This Agreement may be modified only upon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execution of a written agreement signed by all of the parties.</w:t>
      </w:r>
    </w:p>
    <w:p>
      <w:pPr>
        <w:spacing w:after="0" w:line="185"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ectPr>
          <w:pgSz w:w="11900" w:h="16838" w:orient="portrait"/>
          <w:cols w:equalWidth="0" w:num="1">
            <w:col w:w="10219"/>
          </w:cols>
          <w:pgMar w:left="240" w:top="651"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HFN, INC.</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MEDICAL SYSTEMS, INC.</w:t>
      </w:r>
    </w:p>
    <w:p>
      <w:pPr>
        <w:spacing w:after="0" w:line="200" w:lineRule="exact"/>
        <w:rPr>
          <w:sz w:val="20"/>
          <w:szCs w:val="20"/>
          <w:color w:val="auto"/>
        </w:rPr>
      </w:pPr>
    </w:p>
    <w:p>
      <w:pPr>
        <w:sectPr>
          <w:pgSz w:w="11900" w:h="16838" w:orient="portrait"/>
          <w:cols w:equalWidth="0" w:num="2">
            <w:col w:w="2680" w:space="720"/>
            <w:col w:w="6819"/>
          </w:cols>
          <w:pgMar w:left="240" w:top="651" w:right="1440" w:bottom="1440" w:gutter="0" w:footer="0" w:header="0"/>
          <w:type w:val="continuous"/>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E. Kolb</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David E. Kolb</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^SIGNATURE TO COME^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ectPr>
          <w:pgSz w:w="11900" w:h="16838" w:orient="portrait"/>
          <w:cols w:equalWidth="0" w:num="2">
            <w:col w:w="3220" w:space="180"/>
            <w:col w:w="6819"/>
          </w:cols>
          <w:pgMar w:left="240" w:top="6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Its: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 President</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2680" w:space="720"/>
            <w:col w:w="6819"/>
          </w:cols>
          <w:pgMar w:left="240" w:top="651"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HFN INFORMATION SYSTEMS,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 MEDICAL INFORMATION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NETWORK, INC.</w:t>
      </w:r>
    </w:p>
    <w:p>
      <w:pPr>
        <w:spacing w:after="0" w:line="200" w:lineRule="exact"/>
        <w:rPr>
          <w:sz w:val="20"/>
          <w:szCs w:val="20"/>
          <w:color w:val="auto"/>
        </w:rPr>
      </w:pPr>
    </w:p>
    <w:p>
      <w:pPr>
        <w:sectPr>
          <w:pgSz w:w="11900" w:h="16838" w:orient="portrait"/>
          <w:cols w:equalWidth="0" w:num="2">
            <w:col w:w="2680" w:space="720"/>
            <w:col w:w="6819"/>
          </w:cols>
          <w:pgMar w:left="240" w:top="651"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David E. Kolb</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David E. Kolb</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3220" w:space="180"/>
            <w:col w:w="6819"/>
          </w:cols>
          <w:pgMar w:left="240" w:top="65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Its: President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 President</w:t>
      </w:r>
    </w:p>
    <w:p>
      <w:pPr>
        <w:spacing w:after="0" w:line="8"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20" w:space="180"/>
            <w:col w:w="6819"/>
          </w:cols>
          <w:pgMar w:left="240" w:top="651"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IMS-NET OF ILLINOIS, INC.</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^SIGNATURE TO COME^</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Secretary/Treasurer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651" w:right="1440" w:bottom="1440" w:gutter="0" w:footer="0" w:header="0"/>
          <w:type w:val="continuous"/>
        </w:sectPr>
      </w:pPr>
    </w:p>
    <w:bookmarkStart w:id="183" w:name="page184"/>
    <w:bookmarkEnd w:id="183"/>
    <w:p>
      <w:pPr>
        <w:jc w:val="right"/>
        <w:ind w:right="2839"/>
        <w:spacing w:after="0"/>
        <w:rPr>
          <w:sz w:val="20"/>
          <w:szCs w:val="20"/>
          <w:color w:val="auto"/>
        </w:rPr>
      </w:pPr>
      <w:r>
        <w:rPr>
          <w:rFonts w:ascii="Courier New" w:cs="Courier New" w:eastAsia="Courier New" w:hAnsi="Courier New"/>
          <w:sz w:val="15"/>
          <w:szCs w:val="15"/>
          <w:color w:val="auto"/>
        </w:rPr>
        <w:t>Exhibit 10.19</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SHAREHOLDERS' AGREEMENT</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IMS--NET OF CENTRAL FLORIDA, INC.</w:t>
      </w:r>
    </w:p>
    <w:p>
      <w:pPr>
        <w:spacing w:after="0" w:line="362"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THIS SHAREHOLDERS' AGREEMENT ("Agreement") is made and entered into as of May 31, 1992, by and between Adventist Health System/Sunbelt dba Florida Hospital, a Florida corporation ("Hospital") and Integrated Medical Systems, Inc., a Colorado corporation ("IMS").</w:t>
      </w:r>
    </w:p>
    <w:p>
      <w:pPr>
        <w:spacing w:after="0" w:line="176"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THIS SHAREHOLDERS' AGREEMENT is made and entered into with reference to the following facts:</w:t>
      </w:r>
    </w:p>
    <w:p>
      <w:pPr>
        <w:spacing w:after="0" w:line="174" w:lineRule="exact"/>
        <w:rPr>
          <w:sz w:val="20"/>
          <w:szCs w:val="20"/>
          <w:color w:val="auto"/>
        </w:rPr>
      </w:pPr>
    </w:p>
    <w:p>
      <w:pPr>
        <w:ind w:right="2939" w:firstLine="456"/>
        <w:spacing w:after="0" w:line="251" w:lineRule="auto"/>
        <w:tabs>
          <w:tab w:leader="none" w:pos="83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has developed and owns certain proprietary computer software operating on various types of computers that facilitates the transmission of data, text, voice, clinical graphics and diagnostic images over telephone lines which can improve the efficiency and effectiveness of communication related to health care delivery.</w:t>
      </w:r>
    </w:p>
    <w:p>
      <w:pPr>
        <w:spacing w:after="0" w:line="176" w:lineRule="exact"/>
        <w:rPr>
          <w:rFonts w:ascii="Courier New" w:cs="Courier New" w:eastAsia="Courier New" w:hAnsi="Courier New"/>
          <w:sz w:val="15"/>
          <w:szCs w:val="15"/>
          <w:color w:val="auto"/>
        </w:rPr>
      </w:pPr>
    </w:p>
    <w:p>
      <w:pPr>
        <w:ind w:right="2839" w:firstLine="456"/>
        <w:spacing w:after="0" w:line="252" w:lineRule="auto"/>
        <w:tabs>
          <w:tab w:leader="none" w:pos="83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Hospital, directly or through its Affiliates or Subsidiaries, as hereafter defined, operates a variety of health care facilities in the Exclusive Territory, as hereafter defined.</w:t>
      </w:r>
    </w:p>
    <w:p>
      <w:pPr>
        <w:spacing w:after="0" w:line="174"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Hospital, and IMS desire to establish a corporation to develop, own and operate a community medical information network in the Exclusive Territory, to improve the efficiency and effectiveness of communication related to health care delivery between hospitals, acute care facilities, mental health and substance abuse facilities or other facilities and the health care professionals with privileges to utilize such facilities and others who desire to use the Network to communicate with others on the Network.</w:t>
      </w:r>
    </w:p>
    <w:p>
      <w:pPr>
        <w:spacing w:after="0" w:line="175" w:lineRule="exact"/>
        <w:rPr>
          <w:rFonts w:ascii="Courier New" w:cs="Courier New" w:eastAsia="Courier New" w:hAnsi="Courier New"/>
          <w:sz w:val="15"/>
          <w:szCs w:val="15"/>
          <w:color w:val="auto"/>
        </w:rPr>
      </w:pPr>
    </w:p>
    <w:p>
      <w:pPr>
        <w:jc w:val="both"/>
        <w:ind w:right="3119" w:firstLine="456"/>
        <w:spacing w:after="0" w:line="253" w:lineRule="auto"/>
        <w:tabs>
          <w:tab w:leader="none" w:pos="83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Hospital and IMS desire to set forth their intentions and agreements with respect to the development, ownership and operation of said corporation.</w:t>
      </w:r>
    </w:p>
    <w:p>
      <w:pPr>
        <w:spacing w:after="0" w:line="174" w:lineRule="exact"/>
        <w:rPr>
          <w:sz w:val="20"/>
          <w:szCs w:val="20"/>
          <w:color w:val="auto"/>
        </w:rPr>
      </w:pPr>
    </w:p>
    <w:p>
      <w:pPr>
        <w:ind w:right="2939" w:firstLine="461"/>
        <w:spacing w:after="0" w:line="253" w:lineRule="auto"/>
        <w:rPr>
          <w:sz w:val="20"/>
          <w:szCs w:val="20"/>
          <w:color w:val="auto"/>
        </w:rPr>
      </w:pPr>
      <w:r>
        <w:rPr>
          <w:rFonts w:ascii="Courier New" w:cs="Courier New" w:eastAsia="Courier New" w:hAnsi="Courier New"/>
          <w:sz w:val="15"/>
          <w:szCs w:val="15"/>
          <w:color w:val="auto"/>
        </w:rPr>
        <w:t>NOW THEREFORE, in consideration of the recitals, covenants, conditions and agreements contained herein, the parties agree as follows:</w:t>
      </w:r>
    </w:p>
    <w:p>
      <w:pPr>
        <w:spacing w:after="0" w:line="174" w:lineRule="exact"/>
        <w:rPr>
          <w:sz w:val="20"/>
          <w:szCs w:val="20"/>
          <w:color w:val="auto"/>
        </w:rPr>
      </w:pPr>
    </w:p>
    <w:p>
      <w:pPr>
        <w:ind w:right="3019" w:firstLine="456"/>
        <w:spacing w:after="0" w:line="252" w:lineRule="auto"/>
        <w:tabs>
          <w:tab w:leader="none" w:pos="83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and in addition to the terms otherwise defined herein, the following terms shall have the meanings as set forth below:</w:t>
      </w:r>
    </w:p>
    <w:p>
      <w:pPr>
        <w:spacing w:after="0" w:line="175" w:lineRule="exact"/>
        <w:rPr>
          <w:sz w:val="20"/>
          <w:szCs w:val="20"/>
          <w:color w:val="auto"/>
        </w:rPr>
      </w:pPr>
    </w:p>
    <w:p>
      <w:pPr>
        <w:ind w:left="920"/>
        <w:spacing w:after="0"/>
        <w:tabs>
          <w:tab w:leader="none" w:pos="1460" w:val="left"/>
        </w:tabs>
        <w:rPr>
          <w:sz w:val="20"/>
          <w:szCs w:val="20"/>
          <w:color w:val="auto"/>
        </w:rPr>
      </w:pPr>
      <w:r>
        <w:rPr>
          <w:rFonts w:ascii="Courier New" w:cs="Courier New" w:eastAsia="Courier New" w:hAnsi="Courier New"/>
          <w:sz w:val="15"/>
          <w:szCs w:val="15"/>
          <w:color w:val="auto"/>
        </w:rPr>
        <w:t>1.1.</w:t>
        <w:tab/>
        <w:t>Agreement. "Agreement" means this document dated on the day and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appearing in the opening paragraph hereof and all Exhibits attached hereto.</w:t>
      </w:r>
    </w:p>
    <w:p>
      <w:pPr>
        <w:spacing w:after="0" w:line="185" w:lineRule="exact"/>
        <w:rPr>
          <w:sz w:val="20"/>
          <w:szCs w:val="20"/>
          <w:color w:val="auto"/>
        </w:rPr>
      </w:pPr>
    </w:p>
    <w:p>
      <w:pPr>
        <w:ind w:left="920"/>
        <w:spacing w:after="0"/>
        <w:tabs>
          <w:tab w:leader="none" w:pos="1460" w:val="left"/>
          <w:tab w:leader="none" w:pos="3760" w:val="left"/>
        </w:tabs>
        <w:rPr>
          <w:sz w:val="20"/>
          <w:szCs w:val="20"/>
          <w:color w:val="auto"/>
        </w:rPr>
      </w:pPr>
      <w:r>
        <w:rPr>
          <w:rFonts w:ascii="Courier New" w:cs="Courier New" w:eastAsia="Courier New" w:hAnsi="Courier New"/>
          <w:sz w:val="15"/>
          <w:szCs w:val="15"/>
          <w:color w:val="auto"/>
        </w:rPr>
        <w:t>1.2.</w:t>
        <w:tab/>
        <w:t>ComCenter(TM) Software.</w:t>
        <w:tab/>
        <w:t>"ComCenter(TM) Software" shall mean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the computer Software, as hereafter defined, developed and owned by IMS that supports and facilitates the transmission of data, text, voice, clinical graphics and diagnostic images over a telephone network and which operates on the Digital Equipment Corporation ("DEC") VAX family of computers.</w:t>
      </w:r>
    </w:p>
    <w:p>
      <w:pPr>
        <w:sectPr>
          <w:pgSz w:w="11900" w:h="16838" w:orient="portrait"/>
          <w:cols w:equalWidth="0" w:num="1">
            <w:col w:w="10219"/>
          </w:cols>
          <w:pgMar w:left="240" w:top="497" w:right="1440" w:bottom="1440" w:gutter="0" w:footer="0" w:header="0"/>
        </w:sectPr>
      </w:pPr>
    </w:p>
    <w:bookmarkStart w:id="184" w:name="page185"/>
    <w:bookmarkEnd w:id="184"/>
    <w:p>
      <w:pPr>
        <w:ind w:left="920"/>
        <w:spacing w:after="0"/>
        <w:tabs>
          <w:tab w:leader="none" w:pos="1460" w:val="left"/>
          <w:tab w:leader="none" w:pos="2740" w:val="left"/>
        </w:tabs>
        <w:rPr>
          <w:sz w:val="20"/>
          <w:szCs w:val="20"/>
          <w:color w:val="auto"/>
        </w:rPr>
      </w:pPr>
      <w:r>
        <w:rPr>
          <w:rFonts w:ascii="Courier New" w:cs="Courier New" w:eastAsia="Courier New" w:hAnsi="Courier New"/>
          <w:sz w:val="15"/>
          <w:szCs w:val="15"/>
          <w:color w:val="auto"/>
        </w:rPr>
        <w:t>1.3.</w:t>
        <w:tab/>
        <w:t>Corporation.</w:t>
        <w:tab/>
        <w:t>"Corporation" shall mean IMS--NET of Central</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Florida, Inc., a Colorado for profit corporation to be established and owned by the parties to this Agreement for the purposes and in accordance with the covenants, terms and agreements set forth in this Agreement.</w:t>
      </w:r>
    </w:p>
    <w:p>
      <w:pPr>
        <w:spacing w:after="0" w:line="175" w:lineRule="exact"/>
        <w:rPr>
          <w:sz w:val="20"/>
          <w:szCs w:val="20"/>
          <w:color w:val="auto"/>
        </w:rPr>
      </w:pPr>
    </w:p>
    <w:p>
      <w:pPr>
        <w:ind w:left="920"/>
        <w:spacing w:after="0"/>
        <w:tabs>
          <w:tab w:leader="none" w:pos="1460" w:val="left"/>
          <w:tab w:leader="none" w:pos="3480" w:val="left"/>
        </w:tabs>
        <w:rPr>
          <w:sz w:val="20"/>
          <w:szCs w:val="20"/>
          <w:color w:val="auto"/>
        </w:rPr>
      </w:pPr>
      <w:r>
        <w:rPr>
          <w:rFonts w:ascii="Courier New" w:cs="Courier New" w:eastAsia="Courier New" w:hAnsi="Courier New"/>
          <w:sz w:val="15"/>
          <w:szCs w:val="15"/>
          <w:color w:val="auto"/>
        </w:rPr>
        <w:t>1.4.</w:t>
        <w:tab/>
        <w:t>Exclusive Territory.</w:t>
        <w:tab/>
        <w:t>"Exclusive Territory" shall mean within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the state of Florida, the Counties of Orange, Seminole, Polk, Highlands, Brevard, Volusia, Lake and Osceola.</w:t>
      </w:r>
    </w:p>
    <w:p>
      <w:pPr>
        <w:spacing w:after="0" w:line="174" w:lineRule="exact"/>
        <w:rPr>
          <w:sz w:val="20"/>
          <w:szCs w:val="20"/>
          <w:color w:val="auto"/>
        </w:rPr>
      </w:pPr>
    </w:p>
    <w:p>
      <w:pPr>
        <w:ind w:left="920"/>
        <w:spacing w:after="0"/>
        <w:tabs>
          <w:tab w:leader="none" w:pos="1460" w:val="left"/>
          <w:tab w:leader="none" w:pos="2740" w:val="left"/>
        </w:tabs>
        <w:rPr>
          <w:sz w:val="20"/>
          <w:szCs w:val="20"/>
          <w:color w:val="auto"/>
        </w:rPr>
      </w:pPr>
      <w:r>
        <w:rPr>
          <w:rFonts w:ascii="Courier New" w:cs="Courier New" w:eastAsia="Courier New" w:hAnsi="Courier New"/>
          <w:sz w:val="15"/>
          <w:szCs w:val="15"/>
          <w:color w:val="auto"/>
        </w:rPr>
        <w:t>1.5.</w:t>
        <w:tab/>
        <w:t>IMS-NET(TM).</w:t>
        <w:tab/>
        <w:t>"IMS-NET(TM)" shall mean the ComCenter(TM)</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together with the PC-Com Software(TM), as hereafter defined.</w:t>
      </w:r>
    </w:p>
    <w:p>
      <w:pPr>
        <w:spacing w:after="0" w:line="185" w:lineRule="exact"/>
        <w:rPr>
          <w:sz w:val="20"/>
          <w:szCs w:val="20"/>
          <w:color w:val="auto"/>
        </w:rPr>
      </w:pPr>
    </w:p>
    <w:p>
      <w:pPr>
        <w:ind w:left="920"/>
        <w:spacing w:after="0"/>
        <w:tabs>
          <w:tab w:leader="none" w:pos="1460" w:val="left"/>
          <w:tab w:leader="none" w:pos="2920" w:val="left"/>
        </w:tabs>
        <w:rPr>
          <w:sz w:val="20"/>
          <w:szCs w:val="20"/>
          <w:color w:val="auto"/>
        </w:rPr>
      </w:pPr>
      <w:r>
        <w:rPr>
          <w:rFonts w:ascii="Courier New" w:cs="Courier New" w:eastAsia="Courier New" w:hAnsi="Courier New"/>
          <w:sz w:val="15"/>
          <w:szCs w:val="15"/>
          <w:color w:val="auto"/>
        </w:rPr>
        <w:t>1.6.</w:t>
        <w:tab/>
        <w:t>Local Sponsor.</w:t>
        <w:tab/>
        <w:t>"Local Sponsor" shall mean any individual or</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entity desiring to use the Network, as hereafter defined, to receive and/or disseminate advertising or information, which agrees to pay fees to the Corporation for the right to so use the Network and to pay fees to sponsor other users of the Network, and which does not meet the definition of National Sponsor, as hereafter defined.</w:t>
      </w:r>
    </w:p>
    <w:p>
      <w:pPr>
        <w:spacing w:after="0" w:line="176" w:lineRule="exact"/>
        <w:rPr>
          <w:sz w:val="20"/>
          <w:szCs w:val="20"/>
          <w:color w:val="auto"/>
        </w:rPr>
      </w:pPr>
    </w:p>
    <w:p>
      <w:pPr>
        <w:ind w:left="920"/>
        <w:spacing w:after="0"/>
        <w:tabs>
          <w:tab w:leader="none" w:pos="1460" w:val="left"/>
          <w:tab w:leader="none" w:pos="3200" w:val="left"/>
        </w:tabs>
        <w:rPr>
          <w:sz w:val="20"/>
          <w:szCs w:val="20"/>
          <w:color w:val="auto"/>
        </w:rPr>
      </w:pPr>
      <w:r>
        <w:rPr>
          <w:rFonts w:ascii="Courier New" w:cs="Courier New" w:eastAsia="Courier New" w:hAnsi="Courier New"/>
          <w:sz w:val="15"/>
          <w:szCs w:val="15"/>
          <w:color w:val="auto"/>
        </w:rPr>
        <w:t>1.7.</w:t>
        <w:tab/>
        <w:t>National Sponsor.</w:t>
        <w:tab/>
        <w:t>"National Sponsor" shall mean any individual</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or entity desiring to use the Network, as hereafter defined, to receive and/or disseminate information to other sponsors or to subscribers of the Network, which agrees to pay fees to the Corporation for the right to so use the Network and which participates with more than one other Network with which IMS is affiliated.</w:t>
      </w:r>
    </w:p>
    <w:p>
      <w:pPr>
        <w:spacing w:after="0" w:line="176" w:lineRule="exact"/>
        <w:rPr>
          <w:sz w:val="20"/>
          <w:szCs w:val="20"/>
          <w:color w:val="auto"/>
        </w:rPr>
      </w:pPr>
    </w:p>
    <w:p>
      <w:pPr>
        <w:ind w:left="920"/>
        <w:spacing w:after="0"/>
        <w:tabs>
          <w:tab w:leader="none" w:pos="1460" w:val="left"/>
          <w:tab w:leader="none" w:pos="2380" w:val="left"/>
        </w:tabs>
        <w:rPr>
          <w:sz w:val="20"/>
          <w:szCs w:val="20"/>
          <w:color w:val="auto"/>
        </w:rPr>
      </w:pPr>
      <w:r>
        <w:rPr>
          <w:rFonts w:ascii="Courier New" w:cs="Courier New" w:eastAsia="Courier New" w:hAnsi="Courier New"/>
          <w:sz w:val="15"/>
          <w:szCs w:val="15"/>
          <w:color w:val="auto"/>
        </w:rPr>
        <w:t>1.8.</w:t>
        <w:tab/>
        <w:t>Network.</w:t>
        <w:tab/>
        <w:t>"Network" shall mean the medical information network</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owned and operated by IMS which utilizes IMS--NET software to improve the efficiency and communication of and among Network Subscribers, as hereafter defined, Local Sponsors and National Sponsors on any medical information network in the Exclusive Territory owned, operated or sold by IMS.</w:t>
      </w:r>
    </w:p>
    <w:p>
      <w:pPr>
        <w:spacing w:after="0" w:line="176" w:lineRule="exact"/>
        <w:rPr>
          <w:sz w:val="20"/>
          <w:szCs w:val="20"/>
          <w:color w:val="auto"/>
        </w:rPr>
      </w:pPr>
    </w:p>
    <w:p>
      <w:pPr>
        <w:ind w:left="920"/>
        <w:spacing w:after="0"/>
        <w:tabs>
          <w:tab w:leader="none" w:pos="1460" w:val="left"/>
          <w:tab w:leader="none" w:pos="3480" w:val="left"/>
        </w:tabs>
        <w:rPr>
          <w:sz w:val="20"/>
          <w:szCs w:val="20"/>
          <w:color w:val="auto"/>
        </w:rPr>
      </w:pPr>
      <w:r>
        <w:rPr>
          <w:rFonts w:ascii="Courier New" w:cs="Courier New" w:eastAsia="Courier New" w:hAnsi="Courier New"/>
          <w:sz w:val="15"/>
          <w:szCs w:val="15"/>
          <w:color w:val="auto"/>
        </w:rPr>
        <w:t>1.9.</w:t>
        <w:tab/>
        <w:t>PC-Com(TM) Software.</w:t>
        <w:tab/>
        <w:t>"PC-Com(TM) Software" shall mean the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computer Software, as hereafter defined, developed and owned by IMS, that supports and facilitates the transmission of data, text, voice, clinical graphics and diagnostic images over a telephone network and which operates on International Business Machine ("IBM") Personal Computers or IBM-compatible Personal Computers.</w:t>
      </w:r>
    </w:p>
    <w:p>
      <w:pPr>
        <w:spacing w:after="0" w:line="176" w:lineRule="exact"/>
        <w:rPr>
          <w:sz w:val="20"/>
          <w:szCs w:val="20"/>
          <w:color w:val="auto"/>
        </w:rPr>
      </w:pPr>
    </w:p>
    <w:p>
      <w:pPr>
        <w:ind w:left="820"/>
        <w:spacing w:after="0"/>
        <w:tabs>
          <w:tab w:leader="none" w:pos="1460" w:val="left"/>
          <w:tab w:leader="none" w:pos="2460" w:val="left"/>
        </w:tabs>
        <w:rPr>
          <w:sz w:val="20"/>
          <w:szCs w:val="20"/>
          <w:color w:val="auto"/>
        </w:rPr>
      </w:pPr>
      <w:r>
        <w:rPr>
          <w:rFonts w:ascii="Courier New" w:cs="Courier New" w:eastAsia="Courier New" w:hAnsi="Courier New"/>
          <w:sz w:val="15"/>
          <w:szCs w:val="15"/>
          <w:color w:val="auto"/>
        </w:rPr>
        <w:t>1.10.</w:t>
        <w:tab/>
        <w:t>Software.</w:t>
        <w:tab/>
        <w:t>"Software" shall mean a series of independent but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interrelated computer programs which interact with computer equipment and operating systems to form a complete data processing system. "Software" includes, but is not limited to, computer program listings, user manuals, functional specifications, technical documentation, source code, and tangible media upon which the computer programs are recorded.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650" w:right="1440" w:bottom="1440" w:gutter="0" w:footer="0" w:header="0"/>
        </w:sectPr>
      </w:pPr>
    </w:p>
    <w:bookmarkStart w:id="185" w:name="page186"/>
    <w:bookmarkEnd w:id="185"/>
    <w:p>
      <w:pPr>
        <w:ind w:left="825"/>
        <w:spacing w:after="0"/>
        <w:tabs>
          <w:tab w:leader="none" w:pos="1465" w:val="left"/>
          <w:tab w:leader="none" w:pos="2665" w:val="left"/>
        </w:tabs>
        <w:rPr>
          <w:sz w:val="20"/>
          <w:szCs w:val="20"/>
          <w:color w:val="auto"/>
        </w:rPr>
      </w:pPr>
      <w:r>
        <w:rPr>
          <w:rFonts w:ascii="Courier New" w:cs="Courier New" w:eastAsia="Courier New" w:hAnsi="Courier New"/>
          <w:sz w:val="15"/>
          <w:szCs w:val="15"/>
          <w:color w:val="auto"/>
        </w:rPr>
        <w:t>1.11.</w:t>
        <w:tab/>
        <w:t>Subscriber.</w:t>
        <w:tab/>
        <w:t>"Subscriber" shall mean a party desiring to use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Network to receive information from Network users and to obtain the various other Network services which facilitate the transmission of data, text, voice, clinical graphics and diagnostic images over dial-up telephone lines, and the fee for whose participation is paid by one or more sponsors.</w:t>
      </w:r>
    </w:p>
    <w:p>
      <w:pPr>
        <w:spacing w:after="0" w:line="176" w:lineRule="exact"/>
        <w:rPr>
          <w:sz w:val="20"/>
          <w:szCs w:val="20"/>
          <w:color w:val="auto"/>
        </w:rPr>
      </w:pPr>
    </w:p>
    <w:p>
      <w:pPr>
        <w:ind w:left="825"/>
        <w:spacing w:after="0"/>
        <w:tabs>
          <w:tab w:leader="none" w:pos="1465" w:val="left"/>
          <w:tab w:leader="none" w:pos="4225" w:val="left"/>
        </w:tabs>
        <w:rPr>
          <w:sz w:val="20"/>
          <w:szCs w:val="20"/>
          <w:color w:val="auto"/>
        </w:rPr>
      </w:pPr>
      <w:r>
        <w:rPr>
          <w:rFonts w:ascii="Courier New" w:cs="Courier New" w:eastAsia="Courier New" w:hAnsi="Courier New"/>
          <w:sz w:val="15"/>
          <w:szCs w:val="15"/>
          <w:color w:val="auto"/>
        </w:rPr>
        <w:t>1.12.</w:t>
        <w:tab/>
        <w:t>Synergy Series(TM) Software.</w:t>
        <w:tab/>
        <w:t>"Synergy Series(TM) Software"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shall mean the computer Software, portions of which were developed and are owned by IMS and portions of which IMS possesses and uses pursuant to a perpetual license which grants IMS the right to use and sublicense in the Exclusive Territory, as described in Exhibit 1.14 attached hereto and incorporated herein</w:t>
      </w:r>
    </w:p>
    <w:p>
      <w:pPr>
        <w:spacing w:after="0" w:line="2"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by this reference.</w:t>
      </w:r>
    </w:p>
    <w:p>
      <w:pPr>
        <w:spacing w:after="0" w:line="185" w:lineRule="exact"/>
        <w:rPr>
          <w:sz w:val="20"/>
          <w:szCs w:val="20"/>
          <w:color w:val="auto"/>
        </w:rPr>
      </w:pPr>
    </w:p>
    <w:p>
      <w:pPr>
        <w:ind w:left="825"/>
        <w:spacing w:after="0"/>
        <w:tabs>
          <w:tab w:leader="none" w:pos="1465" w:val="left"/>
          <w:tab w:leader="none" w:pos="2565" w:val="left"/>
        </w:tabs>
        <w:rPr>
          <w:sz w:val="20"/>
          <w:szCs w:val="20"/>
          <w:color w:val="auto"/>
        </w:rPr>
      </w:pPr>
      <w:r>
        <w:rPr>
          <w:rFonts w:ascii="Courier New" w:cs="Courier New" w:eastAsia="Courier New" w:hAnsi="Courier New"/>
          <w:sz w:val="15"/>
          <w:szCs w:val="15"/>
          <w:color w:val="auto"/>
        </w:rPr>
        <w:t>1.13.</w:t>
        <w:tab/>
        <w:t>Affiliate.</w:t>
        <w:tab/>
        <w:t>The term "Affiliate" when used in association with</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the Hospital shall be limited to Florida Hospital/Altamonte which is located at 601 E. Altamonte Drive, Altamonte Springs, Florida; Florida Hospital/Apopka which is located at 201 N. Park Avenue, Apopka, Florida; Florida Hospital/East Orlando which is located at 7727 Lake Underhill Drive, Orlando, Florida 32822; and Florida Hospital Medical Center which is located at 601 E. Rollins Street, Orlando, Florida, all of which are operated as part of Florida Hospital.</w:t>
      </w:r>
    </w:p>
    <w:p>
      <w:pPr>
        <w:spacing w:after="0" w:line="176" w:lineRule="exact"/>
        <w:rPr>
          <w:sz w:val="20"/>
          <w:szCs w:val="20"/>
          <w:color w:val="auto"/>
        </w:rPr>
      </w:pPr>
    </w:p>
    <w:p>
      <w:pPr>
        <w:ind w:left="365" w:hanging="365"/>
        <w:spacing w:after="0"/>
        <w:tabs>
          <w:tab w:leader="none" w:pos="36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CORPORATION.</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5"/>
        <w:spacing w:after="0"/>
        <w:tabs>
          <w:tab w:leader="none" w:pos="1465" w:val="left"/>
          <w:tab w:leader="none" w:pos="2925" w:val="left"/>
        </w:tabs>
        <w:rPr>
          <w:sz w:val="20"/>
          <w:szCs w:val="20"/>
          <w:color w:val="auto"/>
        </w:rPr>
      </w:pPr>
      <w:r>
        <w:rPr>
          <w:rFonts w:ascii="Courier New" w:cs="Courier New" w:eastAsia="Courier New" w:hAnsi="Courier New"/>
          <w:sz w:val="15"/>
          <w:szCs w:val="15"/>
          <w:color w:val="auto"/>
        </w:rPr>
        <w:t>2.1.</w:t>
        <w:tab/>
        <w:t>Incorporation.</w:t>
        <w:tab/>
        <w:t>The parties acknowledge that on May 31, 1992,</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399"/>
        <w:spacing w:after="0" w:line="250" w:lineRule="auto"/>
        <w:rPr>
          <w:sz w:val="20"/>
          <w:szCs w:val="20"/>
          <w:color w:val="auto"/>
        </w:rPr>
      </w:pPr>
      <w:r>
        <w:rPr>
          <w:rFonts w:ascii="Courier New" w:cs="Courier New" w:eastAsia="Courier New" w:hAnsi="Courier New"/>
          <w:sz w:val="15"/>
          <w:szCs w:val="15"/>
          <w:color w:val="auto"/>
        </w:rPr>
        <w:t>Articles of Incorporation in substantially the form attached hereto and incorporated herein by this reference as Exhibit 2.1 (the "Articles") were</w:t>
      </w:r>
    </w:p>
    <w:p>
      <w:pPr>
        <w:spacing w:after="0" w:line="1"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executed and filed with the office of the Colorado Secretary of State. The Articles IMS--NET of Central Florida, Inc., a for-profit corporation (the "Corporation"). The parties further acknowledge that the Corporation has all requisite power and authority to own and operate its properties and conduct its business. Hospital and IMS agree to execute and deliver all certificates and other documents and to take such further action as may be necessary or convenient to organize, establish or maintain in good standing the Corporation.</w:t>
      </w:r>
    </w:p>
    <w:p>
      <w:pPr>
        <w:spacing w:after="0" w:line="176" w:lineRule="exact"/>
        <w:rPr>
          <w:sz w:val="20"/>
          <w:szCs w:val="20"/>
          <w:color w:val="auto"/>
        </w:rPr>
      </w:pPr>
    </w:p>
    <w:p>
      <w:pPr>
        <w:ind w:left="925"/>
        <w:spacing w:after="0"/>
        <w:tabs>
          <w:tab w:leader="none" w:pos="1465" w:val="left"/>
          <w:tab w:leader="none" w:pos="3205" w:val="left"/>
        </w:tabs>
        <w:rPr>
          <w:sz w:val="20"/>
          <w:szCs w:val="20"/>
          <w:color w:val="auto"/>
        </w:rPr>
      </w:pPr>
      <w:r>
        <w:rPr>
          <w:rFonts w:ascii="Courier New" w:cs="Courier New" w:eastAsia="Courier New" w:hAnsi="Courier New"/>
          <w:sz w:val="15"/>
          <w:szCs w:val="15"/>
          <w:color w:val="auto"/>
        </w:rPr>
        <w:t>2.2.</w:t>
        <w:tab/>
        <w:t>Classes of Stock.</w:t>
        <w:tab/>
        <w:t>The Corporation shall have one (1) class of</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common stock. The common stock shall have voting rights and there shall be two million (2,000,000) shares authorized, par value $0.01 per share.</w:t>
      </w:r>
    </w:p>
    <w:p>
      <w:pPr>
        <w:spacing w:after="0" w:line="174" w:lineRule="exact"/>
        <w:rPr>
          <w:sz w:val="20"/>
          <w:szCs w:val="20"/>
          <w:color w:val="auto"/>
        </w:rPr>
      </w:pPr>
    </w:p>
    <w:p>
      <w:pPr>
        <w:ind w:left="925"/>
        <w:spacing w:after="0"/>
        <w:tabs>
          <w:tab w:leader="none" w:pos="1465" w:val="left"/>
          <w:tab w:leader="none" w:pos="3585" w:val="left"/>
        </w:tabs>
        <w:rPr>
          <w:sz w:val="20"/>
          <w:szCs w:val="20"/>
          <w:color w:val="auto"/>
        </w:rPr>
      </w:pPr>
      <w:r>
        <w:rPr>
          <w:rFonts w:ascii="Courier New" w:cs="Courier New" w:eastAsia="Courier New" w:hAnsi="Courier New"/>
          <w:sz w:val="15"/>
          <w:szCs w:val="15"/>
          <w:color w:val="auto"/>
        </w:rPr>
        <w:t>2.3.</w:t>
        <w:tab/>
        <w:t>Basic Capitalization.</w:t>
        <w:tab/>
        <w:t>Hospital and IMS acknowledge and agree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that establishment and operation of the Corporation and implementation of the Network shall require initial capital contributions of approximately Ten-Thousand Dollars ($10,000) (the "Cash Capitalization") and the rights and benefits of IMS-NET(TM) and Synergy Series(TM) Software pursuant to the terms and conditions of that certain Software License and Services Agreement between IMS and the Corporation in the form Attached hereto as Exhibit 2.3 and</w:t>
      </w:r>
    </w:p>
    <w:p>
      <w:pPr>
        <w:spacing w:after="0" w:line="3" w:lineRule="exact"/>
        <w:rPr>
          <w:sz w:val="20"/>
          <w:szCs w:val="20"/>
          <w:color w:val="auto"/>
        </w:rPr>
      </w:pPr>
    </w:p>
    <w:p>
      <w:pPr>
        <w:ind w:left="50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incorporated herein this reference (the "Non-Cash Capitalization").</w:t>
      </w:r>
    </w:p>
    <w:p>
      <w:pPr>
        <w:spacing w:after="0" w:line="18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25"/>
          </w:cols>
          <w:pgMar w:left="235" w:top="650" w:right="1440" w:bottom="1440" w:gutter="0" w:footer="0" w:header="0"/>
        </w:sectPr>
      </w:pPr>
    </w:p>
    <w:bookmarkStart w:id="186" w:name="page187"/>
    <w:bookmarkEnd w:id="186"/>
    <w:p>
      <w:pPr>
        <w:ind w:left="5" w:right="3119"/>
        <w:spacing w:after="0" w:line="252" w:lineRule="auto"/>
        <w:rPr>
          <w:sz w:val="20"/>
          <w:szCs w:val="20"/>
          <w:color w:val="auto"/>
        </w:rPr>
      </w:pPr>
      <w:r>
        <w:rPr>
          <w:rFonts w:ascii="Courier New" w:cs="Courier New" w:eastAsia="Courier New" w:hAnsi="Courier New"/>
          <w:sz w:val="15"/>
          <w:szCs w:val="15"/>
          <w:color w:val="auto"/>
        </w:rPr>
        <w:t>(The Cash Capitalization and the Non-Cash Capitalization shall hereinafter be collectively referred to as the "Basic Capitalization"). This Basic Capitalization shall consist of the issuance of common stock.</w:t>
      </w:r>
    </w:p>
    <w:p>
      <w:pPr>
        <w:spacing w:after="0" w:line="175" w:lineRule="exact"/>
        <w:rPr>
          <w:sz w:val="20"/>
          <w:szCs w:val="20"/>
          <w:color w:val="auto"/>
        </w:rPr>
      </w:pPr>
    </w:p>
    <w:p>
      <w:pPr>
        <w:ind w:left="925" w:right="3299" w:firstLine="646"/>
        <w:spacing w:after="0" w:line="252" w:lineRule="auto"/>
        <w:rPr>
          <w:sz w:val="20"/>
          <w:szCs w:val="20"/>
          <w:color w:val="auto"/>
        </w:rPr>
      </w:pPr>
      <w:r>
        <w:rPr>
          <w:rFonts w:ascii="Courier New" w:cs="Courier New" w:eastAsia="Courier New" w:hAnsi="Courier New"/>
          <w:sz w:val="15"/>
          <w:szCs w:val="15"/>
          <w:color w:val="auto"/>
        </w:rPr>
        <w:t>2.3.1. Hospital agrees that it shall subscribe for and purchase as hereinafter set forth forty-nine percent (49%) of the Basic Capitalization on the date hereinafter set forth.</w:t>
      </w:r>
    </w:p>
    <w:p>
      <w:pPr>
        <w:spacing w:after="0" w:line="175" w:lineRule="exact"/>
        <w:rPr>
          <w:sz w:val="20"/>
          <w:szCs w:val="20"/>
          <w:color w:val="auto"/>
        </w:rPr>
      </w:pPr>
    </w:p>
    <w:p>
      <w:pPr>
        <w:ind w:left="925" w:right="2939" w:firstLine="646"/>
        <w:spacing w:after="0" w:line="252" w:lineRule="auto"/>
        <w:rPr>
          <w:sz w:val="20"/>
          <w:szCs w:val="20"/>
          <w:color w:val="auto"/>
        </w:rPr>
      </w:pPr>
      <w:r>
        <w:rPr>
          <w:rFonts w:ascii="Courier New" w:cs="Courier New" w:eastAsia="Courier New" w:hAnsi="Courier New"/>
          <w:sz w:val="15"/>
          <w:szCs w:val="15"/>
          <w:color w:val="auto"/>
        </w:rPr>
        <w:t>2.3.2. IMS agrees that it shall subscribe for and purchase as hereinafter set forth fifty-one percent (51%) of the Basic Capitalization on the terms as hereinafter set forth.</w:t>
      </w:r>
    </w:p>
    <w:p>
      <w:pPr>
        <w:spacing w:after="0" w:line="175" w:lineRule="exact"/>
        <w:rPr>
          <w:sz w:val="20"/>
          <w:szCs w:val="20"/>
          <w:color w:val="auto"/>
        </w:rPr>
      </w:pPr>
    </w:p>
    <w:p>
      <w:pPr>
        <w:ind w:left="925"/>
        <w:spacing w:after="0"/>
        <w:tabs>
          <w:tab w:leader="none" w:pos="1365" w:val="left"/>
          <w:tab w:leader="none" w:pos="3205" w:val="left"/>
        </w:tabs>
        <w:rPr>
          <w:sz w:val="20"/>
          <w:szCs w:val="20"/>
          <w:color w:val="auto"/>
        </w:rPr>
      </w:pPr>
      <w:r>
        <w:rPr>
          <w:rFonts w:ascii="Courier New" w:cs="Courier New" w:eastAsia="Courier New" w:hAnsi="Courier New"/>
          <w:sz w:val="15"/>
          <w:szCs w:val="15"/>
          <w:color w:val="auto"/>
        </w:rPr>
        <w:t>2.4</w:t>
        <w:tab/>
        <w:t>Preemptive Rights.</w:t>
        <w:tab/>
        <w:t>There shall be preemptive rights in the</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issuance and sale of the common stock of the Corporation as follows:</w:t>
      </w:r>
    </w:p>
    <w:p>
      <w:pPr>
        <w:spacing w:after="0" w:line="185" w:lineRule="exact"/>
        <w:rPr>
          <w:sz w:val="20"/>
          <w:szCs w:val="20"/>
          <w:color w:val="auto"/>
        </w:rPr>
      </w:pPr>
    </w:p>
    <w:p>
      <w:pPr>
        <w:ind w:left="925" w:right="3019" w:firstLine="646"/>
        <w:spacing w:after="0" w:line="251" w:lineRule="auto"/>
        <w:rPr>
          <w:sz w:val="20"/>
          <w:szCs w:val="20"/>
          <w:color w:val="auto"/>
        </w:rPr>
      </w:pPr>
      <w:r>
        <w:rPr>
          <w:rFonts w:ascii="Courier New" w:cs="Courier New" w:eastAsia="Courier New" w:hAnsi="Courier New"/>
          <w:sz w:val="15"/>
          <w:szCs w:val="15"/>
          <w:color w:val="auto"/>
        </w:rPr>
        <w:t>2.4.1. Hospital may, but shall not be required to, exercise its preemptive rights with respect to any further issuance of common stock beyond the subscription for and purchase of its forty-nine percent (49%) interest in the Basic Capitalization.</w:t>
      </w:r>
    </w:p>
    <w:p>
      <w:pPr>
        <w:spacing w:after="0" w:line="176" w:lineRule="exact"/>
        <w:rPr>
          <w:sz w:val="20"/>
          <w:szCs w:val="20"/>
          <w:color w:val="auto"/>
        </w:rPr>
      </w:pPr>
    </w:p>
    <w:p>
      <w:pPr>
        <w:ind w:left="925" w:right="2839" w:firstLine="646"/>
        <w:spacing w:after="0" w:line="251" w:lineRule="auto"/>
        <w:rPr>
          <w:sz w:val="20"/>
          <w:szCs w:val="20"/>
          <w:color w:val="auto"/>
        </w:rPr>
      </w:pPr>
      <w:r>
        <w:rPr>
          <w:rFonts w:ascii="Courier New" w:cs="Courier New" w:eastAsia="Courier New" w:hAnsi="Courier New"/>
          <w:sz w:val="15"/>
          <w:szCs w:val="15"/>
          <w:color w:val="auto"/>
        </w:rPr>
        <w:t>2.4.2. IMS may, but shall not be required to, exercise its preemptive rights with respect to any further issuance of common stock beyond the subscription for and purchase of its fifty-one percent (51%) interest in the Basic Capitalization.</w:t>
      </w:r>
    </w:p>
    <w:p>
      <w:pPr>
        <w:spacing w:after="0" w:line="176" w:lineRule="exact"/>
        <w:rPr>
          <w:sz w:val="20"/>
          <w:szCs w:val="20"/>
          <w:color w:val="auto"/>
        </w:rPr>
      </w:pPr>
    </w:p>
    <w:p>
      <w:pPr>
        <w:ind w:left="925"/>
        <w:spacing w:after="0"/>
        <w:tabs>
          <w:tab w:leader="none" w:pos="1465" w:val="left"/>
          <w:tab w:leader="none" w:pos="2285" w:val="left"/>
        </w:tabs>
        <w:rPr>
          <w:sz w:val="20"/>
          <w:szCs w:val="20"/>
          <w:color w:val="auto"/>
        </w:rPr>
      </w:pPr>
      <w:r>
        <w:rPr>
          <w:rFonts w:ascii="Courier New" w:cs="Courier New" w:eastAsia="Courier New" w:hAnsi="Courier New"/>
          <w:sz w:val="15"/>
          <w:szCs w:val="15"/>
          <w:color w:val="auto"/>
        </w:rPr>
        <w:t>2.5.</w:t>
        <w:tab/>
        <w:t>Bylaws.</w:t>
        <w:tab/>
        <w:t>The Corporation shall promptly, but in no event more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479"/>
        <w:spacing w:after="0" w:line="250" w:lineRule="auto"/>
        <w:rPr>
          <w:sz w:val="20"/>
          <w:szCs w:val="20"/>
          <w:color w:val="auto"/>
        </w:rPr>
      </w:pPr>
      <w:r>
        <w:rPr>
          <w:rFonts w:ascii="Courier New" w:cs="Courier New" w:eastAsia="Courier New" w:hAnsi="Courier New"/>
          <w:sz w:val="15"/>
          <w:szCs w:val="15"/>
          <w:color w:val="auto"/>
        </w:rPr>
        <w:t>than ten (10) days, after the date the Articles are filed with Colorado's Secretary of State, adopt the Bylaws attached hereto as Exhibit 2.5 and</w:t>
      </w:r>
    </w:p>
    <w:p>
      <w:pPr>
        <w:spacing w:after="0" w:line="1" w:lineRule="exact"/>
        <w:rPr>
          <w:sz w:val="20"/>
          <w:szCs w:val="20"/>
          <w:color w:val="auto"/>
        </w:rPr>
      </w:pPr>
    </w:p>
    <w:p>
      <w:pPr>
        <w:ind w:left="51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2839"/>
        <w:spacing w:after="0" w:line="252" w:lineRule="auto"/>
        <w:rPr>
          <w:sz w:val="20"/>
          <w:szCs w:val="20"/>
          <w:color w:val="auto"/>
        </w:rPr>
      </w:pPr>
      <w:r>
        <w:rPr>
          <w:rFonts w:ascii="Courier New" w:cs="Courier New" w:eastAsia="Courier New" w:hAnsi="Courier New"/>
          <w:sz w:val="15"/>
          <w:szCs w:val="15"/>
          <w:color w:val="auto"/>
        </w:rPr>
        <w:t>incorporated herein by this reference as the Bylaws of the Corporation. Hospital and IMS agree to execute and deliver all certificates and other documents and to take such further action as may be necessary or convenient to adopt said Bylaws.</w:t>
      </w:r>
    </w:p>
    <w:p>
      <w:pPr>
        <w:spacing w:after="0" w:line="175" w:lineRule="exact"/>
        <w:rPr>
          <w:sz w:val="20"/>
          <w:szCs w:val="20"/>
          <w:color w:val="auto"/>
        </w:rPr>
      </w:pPr>
    </w:p>
    <w:p>
      <w:pPr>
        <w:ind w:left="925"/>
        <w:spacing w:after="0"/>
        <w:tabs>
          <w:tab w:leader="none" w:pos="1465" w:val="left"/>
          <w:tab w:leader="none" w:pos="3205" w:val="left"/>
        </w:tabs>
        <w:rPr>
          <w:sz w:val="20"/>
          <w:szCs w:val="20"/>
          <w:color w:val="auto"/>
        </w:rPr>
      </w:pPr>
      <w:r>
        <w:rPr>
          <w:rFonts w:ascii="Courier New" w:cs="Courier New" w:eastAsia="Courier New" w:hAnsi="Courier New"/>
          <w:sz w:val="15"/>
          <w:szCs w:val="15"/>
          <w:color w:val="auto"/>
        </w:rPr>
        <w:t>2.6.</w:t>
        <w:tab/>
        <w:t>Corporate Action.</w:t>
        <w:tab/>
        <w:t>Hospital and IMS, for themselves and their</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successors and assigns, agree to vote all of their common stock in the Corporation and to take such other actions as may be necessary or convenient to cause the Corporation, its Board of Directors and authorized officers, to take all of the actions and implement all of the provisions required by this Agreement.</w:t>
      </w:r>
    </w:p>
    <w:p>
      <w:pPr>
        <w:spacing w:after="0" w:line="176" w:lineRule="exact"/>
        <w:rPr>
          <w:sz w:val="20"/>
          <w:szCs w:val="20"/>
          <w:color w:val="auto"/>
        </w:rPr>
      </w:pPr>
    </w:p>
    <w:p>
      <w:pPr>
        <w:ind w:left="365" w:hanging="365"/>
        <w:spacing w:after="0"/>
        <w:tabs>
          <w:tab w:leader="none" w:pos="36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STOCK AND LOANS TO CORPORATION.</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5"/>
        <w:spacing w:after="0"/>
        <w:tabs>
          <w:tab w:leader="none" w:pos="1465" w:val="left"/>
        </w:tabs>
        <w:rPr>
          <w:sz w:val="20"/>
          <w:szCs w:val="20"/>
          <w:color w:val="auto"/>
        </w:rPr>
      </w:pPr>
      <w:r>
        <w:rPr>
          <w:rFonts w:ascii="Courier New" w:cs="Courier New" w:eastAsia="Courier New" w:hAnsi="Courier New"/>
          <w:sz w:val="15"/>
          <w:szCs w:val="15"/>
          <w:color w:val="auto"/>
        </w:rPr>
        <w:t>3.1.</w:t>
        <w:tab/>
        <w:t>Subscription to Purchase Common Stock.</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5" w:right="3219" w:firstLine="646"/>
        <w:spacing w:after="0" w:line="252" w:lineRule="auto"/>
        <w:rPr>
          <w:sz w:val="20"/>
          <w:szCs w:val="20"/>
          <w:color w:val="auto"/>
        </w:rPr>
      </w:pPr>
      <w:r>
        <w:rPr>
          <w:rFonts w:ascii="Courier New" w:cs="Courier New" w:eastAsia="Courier New" w:hAnsi="Courier New"/>
          <w:sz w:val="15"/>
          <w:szCs w:val="15"/>
          <w:color w:val="auto"/>
        </w:rPr>
        <w:t>3.1.1 IMS hereby subscribes to purchase fifty-one thousand (51,000) shares of the common stock of the Corporation for the aggregate price of Five-</w:t>
      </w:r>
    </w:p>
    <w:p>
      <w:pPr>
        <w:spacing w:after="0" w:line="17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25"/>
          </w:cols>
          <w:pgMar w:left="235" w:top="650" w:right="1440" w:bottom="1440" w:gutter="0" w:footer="0" w:header="0"/>
        </w:sectPr>
      </w:pPr>
    </w:p>
    <w:bookmarkStart w:id="187" w:name="page188"/>
    <w:bookmarkEnd w:id="187"/>
    <w:p>
      <w:pPr>
        <w:ind w:left="925" w:right="2839"/>
        <w:spacing w:after="0" w:line="251" w:lineRule="auto"/>
        <w:rPr>
          <w:sz w:val="20"/>
          <w:szCs w:val="20"/>
          <w:color w:val="auto"/>
        </w:rPr>
      </w:pPr>
      <w:r>
        <w:rPr>
          <w:rFonts w:ascii="Courier New" w:cs="Courier New" w:eastAsia="Courier New" w:hAnsi="Courier New"/>
          <w:sz w:val="15"/>
          <w:szCs w:val="15"/>
          <w:color w:val="auto"/>
        </w:rPr>
        <w:t>Thousand, One-Hundred Dollars ($5,100) to be paid via cash, check or wire transfer to the Corporation on May 31, 1992. Concurrently with such payment, the Corporation shall issue to IMS a stock certificate representing said fifty-one thousand (51,000) shares registered in the name of IMS.</w:t>
      </w:r>
    </w:p>
    <w:p>
      <w:pPr>
        <w:spacing w:after="0" w:line="176" w:lineRule="exact"/>
        <w:rPr>
          <w:sz w:val="20"/>
          <w:szCs w:val="20"/>
          <w:color w:val="auto"/>
        </w:rPr>
      </w:pPr>
    </w:p>
    <w:p>
      <w:pPr>
        <w:jc w:val="center"/>
        <w:ind w:right="1914"/>
        <w:spacing w:after="0"/>
        <w:tabs>
          <w:tab w:leader="none" w:pos="160" w:val="left"/>
        </w:tabs>
        <w:rPr>
          <w:sz w:val="20"/>
          <w:szCs w:val="20"/>
          <w:color w:val="auto"/>
        </w:rPr>
      </w:pPr>
      <w:r>
        <w:rPr>
          <w:rFonts w:ascii="Courier New" w:cs="Courier New" w:eastAsia="Courier New" w:hAnsi="Courier New"/>
          <w:sz w:val="15"/>
          <w:szCs w:val="15"/>
          <w:color w:val="auto"/>
        </w:rPr>
        <w:t>3.1.2</w:t>
        <w:tab/>
        <w:t>Hospital hereby subscribes to purchase forty-nine</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thousand (49,000) shares of common stock of the Corporation for (i) an</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aggregate cash price of Two-hundred and Fifty Thousand Dollars</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($250,000) to be paid via (a) Four-Thousand, Nine-Hundred Dollars</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($4,900) in cash, check or wire transfer to the Corporation on or</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before May 31, 1992; and, (b) acquisition on behalf of the</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Corporation from IMS of the Software License and Service Agreement</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(the "License") pursuant to which the Corporation shall have an</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exclusive license in the Exclusive Territory to commercialize the</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software described therein; and (ii) execution of a Network Services</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Agreement for Hospital's four owned-campuses that includes funding</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Network Installation and Sponsoring a minimum of 250 members of their</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medical staff for five years pursuant to the general terms and</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conditions attached hereto as Exhibit 3.1, and including the special</w:t>
      </w:r>
    </w:p>
    <w:p>
      <w:pPr>
        <w:spacing w:after="0" w:line="8"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5" w:right="2839"/>
        <w:spacing w:after="0" w:line="250" w:lineRule="auto"/>
        <w:rPr>
          <w:sz w:val="20"/>
          <w:szCs w:val="20"/>
          <w:color w:val="auto"/>
        </w:rPr>
      </w:pPr>
      <w:r>
        <w:rPr>
          <w:rFonts w:ascii="Courier New" w:cs="Courier New" w:eastAsia="Courier New" w:hAnsi="Courier New"/>
          <w:sz w:val="15"/>
          <w:szCs w:val="15"/>
          <w:color w:val="auto"/>
        </w:rPr>
        <w:t>provisions that (a) Hospital's per-Subscriber Sponsorship Fee shall be capped at 500 physicians with only an Installation and Annual Maintenance Fee that covers the Corporation's costs applicable for Hospital Sponsored physicians in excess of 500; and, (b) Hospital shall have a Right of Early termination after three (3) years. Hospital and IMS mutually agree that the minimum value of the license and other rights and duties as conveyed or provided in said License shall be Two-Hundred and Forty-five Thousand, One Hundred Dollars ($245,100). Concurrently with the payment and assignment of the Software License and Services Agreement, the Corporation shall deliver to Hospital a validly issued and executed stock certificate representing said 49,000 shares of common stock of the Corporation registered in the name of Hospital.</w:t>
      </w:r>
    </w:p>
    <w:p>
      <w:pPr>
        <w:spacing w:after="0" w:line="183" w:lineRule="exact"/>
        <w:rPr>
          <w:sz w:val="20"/>
          <w:szCs w:val="20"/>
          <w:color w:val="auto"/>
        </w:rPr>
      </w:pPr>
    </w:p>
    <w:p>
      <w:pPr>
        <w:ind w:left="925"/>
        <w:spacing w:after="0"/>
        <w:tabs>
          <w:tab w:leader="none" w:pos="1365" w:val="left"/>
          <w:tab w:leader="none" w:pos="2285" w:val="left"/>
        </w:tabs>
        <w:rPr>
          <w:sz w:val="20"/>
          <w:szCs w:val="20"/>
          <w:color w:val="auto"/>
        </w:rPr>
      </w:pPr>
      <w:r>
        <w:rPr>
          <w:rFonts w:ascii="Courier New" w:cs="Courier New" w:eastAsia="Courier New" w:hAnsi="Courier New"/>
          <w:sz w:val="15"/>
          <w:szCs w:val="15"/>
          <w:color w:val="auto"/>
        </w:rPr>
        <w:t>3.2</w:t>
        <w:tab/>
        <w:t>Payment.</w:t>
        <w:tab/>
        <w:t>Concurrent with signature to this Agreement, Hospital</w:t>
      </w:r>
    </w:p>
    <w:p>
      <w:pPr>
        <w:spacing w:after="0" w:line="8"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shall deliver a check or wire transfer to IMS for Two Hundred, Thirty-five Thousand, One Hundred Dollars ($235,100) reflecting the License cost in Section 3.1 less Hospital's Ten Thousand Dollar ($10,000) deposit, along with a check to the Corporation for Four Thousand, Nine Hundred Dollars ($4,900).</w:t>
      </w:r>
    </w:p>
    <w:p>
      <w:pPr>
        <w:spacing w:after="0" w:line="354" w:lineRule="exact"/>
        <w:rPr>
          <w:sz w:val="20"/>
          <w:szCs w:val="20"/>
          <w:color w:val="auto"/>
        </w:rPr>
      </w:pPr>
    </w:p>
    <w:p>
      <w:pPr>
        <w:ind w:left="925"/>
        <w:spacing w:after="0"/>
        <w:tabs>
          <w:tab w:leader="none" w:pos="1465" w:val="left"/>
          <w:tab w:leader="none" w:pos="4405" w:val="left"/>
        </w:tabs>
        <w:rPr>
          <w:sz w:val="20"/>
          <w:szCs w:val="20"/>
          <w:color w:val="auto"/>
        </w:rPr>
      </w:pPr>
      <w:r>
        <w:rPr>
          <w:rFonts w:ascii="Courier New" w:cs="Courier New" w:eastAsia="Courier New" w:hAnsi="Courier New"/>
          <w:sz w:val="15"/>
          <w:szCs w:val="15"/>
          <w:color w:val="auto"/>
        </w:rPr>
        <w:t>3.3.</w:t>
        <w:tab/>
        <w:t>Limitation on Transferability.</w:t>
        <w:tab/>
        <w:t>The common stock of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399"/>
        <w:spacing w:after="0" w:line="253" w:lineRule="auto"/>
        <w:rPr>
          <w:sz w:val="20"/>
          <w:szCs w:val="20"/>
          <w:color w:val="auto"/>
        </w:rPr>
      </w:pPr>
      <w:r>
        <w:rPr>
          <w:rFonts w:ascii="Courier New" w:cs="Courier New" w:eastAsia="Courier New" w:hAnsi="Courier New"/>
          <w:sz w:val="15"/>
          <w:szCs w:val="15"/>
          <w:color w:val="auto"/>
        </w:rPr>
        <w:t>Corporation owned at any time by Hospital or IMS shall not be transferable except as specified in Sections 5, 13, and 14.7 hereof.</w:t>
      </w:r>
    </w:p>
    <w:p>
      <w:pPr>
        <w:spacing w:after="0" w:line="174" w:lineRule="exact"/>
        <w:rPr>
          <w:sz w:val="20"/>
          <w:szCs w:val="20"/>
          <w:color w:val="auto"/>
        </w:rPr>
      </w:pPr>
    </w:p>
    <w:p>
      <w:pPr>
        <w:ind w:left="365" w:hanging="365"/>
        <w:spacing w:after="0"/>
        <w:tabs>
          <w:tab w:leader="none" w:pos="36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5"/>
        <w:spacing w:after="0"/>
        <w:tabs>
          <w:tab w:leader="none" w:pos="1465" w:val="left"/>
          <w:tab w:leader="none" w:pos="4125" w:val="left"/>
        </w:tabs>
        <w:rPr>
          <w:sz w:val="20"/>
          <w:szCs w:val="20"/>
          <w:color w:val="auto"/>
        </w:rPr>
      </w:pPr>
      <w:r>
        <w:rPr>
          <w:rFonts w:ascii="Courier New" w:cs="Courier New" w:eastAsia="Courier New" w:hAnsi="Courier New"/>
          <w:sz w:val="15"/>
          <w:szCs w:val="15"/>
          <w:color w:val="auto"/>
        </w:rPr>
        <w:t>4.1.</w:t>
        <w:tab/>
        <w:t>Initial Board of Directors.</w:t>
        <w:tab/>
        <w:t>Subject to the right of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shareholders owning a majority of the common stock of the Corporation to remove, nominate and elect</w:t>
      </w:r>
    </w:p>
    <w:p>
      <w:pPr>
        <w:spacing w:after="0" w:line="174"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25"/>
          </w:cols>
          <w:pgMar w:left="235" w:top="650" w:right="1440" w:bottom="1440" w:gutter="0" w:footer="0" w:header="0"/>
        </w:sectPr>
      </w:pPr>
    </w:p>
    <w:bookmarkStart w:id="188" w:name="page189"/>
    <w:bookmarkEnd w:id="188"/>
    <w:p>
      <w:pPr>
        <w:ind w:right="2839"/>
        <w:spacing w:after="0" w:line="250" w:lineRule="auto"/>
        <w:rPr>
          <w:sz w:val="20"/>
          <w:szCs w:val="20"/>
          <w:color w:val="auto"/>
        </w:rPr>
      </w:pPr>
      <w:r>
        <w:rPr>
          <w:rFonts w:ascii="Courier New" w:cs="Courier New" w:eastAsia="Courier New" w:hAnsi="Courier New"/>
          <w:sz w:val="15"/>
          <w:szCs w:val="15"/>
          <w:color w:val="auto"/>
        </w:rPr>
        <w:t>replacement directors as provided herein and in the Bylaws of the Corporation, from the date of incorporation until they are removed, resign, or their successors are elected in accordance with the Bylaws, the initial Board of Directors of the Corporation shall consist of five (5) members of which two (2) shall be nominated by IMS; and, so long as Hospital retains a 49% interest in the Corporation, two (2) by Hospital and an additional one (1) shall be President of the Corporation who shall be nominated by Hospital and remain the Hospital's nominee throughout the life of the Corporation, subject to the Corporation maintaining Minimum Performance for year three (3) of operations and thereafter as stated in Section 4.2.2.1.</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0" w:right="3119"/>
        <w:spacing w:after="0" w:line="250" w:lineRule="auto"/>
        <w:rPr>
          <w:sz w:val="20"/>
          <w:szCs w:val="20"/>
          <w:color w:val="auto"/>
        </w:rPr>
      </w:pPr>
      <w:r>
        <w:rPr>
          <w:rFonts w:ascii="Courier New" w:cs="Courier New" w:eastAsia="Courier New" w:hAnsi="Courier New"/>
          <w:sz w:val="15"/>
          <w:szCs w:val="15"/>
          <w:color w:val="auto"/>
        </w:rPr>
        <w:t>4.1.1 Notwithstanding majority shareholder rights described or the composition of the Board in 4.1, IMS agrees not to oppose any Board</w:t>
      </w:r>
    </w:p>
    <w:p>
      <w:pPr>
        <w:spacing w:after="0" w:line="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right="3119"/>
        <w:spacing w:after="0" w:line="250" w:lineRule="auto"/>
        <w:rPr>
          <w:sz w:val="20"/>
          <w:szCs w:val="20"/>
          <w:color w:val="auto"/>
        </w:rPr>
      </w:pPr>
      <w:r>
        <w:rPr>
          <w:rFonts w:ascii="Courier New" w:cs="Courier New" w:eastAsia="Courier New" w:hAnsi="Courier New"/>
          <w:sz w:val="15"/>
          <w:szCs w:val="15"/>
          <w:color w:val="auto"/>
        </w:rPr>
        <w:t>Actions or Decisions or exercise or impose any local operating authorities so long as (i) the Minimum Performance is achieved, and</w:t>
      </w:r>
    </w:p>
    <w:p>
      <w:pPr>
        <w:spacing w:after="0" w:line="1" w:lineRule="exact"/>
        <w:rPr>
          <w:sz w:val="20"/>
          <w:szCs w:val="20"/>
          <w:color w:val="auto"/>
        </w:rPr>
      </w:pPr>
    </w:p>
    <w:p>
      <w:pPr>
        <w:ind w:left="920" w:right="2839" w:hanging="3"/>
        <w:spacing w:after="0" w:line="251" w:lineRule="auto"/>
        <w:tabs>
          <w:tab w:leader="none" w:pos="138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Board Actions involving capitalization, budget authorization, officer employment or designations, significant contracts or purchases that obligate the Corporation in an amount in excess of five times its Cash Capitalization (Ref 2.3) require the affirmative vote of both IMS-nominated Directors.</w:t>
      </w:r>
    </w:p>
    <w:p>
      <w:pPr>
        <w:spacing w:after="0" w:line="176" w:lineRule="exact"/>
        <w:rPr>
          <w:sz w:val="20"/>
          <w:szCs w:val="20"/>
          <w:color w:val="auto"/>
        </w:rPr>
      </w:pPr>
    </w:p>
    <w:p>
      <w:pPr>
        <w:ind w:left="920"/>
        <w:spacing w:after="0"/>
        <w:tabs>
          <w:tab w:leader="none" w:pos="1460" w:val="left"/>
          <w:tab w:leader="none" w:pos="3380" w:val="left"/>
        </w:tabs>
        <w:rPr>
          <w:sz w:val="20"/>
          <w:szCs w:val="20"/>
          <w:color w:val="auto"/>
        </w:rPr>
      </w:pPr>
      <w:r>
        <w:rPr>
          <w:rFonts w:ascii="Courier New" w:cs="Courier New" w:eastAsia="Courier New" w:hAnsi="Courier New"/>
          <w:sz w:val="15"/>
          <w:szCs w:val="15"/>
          <w:color w:val="auto"/>
        </w:rPr>
        <w:t>4.2.</w:t>
        <w:tab/>
        <w:t>Terms of Directors.</w:t>
        <w:tab/>
        <w:t>The term of each member of the Board of</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Directors shall be one (1) year. The members of the Board of Directors shall be elected annually by the owners of the common stock at the times and in the manner set forth from time to time in the Bylaws of the Corporation. Hospital and IMS each further agree that at no time shall either Hospital or IMS vote its common stock of the Corporation to effectuate a change in the residency or place of business requirements for directors of the Corporation as currently set forth in Article III, Section 3 of the Bylaws of the Corporation.</w:t>
      </w:r>
    </w:p>
    <w:p>
      <w:pPr>
        <w:spacing w:after="0" w:line="176" w:lineRule="exact"/>
        <w:rPr>
          <w:sz w:val="20"/>
          <w:szCs w:val="20"/>
          <w:color w:val="auto"/>
        </w:rPr>
      </w:pPr>
    </w:p>
    <w:p>
      <w:pPr>
        <w:ind w:left="920" w:right="2939"/>
        <w:spacing w:after="0" w:line="251" w:lineRule="auto"/>
        <w:rPr>
          <w:sz w:val="20"/>
          <w:szCs w:val="20"/>
          <w:color w:val="auto"/>
        </w:rPr>
      </w:pPr>
      <w:r>
        <w:rPr>
          <w:rFonts w:ascii="Courier New" w:cs="Courier New" w:eastAsia="Courier New" w:hAnsi="Courier New"/>
          <w:sz w:val="15"/>
          <w:szCs w:val="15"/>
          <w:color w:val="auto"/>
        </w:rPr>
        <w:t>4.2.1. Without limiting the generality of the foregoing, Hospital and IMS each agree to vote their common stock in the Corporation to require the Board of Directors to initially organize and consistently thereafter operate and maintain accounting, budgeting and financial reporting systems and records for the Corporation.</w:t>
      </w:r>
    </w:p>
    <w:p>
      <w:pPr>
        <w:spacing w:after="0" w:line="176" w:lineRule="exact"/>
        <w:rPr>
          <w:sz w:val="20"/>
          <w:szCs w:val="20"/>
          <w:color w:val="auto"/>
        </w:rPr>
      </w:pPr>
    </w:p>
    <w:p>
      <w:pPr>
        <w:ind w:left="920" w:right="2939"/>
        <w:spacing w:after="0" w:line="251" w:lineRule="auto"/>
        <w:rPr>
          <w:sz w:val="20"/>
          <w:szCs w:val="20"/>
          <w:color w:val="auto"/>
        </w:rPr>
      </w:pPr>
      <w:r>
        <w:rPr>
          <w:rFonts w:ascii="Courier New" w:cs="Courier New" w:eastAsia="Courier New" w:hAnsi="Courier New"/>
          <w:sz w:val="15"/>
          <w:szCs w:val="15"/>
          <w:color w:val="auto"/>
        </w:rPr>
        <w:t>4.2.2. The President shall submit to the Board of Directors an Annual Business Plan and Budget (the "Plan"), including but not limited to forecasts of revenue, expense, net profit, number of Local Sponsors and number of Subscribers, approval of which shall require the affirmative votes of both IMS Directors, and such votes shall be affirmative for any Plan with forecasted performance above the prior year.</w:t>
      </w:r>
    </w:p>
    <w:p>
      <w:pPr>
        <w:spacing w:after="0" w:line="17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4.2.2.1 Minimum Performance shall be defined as annual</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operating results at or above 75% of the Plan.</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650" w:right="1440" w:bottom="1440" w:gutter="0" w:footer="0" w:header="0"/>
        </w:sectPr>
      </w:pPr>
    </w:p>
    <w:bookmarkStart w:id="189" w:name="page190"/>
    <w:bookmarkEnd w:id="189"/>
    <w:p>
      <w:pPr>
        <w:ind w:left="465"/>
        <w:spacing w:after="0"/>
        <w:tabs>
          <w:tab w:leader="none" w:pos="985" w:val="left"/>
          <w:tab w:leader="none" w:pos="3585" w:val="left"/>
        </w:tabs>
        <w:rPr>
          <w:sz w:val="20"/>
          <w:szCs w:val="20"/>
          <w:color w:val="auto"/>
        </w:rPr>
      </w:pPr>
      <w:r>
        <w:rPr>
          <w:rFonts w:ascii="Courier New" w:cs="Courier New" w:eastAsia="Courier New" w:hAnsi="Courier New"/>
          <w:sz w:val="15"/>
          <w:szCs w:val="15"/>
          <w:color w:val="auto"/>
        </w:rPr>
        <w:t>4.3.</w:t>
        <w:tab/>
        <w:t>Parties' Responsibilities.</w:t>
        <w:tab/>
        <w:t>In the absence of cumulative voting,</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Hospital agrees that it shall at all times vote its shares of common stock of the Corporation for two (2) Board of Director nominees nominated by IMS, and IMS agrees that it shall at all times vote its shares of common stock of the Corporation for two (2) Board of Director nominees nominated by Hospital plus a President nominated by Hospital, pursuant to IMS majority rights as expressed in section 4.1. In the event of the number of the Board of Directors is, for</w:t>
      </w:r>
    </w:p>
    <w:p>
      <w:pPr>
        <w:spacing w:after="0" w:line="3"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whatever reason, changed, Hospital and IMS agree to vote their shares of common stock of the Corporation such that Board of Director nominees nominated by IMS shall be elected to fifty percent (50%) of the total without the President and that the Minimum Performance requirement remain applicable to the Hospital's right to nominate the President.</w:t>
      </w:r>
    </w:p>
    <w:p>
      <w:pPr>
        <w:spacing w:after="0" w:line="176" w:lineRule="exact"/>
        <w:rPr>
          <w:sz w:val="20"/>
          <w:szCs w:val="20"/>
          <w:color w:val="auto"/>
        </w:rPr>
      </w:pPr>
    </w:p>
    <w:p>
      <w:pPr>
        <w:ind w:left="365" w:hanging="365"/>
        <w:spacing w:after="0"/>
        <w:tabs>
          <w:tab w:leader="none" w:pos="36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TRANSFERS OF COMMON STOCK.</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525" w:val="left"/>
        </w:tabs>
        <w:rPr>
          <w:sz w:val="20"/>
          <w:szCs w:val="20"/>
          <w:color w:val="auto"/>
        </w:rPr>
      </w:pPr>
      <w:r>
        <w:rPr>
          <w:rFonts w:ascii="Courier New" w:cs="Courier New" w:eastAsia="Courier New" w:hAnsi="Courier New"/>
          <w:sz w:val="15"/>
          <w:szCs w:val="15"/>
          <w:color w:val="auto"/>
        </w:rPr>
        <w:t>5.1.</w:t>
        <w:tab/>
        <w:t>Right of First Refusal.</w:t>
      </w:r>
    </w:p>
    <w:p>
      <w:pPr>
        <w:spacing w:after="0" w:line="8"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5"/>
        <w:spacing w:after="0"/>
        <w:tabs>
          <w:tab w:leader="none" w:pos="1465" w:val="left"/>
        </w:tabs>
        <w:rPr>
          <w:sz w:val="20"/>
          <w:szCs w:val="20"/>
          <w:color w:val="auto"/>
        </w:rPr>
      </w:pPr>
      <w:r>
        <w:rPr>
          <w:rFonts w:ascii="Courier New" w:cs="Courier New" w:eastAsia="Courier New" w:hAnsi="Courier New"/>
          <w:sz w:val="15"/>
          <w:szCs w:val="15"/>
          <w:color w:val="auto"/>
        </w:rPr>
        <w:t>5.1.1.</w:t>
        <w:tab/>
        <w:t>Prior to the sale, transfer or disposition of all or any</w:t>
      </w:r>
    </w:p>
    <w:p>
      <w:pPr>
        <w:spacing w:after="0" w:line="8" w:lineRule="exact"/>
        <w:rPr>
          <w:sz w:val="20"/>
          <w:szCs w:val="20"/>
          <w:color w:val="auto"/>
        </w:rPr>
      </w:pPr>
    </w:p>
    <w:p>
      <w:pPr>
        <w:ind w:left="745" w:right="2839"/>
        <w:spacing w:after="0" w:line="251" w:lineRule="auto"/>
        <w:rPr>
          <w:sz w:val="20"/>
          <w:szCs w:val="20"/>
          <w:color w:val="auto"/>
        </w:rPr>
      </w:pPr>
      <w:r>
        <w:rPr>
          <w:rFonts w:ascii="Courier New" w:cs="Courier New" w:eastAsia="Courier New" w:hAnsi="Courier New"/>
          <w:sz w:val="15"/>
          <w:szCs w:val="15"/>
          <w:color w:val="auto"/>
        </w:rPr>
        <w:t>portion of the common stock of the Corporation by Hospital to any person or entity other than Hospital's Affiliates, or by IMS, the other party shall have a right of first refusal to purchase said stock as set forth in Section 5.1.9 hereinbelow. The right of first refusal granted to each of the parties hereto shall exist only for as long as such party owns any of the common stock of the Corporation.</w:t>
      </w:r>
    </w:p>
    <w:p>
      <w:pPr>
        <w:spacing w:after="0" w:line="176" w:lineRule="exact"/>
        <w:rPr>
          <w:sz w:val="20"/>
          <w:szCs w:val="20"/>
          <w:color w:val="auto"/>
        </w:rPr>
      </w:pPr>
    </w:p>
    <w:p>
      <w:pPr>
        <w:ind w:left="745" w:right="2839"/>
        <w:spacing w:after="0" w:line="250" w:lineRule="auto"/>
        <w:rPr>
          <w:sz w:val="20"/>
          <w:szCs w:val="20"/>
          <w:color w:val="auto"/>
        </w:rPr>
      </w:pPr>
      <w:r>
        <w:rPr>
          <w:rFonts w:ascii="Courier New" w:cs="Courier New" w:eastAsia="Courier New" w:hAnsi="Courier New"/>
          <w:sz w:val="15"/>
          <w:szCs w:val="15"/>
          <w:color w:val="auto"/>
        </w:rPr>
        <w:t>5.1.2. If pursuant to Sections 5.1.1 hereof, either Hospital or IMS has a right of first refusal on the sale transfer or disposition of stock, the party desiring to sell, transfer or otherwise dispose of said stock (Offering Party) shall first offer to sell, transfer or otherwise dispose of said stock to the party having the right of first refusal (Offeree Party). The Offering Party shall give written notice to the Offeree Party. Such notice must specify: (i) the name and address of the person, firm or corporation to whom the Offering Party intends to sell, transfer or otherwise dispose of said stock; (ii) the price or other consideration to be paid to the Offering Party; and (iii) all other terms and conditions of the proposed sale, transfer or disposition. If the Offeree Party elects to accept said offer, written notice of acceptance must be sent by the Offeree Party to the Offering Party by certified or registered mail within thirty (30) calendar days after the giving of the original notice by the Offering Party to the Offeree Party. Upon acceptance of said offer, the Offering Party and the Offeree Party shall cause such sale, transfer or disposition to be consummated in accordance with the terms and conditions set forth in the original notice within a reasonable time and shall execute and deliver all necessary documents to evidence such sale, transfer or disposition. In the event the Offeree Party fails to timely accept said offer, the Offering Party shall be free to sell, transfer or dispose of said stock to the party identified in the original notice as the intended buyer on the same terms and conditions set forth</w:t>
      </w:r>
    </w:p>
    <w:p>
      <w:pPr>
        <w:spacing w:after="0" w:line="18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25"/>
          </w:cols>
          <w:pgMar w:left="235" w:top="650" w:right="1440" w:bottom="1440" w:gutter="0" w:footer="0" w:header="0"/>
        </w:sectPr>
      </w:pPr>
    </w:p>
    <w:bookmarkStart w:id="190" w:name="page191"/>
    <w:bookmarkEnd w:id="190"/>
    <w:p>
      <w:pPr>
        <w:ind w:left="745" w:right="2839"/>
        <w:spacing w:after="0" w:line="250" w:lineRule="auto"/>
        <w:rPr>
          <w:sz w:val="20"/>
          <w:szCs w:val="20"/>
          <w:color w:val="auto"/>
        </w:rPr>
      </w:pPr>
      <w:r>
        <w:rPr>
          <w:rFonts w:ascii="Courier New" w:cs="Courier New" w:eastAsia="Courier New" w:hAnsi="Courier New"/>
          <w:sz w:val="15"/>
          <w:szCs w:val="15"/>
          <w:color w:val="auto"/>
        </w:rPr>
        <w:t>in said original notice. However, unless said sale, transfer or disposition is consummated within thirty (30) calendar days after the failure of the Offeree Party to accept said offer, the Offeree Party's right of first refusal shall continue in existence and the Offering Party shall then be obligated to give notice from time to time of any intent to sell, transfer or dispose of said stock and upon the giving of said notice, the Offeree Party shall have the same right to purchase or acquire said stock as set forth hereinabove. As a condition precedent to the sale, transfer or disposition of the stock to the party identified in the notice as the intended buyer, the intended buyer must execute a written agreement granting the same right of first refusal to the Offeree Party in the event of any future sale, transfer or disposition of said stock.</w:t>
      </w:r>
    </w:p>
    <w:p>
      <w:pPr>
        <w:spacing w:after="0" w:line="183" w:lineRule="exact"/>
        <w:rPr>
          <w:sz w:val="20"/>
          <w:szCs w:val="20"/>
          <w:color w:val="auto"/>
        </w:rPr>
      </w:pPr>
    </w:p>
    <w:p>
      <w:pPr>
        <w:ind w:left="745"/>
        <w:spacing w:after="0"/>
        <w:tabs>
          <w:tab w:leader="none" w:pos="1265" w:val="left"/>
          <w:tab w:leader="none" w:pos="3665" w:val="left"/>
        </w:tabs>
        <w:rPr>
          <w:sz w:val="20"/>
          <w:szCs w:val="20"/>
          <w:color w:val="auto"/>
        </w:rPr>
      </w:pPr>
      <w:r>
        <w:rPr>
          <w:rFonts w:ascii="Courier New" w:cs="Courier New" w:eastAsia="Courier New" w:hAnsi="Courier New"/>
          <w:sz w:val="15"/>
          <w:szCs w:val="15"/>
          <w:color w:val="auto"/>
        </w:rPr>
        <w:t>5.2.</w:t>
        <w:tab/>
        <w:t>Restricted Stock Legend.</w:t>
        <w:tab/>
        <w:t>Each certificate for shares of the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common stock initially issued hereunder, and each certificate for shares of the common stock issued to subsequent transferees of any such certificate shall be stamped or otherwise imprinted with a legend in substantially in the following form:</w:t>
      </w:r>
    </w:p>
    <w:p>
      <w:pPr>
        <w:spacing w:after="0" w:line="176" w:lineRule="exact"/>
        <w:rPr>
          <w:sz w:val="20"/>
          <w:szCs w:val="20"/>
          <w:color w:val="auto"/>
        </w:rPr>
      </w:pPr>
    </w:p>
    <w:p>
      <w:pPr>
        <w:ind w:left="745" w:right="3759"/>
        <w:spacing w:after="0" w:line="251"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THE COLORADO SECURITIES LAW, NOR ANY OTHER STATE SECURITIES LAWS, AND THE TRANSFER OF SUCH SECURITIES IS SUBJECT TO CERTAIN RESTRICTIONS ON TRANSFER AS SET FORTH IN THE SHAREHOLDERS' AGREEMENT DATED MAY 31, 1992, BETWEEN ADVENTIST HEALTH SYSTEM/SUNBELT AND INTEGRATED MEDICAL SYSTEMS, INC. A COPY OF WHICH AGREEMENT IS ON FILE AT THE PRINCIPAL BUSINESS OFFICE OF THE CORPORATION.</w:t>
      </w:r>
    </w:p>
    <w:p>
      <w:pPr>
        <w:spacing w:after="0" w:line="175" w:lineRule="exact"/>
        <w:rPr>
          <w:sz w:val="20"/>
          <w:szCs w:val="20"/>
          <w:color w:val="auto"/>
        </w:rPr>
      </w:pPr>
    </w:p>
    <w:p>
      <w:pPr>
        <w:ind w:left="5" w:right="3399"/>
        <w:spacing w:after="0" w:line="252" w:lineRule="auto"/>
        <w:rPr>
          <w:sz w:val="20"/>
          <w:szCs w:val="20"/>
          <w:color w:val="auto"/>
        </w:rPr>
      </w:pPr>
      <w:r>
        <w:rPr>
          <w:rFonts w:ascii="Courier New" w:cs="Courier New" w:eastAsia="Courier New" w:hAnsi="Courier New"/>
          <w:sz w:val="15"/>
          <w:szCs w:val="15"/>
          <w:color w:val="auto"/>
        </w:rPr>
        <w:t>This legend shall be in addition to and shall be conformed to any legend required to appear on such certificates of common stock in accordance with applicable provisions of the State of Colorado.</w:t>
      </w:r>
    </w:p>
    <w:p>
      <w:pPr>
        <w:spacing w:after="0" w:line="352" w:lineRule="exact"/>
        <w:rPr>
          <w:sz w:val="20"/>
          <w:szCs w:val="20"/>
          <w:color w:val="auto"/>
        </w:rPr>
      </w:pPr>
    </w:p>
    <w:p>
      <w:pPr>
        <w:ind w:left="365" w:hanging="365"/>
        <w:spacing w:after="0"/>
        <w:tabs>
          <w:tab w:leader="none" w:pos="36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AND NETWORK MANAGEMENT.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5"/>
        <w:spacing w:after="0"/>
        <w:tabs>
          <w:tab w:leader="none" w:pos="1265" w:val="left"/>
          <w:tab w:leader="none" w:pos="2285" w:val="left"/>
        </w:tabs>
        <w:rPr>
          <w:sz w:val="20"/>
          <w:szCs w:val="20"/>
          <w:color w:val="auto"/>
        </w:rPr>
      </w:pPr>
      <w:r>
        <w:rPr>
          <w:rFonts w:ascii="Courier New" w:cs="Courier New" w:eastAsia="Courier New" w:hAnsi="Courier New"/>
          <w:sz w:val="15"/>
          <w:szCs w:val="15"/>
          <w:color w:val="auto"/>
        </w:rPr>
        <w:t>6.1.</w:t>
        <w:tab/>
        <w:t>Business.</w:t>
        <w:tab/>
        <w:t>Hospital and IMS agree that the Corporation will be</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operated and managed to fulfill IMS' Network design, under which all physicians in the Corporation's territory are solicited to become Subscribers, regardless of referral affiliations, and the necessary complement of Local Sponsors are recruited to communicate with them over the Network, including, but not limited to, non-Hospital hospitals, clinical laboratories, pharmacies, diagnostic centers and services, home health providers, managed care services, professional associations and practice support services.</w:t>
      </w:r>
    </w:p>
    <w:p>
      <w:pPr>
        <w:spacing w:after="0" w:line="176"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25"/>
          </w:cols>
          <w:pgMar w:left="235" w:top="650" w:right="1440" w:bottom="1440" w:gutter="0" w:footer="0" w:header="0"/>
        </w:sectPr>
      </w:pPr>
    </w:p>
    <w:bookmarkStart w:id="191" w:name="page192"/>
    <w:bookmarkEnd w:id="191"/>
    <w:p>
      <w:pPr>
        <w:ind w:left="740"/>
        <w:spacing w:after="0"/>
        <w:tabs>
          <w:tab w:leader="none" w:pos="1260" w:val="left"/>
          <w:tab w:leader="none" w:pos="2840" w:val="left"/>
        </w:tabs>
        <w:rPr>
          <w:sz w:val="20"/>
          <w:szCs w:val="20"/>
          <w:color w:val="auto"/>
        </w:rPr>
      </w:pPr>
      <w:r>
        <w:rPr>
          <w:rFonts w:ascii="Courier New" w:cs="Courier New" w:eastAsia="Courier New" w:hAnsi="Courier New"/>
          <w:sz w:val="15"/>
          <w:szCs w:val="15"/>
          <w:color w:val="auto"/>
        </w:rPr>
        <w:t>6.2.</w:t>
        <w:tab/>
        <w:t>Identification.</w:t>
        <w:tab/>
        <w:t>The Corporation will operate under IMS' trade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Community Medical Information Network of Central Florida.</w:t>
      </w:r>
    </w:p>
    <w:p>
      <w:pPr>
        <w:spacing w:after="0" w:line="185" w:lineRule="exact"/>
        <w:rPr>
          <w:sz w:val="20"/>
          <w:szCs w:val="20"/>
          <w:color w:val="auto"/>
        </w:rPr>
      </w:pPr>
    </w:p>
    <w:p>
      <w:pPr>
        <w:ind w:left="740"/>
        <w:spacing w:after="0"/>
        <w:tabs>
          <w:tab w:leader="none" w:pos="1260" w:val="left"/>
          <w:tab w:leader="none" w:pos="4220" w:val="left"/>
        </w:tabs>
        <w:rPr>
          <w:sz w:val="20"/>
          <w:szCs w:val="20"/>
          <w:color w:val="auto"/>
        </w:rPr>
      </w:pPr>
      <w:r>
        <w:rPr>
          <w:rFonts w:ascii="Courier New" w:cs="Courier New" w:eastAsia="Courier New" w:hAnsi="Courier New"/>
          <w:sz w:val="15"/>
          <w:szCs w:val="15"/>
          <w:color w:val="auto"/>
        </w:rPr>
        <w:t>6.3.</w:t>
        <w:tab/>
        <w:t>Access Fees and Other Charges.</w:t>
        <w:tab/>
        <w:t>Hospital agrees that the Hospital</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Sponsorship Fees as defined in Exhibit 3.1. have been structured specifically to</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fulfill the combined business relationship between Hospital and IMS and do not represent the Corporations market prices, and Hospital further agrees to cause its named Directors to require that the Corporation charge Local Sponsorship Fees at least equal to those Fees set out in Exhibit 6.3.</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0" w:right="3299"/>
        <w:spacing w:after="0" w:line="250" w:lineRule="auto"/>
        <w:rPr>
          <w:sz w:val="20"/>
          <w:szCs w:val="20"/>
          <w:color w:val="auto"/>
        </w:rPr>
      </w:pPr>
      <w:r>
        <w:rPr>
          <w:rFonts w:ascii="Courier New" w:cs="Courier New" w:eastAsia="Courier New" w:hAnsi="Courier New"/>
          <w:sz w:val="15"/>
          <w:szCs w:val="15"/>
          <w:color w:val="auto"/>
        </w:rPr>
        <w:t>6.3.1. Hospital agrees that acceptance of any Local Sponsorship Agreement at fees below those set out in Exhibit 6.3 will require a</w:t>
      </w:r>
    </w:p>
    <w:p>
      <w:pPr>
        <w:spacing w:after="0" w:line="1"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Board vote with an affirmative vote from both IMS-named Directors.</w:t>
      </w:r>
    </w:p>
    <w:p>
      <w:pPr>
        <w:spacing w:after="0" w:line="185" w:lineRule="exact"/>
        <w:rPr>
          <w:sz w:val="20"/>
          <w:szCs w:val="20"/>
          <w:color w:val="auto"/>
        </w:rPr>
      </w:pPr>
    </w:p>
    <w:p>
      <w:pPr>
        <w:ind w:left="740"/>
        <w:spacing w:after="0"/>
        <w:tabs>
          <w:tab w:leader="none" w:pos="1260" w:val="left"/>
          <w:tab w:leader="none" w:pos="4780" w:val="left"/>
        </w:tabs>
        <w:rPr>
          <w:sz w:val="20"/>
          <w:szCs w:val="20"/>
          <w:color w:val="auto"/>
        </w:rPr>
      </w:pPr>
      <w:r>
        <w:rPr>
          <w:rFonts w:ascii="Courier New" w:cs="Courier New" w:eastAsia="Courier New" w:hAnsi="Courier New"/>
          <w:sz w:val="15"/>
          <w:szCs w:val="15"/>
          <w:color w:val="auto"/>
        </w:rPr>
        <w:t>6.4.</w:t>
        <w:tab/>
        <w:t>Hospital Network Services Agreement.</w:t>
        <w:tab/>
        <w:t>IMS agrees that the Network</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Services Agreement to be signed separately by Hospital or its subsidiaries for Network participation by Hospitals owned-campuses will contain the following specific Terms and Conditions:</w:t>
      </w:r>
    </w:p>
    <w:p>
      <w:pPr>
        <w:spacing w:after="0" w:line="175"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5"/>
          <w:szCs w:val="15"/>
          <w:color w:val="auto"/>
        </w:rPr>
        <w:t>6.4.1 Notwithstanding the Corporation's Business statement as expressed in 6.1 above, IMS agrees that:</w:t>
      </w:r>
    </w:p>
    <w:p>
      <w:pPr>
        <w:spacing w:after="0" w:line="174" w:lineRule="exact"/>
        <w:rPr>
          <w:sz w:val="20"/>
          <w:szCs w:val="20"/>
          <w:color w:val="auto"/>
        </w:rPr>
      </w:pPr>
    </w:p>
    <w:p>
      <w:pPr>
        <w:ind w:left="1380" w:right="2839"/>
        <w:spacing w:after="0" w:line="251" w:lineRule="auto"/>
        <w:rPr>
          <w:sz w:val="20"/>
          <w:szCs w:val="20"/>
          <w:color w:val="auto"/>
        </w:rPr>
      </w:pPr>
      <w:r>
        <w:rPr>
          <w:rFonts w:ascii="Courier New" w:cs="Courier New" w:eastAsia="Courier New" w:hAnsi="Courier New"/>
          <w:sz w:val="15"/>
          <w:szCs w:val="15"/>
          <w:color w:val="auto"/>
        </w:rPr>
        <w:t>6.4.1.1. The Corporation will neither solicit nor install Orlando Regional Medical Center, nor any of its owned campuses nor any healthcare facility in which it has an equity interest ("ORMC") without the prior written acceptance of Hospital's Chief Executive Officer during the entire duration of the Corporation.</w:t>
      </w:r>
    </w:p>
    <w:p>
      <w:pPr>
        <w:spacing w:after="0" w:line="176" w:lineRule="exact"/>
        <w:rPr>
          <w:sz w:val="20"/>
          <w:szCs w:val="20"/>
          <w:color w:val="auto"/>
        </w:rPr>
      </w:pPr>
    </w:p>
    <w:p>
      <w:pPr>
        <w:ind w:left="1380" w:right="2839"/>
        <w:spacing w:after="0" w:line="250" w:lineRule="auto"/>
        <w:rPr>
          <w:sz w:val="20"/>
          <w:szCs w:val="20"/>
          <w:color w:val="auto"/>
        </w:rPr>
      </w:pPr>
      <w:r>
        <w:rPr>
          <w:rFonts w:ascii="Courier New" w:cs="Courier New" w:eastAsia="Courier New" w:hAnsi="Courier New"/>
          <w:sz w:val="15"/>
          <w:szCs w:val="15"/>
          <w:color w:val="auto"/>
        </w:rPr>
        <w:t>6.4.1.2. The Corporation will neither solicit nor install any additional hospital in the exclusive territory without the prior acceptance of Hospital's Chief Executive Officer, which shall not be unreasonably withheld, until either the earliest of eighteen</w:t>
      </w:r>
    </w:p>
    <w:p>
      <w:pPr>
        <w:spacing w:after="0" w:line="2" w:lineRule="exact"/>
        <w:rPr>
          <w:sz w:val="20"/>
          <w:szCs w:val="20"/>
          <w:color w:val="auto"/>
        </w:rPr>
      </w:pPr>
    </w:p>
    <w:p>
      <w:pPr>
        <w:ind w:left="1380" w:right="2939" w:hanging="1"/>
        <w:spacing w:after="0" w:line="250" w:lineRule="auto"/>
        <w:tabs>
          <w:tab w:leader="none" w:pos="1841"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from the date of incorporation or all Hospital owned campuses are installed as well as all Hospital's Affiliate hospitals in the exclusive territory as listed in Exhibit 6.4.</w:t>
      </w:r>
    </w:p>
    <w:p>
      <w:pPr>
        <w:spacing w:after="0" w:line="1"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0" w:right="2839"/>
        <w:spacing w:after="0" w:line="250" w:lineRule="auto"/>
        <w:rPr>
          <w:sz w:val="20"/>
          <w:szCs w:val="20"/>
          <w:color w:val="auto"/>
        </w:rPr>
      </w:pPr>
      <w:r>
        <w:rPr>
          <w:rFonts w:ascii="Courier New" w:cs="Courier New" w:eastAsia="Courier New" w:hAnsi="Courier New"/>
          <w:sz w:val="15"/>
          <w:szCs w:val="15"/>
          <w:color w:val="auto"/>
        </w:rPr>
        <w:t>6.4.2 The Network Installation Fees will not exceed Seventy-Five Thousand Dollars ($75,000) for the Hospital's configuration as set forth in Exhibit 6.4.2, and, at Hospital's option, any additional capital</w:t>
      </w:r>
    </w:p>
    <w:p>
      <w:pPr>
        <w:spacing w:after="0" w:line="1"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0" w:right="3299"/>
        <w:spacing w:after="0" w:line="250" w:lineRule="auto"/>
        <w:rPr>
          <w:sz w:val="20"/>
          <w:szCs w:val="20"/>
          <w:color w:val="auto"/>
        </w:rPr>
      </w:pPr>
      <w:r>
        <w:rPr>
          <w:rFonts w:ascii="Courier New" w:cs="Courier New" w:eastAsia="Courier New" w:hAnsi="Courier New"/>
          <w:sz w:val="15"/>
          <w:szCs w:val="15"/>
          <w:color w:val="auto"/>
        </w:rPr>
        <w:t>purchases to fulfill additional Network capabilities will be pre-approved by Hospital and billed by IMS at its standard rates as indicated on Exhibit 6.3.</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0"/>
        <w:spacing w:after="0"/>
        <w:tabs>
          <w:tab w:leader="none" w:pos="1180" w:val="left"/>
          <w:tab w:leader="none" w:pos="3660" w:val="left"/>
        </w:tabs>
        <w:rPr>
          <w:sz w:val="20"/>
          <w:szCs w:val="20"/>
          <w:color w:val="auto"/>
        </w:rPr>
      </w:pPr>
      <w:r>
        <w:rPr>
          <w:rFonts w:ascii="Courier New" w:cs="Courier New" w:eastAsia="Courier New" w:hAnsi="Courier New"/>
          <w:sz w:val="15"/>
          <w:szCs w:val="15"/>
          <w:color w:val="auto"/>
        </w:rPr>
        <w:t>6.5</w:t>
        <w:tab/>
        <w:t>Facilities and Personnel.</w:t>
        <w:tab/>
        <w:t>Within six (6) months of incorporation,</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Corporation will be located in independent space with separate identity and access that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651" w:right="1440" w:bottom="1440" w:gutter="0" w:footer="0" w:header="0"/>
        </w:sectPr>
      </w:pPr>
    </w:p>
    <w:bookmarkStart w:id="192" w:name="page193"/>
    <w:bookmarkEnd w:id="192"/>
    <w:p>
      <w:pPr>
        <w:jc w:val="both"/>
        <w:ind w:left="5" w:right="3299"/>
        <w:spacing w:after="0" w:line="252" w:lineRule="auto"/>
        <w:rPr>
          <w:sz w:val="20"/>
          <w:szCs w:val="20"/>
          <w:color w:val="auto"/>
        </w:rPr>
      </w:pPr>
      <w:r>
        <w:rPr>
          <w:rFonts w:ascii="Courier New" w:cs="Courier New" w:eastAsia="Courier New" w:hAnsi="Courier New"/>
          <w:sz w:val="15"/>
          <w:szCs w:val="15"/>
          <w:color w:val="auto"/>
        </w:rPr>
        <w:t>is fully equipped internally and will be staffed by dedicated employees or contracted services. However, during the first six (6) months of operations after incorporation, the Parties agree that:</w:t>
      </w:r>
    </w:p>
    <w:p>
      <w:pPr>
        <w:spacing w:after="0" w:line="175" w:lineRule="exact"/>
        <w:rPr>
          <w:sz w:val="20"/>
          <w:szCs w:val="20"/>
          <w:color w:val="auto"/>
        </w:rPr>
      </w:pPr>
    </w:p>
    <w:p>
      <w:pPr>
        <w:ind w:left="745" w:right="2839"/>
        <w:spacing w:after="0" w:line="251" w:lineRule="auto"/>
        <w:rPr>
          <w:sz w:val="20"/>
          <w:szCs w:val="20"/>
          <w:color w:val="auto"/>
        </w:rPr>
      </w:pPr>
      <w:r>
        <w:rPr>
          <w:rFonts w:ascii="Courier New" w:cs="Courier New" w:eastAsia="Courier New" w:hAnsi="Courier New"/>
          <w:sz w:val="15"/>
          <w:szCs w:val="15"/>
          <w:color w:val="auto"/>
        </w:rPr>
        <w:t>6.5.1. IMS shall provide to the Corporation at no cost from both IMS' Southeast Region Office and Corporate Office such advisory and consultant management services, support and personnel as the Corporation may require to initiate operations and establish a fully-functional local business unit, including, but not limited to, planning, market research, marketing, sales, software support, user support and accounting.</w:t>
      </w:r>
    </w:p>
    <w:p>
      <w:pPr>
        <w:spacing w:after="0" w:line="353" w:lineRule="exact"/>
        <w:rPr>
          <w:sz w:val="20"/>
          <w:szCs w:val="20"/>
          <w:color w:val="auto"/>
        </w:rPr>
      </w:pPr>
    </w:p>
    <w:p>
      <w:pPr>
        <w:ind w:left="745" w:right="2839" w:firstLine="738"/>
        <w:spacing w:after="0" w:line="251" w:lineRule="auto"/>
        <w:rPr>
          <w:sz w:val="20"/>
          <w:szCs w:val="20"/>
          <w:color w:val="auto"/>
        </w:rPr>
      </w:pPr>
      <w:r>
        <w:rPr>
          <w:rFonts w:ascii="Courier New" w:cs="Courier New" w:eastAsia="Courier New" w:hAnsi="Courier New"/>
          <w:sz w:val="15"/>
          <w:szCs w:val="15"/>
          <w:color w:val="auto"/>
        </w:rPr>
        <w:t>6.5.2. Hospital shall provide at no cost other than direct measurable costs such as long distance telephone charges, per-page photocopy charges, postage, etc. such office space and office support facilities and services as the Corporation may require including, but not limited to, office space for the President, desk space for three-to-five technical support, training and marketing staff, space for a temporary ComCenter, access to phone service, secretarial support, and standard office equipment -- copier, fax, PC and mail machines.</w:t>
      </w:r>
    </w:p>
    <w:p>
      <w:pPr>
        <w:spacing w:after="0" w:line="175" w:lineRule="exact"/>
        <w:rPr>
          <w:sz w:val="20"/>
          <w:szCs w:val="20"/>
          <w:color w:val="auto"/>
        </w:rPr>
      </w:pPr>
    </w:p>
    <w:p>
      <w:pPr>
        <w:ind w:left="745"/>
        <w:spacing w:after="0"/>
        <w:tabs>
          <w:tab w:leader="none" w:pos="1265" w:val="left"/>
          <w:tab w:leader="none" w:pos="3025" w:val="left"/>
        </w:tabs>
        <w:rPr>
          <w:sz w:val="20"/>
          <w:szCs w:val="20"/>
          <w:color w:val="auto"/>
        </w:rPr>
      </w:pPr>
      <w:r>
        <w:rPr>
          <w:rFonts w:ascii="Courier New" w:cs="Courier New" w:eastAsia="Courier New" w:hAnsi="Courier New"/>
          <w:sz w:val="15"/>
          <w:szCs w:val="15"/>
          <w:color w:val="auto"/>
        </w:rPr>
        <w:t>6.6.</w:t>
        <w:tab/>
        <w:t>Hospital Mission.</w:t>
        <w:tab/>
        <w:t>IMS agrees that in recognition of the Mission</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of Florida Hospital and its adherence to the beliefs of the Seventh-day Adventist Church, the Corporation will be operated in accordance with the Mission of Hospital, which would include not holding business meetings or conducting sales, marketing, training or regular office hours recognized as the seventh day Sabbath (Saturday).</w:t>
      </w:r>
    </w:p>
    <w:p>
      <w:pPr>
        <w:spacing w:after="0" w:line="176" w:lineRule="exact"/>
        <w:rPr>
          <w:sz w:val="20"/>
          <w:szCs w:val="20"/>
          <w:color w:val="auto"/>
        </w:rPr>
      </w:pPr>
    </w:p>
    <w:p>
      <w:pPr>
        <w:ind w:left="365" w:hanging="365"/>
        <w:spacing w:after="0"/>
        <w:tabs>
          <w:tab w:leader="none" w:pos="365"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Hospital and IMS each, for itself alone,</w:t>
      </w:r>
    </w:p>
    <w:p>
      <w:pPr>
        <w:spacing w:after="0" w:line="8"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warrants and represents that:</w:t>
      </w:r>
    </w:p>
    <w:p>
      <w:pPr>
        <w:spacing w:after="0" w:line="185" w:lineRule="exact"/>
        <w:rPr>
          <w:sz w:val="20"/>
          <w:szCs w:val="20"/>
          <w:color w:val="auto"/>
        </w:rPr>
      </w:pPr>
    </w:p>
    <w:p>
      <w:pPr>
        <w:ind w:left="745"/>
        <w:spacing w:after="0"/>
        <w:tabs>
          <w:tab w:leader="none" w:pos="1265" w:val="left"/>
          <w:tab w:leader="none" w:pos="3385" w:val="left"/>
        </w:tabs>
        <w:rPr>
          <w:sz w:val="20"/>
          <w:szCs w:val="20"/>
          <w:color w:val="auto"/>
        </w:rPr>
      </w:pPr>
      <w:r>
        <w:rPr>
          <w:rFonts w:ascii="Courier New" w:cs="Courier New" w:eastAsia="Courier New" w:hAnsi="Courier New"/>
          <w:sz w:val="15"/>
          <w:szCs w:val="15"/>
          <w:color w:val="auto"/>
        </w:rPr>
        <w:t>7.1.</w:t>
        <w:tab/>
        <w:t>Content of Agreement.</w:t>
        <w:tab/>
        <w:t>Each has carefully read and understands</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content of this Agreement.</w:t>
      </w:r>
    </w:p>
    <w:p>
      <w:pPr>
        <w:spacing w:after="0" w:line="185" w:lineRule="exact"/>
        <w:rPr>
          <w:sz w:val="20"/>
          <w:szCs w:val="20"/>
          <w:color w:val="auto"/>
        </w:rPr>
      </w:pPr>
    </w:p>
    <w:p>
      <w:pPr>
        <w:ind w:left="745"/>
        <w:spacing w:after="0"/>
        <w:tabs>
          <w:tab w:leader="none" w:pos="1265" w:val="left"/>
          <w:tab w:leader="none" w:pos="2925" w:val="left"/>
        </w:tabs>
        <w:rPr>
          <w:sz w:val="20"/>
          <w:szCs w:val="20"/>
          <w:color w:val="auto"/>
        </w:rPr>
      </w:pPr>
      <w:r>
        <w:rPr>
          <w:rFonts w:ascii="Courier New" w:cs="Courier New" w:eastAsia="Courier New" w:hAnsi="Courier New"/>
          <w:sz w:val="15"/>
          <w:szCs w:val="15"/>
          <w:color w:val="auto"/>
        </w:rPr>
        <w:t>7.2.</w:t>
        <w:tab/>
        <w:t>Financial Risks.</w:t>
        <w:tab/>
        <w:t>Each understands the financial risks involved</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in this investment, which could result in a substantial or complete l its investment. Each can assume a high degree of risk in making such an investment and can afford the loss of its entire investment in this security.</w:t>
      </w:r>
    </w:p>
    <w:p>
      <w:pPr>
        <w:spacing w:after="0" w:line="175" w:lineRule="exact"/>
        <w:rPr>
          <w:sz w:val="20"/>
          <w:szCs w:val="20"/>
          <w:color w:val="auto"/>
        </w:rPr>
      </w:pPr>
    </w:p>
    <w:p>
      <w:pPr>
        <w:ind w:left="745"/>
        <w:spacing w:after="0"/>
        <w:tabs>
          <w:tab w:leader="none" w:pos="1265" w:val="left"/>
          <w:tab w:leader="none" w:pos="3665" w:val="left"/>
        </w:tabs>
        <w:rPr>
          <w:sz w:val="20"/>
          <w:szCs w:val="20"/>
          <w:color w:val="auto"/>
        </w:rPr>
      </w:pPr>
      <w:r>
        <w:rPr>
          <w:rFonts w:ascii="Courier New" w:cs="Courier New" w:eastAsia="Courier New" w:hAnsi="Courier New"/>
          <w:sz w:val="15"/>
          <w:szCs w:val="15"/>
          <w:color w:val="auto"/>
        </w:rPr>
        <w:t>7.3.</w:t>
        <w:tab/>
        <w:t>Reliance on Own Counsel.</w:t>
        <w:tab/>
        <w:t>Each, in evaluating the merits of an</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investment in the Corporation has relied, to the extent each deems necessary, on the advise of its own personal accountant and tax and legal counsel. Each acknowledges that neither the Corporation nor its counsel has provided any tax opinion or other legal advice in connection with this offering.</w:t>
      </w:r>
    </w:p>
    <w:p>
      <w:pPr>
        <w:spacing w:after="0" w:line="176"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25"/>
          </w:cols>
          <w:pgMar w:left="235" w:top="651" w:right="1440" w:bottom="1440" w:gutter="0" w:footer="0" w:header="0"/>
        </w:sectPr>
      </w:pPr>
    </w:p>
    <w:bookmarkStart w:id="193" w:name="page194"/>
    <w:bookmarkEnd w:id="193"/>
    <w:p>
      <w:pPr>
        <w:ind w:left="740"/>
        <w:spacing w:after="0"/>
        <w:tabs>
          <w:tab w:leader="none" w:pos="1260" w:val="left"/>
          <w:tab w:leader="none" w:pos="3940" w:val="left"/>
        </w:tabs>
        <w:rPr>
          <w:sz w:val="20"/>
          <w:szCs w:val="20"/>
          <w:color w:val="auto"/>
        </w:rPr>
      </w:pPr>
      <w:r>
        <w:rPr>
          <w:rFonts w:ascii="Courier New" w:cs="Courier New" w:eastAsia="Courier New" w:hAnsi="Courier New"/>
          <w:sz w:val="15"/>
          <w:szCs w:val="15"/>
          <w:color w:val="auto"/>
        </w:rPr>
        <w:t>7.4.</w:t>
        <w:tab/>
        <w:t>No Public Market for Stock.</w:t>
        <w:tab/>
        <w:t>Each is aware that the common stock</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of the Corporation has not been registered under the Securities Act of 1933, as amended (the "Securities Act"), that the Corporation has no present intention to register the said stock under the Securities Act, that currently there is no public market for the common stock and that the transfer of the common stock is subject to certain restrictions. As a consequence, each understands that it may not be possible for it to sell its shares, which may have to be held indefinitely.</w:t>
      </w:r>
    </w:p>
    <w:p>
      <w:pPr>
        <w:spacing w:after="0" w:line="176" w:lineRule="exact"/>
        <w:rPr>
          <w:sz w:val="20"/>
          <w:szCs w:val="20"/>
          <w:color w:val="auto"/>
        </w:rPr>
      </w:pPr>
    </w:p>
    <w:p>
      <w:pPr>
        <w:ind w:left="740"/>
        <w:spacing w:after="0"/>
        <w:tabs>
          <w:tab w:leader="none" w:pos="1260" w:val="left"/>
          <w:tab w:leader="none" w:pos="4580" w:val="left"/>
        </w:tabs>
        <w:rPr>
          <w:sz w:val="20"/>
          <w:szCs w:val="20"/>
          <w:color w:val="auto"/>
        </w:rPr>
      </w:pPr>
      <w:r>
        <w:rPr>
          <w:rFonts w:ascii="Courier New" w:cs="Courier New" w:eastAsia="Courier New" w:hAnsi="Courier New"/>
          <w:sz w:val="15"/>
          <w:szCs w:val="15"/>
          <w:color w:val="auto"/>
        </w:rPr>
        <w:t>7.5.</w:t>
        <w:tab/>
        <w:t>Business and Financial Experience.</w:t>
        <w:tab/>
        <w:t>Each, by reason of their</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019"/>
        <w:spacing w:after="0" w:line="251" w:lineRule="auto"/>
        <w:rPr>
          <w:sz w:val="20"/>
          <w:szCs w:val="20"/>
          <w:color w:val="auto"/>
        </w:rPr>
      </w:pPr>
      <w:r>
        <w:rPr>
          <w:rFonts w:ascii="Courier New" w:cs="Courier New" w:eastAsia="Courier New" w:hAnsi="Courier New"/>
          <w:sz w:val="15"/>
          <w:szCs w:val="15"/>
          <w:color w:val="auto"/>
        </w:rPr>
        <w:t>business and financial experience or the business and financial experience of their professional advisors who are unaffiliated with the Corporation, believe that they have the capacity to protect their own interests in connection with this offering.</w:t>
      </w:r>
    </w:p>
    <w:p>
      <w:pPr>
        <w:spacing w:after="0" w:line="176" w:lineRule="exact"/>
        <w:rPr>
          <w:sz w:val="20"/>
          <w:szCs w:val="20"/>
          <w:color w:val="auto"/>
        </w:rPr>
      </w:pPr>
    </w:p>
    <w:p>
      <w:pPr>
        <w:ind w:left="740"/>
        <w:spacing w:after="0"/>
        <w:tabs>
          <w:tab w:leader="none" w:pos="1260" w:val="left"/>
          <w:tab w:leader="none" w:pos="3660" w:val="left"/>
        </w:tabs>
        <w:rPr>
          <w:sz w:val="20"/>
          <w:szCs w:val="20"/>
          <w:color w:val="auto"/>
        </w:rPr>
      </w:pPr>
      <w:r>
        <w:rPr>
          <w:rFonts w:ascii="Courier New" w:cs="Courier New" w:eastAsia="Courier New" w:hAnsi="Courier New"/>
          <w:sz w:val="15"/>
          <w:szCs w:val="15"/>
          <w:color w:val="auto"/>
        </w:rPr>
        <w:t>7.6.</w:t>
        <w:tab/>
        <w:t>Restricted Stock Legend.</w:t>
        <w:tab/>
        <w:t>Each is aware that each certificate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for the common stock shall bear a legend setting forth restrictions on transfer of the common stock substantially similar to the following:</w:t>
      </w:r>
    </w:p>
    <w:p>
      <w:pPr>
        <w:spacing w:after="0" w:line="174" w:lineRule="exact"/>
        <w:rPr>
          <w:sz w:val="20"/>
          <w:szCs w:val="20"/>
          <w:color w:val="auto"/>
        </w:rPr>
      </w:pPr>
    </w:p>
    <w:p>
      <w:pPr>
        <w:ind w:left="740" w:right="3759"/>
        <w:spacing w:after="0" w:line="251" w:lineRule="auto"/>
        <w:rPr>
          <w:sz w:val="20"/>
          <w:szCs w:val="20"/>
          <w:color w:val="auto"/>
        </w:rPr>
      </w:pPr>
      <w:r>
        <w:rPr>
          <w:rFonts w:ascii="Courier New" w:cs="Courier New" w:eastAsia="Courier New" w:hAnsi="Courier New"/>
          <w:sz w:val="15"/>
          <w:szCs w:val="15"/>
          <w:color w:val="auto"/>
        </w:rPr>
        <w:t>THE SECURITIES REPRESENTED BY THIS CERTIFICATE HAVE NOT BEEN REGISTERED UNDER THE SECURITIES ACT OF 1933, THE COLORADO CORPORATE SECURITIES LAW, NOR ANY OTHER STATE SECURITIES LAWS, AND THE TRANSFER OF SUCH SECURITIES IS SUBJECT TO CERTAIN RESTRICTIONS ON TRANSFER AS SET FORTH IN THE SHAREHOLDERS' AGREEMENT DATED MAY 3l, 1992, BETWEEN ADVENTIST HEALTH SYSTEM/SUNBELT AND INTEGRATED MEDICAL SYSTEMS, INC., A COPY OF WHICH AGREEMENT IS ON FILE AT THE PRINCIPAL BUSINESS OFFICE OF THE CORPORATION.</w:t>
      </w:r>
    </w:p>
    <w:p>
      <w:pPr>
        <w:spacing w:after="0" w:line="175" w:lineRule="exact"/>
        <w:rPr>
          <w:sz w:val="20"/>
          <w:szCs w:val="20"/>
          <w:color w:val="auto"/>
        </w:rPr>
      </w:pPr>
    </w:p>
    <w:p>
      <w:pPr>
        <w:ind w:left="740"/>
        <w:spacing w:after="0"/>
        <w:tabs>
          <w:tab w:leader="none" w:pos="1260" w:val="left"/>
          <w:tab w:leader="none" w:pos="4120" w:val="left"/>
        </w:tabs>
        <w:rPr>
          <w:sz w:val="20"/>
          <w:szCs w:val="20"/>
          <w:color w:val="auto"/>
        </w:rPr>
      </w:pPr>
      <w:r>
        <w:rPr>
          <w:rFonts w:ascii="Courier New" w:cs="Courier New" w:eastAsia="Courier New" w:hAnsi="Courier New"/>
          <w:sz w:val="15"/>
          <w:szCs w:val="15"/>
          <w:color w:val="auto"/>
        </w:rPr>
        <w:t>7.7.</w:t>
        <w:tab/>
        <w:t>Purchase for Investment Only.</w:t>
        <w:tab/>
        <w:t>Each is the sole party in interest</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399"/>
        <w:spacing w:after="0" w:line="252" w:lineRule="auto"/>
        <w:rPr>
          <w:sz w:val="20"/>
          <w:szCs w:val="20"/>
          <w:color w:val="auto"/>
        </w:rPr>
      </w:pPr>
      <w:r>
        <w:rPr>
          <w:rFonts w:ascii="Courier New" w:cs="Courier New" w:eastAsia="Courier New" w:hAnsi="Courier New"/>
          <w:sz w:val="15"/>
          <w:szCs w:val="15"/>
          <w:color w:val="auto"/>
        </w:rPr>
        <w:t>agreeing to make this purchase, is purchasing the common stock for its own account for investment purposes only and not with a view to or for sale in connection with the distribution of the common stock.</w:t>
      </w:r>
    </w:p>
    <w:p>
      <w:pPr>
        <w:spacing w:after="0" w:line="175" w:lineRule="exact"/>
        <w:rPr>
          <w:sz w:val="20"/>
          <w:szCs w:val="20"/>
          <w:color w:val="auto"/>
        </w:rPr>
      </w:pPr>
    </w:p>
    <w:p>
      <w:pPr>
        <w:ind w:left="740"/>
        <w:spacing w:after="0"/>
        <w:tabs>
          <w:tab w:leader="none" w:pos="1260" w:val="left"/>
          <w:tab w:leader="none" w:pos="3480" w:val="left"/>
        </w:tabs>
        <w:rPr>
          <w:sz w:val="20"/>
          <w:szCs w:val="20"/>
          <w:color w:val="auto"/>
        </w:rPr>
      </w:pPr>
      <w:r>
        <w:rPr>
          <w:rFonts w:ascii="Courier New" w:cs="Courier New" w:eastAsia="Courier New" w:hAnsi="Courier New"/>
          <w:sz w:val="15"/>
          <w:szCs w:val="15"/>
          <w:color w:val="auto"/>
        </w:rPr>
        <w:t>7.8.</w:t>
        <w:tab/>
        <w:t>Access to Information.</w:t>
        <w:tab/>
        <w:t>Prior to the sale of the stock, the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Corporation afforded Hospital and IMS and their advisors, if any, full and complete access to all information with respect to the Corporation and proposed operations that it and its advisors deemed necessary to evaluate the merits and risks of an investment in the Corporation to the extent such information was possessed or could be acquired by the Corporation without unreasonable effort or expense. Each understands that the documents, records and books of the Corporation shall be available upon reasonable notice for inspection by shareholders during reasonable business hours at the Corporation's principal office.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650" w:right="1440" w:bottom="1440" w:gutter="0" w:footer="0" w:header="0"/>
        </w:sectPr>
      </w:pPr>
    </w:p>
    <w:bookmarkStart w:id="194" w:name="page195"/>
    <w:bookmarkEnd w:id="194"/>
    <w:p>
      <w:pPr>
        <w:ind w:left="745"/>
        <w:spacing w:after="0"/>
        <w:tabs>
          <w:tab w:leader="none" w:pos="1265" w:val="left"/>
          <w:tab w:leader="none" w:pos="4325" w:val="left"/>
        </w:tabs>
        <w:rPr>
          <w:sz w:val="20"/>
          <w:szCs w:val="20"/>
          <w:color w:val="auto"/>
        </w:rPr>
      </w:pPr>
      <w:r>
        <w:rPr>
          <w:rFonts w:ascii="Courier New" w:cs="Courier New" w:eastAsia="Courier New" w:hAnsi="Courier New"/>
          <w:sz w:val="15"/>
          <w:szCs w:val="15"/>
          <w:color w:val="auto"/>
        </w:rPr>
        <w:t>7.9.</w:t>
        <w:tab/>
        <w:t>Due Organization and Authority.</w:t>
        <w:tab/>
        <w:t>Each is duly organized, validly</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existing and in good standing in the state of its incorporation and possesses all necessary powers and authority to enter into this Agreement.</w:t>
      </w:r>
    </w:p>
    <w:p>
      <w:pPr>
        <w:spacing w:after="0" w:line="174" w:lineRule="exact"/>
        <w:rPr>
          <w:sz w:val="20"/>
          <w:szCs w:val="20"/>
          <w:color w:val="auto"/>
        </w:rPr>
      </w:pPr>
    </w:p>
    <w:p>
      <w:pPr>
        <w:ind w:left="365" w:hanging="365"/>
        <w:spacing w:after="0"/>
        <w:tabs>
          <w:tab w:leader="none" w:pos="365"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CERTAIN EXPENSES.</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5"/>
        <w:spacing w:after="0"/>
        <w:tabs>
          <w:tab w:leader="none" w:pos="1185" w:val="left"/>
          <w:tab w:leader="none" w:pos="3385" w:val="left"/>
        </w:tabs>
        <w:rPr>
          <w:sz w:val="20"/>
          <w:szCs w:val="20"/>
          <w:color w:val="auto"/>
        </w:rPr>
      </w:pPr>
      <w:r>
        <w:rPr>
          <w:rFonts w:ascii="Courier New" w:cs="Courier New" w:eastAsia="Courier New" w:hAnsi="Courier New"/>
          <w:sz w:val="15"/>
          <w:szCs w:val="15"/>
          <w:color w:val="auto"/>
        </w:rPr>
        <w:t>8.1</w:t>
        <w:tab/>
        <w:t>Reimbursable Expenses.</w:t>
        <w:tab/>
        <w:t>Subject to the limitations hereinbelow</w:t>
      </w: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described, Hospital and IMS agree to cause the Corporation either to pay or reimburse Hospital or IMS, as the case may be, only for the following preincorporation expenses, or to credit such expenses against the purchase price paid by them for the common Stock of the corporation. Such preincorporation expenses shall be only:</w:t>
      </w:r>
    </w:p>
    <w:p>
      <w:pPr>
        <w:spacing w:after="0" w:line="176" w:lineRule="exact"/>
        <w:rPr>
          <w:sz w:val="20"/>
          <w:szCs w:val="20"/>
          <w:color w:val="auto"/>
        </w:rPr>
      </w:pPr>
    </w:p>
    <w:p>
      <w:pPr>
        <w:ind w:left="745" w:right="2839"/>
        <w:spacing w:after="0" w:line="251" w:lineRule="auto"/>
        <w:rPr>
          <w:sz w:val="20"/>
          <w:szCs w:val="20"/>
          <w:color w:val="auto"/>
        </w:rPr>
      </w:pPr>
      <w:r>
        <w:rPr>
          <w:rFonts w:ascii="Courier New" w:cs="Courier New" w:eastAsia="Courier New" w:hAnsi="Courier New"/>
          <w:sz w:val="15"/>
          <w:szCs w:val="15"/>
          <w:color w:val="auto"/>
        </w:rPr>
        <w:t>8.1.1. Such filing fees, costs, prepaid franchise taxes or other expenses directly incurred in organizing or registering the Corporation in good standing with the State of Colorado, and any county or local government department or agency necessary or convenient to the operation of the Corporation as contemplated by the Articles and this Agreement.</w:t>
      </w:r>
    </w:p>
    <w:p>
      <w:pPr>
        <w:spacing w:after="0" w:line="176" w:lineRule="exact"/>
        <w:rPr>
          <w:sz w:val="20"/>
          <w:szCs w:val="20"/>
          <w:color w:val="auto"/>
        </w:rPr>
      </w:pPr>
    </w:p>
    <w:p>
      <w:pPr>
        <w:ind w:left="745" w:right="3299"/>
        <w:spacing w:after="0" w:line="253" w:lineRule="auto"/>
        <w:rPr>
          <w:sz w:val="20"/>
          <w:szCs w:val="20"/>
          <w:color w:val="auto"/>
        </w:rPr>
      </w:pPr>
      <w:r>
        <w:rPr>
          <w:rFonts w:ascii="Courier New" w:cs="Courier New" w:eastAsia="Courier New" w:hAnsi="Courier New"/>
          <w:sz w:val="15"/>
          <w:szCs w:val="15"/>
          <w:color w:val="auto"/>
        </w:rPr>
        <w:t>8.1.2. Such other expenses as may be agreed upon, in writing, from time to time by Hospital and IMS.</w:t>
      </w:r>
    </w:p>
    <w:p>
      <w:pPr>
        <w:spacing w:after="0" w:line="174" w:lineRule="exact"/>
        <w:rPr>
          <w:sz w:val="20"/>
          <w:szCs w:val="20"/>
          <w:color w:val="auto"/>
        </w:rPr>
      </w:pPr>
    </w:p>
    <w:p>
      <w:pPr>
        <w:ind w:left="745"/>
        <w:spacing w:after="0"/>
        <w:tabs>
          <w:tab w:leader="none" w:pos="1185" w:val="left"/>
          <w:tab w:leader="none" w:pos="3665" w:val="left"/>
        </w:tabs>
        <w:rPr>
          <w:sz w:val="20"/>
          <w:szCs w:val="20"/>
          <w:color w:val="auto"/>
        </w:rPr>
      </w:pPr>
      <w:r>
        <w:rPr>
          <w:rFonts w:ascii="Courier New" w:cs="Courier New" w:eastAsia="Courier New" w:hAnsi="Courier New"/>
          <w:sz w:val="15"/>
          <w:szCs w:val="15"/>
          <w:color w:val="auto"/>
        </w:rPr>
        <w:t>8.2</w:t>
        <w:tab/>
        <w:t>Nonreimbursable Expenses.</w:t>
        <w:tab/>
        <w:t>Hospital and IMS agree that any and all</w:t>
      </w:r>
    </w:p>
    <w:p>
      <w:pPr>
        <w:spacing w:after="0" w:line="8" w:lineRule="exact"/>
        <w:rPr>
          <w:sz w:val="20"/>
          <w:szCs w:val="20"/>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45" w:right="2839"/>
        <w:spacing w:after="0" w:line="251" w:lineRule="auto"/>
        <w:rPr>
          <w:sz w:val="20"/>
          <w:szCs w:val="20"/>
          <w:color w:val="auto"/>
        </w:rPr>
      </w:pPr>
      <w:r>
        <w:rPr>
          <w:rFonts w:ascii="Courier New" w:cs="Courier New" w:eastAsia="Courier New" w:hAnsi="Courier New"/>
          <w:sz w:val="15"/>
          <w:szCs w:val="15"/>
          <w:color w:val="auto"/>
        </w:rPr>
        <w:t>other expenses incurred by Hospital and IMS in organizing and incorporating the Corporation other than as is expressly set forth in Section 8.1 above shall not be reimbursable by the Corporation and shall be paid solely by the party incurring such expenses. Without limiting the generality of the foregoing, each party shall bear its own legal and accounting fees, travel, lodging, telephone and other out of pocket expenses involved in the negotiation, organization and formation of the Corporation.</w:t>
      </w:r>
    </w:p>
    <w:p>
      <w:pPr>
        <w:spacing w:after="0" w:line="175" w:lineRule="exact"/>
        <w:rPr>
          <w:sz w:val="20"/>
          <w:szCs w:val="20"/>
          <w:color w:val="auto"/>
        </w:rPr>
      </w:pPr>
    </w:p>
    <w:p>
      <w:pPr>
        <w:ind w:left="365" w:hanging="365"/>
        <w:spacing w:after="0"/>
        <w:tabs>
          <w:tab w:leader="none" w:pos="36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745"/>
        <w:spacing w:after="0"/>
        <w:tabs>
          <w:tab w:leader="none" w:pos="1265" w:val="left"/>
          <w:tab w:leader="none" w:pos="2845" w:val="left"/>
        </w:tabs>
        <w:rPr>
          <w:sz w:val="20"/>
          <w:szCs w:val="20"/>
          <w:color w:val="auto"/>
        </w:rPr>
      </w:pPr>
      <w:r>
        <w:rPr>
          <w:rFonts w:ascii="Courier New" w:cs="Courier New" w:eastAsia="Courier New" w:hAnsi="Courier New"/>
          <w:sz w:val="15"/>
          <w:szCs w:val="15"/>
          <w:color w:val="auto"/>
        </w:rPr>
        <w:t>9.1.</w:t>
        <w:tab/>
        <w:t>Noncompetition.</w:t>
        <w:tab/>
        <w:t>At all times after incorporation, while both</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Hospital and IMS own any of the common stock of the Corporation, Hospital, for itself and, and IMS, for itself agree not to, and shall use their reasonable best efforts to cause their respective officers, directors, shareholders, members and management employees not to, directly or indirectly own, manage, operate, control, organize, participate in the management, control, or organization of, be employed by any individual or organization which manages, operates or offers any type of medical information network arrangements (other than the Corporation's Network), if such individual or other organization in any manner or to any extent provides, arranges for or pays for any such medical information network services anywhere in the Exclusive Territory. Notwithstanding the foregoing, during the time periods set forth in the immediately preceding sentence, IMS may, but Hospital shall not, invest or own an interest in any organization that manages, operates or offers such</w:t>
      </w:r>
    </w:p>
    <w:p>
      <w:pPr>
        <w:spacing w:after="0" w:line="183"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25"/>
          </w:cols>
          <w:pgMar w:left="235" w:top="650" w:right="1440" w:bottom="1440" w:gutter="0" w:footer="0" w:header="0"/>
        </w:sectPr>
      </w:pPr>
    </w:p>
    <w:bookmarkStart w:id="195" w:name="page196"/>
    <w:bookmarkEnd w:id="195"/>
    <w:p>
      <w:pPr>
        <w:ind w:left="465" w:right="2939"/>
        <w:spacing w:after="0" w:line="251" w:lineRule="auto"/>
        <w:rPr>
          <w:sz w:val="20"/>
          <w:szCs w:val="20"/>
          <w:color w:val="auto"/>
        </w:rPr>
      </w:pPr>
      <w:r>
        <w:rPr>
          <w:rFonts w:ascii="Courier New" w:cs="Courier New" w:eastAsia="Courier New" w:hAnsi="Courier New"/>
          <w:sz w:val="15"/>
          <w:szCs w:val="15"/>
          <w:color w:val="auto"/>
        </w:rPr>
        <w:t>medical information network services or arrangements operating exclusively outside of the Exclusive Territory. Exceptions to the covenant not to compete restrictions set forth in this Section 9.1 may be made upon approval by two-thirds (2/3) of the shareholders of the Corporation entitled to vote.</w:t>
      </w:r>
    </w:p>
    <w:p>
      <w:pPr>
        <w:spacing w:after="0" w:line="176" w:lineRule="exact"/>
        <w:rPr>
          <w:sz w:val="20"/>
          <w:szCs w:val="20"/>
          <w:color w:val="auto"/>
        </w:rPr>
      </w:pPr>
    </w:p>
    <w:p>
      <w:pPr>
        <w:ind w:left="925" w:right="2839"/>
        <w:spacing w:after="0" w:line="251" w:lineRule="auto"/>
        <w:rPr>
          <w:sz w:val="20"/>
          <w:szCs w:val="20"/>
          <w:color w:val="auto"/>
        </w:rPr>
      </w:pPr>
      <w:r>
        <w:rPr>
          <w:rFonts w:ascii="Courier New" w:cs="Courier New" w:eastAsia="Courier New" w:hAnsi="Courier New"/>
          <w:sz w:val="15"/>
          <w:szCs w:val="15"/>
          <w:color w:val="auto"/>
        </w:rPr>
        <w:t>9.1.1 Notwithstanding any provision contained elsewhere in this Agreement, the parties hereto agree that Sunbelt Systems Concepts, Inc., which provides hardware and software capabilities, including the development of specific software programs and capabilities to meet the needs of organizations affiliated with Adventist Health System/Sunbelt Health Care Corporation, including the Hospital and its affiliates, shall not be subject to the provisions of this Shareholder's Agreement, including but not limited to the provisions of Section 9.1.</w:t>
      </w:r>
    </w:p>
    <w:p>
      <w:pPr>
        <w:spacing w:after="0" w:line="175" w:lineRule="exact"/>
        <w:rPr>
          <w:sz w:val="20"/>
          <w:szCs w:val="20"/>
          <w:color w:val="auto"/>
        </w:rPr>
      </w:pPr>
    </w:p>
    <w:p>
      <w:pPr>
        <w:ind w:left="925"/>
        <w:spacing w:after="0"/>
        <w:tabs>
          <w:tab w:leader="none" w:pos="1465" w:val="left"/>
          <w:tab w:leader="none" w:pos="4045" w:val="left"/>
        </w:tabs>
        <w:rPr>
          <w:sz w:val="20"/>
          <w:szCs w:val="20"/>
          <w:color w:val="auto"/>
        </w:rPr>
      </w:pPr>
      <w:r>
        <w:rPr>
          <w:rFonts w:ascii="Courier New" w:cs="Courier New" w:eastAsia="Courier New" w:hAnsi="Courier New"/>
          <w:sz w:val="15"/>
          <w:szCs w:val="15"/>
          <w:color w:val="auto"/>
        </w:rPr>
        <w:t>9.2.</w:t>
        <w:tab/>
        <w:t>Enforcement by Injunction.</w:t>
        <w:tab/>
        <w:t>Hospital, IMS and their successors</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5" w:right="2839"/>
        <w:spacing w:after="0" w:line="250" w:lineRule="auto"/>
        <w:rPr>
          <w:sz w:val="20"/>
          <w:szCs w:val="20"/>
          <w:color w:val="auto"/>
        </w:rPr>
      </w:pPr>
      <w:r>
        <w:rPr>
          <w:rFonts w:ascii="Courier New" w:cs="Courier New" w:eastAsia="Courier New" w:hAnsi="Courier New"/>
          <w:sz w:val="15"/>
          <w:szCs w:val="15"/>
          <w:color w:val="auto"/>
        </w:rPr>
        <w:t>and assigns, acknowledge and agree that irrevocable harm and damage will be sustained by the Corporation and its business in the event that they or either of them or any of their officers, directors, shareholders, members, management employees, compete with the Corporation except as herein provided. In the event of violation of Section 9.1 hereof, the parties acknowledge that said breach would result in irreparable injury to the Corporation for which monetary damages would be inadequate, and therefore, in the event of said breach, the Corporation shall be entitled (in addition to all other legal and equitable remedies) to have an injunction issued by any court of equity enjoining and restraining said breach. The running of any statute of limitations shall be tolled during the period of said breach.</w:t>
      </w:r>
    </w:p>
    <w:p>
      <w:pPr>
        <w:spacing w:after="0" w:line="360" w:lineRule="exact"/>
        <w:rPr>
          <w:sz w:val="20"/>
          <w:szCs w:val="20"/>
          <w:color w:val="auto"/>
        </w:rPr>
      </w:pPr>
    </w:p>
    <w:p>
      <w:pPr>
        <w:ind w:left="925"/>
        <w:spacing w:after="0"/>
        <w:tabs>
          <w:tab w:leader="none" w:pos="1465" w:val="left"/>
          <w:tab w:leader="none" w:pos="2665" w:val="left"/>
        </w:tabs>
        <w:rPr>
          <w:sz w:val="20"/>
          <w:szCs w:val="20"/>
          <w:color w:val="auto"/>
        </w:rPr>
      </w:pPr>
      <w:r>
        <w:rPr>
          <w:rFonts w:ascii="Courier New" w:cs="Courier New" w:eastAsia="Courier New" w:hAnsi="Courier New"/>
          <w:sz w:val="15"/>
          <w:szCs w:val="15"/>
          <w:color w:val="auto"/>
        </w:rPr>
        <w:t>9.3.</w:t>
        <w:tab/>
        <w:t>Limitation.</w:t>
        <w:tab/>
        <w:t>If the restriction contained in Section 9.1 or the</w:t>
      </w:r>
    </w:p>
    <w:p>
      <w:pPr>
        <w:spacing w:after="0" w:line="8"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5" w:right="2839"/>
        <w:spacing w:after="0" w:line="251" w:lineRule="auto"/>
        <w:rPr>
          <w:sz w:val="20"/>
          <w:szCs w:val="20"/>
          <w:color w:val="auto"/>
        </w:rPr>
      </w:pPr>
      <w:r>
        <w:rPr>
          <w:rFonts w:ascii="Courier New" w:cs="Courier New" w:eastAsia="Courier New" w:hAnsi="Courier New"/>
          <w:sz w:val="15"/>
          <w:szCs w:val="15"/>
          <w:color w:val="auto"/>
        </w:rPr>
        <w:t>application thereof is held to be unenforceable because of the area covered, or the duration or scope thereof, the court making such determination shall have the power to reduce the area and/or duration thereof and/or otherwise reduce the scope thereof and the restriction shall then be enforceable in its reduced form.</w:t>
      </w:r>
    </w:p>
    <w:p>
      <w:pPr>
        <w:spacing w:after="0" w:line="176" w:lineRule="exact"/>
        <w:rPr>
          <w:sz w:val="20"/>
          <w:szCs w:val="20"/>
          <w:color w:val="auto"/>
        </w:rPr>
      </w:pPr>
    </w:p>
    <w:p>
      <w:pPr>
        <w:ind w:left="925" w:hanging="464"/>
        <w:spacing w:after="0"/>
        <w:tabs>
          <w:tab w:leader="none" w:pos="925"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LICENSE BETWEEN IMS AND HOSPITAL.  Concurrently with the</w:t>
      </w:r>
    </w:p>
    <w:p>
      <w:pPr>
        <w:spacing w:after="0" w:line="7" w:lineRule="exact"/>
        <w:rPr>
          <w:rFonts w:ascii="Courier New" w:cs="Courier New" w:eastAsia="Courier New" w:hAnsi="Courier New"/>
          <w:sz w:val="15"/>
          <w:szCs w:val="15"/>
          <w:color w:val="auto"/>
        </w:rPr>
      </w:pPr>
    </w:p>
    <w:p>
      <w:pPr>
        <w:ind w:left="92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execution of this Agreement, Hospital and IMS shall execute, deliver and enter into the Software License and Services Agreement in the form attached hereto as Exhibit 2.3 and incorporated herein by this reference.</w:t>
      </w:r>
    </w:p>
    <w:p>
      <w:pPr>
        <w:spacing w:after="0" w:line="1" w:lineRule="exact"/>
        <w:rPr>
          <w:sz w:val="20"/>
          <w:szCs w:val="20"/>
          <w:color w:val="auto"/>
        </w:rPr>
      </w:pPr>
    </w:p>
    <w:p>
      <w:pPr>
        <w:ind w:left="185" w:hanging="185"/>
        <w:spacing w:after="0"/>
        <w:tabs>
          <w:tab w:leader="none" w:pos="18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REMARKETING AGREEMENT.  Concurrently with the execution of this</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Agreement, Hospital and IMS shall cause the Corporation to execute, deliver and enter into the Remarketing Agreement with IMS in the form attached hereto as Exhibit 11 and incorporated herein by this reference.</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25"/>
          </w:cols>
          <w:pgMar w:left="235" w:top="650" w:right="1440" w:bottom="1440" w:gutter="0" w:footer="0" w:header="0"/>
        </w:sectPr>
      </w:pPr>
    </w:p>
    <w:bookmarkStart w:id="196" w:name="page197"/>
    <w:bookmarkEnd w:id="196"/>
    <w:p>
      <w:pPr>
        <w:ind w:left="465" w:hanging="465"/>
        <w:spacing w:after="0"/>
        <w:tabs>
          <w:tab w:leader="none" w:pos="465"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645"/>
        <w:spacing w:after="0"/>
        <w:tabs>
          <w:tab w:leader="none" w:pos="1265" w:val="left"/>
          <w:tab w:leader="none" w:pos="3485" w:val="left"/>
        </w:tabs>
        <w:rPr>
          <w:sz w:val="20"/>
          <w:szCs w:val="20"/>
          <w:color w:val="auto"/>
        </w:rPr>
      </w:pPr>
      <w:r>
        <w:rPr>
          <w:rFonts w:ascii="Courier New" w:cs="Courier New" w:eastAsia="Courier New" w:hAnsi="Courier New"/>
          <w:sz w:val="15"/>
          <w:szCs w:val="15"/>
          <w:color w:val="auto"/>
        </w:rPr>
        <w:t>12.1.</w:t>
        <w:tab/>
        <w:t>Voluntary Dissolution.</w:t>
        <w:tab/>
        <w:t>In the event of Hospital and IMS at any</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time and for any reason agree to a voluntary dissolution and winding up of the business operations of the Corporation, the rights and obligations of the parties as well as the procedures governing the dissolution and winding up of the Corporation shall be as is provided in the Articles and the Colorado Corporations Code, as amended, provided that Hospital and IMS shall have the following additional rights and obligations:</w:t>
      </w:r>
    </w:p>
    <w:p>
      <w:pPr>
        <w:spacing w:after="0" w:line="176" w:lineRule="exact"/>
        <w:rPr>
          <w:sz w:val="20"/>
          <w:szCs w:val="20"/>
          <w:color w:val="auto"/>
        </w:rPr>
      </w:pPr>
    </w:p>
    <w:p>
      <w:pPr>
        <w:ind w:left="645" w:right="2839"/>
        <w:spacing w:after="0" w:line="250" w:lineRule="auto"/>
        <w:rPr>
          <w:sz w:val="20"/>
          <w:szCs w:val="20"/>
          <w:color w:val="auto"/>
        </w:rPr>
      </w:pPr>
      <w:r>
        <w:rPr>
          <w:rFonts w:ascii="Courier New" w:cs="Courier New" w:eastAsia="Courier New" w:hAnsi="Courier New"/>
          <w:sz w:val="15"/>
          <w:szCs w:val="15"/>
          <w:color w:val="auto"/>
        </w:rPr>
        <w:t>12.1.1. IMS shall thereafter provide to Hospital for use of the IMS-NET(TM) and Synergy Series(TM) Software updates and enhancements, and the additional technical and computer programming support and assistance as then available by IMS and requested by Hospital, all at prices and upon terms at least as favorable as those then available to the most favored IMS clients. In addition, Hospital and all participants in the IMS-NET System shall continue to have access upon terms at least as favorable as IMS then charges its most favored customers to all Network Local Sponsors and National Sponsors which continue to advertize or otherwise do business with IMS after dissolution of the Corporation.</w:t>
      </w:r>
    </w:p>
    <w:p>
      <w:pPr>
        <w:spacing w:after="0" w:line="182" w:lineRule="exact"/>
        <w:rPr>
          <w:sz w:val="20"/>
          <w:szCs w:val="20"/>
          <w:color w:val="auto"/>
        </w:rPr>
      </w:pPr>
    </w:p>
    <w:p>
      <w:pPr>
        <w:ind w:left="645"/>
        <w:spacing w:after="0"/>
        <w:tabs>
          <w:tab w:leader="none" w:pos="1265" w:val="left"/>
          <w:tab w:leader="none" w:pos="3665" w:val="left"/>
        </w:tabs>
        <w:rPr>
          <w:sz w:val="20"/>
          <w:szCs w:val="20"/>
          <w:color w:val="auto"/>
        </w:rPr>
      </w:pPr>
      <w:r>
        <w:rPr>
          <w:rFonts w:ascii="Courier New" w:cs="Courier New" w:eastAsia="Courier New" w:hAnsi="Courier New"/>
          <w:sz w:val="15"/>
          <w:szCs w:val="15"/>
          <w:color w:val="auto"/>
        </w:rPr>
        <w:t>12.2.</w:t>
        <w:tab/>
        <w:t>Involuntary Dissolution.</w:t>
        <w:tab/>
        <w:t>In the event involuntary dissolution</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proceedings are commenced, for whatever reason, against the Corporation, the rights and obligations of Hospital and IMS as well as the procedures governing such involuntary dissolution and winding up of the Corporation shall be as is provided in the Articles and the Colorado Corporations Code, as amended.</w:t>
      </w:r>
    </w:p>
    <w:p>
      <w:pPr>
        <w:spacing w:after="0" w:line="176" w:lineRule="exact"/>
        <w:rPr>
          <w:sz w:val="20"/>
          <w:szCs w:val="20"/>
          <w:color w:val="auto"/>
        </w:rPr>
      </w:pPr>
    </w:p>
    <w:p>
      <w:pPr>
        <w:ind w:left="645"/>
        <w:spacing w:after="0"/>
        <w:tabs>
          <w:tab w:leader="none" w:pos="1265" w:val="left"/>
          <w:tab w:leader="none" w:pos="4225" w:val="left"/>
        </w:tabs>
        <w:rPr>
          <w:sz w:val="20"/>
          <w:szCs w:val="20"/>
          <w:color w:val="auto"/>
        </w:rPr>
      </w:pPr>
      <w:r>
        <w:rPr>
          <w:rFonts w:ascii="Courier New" w:cs="Courier New" w:eastAsia="Courier New" w:hAnsi="Courier New"/>
          <w:sz w:val="15"/>
          <w:szCs w:val="15"/>
          <w:color w:val="auto"/>
        </w:rPr>
        <w:t>12.3.</w:t>
        <w:tab/>
        <w:t>Competition After Dissolution.</w:t>
        <w:tab/>
        <w:t>Upon the dissolution and</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completion of the winding up of the affairs of the Corporation pursuant to Sections 12.1 or 12.2, each party to this Agreement shall have the right, for its own behalf and without obligation to the other party or the other party's Affiliates or Subsidiaries, to establish, own and operate, by itself or with any third party, one or more medical information network(s) in the Exclusive Territory or elsewhere, provided that Hospital shall have no right to utilize IMS-Net(TM) or Synergy series(TM) Software in the management, ownership or operation of such other medical information networks.</w:t>
      </w:r>
    </w:p>
    <w:p>
      <w:pPr>
        <w:spacing w:after="0" w:line="175" w:lineRule="exact"/>
        <w:rPr>
          <w:sz w:val="20"/>
          <w:szCs w:val="20"/>
          <w:color w:val="auto"/>
        </w:rPr>
      </w:pPr>
    </w:p>
    <w:p>
      <w:pPr>
        <w:ind w:left="465" w:hanging="465"/>
        <w:spacing w:after="0"/>
        <w:tabs>
          <w:tab w:leader="none" w:pos="465"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BUY-SELL.</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645"/>
        <w:spacing w:after="0"/>
        <w:tabs>
          <w:tab w:leader="none" w:pos="1265" w:val="left"/>
          <w:tab w:leader="none" w:pos="3665" w:val="left"/>
        </w:tabs>
        <w:rPr>
          <w:sz w:val="20"/>
          <w:szCs w:val="20"/>
          <w:color w:val="auto"/>
        </w:rPr>
      </w:pPr>
      <w:r>
        <w:rPr>
          <w:rFonts w:ascii="Courier New" w:cs="Courier New" w:eastAsia="Courier New" w:hAnsi="Courier New"/>
          <w:sz w:val="15"/>
          <w:szCs w:val="15"/>
          <w:color w:val="auto"/>
        </w:rPr>
        <w:t>13.1.</w:t>
        <w:tab/>
        <w:t>IMS Change of ownership.</w:t>
        <w:tab/>
        <w:t>The parties agree that, other than a</w:t>
      </w:r>
    </w:p>
    <w:p>
      <w:pPr>
        <w:spacing w:after="0" w:line="8" w:lineRule="exact"/>
        <w:rPr>
          <w:sz w:val="20"/>
          <w:szCs w:val="20"/>
          <w:color w:val="auto"/>
        </w:rPr>
      </w:pPr>
    </w:p>
    <w:p>
      <w:pPr>
        <w:ind w:left="12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sale of registered stock to the public, should IMS sell, merge or otherwise combine with another corporate entity or group of shareholders or investors in such a fashion that the ownership of IMS is altered by more than fifty-one percent (51%) from the ownership existent at the time of this Agreement, than Hospital shall have a right to mandate the sale of IMS' 51% interest in the Corporation to Hospital at its then Fair Market Value to be determined by an appraiser selected jointly by separate appraisers nominated by each</w:t>
      </w:r>
    </w:p>
    <w:p>
      <w:pPr>
        <w:spacing w:after="0" w:line="176"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25"/>
          </w:cols>
          <w:pgMar w:left="235" w:top="650" w:right="1440" w:bottom="1440" w:gutter="0" w:footer="0" w:header="0"/>
        </w:sectPr>
      </w:pPr>
    </w:p>
    <w:bookmarkStart w:id="197" w:name="page198"/>
    <w:bookmarkEnd w:id="197"/>
    <w:p>
      <w:pPr>
        <w:ind w:right="3019"/>
        <w:spacing w:after="0" w:line="252" w:lineRule="auto"/>
        <w:rPr>
          <w:sz w:val="20"/>
          <w:szCs w:val="20"/>
          <w:color w:val="auto"/>
        </w:rPr>
      </w:pPr>
      <w:r>
        <w:rPr>
          <w:rFonts w:ascii="Courier New" w:cs="Courier New" w:eastAsia="Courier New" w:hAnsi="Courier New"/>
          <w:sz w:val="15"/>
          <w:szCs w:val="15"/>
          <w:color w:val="auto"/>
        </w:rPr>
        <w:t>Party, only for the purpose of Hospital to own a 100% equity position in Corporation and continue to operate Corporation according to Section 6 of this Agreement.</w:t>
      </w:r>
    </w:p>
    <w:p>
      <w:pPr>
        <w:spacing w:after="0" w:line="175" w:lineRule="exact"/>
        <w:rPr>
          <w:sz w:val="20"/>
          <w:szCs w:val="20"/>
          <w:color w:val="auto"/>
        </w:rPr>
      </w:pPr>
    </w:p>
    <w:p>
      <w:pPr>
        <w:ind w:left="640"/>
        <w:spacing w:after="0"/>
        <w:tabs>
          <w:tab w:leader="none" w:pos="1260" w:val="left"/>
          <w:tab w:leader="none" w:pos="2460" w:val="left"/>
        </w:tabs>
        <w:rPr>
          <w:sz w:val="20"/>
          <w:szCs w:val="20"/>
          <w:color w:val="auto"/>
        </w:rPr>
      </w:pPr>
      <w:r>
        <w:rPr>
          <w:rFonts w:ascii="Courier New" w:cs="Courier New" w:eastAsia="Courier New" w:hAnsi="Courier New"/>
          <w:sz w:val="15"/>
          <w:szCs w:val="15"/>
          <w:color w:val="auto"/>
        </w:rPr>
        <w:t>13.2.</w:t>
        <w:tab/>
        <w:t>Expiration.</w:t>
        <w:tab/>
        <w:t>If either Hospital or IMS acquires all of the common</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stock of the Corporation owned by the other pursuant to this Section 13, neither Hospital or IMS (nor any of their permitted transferees, if any) shall have any further right to exercise the option set forth in this Section 13.</w:t>
      </w:r>
    </w:p>
    <w:p>
      <w:pPr>
        <w:spacing w:after="0" w:line="175" w:lineRule="exact"/>
        <w:rPr>
          <w:sz w:val="20"/>
          <w:szCs w:val="20"/>
          <w:color w:val="auto"/>
        </w:rPr>
      </w:pPr>
    </w:p>
    <w:p>
      <w:pPr>
        <w:ind w:left="640"/>
        <w:spacing w:after="0"/>
        <w:tabs>
          <w:tab w:leader="none" w:pos="1260" w:val="left"/>
          <w:tab w:leader="none" w:pos="3380" w:val="left"/>
        </w:tabs>
        <w:rPr>
          <w:sz w:val="20"/>
          <w:szCs w:val="20"/>
          <w:color w:val="auto"/>
        </w:rPr>
      </w:pPr>
      <w:r>
        <w:rPr>
          <w:rFonts w:ascii="Courier New" w:cs="Courier New" w:eastAsia="Courier New" w:hAnsi="Courier New"/>
          <w:sz w:val="15"/>
          <w:szCs w:val="15"/>
          <w:color w:val="auto"/>
        </w:rPr>
        <w:t>13.3.</w:t>
        <w:tab/>
        <w:t>Purchase by Hospital.</w:t>
        <w:tab/>
        <w:t>In the event Hospital acquires all of the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stock of the Corporation owned by IMS pursuant to this Section 13, IMS hereby covenants and agrees that:</w:t>
      </w:r>
    </w:p>
    <w:p>
      <w:pPr>
        <w:spacing w:after="0" w:line="174" w:lineRule="exact"/>
        <w:rPr>
          <w:sz w:val="20"/>
          <w:szCs w:val="20"/>
          <w:color w:val="auto"/>
        </w:rPr>
      </w:pPr>
    </w:p>
    <w:p>
      <w:pPr>
        <w:ind w:left="640" w:right="2939"/>
        <w:spacing w:after="0" w:line="250" w:lineRule="auto"/>
        <w:rPr>
          <w:sz w:val="20"/>
          <w:szCs w:val="20"/>
          <w:color w:val="auto"/>
        </w:rPr>
      </w:pPr>
      <w:r>
        <w:rPr>
          <w:rFonts w:ascii="Courier New" w:cs="Courier New" w:eastAsia="Courier New" w:hAnsi="Courier New"/>
          <w:sz w:val="15"/>
          <w:szCs w:val="15"/>
          <w:color w:val="auto"/>
        </w:rPr>
        <w:t>13.3.1. IMS shall thereafter provide to Hospital IMS-NET(TM) and Synergy Series(TM) Software updates and enhancements, and the additional technical and computer programming support and assistance as then available by IMS and requested by Hospital, all at prices and upon terms at least as favorable as those then available to the most favored IMS clients. In addition, Hospital shall continue to have access upon terms at least as favorable as IMS then charges its most favored customers to all Network Local Sponsors and National Sponsors which continue to advertise or otherwise do business on the Network after acquisition of the Corporation by Hospital.</w:t>
      </w:r>
    </w:p>
    <w:p>
      <w:pPr>
        <w:spacing w:after="0" w:line="182" w:lineRule="exact"/>
        <w:rPr>
          <w:sz w:val="20"/>
          <w:szCs w:val="20"/>
          <w:color w:val="auto"/>
        </w:rPr>
      </w:pPr>
    </w:p>
    <w:p>
      <w:pPr>
        <w:ind w:left="640"/>
        <w:spacing w:after="0"/>
        <w:tabs>
          <w:tab w:leader="none" w:pos="1260" w:val="left"/>
          <w:tab w:leader="none" w:pos="2920" w:val="left"/>
        </w:tabs>
        <w:rPr>
          <w:sz w:val="20"/>
          <w:szCs w:val="20"/>
          <w:color w:val="auto"/>
        </w:rPr>
      </w:pPr>
      <w:r>
        <w:rPr>
          <w:rFonts w:ascii="Courier New" w:cs="Courier New" w:eastAsia="Courier New" w:hAnsi="Courier New"/>
          <w:sz w:val="15"/>
          <w:szCs w:val="15"/>
          <w:color w:val="auto"/>
        </w:rPr>
        <w:t>13.4.</w:t>
        <w:tab/>
        <w:t>Purchase by IMS.</w:t>
        <w:tab/>
        <w:t>In the event IMS acquires all of the stock of</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Corporation owned by Hospital pursuant to this Section 13, Hospital and IMS hereby mutually covenant and agree:</w:t>
      </w:r>
    </w:p>
    <w:p>
      <w:pPr>
        <w:spacing w:after="0" w:line="174" w:lineRule="exact"/>
        <w:rPr>
          <w:sz w:val="20"/>
          <w:szCs w:val="20"/>
          <w:color w:val="auto"/>
        </w:rPr>
      </w:pPr>
    </w:p>
    <w:p>
      <w:pPr>
        <w:ind w:left="640" w:right="2839"/>
        <w:spacing w:after="0" w:line="250" w:lineRule="auto"/>
        <w:rPr>
          <w:sz w:val="20"/>
          <w:szCs w:val="20"/>
          <w:color w:val="auto"/>
        </w:rPr>
      </w:pPr>
      <w:r>
        <w:rPr>
          <w:rFonts w:ascii="Courier New" w:cs="Courier New" w:eastAsia="Courier New" w:hAnsi="Courier New"/>
          <w:sz w:val="15"/>
          <w:szCs w:val="15"/>
          <w:color w:val="auto"/>
        </w:rPr>
        <w:t>13.4.1. For a period of three (3) years after the date IMS acquires all of the Corporation's stock owned by Hospital pursuant to this Section 13, Hospital and its Subsidiaries and Affiliates shall not, directly or indirectly own, manage, operate, control, organize, participate in the management, control, or organization of, be employed by any individual or organization which is in the business of managing, operating or offering any type of medical information network services or arrangements wherever located. Notwithstanding, nothing in this section 13.4 shall be</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640" w:right="3019"/>
        <w:spacing w:after="0" w:line="253" w:lineRule="auto"/>
        <w:rPr>
          <w:sz w:val="20"/>
          <w:szCs w:val="20"/>
          <w:color w:val="auto"/>
        </w:rPr>
      </w:pPr>
      <w:r>
        <w:rPr>
          <w:rFonts w:ascii="Courier New" w:cs="Courier New" w:eastAsia="Courier New" w:hAnsi="Courier New"/>
          <w:sz w:val="15"/>
          <w:szCs w:val="15"/>
          <w:color w:val="auto"/>
        </w:rPr>
        <w:t>interpreted to restrict Hospital's communication of its own information with its medical staff.</w:t>
      </w:r>
    </w:p>
    <w:p>
      <w:pPr>
        <w:spacing w:after="0" w:line="174" w:lineRule="exact"/>
        <w:rPr>
          <w:sz w:val="20"/>
          <w:szCs w:val="20"/>
          <w:color w:val="auto"/>
        </w:rPr>
      </w:pPr>
    </w:p>
    <w:p>
      <w:pPr>
        <w:ind w:left="640" w:right="2939"/>
        <w:spacing w:after="0" w:line="251" w:lineRule="auto"/>
        <w:rPr>
          <w:sz w:val="20"/>
          <w:szCs w:val="20"/>
          <w:color w:val="auto"/>
        </w:rPr>
      </w:pPr>
      <w:r>
        <w:rPr>
          <w:rFonts w:ascii="Courier New" w:cs="Courier New" w:eastAsia="Courier New" w:hAnsi="Courier New"/>
          <w:sz w:val="15"/>
          <w:szCs w:val="15"/>
          <w:color w:val="auto"/>
        </w:rPr>
        <w:t>13.4.2. Hospital, and its Subsidiaries and Affiliates acknowledge and agree that irrevocable harm and damage will be sustained by IMS and its business in the event that Hospital and its Subsidiaries or Affiliates compete with IMS except as herein provided. In the event of violation of Section 13.4.1 hereof, the parties acknowledge that said breach would result in irreparable injury to IMS for which monetary damages would be inadequate, and therefore, in the event of said breach, IMS shall be entitled (in addition to all other legal and equitable remedies) to have an injunction issued by any court of equity enjoining and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651" w:right="1440" w:bottom="1440" w:gutter="0" w:footer="0" w:header="0"/>
        </w:sectPr>
      </w:pPr>
    </w:p>
    <w:bookmarkStart w:id="198" w:name="page199"/>
    <w:bookmarkEnd w:id="198"/>
    <w:p>
      <w:pPr>
        <w:ind w:left="640" w:right="2939"/>
        <w:spacing w:after="0" w:line="253" w:lineRule="auto"/>
        <w:rPr>
          <w:sz w:val="20"/>
          <w:szCs w:val="20"/>
          <w:color w:val="auto"/>
        </w:rPr>
      </w:pPr>
      <w:r>
        <w:rPr>
          <w:rFonts w:ascii="Courier New" w:cs="Courier New" w:eastAsia="Courier New" w:hAnsi="Courier New"/>
          <w:sz w:val="15"/>
          <w:szCs w:val="15"/>
          <w:color w:val="auto"/>
        </w:rPr>
        <w:t>restraining said breach. The running of any statue of limitations shall be tolled during the period of said breach.</w:t>
      </w:r>
    </w:p>
    <w:p>
      <w:pPr>
        <w:spacing w:after="0" w:line="174" w:lineRule="exact"/>
        <w:rPr>
          <w:sz w:val="20"/>
          <w:szCs w:val="20"/>
          <w:color w:val="auto"/>
        </w:rPr>
      </w:pPr>
    </w:p>
    <w:p>
      <w:pPr>
        <w:ind w:left="640" w:right="3219"/>
        <w:spacing w:after="0" w:line="251" w:lineRule="auto"/>
        <w:rPr>
          <w:sz w:val="20"/>
          <w:szCs w:val="20"/>
          <w:color w:val="auto"/>
        </w:rPr>
      </w:pPr>
      <w:r>
        <w:rPr>
          <w:rFonts w:ascii="Courier New" w:cs="Courier New" w:eastAsia="Courier New" w:hAnsi="Courier New"/>
          <w:sz w:val="15"/>
          <w:szCs w:val="15"/>
          <w:color w:val="auto"/>
        </w:rPr>
        <w:t>13.4.3. If the restriction contained in Section 13.4.1 or the application thereof is held to be unenforceable because of the area covered, or the duration or scope thereof, the court making such determination shall have the power to reduce the area and/or duration thereof and/or otherwise reduce the scope thereof and the restriction shall then be enforceable in its reduced form.</w:t>
      </w:r>
    </w:p>
    <w:p>
      <w:pPr>
        <w:spacing w:after="0" w:line="176" w:lineRule="exact"/>
        <w:rPr>
          <w:sz w:val="20"/>
          <w:szCs w:val="20"/>
          <w:color w:val="auto"/>
        </w:rPr>
      </w:pPr>
    </w:p>
    <w:p>
      <w:pPr>
        <w:ind w:left="640"/>
        <w:spacing w:after="0"/>
        <w:tabs>
          <w:tab w:leader="none" w:pos="1260" w:val="left"/>
          <w:tab w:leader="none" w:pos="7080" w:val="left"/>
        </w:tabs>
        <w:rPr>
          <w:sz w:val="20"/>
          <w:szCs w:val="20"/>
          <w:color w:val="auto"/>
        </w:rPr>
      </w:pPr>
      <w:r>
        <w:rPr>
          <w:rFonts w:ascii="Courier New" w:cs="Courier New" w:eastAsia="Courier New" w:hAnsi="Courier New"/>
          <w:sz w:val="15"/>
          <w:szCs w:val="15"/>
          <w:color w:val="auto"/>
        </w:rPr>
        <w:t>13.5.</w:t>
        <w:tab/>
        <w:t>Protection of Technology to Insure Continuity of the Network.</w:t>
        <w:tab/>
        <w:t>IMS</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will place the source code and</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documentation for the Network</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Controller, IMS-NET</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and Synergy Series software in</w:t>
            </w:r>
          </w:p>
        </w:tc>
        <w:tc>
          <w:tcPr>
            <w:tcW w:w="45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escrow with Hopper &amp; Kanouff ("Escrow Agent")</w:t>
            </w:r>
          </w:p>
        </w:tc>
      </w:tr>
      <w:tr>
        <w:trPr>
          <w:trHeight w:val="177"/>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pursuant to the provisions of that Escrow Agreement attached</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hereto as</w:t>
            </w:r>
          </w:p>
        </w:tc>
      </w:tr>
      <w:tr>
        <w:trPr>
          <w:trHeight w:val="177"/>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Exhibit 13.5. Software source code and documentation will be</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sent to the Escrow</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7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Account whenever a new software release occurs, or every six</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(6) months,</w:t>
            </w: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whichever occurs first. Should</w:t>
            </w:r>
          </w:p>
        </w:tc>
        <w:tc>
          <w:tcPr>
            <w:tcW w:w="2780" w:type="dxa"/>
            <w:vAlign w:val="bottom"/>
          </w:tcPr>
          <w:p>
            <w:pPr>
              <w:ind w:left="60"/>
              <w:spacing w:after="0"/>
              <w:rPr>
                <w:sz w:val="20"/>
                <w:szCs w:val="20"/>
                <w:color w:val="auto"/>
              </w:rPr>
            </w:pPr>
            <w:r>
              <w:rPr>
                <w:rFonts w:ascii="Courier New" w:cs="Courier New" w:eastAsia="Courier New" w:hAnsi="Courier New"/>
                <w:sz w:val="15"/>
                <w:szCs w:val="15"/>
                <w:color w:val="auto"/>
              </w:rPr>
              <w:t>IMS default in the payment or</w:t>
            </w:r>
          </w:p>
        </w:tc>
        <w:tc>
          <w:tcPr>
            <w:tcW w:w="1800" w:type="dxa"/>
            <w:vAlign w:val="bottom"/>
          </w:tcPr>
          <w:p>
            <w:pPr>
              <w:ind w:left="40"/>
              <w:spacing w:after="0"/>
              <w:rPr>
                <w:sz w:val="20"/>
                <w:szCs w:val="20"/>
                <w:color w:val="auto"/>
              </w:rPr>
            </w:pPr>
            <w:r>
              <w:rPr>
                <w:rFonts w:ascii="Courier New" w:cs="Courier New" w:eastAsia="Courier New" w:hAnsi="Courier New"/>
                <w:sz w:val="15"/>
                <w:szCs w:val="15"/>
                <w:color w:val="auto"/>
              </w:rPr>
              <w:t>performance of any</w:t>
            </w:r>
          </w:p>
        </w:tc>
      </w:tr>
    </w:tbl>
    <w:p>
      <w:pPr>
        <w:spacing w:after="0" w:line="5"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of its obligations, warranties or representations under this Agreement or any other agreement related hereto, then Escrow Agent, upon notice from Hospital with appropriate documentation, shall deliver to Hospital the contents of the Escrow Account. Hospital shall then have an absolute license to use the IMS software in the limited geographic area described in Paragraph 1.4.</w:t>
      </w:r>
    </w:p>
    <w:p>
      <w:pPr>
        <w:spacing w:after="0" w:line="17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14.</w:t>
        <w:tab/>
        <w:t>MISCELLANEOUS.</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640"/>
        <w:spacing w:after="0"/>
        <w:tabs>
          <w:tab w:leader="none" w:pos="1260" w:val="left"/>
          <w:tab w:leader="none" w:pos="2180" w:val="left"/>
        </w:tabs>
        <w:rPr>
          <w:sz w:val="20"/>
          <w:szCs w:val="20"/>
          <w:color w:val="auto"/>
        </w:rPr>
      </w:pPr>
      <w:r>
        <w:rPr>
          <w:rFonts w:ascii="Courier New" w:cs="Courier New" w:eastAsia="Courier New" w:hAnsi="Courier New"/>
          <w:sz w:val="15"/>
          <w:szCs w:val="15"/>
          <w:color w:val="auto"/>
        </w:rPr>
        <w:t>14.1.</w:t>
        <w:tab/>
        <w:t>Notices.</w:t>
        <w:tab/>
        <w:t>All notices required to be given hereunder shall be</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given in writing and shall be personally delivered or deemed delivered if dispatched by certified or registered mail, return receipt requested, postage prepaid, addressed to the parties as set forth opposite their respective names below:</w:t>
      </w:r>
    </w:p>
    <w:p>
      <w:pPr>
        <w:sectPr>
          <w:pgSz w:w="11900" w:h="16838" w:orient="portrait"/>
          <w:cols w:equalWidth="0" w:num="1">
            <w:col w:w="10219"/>
          </w:cols>
          <w:pgMar w:left="240" w:top="650" w:right="1440" w:bottom="1440" w:gutter="0" w:footer="0" w:header="0"/>
        </w:sectPr>
      </w:pPr>
    </w:p>
    <w:p>
      <w:pPr>
        <w:spacing w:after="0" w:line="17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Hospital: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Florida Hospital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601 East Rollins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 32803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President</w:t>
      </w:r>
    </w:p>
    <w:p>
      <w:pPr>
        <w:spacing w:after="0" w:line="185" w:lineRule="exact"/>
        <w:rPr>
          <w:sz w:val="20"/>
          <w:szCs w:val="20"/>
          <w:color w:val="auto"/>
        </w:rPr>
      </w:pPr>
    </w:p>
    <w:p>
      <w:pPr>
        <w:sectPr>
          <w:pgSz w:w="11900" w:h="16838" w:orient="portrait"/>
          <w:cols w:equalWidth="0" w:num="2">
            <w:col w:w="2420" w:space="720"/>
            <w:col w:w="7079"/>
          </w:cols>
          <w:pgMar w:left="240" w:top="650" w:right="1440" w:bottom="1440" w:gutter="0" w:footer="0" w:header="0"/>
          <w:type w:val="continuous"/>
        </w:sectPr>
      </w:pPr>
    </w:p>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Adventist Health System/SunBelt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2400 Bedford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Orlando, FL 32803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Legal Department</w:t>
      </w:r>
    </w:p>
    <w:p>
      <w:pPr>
        <w:spacing w:after="0" w:line="185" w:lineRule="exact"/>
        <w:rPr>
          <w:sz w:val="20"/>
          <w:szCs w:val="20"/>
          <w:color w:val="auto"/>
        </w:rPr>
      </w:pPr>
    </w:p>
    <w:p>
      <w:pPr>
        <w:sectPr>
          <w:pgSz w:w="11900" w:h="16838" w:orient="portrait"/>
          <w:cols w:equalWidth="0" w:num="2">
            <w:col w:w="2420" w:space="720"/>
            <w:col w:w="7079"/>
          </w:cols>
          <w:pgMar w:left="240" w:top="650" w:right="1440" w:bottom="1440" w:gutter="0" w:footer="0" w:header="0"/>
          <w:type w:val="continuous"/>
        </w:sectPr>
      </w:pPr>
    </w:p>
    <w:p>
      <w:pPr>
        <w:ind w:left="640"/>
        <w:spacing w:after="0"/>
        <w:rPr>
          <w:sz w:val="20"/>
          <w:szCs w:val="20"/>
          <w:color w:val="auto"/>
        </w:rPr>
      </w:pPr>
      <w:r>
        <w:rPr>
          <w:rFonts w:ascii="Courier New" w:cs="Courier New" w:eastAsia="Courier New" w:hAnsi="Courier New"/>
          <w:sz w:val="15"/>
          <w:szCs w:val="15"/>
          <w:color w:val="auto"/>
        </w:rPr>
        <w:t>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 West 6th Avenue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Colorado 80401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President</w:t>
      </w:r>
    </w:p>
    <w:p>
      <w:pPr>
        <w:spacing w:after="0" w:line="185" w:lineRule="exact"/>
        <w:rPr>
          <w:sz w:val="20"/>
          <w:szCs w:val="20"/>
          <w:color w:val="auto"/>
        </w:rPr>
      </w:pPr>
    </w:p>
    <w:p>
      <w:pPr>
        <w:sectPr>
          <w:pgSz w:w="11900" w:h="16838" w:orient="portrait"/>
          <w:cols w:equalWidth="0" w:num="2">
            <w:col w:w="2420" w:space="720"/>
            <w:col w:w="7079"/>
          </w:cols>
          <w:pgMar w:left="240" w:top="650" w:right="1440" w:bottom="1440" w:gutter="0" w:footer="0" w:header="0"/>
          <w:type w:val="continuous"/>
        </w:sectPr>
      </w:pPr>
    </w:p>
    <w:p>
      <w:pPr>
        <w:ind w:left="340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650" w:right="1440" w:bottom="1440" w:gutter="0" w:footer="0" w:header="0"/>
          <w:type w:val="continuous"/>
        </w:sectPr>
      </w:pPr>
    </w:p>
    <w:bookmarkStart w:id="199" w:name="page200"/>
    <w:bookmarkEnd w:id="199"/>
    <w:p>
      <w:pPr>
        <w:ind w:left="640"/>
        <w:spacing w:after="0"/>
        <w:rPr>
          <w:sz w:val="20"/>
          <w:szCs w:val="20"/>
          <w:color w:val="auto"/>
        </w:rPr>
      </w:pPr>
      <w:r>
        <w:rPr>
          <w:rFonts w:ascii="Courier New" w:cs="Courier New" w:eastAsia="Courier New" w:hAnsi="Courier New"/>
          <w:sz w:val="15"/>
          <w:szCs w:val="15"/>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Hopper and Kanouff, P.C.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1610 Wynkoop Street, Suite 200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Denver, Colorado 80202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 Alan Peryam, Esq.</w:t>
      </w:r>
    </w:p>
    <w:p>
      <w:pPr>
        <w:spacing w:after="0" w:line="185" w:lineRule="exact"/>
        <w:rPr>
          <w:sz w:val="20"/>
          <w:szCs w:val="20"/>
          <w:color w:val="auto"/>
        </w:rPr>
      </w:pPr>
    </w:p>
    <w:p>
      <w:pPr>
        <w:sectPr>
          <w:pgSz w:w="11900" w:h="16838" w:orient="portrait"/>
          <w:cols w:equalWidth="0" w:num="2">
            <w:col w:w="2420" w:space="720"/>
            <w:col w:w="7079"/>
          </w:cols>
          <w:pgMar w:left="240" w:top="650" w:right="1440" w:bottom="1440" w:gutter="0" w:footer="0" w:header="0"/>
        </w:sectPr>
      </w:pPr>
    </w:p>
    <w:p>
      <w:pPr>
        <w:ind w:right="3019"/>
        <w:spacing w:after="0" w:line="251" w:lineRule="auto"/>
        <w:rPr>
          <w:sz w:val="20"/>
          <w:szCs w:val="20"/>
          <w:color w:val="auto"/>
        </w:rPr>
      </w:pPr>
      <w:r>
        <w:rPr>
          <w:rFonts w:ascii="Courier New" w:cs="Courier New" w:eastAsia="Courier New" w:hAnsi="Courier New"/>
          <w:sz w:val="15"/>
          <w:szCs w:val="15"/>
          <w:color w:val="auto"/>
        </w:rPr>
        <w:t>A notice shall be deemed given on the date it is deposited in the mail in accordance with the foregoing. Any party may change the address to which to send notices by notifying the other party of such change of address in writing in accordance with the foregoing.</w:t>
      </w:r>
    </w:p>
    <w:p>
      <w:pPr>
        <w:spacing w:after="0" w:line="176" w:lineRule="exact"/>
        <w:rPr>
          <w:sz w:val="20"/>
          <w:szCs w:val="20"/>
          <w:color w:val="auto"/>
        </w:rPr>
      </w:pPr>
    </w:p>
    <w:p>
      <w:pPr>
        <w:ind w:left="460"/>
        <w:spacing w:after="0"/>
        <w:tabs>
          <w:tab w:leader="none" w:pos="1080" w:val="left"/>
          <w:tab w:leader="none" w:pos="2560" w:val="left"/>
        </w:tabs>
        <w:rPr>
          <w:sz w:val="20"/>
          <w:szCs w:val="20"/>
          <w:color w:val="auto"/>
        </w:rPr>
      </w:pPr>
      <w:r>
        <w:rPr>
          <w:rFonts w:ascii="Courier New" w:cs="Courier New" w:eastAsia="Courier New" w:hAnsi="Courier New"/>
          <w:sz w:val="15"/>
          <w:szCs w:val="15"/>
          <w:color w:val="auto"/>
        </w:rPr>
        <w:t>14.2.</w:t>
        <w:tab/>
        <w:t>Governing Law.</w:t>
        <w:tab/>
        <w:t>This Agreement and all rights, duties and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obligations hereunder shall be construed and interpreted in accordance with the internal laws (not the choice of law) of the state of Colorado.</w:t>
      </w:r>
    </w:p>
    <w:p>
      <w:pPr>
        <w:spacing w:after="0" w:line="174" w:lineRule="exact"/>
        <w:rPr>
          <w:sz w:val="20"/>
          <w:szCs w:val="20"/>
          <w:color w:val="auto"/>
        </w:rPr>
      </w:pPr>
    </w:p>
    <w:p>
      <w:pPr>
        <w:ind w:left="460"/>
        <w:spacing w:after="0"/>
        <w:tabs>
          <w:tab w:leader="none" w:pos="1080" w:val="left"/>
          <w:tab w:leader="none" w:pos="1920" w:val="left"/>
        </w:tabs>
        <w:rPr>
          <w:sz w:val="20"/>
          <w:szCs w:val="20"/>
          <w:color w:val="auto"/>
        </w:rPr>
      </w:pPr>
      <w:r>
        <w:rPr>
          <w:rFonts w:ascii="Courier New" w:cs="Courier New" w:eastAsia="Courier New" w:hAnsi="Courier New"/>
          <w:sz w:val="15"/>
          <w:szCs w:val="15"/>
          <w:color w:val="auto"/>
        </w:rPr>
        <w:t>14.3.</w:t>
        <w:tab/>
        <w:t>Waiver.</w:t>
        <w:tab/>
        <w:t>The waiver by a party of any breach of any term, covenant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or condition herein contained shall not be deemed to be a waiver of such term, covenant or condition or any subsequent breach of the same or any other term, covenant or condition herein contained. The subsequent acceptance by a party of performance by the other shall not be deemed to be a waiver of any proceeding breach of any term, covenant or condition of this Agreement, other than the failure to perform the particular duties so accepted, regardless of knowledge of such preceding breach at the time of acceptance of such performance.</w:t>
      </w:r>
    </w:p>
    <w:p>
      <w:pPr>
        <w:spacing w:after="0" w:line="176" w:lineRule="exact"/>
        <w:rPr>
          <w:sz w:val="20"/>
          <w:szCs w:val="20"/>
          <w:color w:val="auto"/>
        </w:rPr>
      </w:pPr>
    </w:p>
    <w:p>
      <w:pPr>
        <w:ind w:left="460"/>
        <w:spacing w:after="0"/>
        <w:tabs>
          <w:tab w:leader="none" w:pos="1080" w:val="left"/>
          <w:tab w:leader="none" w:pos="2460" w:val="left"/>
        </w:tabs>
        <w:rPr>
          <w:sz w:val="20"/>
          <w:szCs w:val="20"/>
          <w:color w:val="auto"/>
        </w:rPr>
      </w:pPr>
      <w:r>
        <w:rPr>
          <w:rFonts w:ascii="Courier New" w:cs="Courier New" w:eastAsia="Courier New" w:hAnsi="Courier New"/>
          <w:sz w:val="15"/>
          <w:szCs w:val="15"/>
          <w:color w:val="auto"/>
        </w:rPr>
        <w:t>14.4.</w:t>
        <w:tab/>
        <w:t>Severability.</w:t>
        <w:tab/>
        <w:t>Nothing contained in this Agreement shall be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construed so as to require the commission of an act contrary to law and whenever there is any conflict between any provision of this Agreement and any present statute, law, ordinance or regulation contrary to which the parties have no legal right to contract, the latter shall prevail, but in such event, the provisions of this Agreement affected shall be curtailed and limited only to the extent necessary to bring it within the requirements of the law and to carry out the purposes of this Agreement.</w:t>
      </w:r>
    </w:p>
    <w:p>
      <w:pPr>
        <w:spacing w:after="0" w:line="176" w:lineRule="exact"/>
        <w:rPr>
          <w:sz w:val="20"/>
          <w:szCs w:val="20"/>
          <w:color w:val="auto"/>
        </w:rPr>
      </w:pPr>
    </w:p>
    <w:p>
      <w:pPr>
        <w:ind w:left="460"/>
        <w:spacing w:after="0"/>
        <w:tabs>
          <w:tab w:leader="none" w:pos="1080" w:val="left"/>
          <w:tab w:leader="none" w:pos="2920" w:val="left"/>
        </w:tabs>
        <w:rPr>
          <w:sz w:val="20"/>
          <w:szCs w:val="20"/>
          <w:color w:val="auto"/>
        </w:rPr>
      </w:pPr>
      <w:r>
        <w:rPr>
          <w:rFonts w:ascii="Courier New" w:cs="Courier New" w:eastAsia="Courier New" w:hAnsi="Courier New"/>
          <w:sz w:val="15"/>
          <w:szCs w:val="15"/>
          <w:color w:val="auto"/>
        </w:rPr>
        <w:t>14.5.</w:t>
        <w:tab/>
        <w:t>Binding Agreement.</w:t>
        <w:tab/>
        <w:t>Subject to the restrictions on transfer and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encumbrances set forth herein, this Agreement shall inure to the benefit of and be binding upon Hospital and IMS and their respective legal representatives, successors, transferees, and assigns, and any other person holding stock in the Corporation by whatever means. Whenever a reference is herein made to any party such reference shall be deemed to include a reference to the legal representatives, successors, transferees, and assigns of such party.</w:t>
      </w:r>
    </w:p>
    <w:p>
      <w:pPr>
        <w:spacing w:after="0" w:line="176" w:lineRule="exact"/>
        <w:rPr>
          <w:sz w:val="20"/>
          <w:szCs w:val="20"/>
          <w:color w:val="auto"/>
        </w:rPr>
      </w:pPr>
    </w:p>
    <w:p>
      <w:pPr>
        <w:ind w:left="460"/>
        <w:spacing w:after="0"/>
        <w:tabs>
          <w:tab w:leader="none" w:pos="1080" w:val="left"/>
          <w:tab w:leader="none" w:pos="3200" w:val="left"/>
        </w:tabs>
        <w:rPr>
          <w:sz w:val="20"/>
          <w:szCs w:val="20"/>
          <w:color w:val="auto"/>
        </w:rPr>
      </w:pPr>
      <w:r>
        <w:rPr>
          <w:rFonts w:ascii="Courier New" w:cs="Courier New" w:eastAsia="Courier New" w:hAnsi="Courier New"/>
          <w:sz w:val="15"/>
          <w:szCs w:val="15"/>
          <w:color w:val="auto"/>
        </w:rPr>
        <w:t>14.6.</w:t>
        <w:tab/>
        <w:t>Term and Termination.</w:t>
        <w:tab/>
        <w:t>This Agreement shall continue for so long as</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Corporation is in existence unless sooner amended or terminated by the affirmative vote of the holders of not less than two thirds (2/3) of the common stock or terminated either by the acquisition by a single party of all the outstanding shares of common stock of the Corporation or by operation of any applicable law.</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19"/>
          </w:cols>
          <w:pgMar w:left="240" w:top="650" w:right="1440" w:bottom="1440" w:gutter="0" w:footer="0" w:header="0"/>
          <w:type w:val="continuous"/>
        </w:sectPr>
      </w:pPr>
    </w:p>
    <w:bookmarkStart w:id="200" w:name="page201"/>
    <w:bookmarkEnd w:id="200"/>
    <w:p>
      <w:pPr>
        <w:ind w:left="460"/>
        <w:spacing w:after="0"/>
        <w:tabs>
          <w:tab w:leader="none" w:pos="1080" w:val="left"/>
          <w:tab w:leader="none" w:pos="2280" w:val="left"/>
        </w:tabs>
        <w:rPr>
          <w:sz w:val="20"/>
          <w:szCs w:val="20"/>
          <w:color w:val="auto"/>
        </w:rPr>
      </w:pPr>
      <w:r>
        <w:rPr>
          <w:rFonts w:ascii="Courier New" w:cs="Courier New" w:eastAsia="Courier New" w:hAnsi="Courier New"/>
          <w:sz w:val="15"/>
          <w:szCs w:val="15"/>
          <w:color w:val="auto"/>
        </w:rPr>
        <w:t>14.7.</w:t>
        <w:tab/>
        <w:t>Assignment.</w:t>
        <w:tab/>
        <w:t>This Agreement shall not be assigned by either Hospital</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or IMS without the express prior written consent of the other party, except that either party may at any time without prior written consent assign this Agreement or its rights, duties and obligations hereunder, and any or all common stock of the Corporation to any parent corporation or wholly-owned subsidiary corporation.</w:t>
      </w:r>
    </w:p>
    <w:p>
      <w:pPr>
        <w:spacing w:after="0" w:line="351" w:lineRule="exact"/>
        <w:rPr>
          <w:sz w:val="20"/>
          <w:szCs w:val="20"/>
          <w:color w:val="auto"/>
        </w:rPr>
      </w:pPr>
    </w:p>
    <w:p>
      <w:pPr>
        <w:ind w:left="460"/>
        <w:spacing w:after="0"/>
        <w:tabs>
          <w:tab w:leader="none" w:pos="1080" w:val="left"/>
          <w:tab w:leader="none" w:pos="1920" w:val="left"/>
        </w:tabs>
        <w:rPr>
          <w:sz w:val="20"/>
          <w:szCs w:val="20"/>
          <w:color w:val="auto"/>
        </w:rPr>
      </w:pPr>
      <w:r>
        <w:rPr>
          <w:rFonts w:ascii="Courier New" w:cs="Courier New" w:eastAsia="Courier New" w:hAnsi="Courier New"/>
          <w:sz w:val="15"/>
          <w:szCs w:val="15"/>
          <w:color w:val="auto"/>
        </w:rPr>
        <w:t>14.8.</w:t>
        <w:tab/>
        <w:t>Gender.</w:t>
        <w:tab/>
        <w:t>As used herein, the singular includes the plural, the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plural the singular, and the masculine includes the feminine and the neuter all as the context requires.</w:t>
      </w:r>
    </w:p>
    <w:p>
      <w:pPr>
        <w:spacing w:after="0" w:line="174" w:lineRule="exact"/>
        <w:rPr>
          <w:sz w:val="20"/>
          <w:szCs w:val="20"/>
          <w:color w:val="auto"/>
        </w:rPr>
      </w:pPr>
    </w:p>
    <w:p>
      <w:pPr>
        <w:ind w:left="460"/>
        <w:spacing w:after="0"/>
        <w:tabs>
          <w:tab w:leader="none" w:pos="1080" w:val="left"/>
          <w:tab w:leader="none" w:pos="2100" w:val="left"/>
        </w:tabs>
        <w:rPr>
          <w:sz w:val="20"/>
          <w:szCs w:val="20"/>
          <w:color w:val="auto"/>
        </w:rPr>
      </w:pPr>
      <w:r>
        <w:rPr>
          <w:rFonts w:ascii="Courier New" w:cs="Courier New" w:eastAsia="Courier New" w:hAnsi="Courier New"/>
          <w:sz w:val="15"/>
          <w:szCs w:val="15"/>
          <w:color w:val="auto"/>
        </w:rPr>
        <w:t>14.9.</w:t>
        <w:tab/>
        <w:t>Headings.</w:t>
        <w:tab/>
        <w:t>All headings and captions used herein are for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959"/>
        <w:spacing w:after="0" w:line="253" w:lineRule="auto"/>
        <w:rPr>
          <w:sz w:val="20"/>
          <w:szCs w:val="20"/>
          <w:color w:val="auto"/>
        </w:rPr>
      </w:pPr>
      <w:r>
        <w:rPr>
          <w:rFonts w:ascii="Courier New" w:cs="Courier New" w:eastAsia="Courier New" w:hAnsi="Courier New"/>
          <w:sz w:val="15"/>
          <w:szCs w:val="15"/>
          <w:color w:val="auto"/>
        </w:rPr>
        <w:t>convenience of reference only, and shall not be a part or affect the interpretation of this Agreement.</w:t>
      </w:r>
    </w:p>
    <w:p>
      <w:pPr>
        <w:spacing w:after="0" w:line="174" w:lineRule="exact"/>
        <w:rPr>
          <w:sz w:val="20"/>
          <w:szCs w:val="20"/>
          <w:color w:val="auto"/>
        </w:rPr>
      </w:pPr>
    </w:p>
    <w:p>
      <w:pPr>
        <w:ind w:left="460"/>
        <w:spacing w:after="0"/>
        <w:tabs>
          <w:tab w:leader="none" w:pos="1180" w:val="left"/>
          <w:tab w:leader="none" w:pos="2840" w:val="left"/>
        </w:tabs>
        <w:rPr>
          <w:sz w:val="20"/>
          <w:szCs w:val="20"/>
          <w:color w:val="auto"/>
        </w:rPr>
      </w:pPr>
      <w:r>
        <w:rPr>
          <w:rFonts w:ascii="Courier New" w:cs="Courier New" w:eastAsia="Courier New" w:hAnsi="Courier New"/>
          <w:sz w:val="15"/>
          <w:szCs w:val="15"/>
          <w:color w:val="auto"/>
        </w:rPr>
        <w:t>14.10.</w:t>
        <w:tab/>
        <w:t>Time of Essence.</w:t>
        <w:tab/>
        <w:t>Hospital and IMS acknowledge and agree that time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of the essence in this Agreement.</w:t>
      </w:r>
    </w:p>
    <w:p>
      <w:pPr>
        <w:spacing w:after="0" w:line="185" w:lineRule="exact"/>
        <w:rPr>
          <w:sz w:val="20"/>
          <w:szCs w:val="20"/>
          <w:color w:val="auto"/>
        </w:rPr>
      </w:pPr>
    </w:p>
    <w:p>
      <w:pPr>
        <w:ind w:left="460"/>
        <w:spacing w:after="0"/>
        <w:tabs>
          <w:tab w:leader="none" w:pos="1180" w:val="left"/>
          <w:tab w:leader="none" w:pos="3940" w:val="left"/>
        </w:tabs>
        <w:rPr>
          <w:sz w:val="20"/>
          <w:szCs w:val="20"/>
          <w:color w:val="auto"/>
        </w:rPr>
      </w:pPr>
      <w:r>
        <w:rPr>
          <w:rFonts w:ascii="Courier New" w:cs="Courier New" w:eastAsia="Courier New" w:hAnsi="Courier New"/>
          <w:sz w:val="15"/>
          <w:szCs w:val="15"/>
          <w:color w:val="auto"/>
        </w:rPr>
        <w:t>14.11.</w:t>
        <w:tab/>
        <w:t>Confirmation by Corporation.</w:t>
        <w:tab/>
        <w:t>Hospital and IMS agree to take all</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action necessary and convenient to cause the Corporation's Board of Directors to confirm in writing that each Director has read and understood this Agreement that each Director shall take appropriate action to cause the Corporation to comply with all of the relevant provisions of this Agreement.</w:t>
      </w:r>
    </w:p>
    <w:p>
      <w:pPr>
        <w:spacing w:after="0" w:line="176" w:lineRule="exact"/>
        <w:rPr>
          <w:sz w:val="20"/>
          <w:szCs w:val="20"/>
          <w:color w:val="auto"/>
        </w:rPr>
      </w:pPr>
    </w:p>
    <w:p>
      <w:pPr>
        <w:ind w:left="460"/>
        <w:spacing w:after="0"/>
        <w:tabs>
          <w:tab w:leader="none" w:pos="1180" w:val="left"/>
          <w:tab w:leader="none" w:pos="6620" w:val="left"/>
        </w:tabs>
        <w:rPr>
          <w:sz w:val="20"/>
          <w:szCs w:val="20"/>
          <w:color w:val="auto"/>
        </w:rPr>
      </w:pPr>
      <w:r>
        <w:rPr>
          <w:rFonts w:ascii="Courier New" w:cs="Courier New" w:eastAsia="Courier New" w:hAnsi="Courier New"/>
          <w:sz w:val="15"/>
          <w:szCs w:val="15"/>
          <w:color w:val="auto"/>
        </w:rPr>
        <w:t>14.12.</w:t>
        <w:tab/>
        <w:t>Entire Agreement; Supersedure of Shareholders' Agreement.</w:t>
        <w:tab/>
        <w:t>This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Agreement supersedes all prior oral and written understandings and agreements between the parties hereto. The parties acknowledge and agree that this Agreement together with all documents and agreements referenced and incorporated herein contain the entire agreement between the parties. No representations, promises, conditions or warranties with reference to the execution of this Agreement have been made or entered into between the parties hereto other than as herein expressly provided. If there is any inconsistency between any provision in this Shareholders' Agreement, or any amendment thereof, and any provision of the Corporation's Articles' of Incorporation, as amended from time to time, or the Corporation's Bylaws, as amended from time to time, or any other License, Agreement, or supporting document, Hospital and IMS agree to vote their shares of the Corporation's common stock to cause the Corporation to amend said Articles of Incorporation or said Bylaws to be consistent with this Shareholders' Agreement or any amendment thereof to the extent legally permissible.</w:t>
      </w:r>
    </w:p>
    <w:p>
      <w:pPr>
        <w:spacing w:after="0" w:line="361" w:lineRule="exact"/>
        <w:rPr>
          <w:sz w:val="20"/>
          <w:szCs w:val="20"/>
          <w:color w:val="auto"/>
        </w:rPr>
      </w:pPr>
    </w:p>
    <w:p>
      <w:pPr>
        <w:ind w:left="460"/>
        <w:spacing w:after="0"/>
        <w:tabs>
          <w:tab w:leader="none" w:pos="1180" w:val="left"/>
        </w:tabs>
        <w:rPr>
          <w:sz w:val="20"/>
          <w:szCs w:val="20"/>
          <w:color w:val="auto"/>
        </w:rPr>
      </w:pPr>
      <w:r>
        <w:rPr>
          <w:rFonts w:ascii="Courier New" w:cs="Courier New" w:eastAsia="Courier New" w:hAnsi="Courier New"/>
          <w:sz w:val="15"/>
          <w:szCs w:val="15"/>
          <w:color w:val="auto"/>
        </w:rPr>
        <w:t>14.13.</w:t>
        <w:tab/>
        <w:t>Attorneys Fees.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3019"/>
        <w:spacing w:after="0" w:line="252" w:lineRule="auto"/>
        <w:rPr>
          <w:sz w:val="20"/>
          <w:szCs w:val="20"/>
          <w:color w:val="auto"/>
        </w:rPr>
      </w:pPr>
      <w:r>
        <w:rPr>
          <w:rFonts w:ascii="Courier New" w:cs="Courier New" w:eastAsia="Courier New" w:hAnsi="Courier New"/>
          <w:sz w:val="15"/>
          <w:szCs w:val="15"/>
          <w:color w:val="auto"/>
        </w:rPr>
        <w:t>14.13.1. In the event of any suit under this Agreement, reasonable attorneys' fees and costs shall be awarded by the court to the prevailing party, to be included in any judgment recovered.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19"/>
          </w:cols>
          <w:pgMar w:left="240" w:top="651" w:right="1440" w:bottom="1440" w:gutter="0" w:footer="0" w:header="0"/>
        </w:sectPr>
      </w:pPr>
    </w:p>
    <w:bookmarkStart w:id="201" w:name="page202"/>
    <w:bookmarkEnd w:id="201"/>
    <w:p>
      <w:pPr>
        <w:ind w:left="820" w:right="2939"/>
        <w:spacing w:after="0" w:line="251" w:lineRule="auto"/>
        <w:rPr>
          <w:sz w:val="20"/>
          <w:szCs w:val="20"/>
          <w:color w:val="auto"/>
        </w:rPr>
      </w:pPr>
      <w:r>
        <w:rPr>
          <w:rFonts w:ascii="Courier New" w:cs="Courier New" w:eastAsia="Courier New" w:hAnsi="Courier New"/>
          <w:sz w:val="15"/>
          <w:szCs w:val="15"/>
          <w:color w:val="auto"/>
        </w:rPr>
        <w:t>14.13.2. In addition, the prevailing party shall be entitled to recover reasonable attorneys' fees and costs incurred in enforcing any judgment arising from a suit under this Agreement. This post judgment attorneys' fees and costs provision shall be severable from the other provisions of this Agreement and shall survive any judgment on such suit and is not to be deemed merged into the judgment.</w:t>
      </w:r>
    </w:p>
    <w:p>
      <w:pPr>
        <w:spacing w:after="0" w:line="176" w:lineRule="exact"/>
        <w:rPr>
          <w:sz w:val="20"/>
          <w:szCs w:val="20"/>
          <w:color w:val="auto"/>
        </w:rPr>
      </w:pPr>
    </w:p>
    <w:p>
      <w:pPr>
        <w:ind w:left="820"/>
        <w:spacing w:after="0"/>
        <w:tabs>
          <w:tab w:leader="none" w:pos="1540" w:val="left"/>
          <w:tab w:leader="none" w:pos="2920" w:val="left"/>
        </w:tabs>
        <w:rPr>
          <w:sz w:val="20"/>
          <w:szCs w:val="20"/>
          <w:color w:val="auto"/>
        </w:rPr>
      </w:pPr>
      <w:r>
        <w:rPr>
          <w:rFonts w:ascii="Courier New" w:cs="Courier New" w:eastAsia="Courier New" w:hAnsi="Courier New"/>
          <w:sz w:val="15"/>
          <w:szCs w:val="15"/>
          <w:color w:val="auto"/>
        </w:rPr>
        <w:t>14.14.</w:t>
        <w:tab/>
        <w:t>Counterparts.</w:t>
        <w:tab/>
        <w:t>This Agreement may be executed in two or more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679"/>
        <w:spacing w:after="0" w:line="253" w:lineRule="auto"/>
        <w:rPr>
          <w:sz w:val="20"/>
          <w:szCs w:val="20"/>
          <w:color w:val="auto"/>
        </w:rPr>
      </w:pPr>
      <w:r>
        <w:rPr>
          <w:rFonts w:ascii="Courier New" w:cs="Courier New" w:eastAsia="Courier New" w:hAnsi="Courier New"/>
          <w:sz w:val="15"/>
          <w:szCs w:val="15"/>
          <w:color w:val="auto"/>
        </w:rPr>
        <w:t>counterparts, each of which shall be deemed an original but all of which together shall constitute one and the same instrument.</w:t>
      </w:r>
    </w:p>
    <w:p>
      <w:pPr>
        <w:spacing w:after="0" w:line="174" w:lineRule="exact"/>
        <w:rPr>
          <w:sz w:val="20"/>
          <w:szCs w:val="20"/>
          <w:color w:val="auto"/>
        </w:rPr>
      </w:pPr>
    </w:p>
    <w:p>
      <w:pPr>
        <w:ind w:left="820"/>
        <w:spacing w:after="0"/>
        <w:tabs>
          <w:tab w:leader="none" w:pos="1540" w:val="left"/>
          <w:tab w:leader="none" w:pos="2560" w:val="left"/>
        </w:tabs>
        <w:rPr>
          <w:sz w:val="20"/>
          <w:szCs w:val="20"/>
          <w:color w:val="auto"/>
        </w:rPr>
      </w:pPr>
      <w:r>
        <w:rPr>
          <w:rFonts w:ascii="Courier New" w:cs="Courier New" w:eastAsia="Courier New" w:hAnsi="Courier New"/>
          <w:sz w:val="15"/>
          <w:szCs w:val="15"/>
          <w:color w:val="auto"/>
        </w:rPr>
        <w:t>14.15.</w:t>
        <w:tab/>
        <w:t>Exhibits.</w:t>
        <w:tab/>
        <w:t>All exhibits attached hereto and referred to</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herein are hereby incorporated herein as though fully set forth herein.</w:t>
      </w:r>
    </w:p>
    <w:p>
      <w:pPr>
        <w:spacing w:after="0" w:line="185" w:lineRule="exact"/>
        <w:rPr>
          <w:sz w:val="20"/>
          <w:szCs w:val="20"/>
          <w:color w:val="auto"/>
        </w:rPr>
      </w:pPr>
    </w:p>
    <w:p>
      <w:pPr>
        <w:ind w:right="357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effective as of the day and year first above written.</w:t>
      </w: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Adventist Health Systems/Sunbelt:</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^SIGNATURE TO 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940" w:space="200"/>
            <w:col w:w="7079"/>
          </w:cols>
          <w:pgMar w:left="240" w:top="650"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jc w:val="center"/>
        <w:ind w:right="2839"/>
        <w:spacing w:after="0"/>
        <w:rPr>
          <w:sz w:val="20"/>
          <w:szCs w:val="20"/>
          <w:color w:val="auto"/>
        </w:rPr>
      </w:pPr>
      <w:r>
        <w:rPr>
          <w:rFonts w:ascii="Courier New" w:cs="Courier New" w:eastAsia="Courier New" w:hAnsi="Courier New"/>
          <w:sz w:val="15"/>
          <w:szCs w:val="15"/>
          <w:color w:val="auto"/>
        </w:rPr>
        <w:t>Executive Vice President, Florida Hospital</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20" w:space="100"/>
            <w:col w:w="6899"/>
          </w:cols>
          <w:pgMar w:left="240" w:top="650" w:right="1440" w:bottom="1440" w:gutter="0" w:footer="0" w:header="0"/>
          <w:type w:val="continuous"/>
        </w:sectPr>
      </w:pPr>
    </w:p>
    <w:p>
      <w:pPr>
        <w:spacing w:after="0" w:line="1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^SIGNATURE TO COME^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940" w:space="100"/>
            <w:col w:w="7179"/>
          </w:cols>
          <w:pgMar w:left="240" w:top="650" w:right="1440" w:bottom="144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President, CentraHealth Network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220" w:space="100"/>
            <w:col w:w="6899"/>
          </w:cols>
          <w:pgMar w:left="240" w:top="650" w:right="1440" w:bottom="1440" w:gutter="0" w:footer="0" w:header="0"/>
          <w:type w:val="continuous"/>
        </w:sectPr>
      </w:pPr>
    </w:p>
    <w:p>
      <w:pPr>
        <w:spacing w:after="0" w:line="1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"IMS"</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INTEGRATED MEDICAL SYSTEMS, INC.</w:t>
      </w:r>
    </w:p>
    <w:p>
      <w:pPr>
        <w:spacing w:after="0" w:line="362" w:lineRule="exact"/>
        <w:rPr>
          <w:sz w:val="20"/>
          <w:szCs w:val="20"/>
          <w:color w:val="auto"/>
        </w:rPr>
      </w:pPr>
    </w:p>
    <w:p>
      <w:pPr>
        <w:ind w:left="2760"/>
        <w:spacing w:after="0"/>
        <w:tabs>
          <w:tab w:leader="none" w:pos="3120" w:val="left"/>
        </w:tabs>
        <w:rPr>
          <w:sz w:val="20"/>
          <w:szCs w:val="20"/>
          <w:color w:val="auto"/>
        </w:rPr>
      </w:pPr>
      <w:r>
        <w:rPr>
          <w:rFonts w:ascii="Courier New" w:cs="Courier New" w:eastAsia="Courier New" w:hAnsi="Courier New"/>
          <w:sz w:val="15"/>
          <w:szCs w:val="15"/>
          <w:color w:val="auto"/>
        </w:rPr>
        <w:t>By</w:t>
        <w:tab/>
        <w:t>^SIGNATURE TO COME^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Title</w:t>
        <w:tab/>
        <w:t>Sr. Vice President, Chief Operating Officer</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left="2760"/>
        <w:spacing w:after="0"/>
        <w:tabs>
          <w:tab w:leader="none" w:pos="3120" w:val="left"/>
        </w:tabs>
        <w:rPr>
          <w:sz w:val="20"/>
          <w:szCs w:val="20"/>
          <w:color w:val="auto"/>
        </w:rPr>
      </w:pPr>
      <w:r>
        <w:rPr>
          <w:rFonts w:ascii="Courier New" w:cs="Courier New" w:eastAsia="Courier New" w:hAnsi="Courier New"/>
          <w:sz w:val="15"/>
          <w:szCs w:val="15"/>
          <w:color w:val="auto"/>
        </w:rPr>
        <w:t>By</w:t>
        <w:tab/>
        <w:t>^SIGNATURE TO COME^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Title</w:t>
        <w:tab/>
        <w:t>Vice President, Finance &amp; Administration</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19"/>
          </w:cols>
          <w:pgMar w:left="240" w:top="650" w:right="1440" w:bottom="1440" w:gutter="0" w:footer="0" w:header="0"/>
          <w:type w:val="continuous"/>
        </w:sectPr>
      </w:pPr>
    </w:p>
    <w:bookmarkStart w:id="202" w:name="page203"/>
    <w:bookmarkEnd w:id="202"/>
    <w:p>
      <w:pPr>
        <w:jc w:val="right"/>
        <w:ind w:right="2839"/>
        <w:spacing w:after="0"/>
        <w:rPr>
          <w:sz w:val="20"/>
          <w:szCs w:val="20"/>
          <w:color w:val="auto"/>
        </w:rPr>
      </w:pPr>
      <w:r>
        <w:rPr>
          <w:rFonts w:ascii="Courier New" w:cs="Courier New" w:eastAsia="Courier New" w:hAnsi="Courier New"/>
          <w:sz w:val="15"/>
          <w:szCs w:val="15"/>
          <w:color w:val="auto"/>
        </w:rPr>
        <w:t>Exhibit 10.20</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JOINT VENTURE LIMITED PARTNERSHIP AGREEMENT</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THIS JOINT VENTURE LIMITED PARTNERSHIP AGREEMENT ("Agreement") is made and entered into as of June 30, 1992, by and between BLUE CROSS AND BLUE SHIELD OF ARIZONA, INC., an Arizona corporation ("BCBSAZ") and IMS--NET OF ARIZONA, INC., an Arizona corporation ("IMS--NET") sometimes referred to collectively as the "Joint Venturers."</w:t>
      </w:r>
    </w:p>
    <w:p>
      <w:pPr>
        <w:spacing w:after="0" w:line="176"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THIS AGREEMENT is made and entered into with reference to the following facts:</w:t>
      </w:r>
    </w:p>
    <w:p>
      <w:pPr>
        <w:spacing w:after="0" w:line="174" w:lineRule="exact"/>
        <w:rPr>
          <w:sz w:val="20"/>
          <w:szCs w:val="20"/>
          <w:color w:val="auto"/>
        </w:rPr>
      </w:pPr>
    </w:p>
    <w:p>
      <w:pPr>
        <w:ind w:right="2939" w:firstLine="456"/>
        <w:spacing w:after="0" w:line="251" w:lineRule="auto"/>
        <w:tabs>
          <w:tab w:leader="none" w:pos="8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IMS--NET is a wholly-owned subsidiary of Integrated Medical Systems, Inc. ("IMS") which has developed and owns certain proprietary computer software operating on various types of computers that facilitates the transmission of data, text, voice, clinical graphics and diagnostic images over telephone lines which can improve the efficiency and effectiveness of communication related to health care delivery.</w:t>
      </w:r>
    </w:p>
    <w:p>
      <w:pPr>
        <w:spacing w:after="0" w:line="175" w:lineRule="exact"/>
        <w:rPr>
          <w:rFonts w:ascii="Courier New" w:cs="Courier New" w:eastAsia="Courier New" w:hAnsi="Courier New"/>
          <w:sz w:val="15"/>
          <w:szCs w:val="15"/>
          <w:color w:val="auto"/>
        </w:rPr>
      </w:pPr>
    </w:p>
    <w:p>
      <w:pPr>
        <w:ind w:right="3399" w:firstLine="456"/>
        <w:spacing w:after="0" w:line="253" w:lineRule="auto"/>
        <w:tabs>
          <w:tab w:leader="none" w:pos="8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has granted IMS--NET an exclusive license for use of its proprietary network and related computer software in the state of Arizona.</w:t>
      </w:r>
    </w:p>
    <w:p>
      <w:pPr>
        <w:spacing w:after="0" w:line="174" w:lineRule="exact"/>
        <w:rPr>
          <w:rFonts w:ascii="Courier New" w:cs="Courier New" w:eastAsia="Courier New" w:hAnsi="Courier New"/>
          <w:sz w:val="15"/>
          <w:szCs w:val="15"/>
          <w:color w:val="auto"/>
        </w:rPr>
      </w:pPr>
    </w:p>
    <w:p>
      <w:pPr>
        <w:ind w:right="3019" w:firstLine="456"/>
        <w:spacing w:after="0" w:line="252" w:lineRule="auto"/>
        <w:tabs>
          <w:tab w:leader="none" w:pos="8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BCBSAZ is familiar with the Arizona health care market and has developed business, contacts and communications with hospitals, physicians and other licensed health care professionals.</w:t>
      </w:r>
    </w:p>
    <w:p>
      <w:pPr>
        <w:spacing w:after="0" w:line="174" w:lineRule="exact"/>
        <w:rPr>
          <w:rFonts w:ascii="Courier New" w:cs="Courier New" w:eastAsia="Courier New" w:hAnsi="Courier New"/>
          <w:sz w:val="15"/>
          <w:szCs w:val="15"/>
          <w:color w:val="auto"/>
        </w:rPr>
      </w:pPr>
    </w:p>
    <w:p>
      <w:pPr>
        <w:ind w:right="2839" w:firstLine="456"/>
        <w:spacing w:after="0" w:line="251" w:lineRule="auto"/>
        <w:tabs>
          <w:tab w:leader="none" w:pos="8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BCBSAZ and IMS--NET desire to establish a limited partnership as a joint venture to establish and operate a medical information network in Arizona, to improve the efficiency and effectiveness of communication related to health care delivery between BCBSAZ, hospitals, acute care facilities, mental health and substance abuse facilities or other facilities and physicians and other licensed health care professionals with privileges to utilize such facilities in accordance with this Agreement.</w:t>
      </w:r>
    </w:p>
    <w:p>
      <w:pPr>
        <w:spacing w:after="0" w:line="175" w:lineRule="exact"/>
        <w:rPr>
          <w:rFonts w:ascii="Courier New" w:cs="Courier New" w:eastAsia="Courier New" w:hAnsi="Courier New"/>
          <w:sz w:val="15"/>
          <w:szCs w:val="15"/>
          <w:color w:val="auto"/>
        </w:rPr>
      </w:pPr>
    </w:p>
    <w:p>
      <w:pPr>
        <w:ind w:right="2839" w:firstLine="456"/>
        <w:spacing w:after="0" w:line="252" w:lineRule="auto"/>
        <w:tabs>
          <w:tab w:leader="none" w:pos="83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BCBSAZ and IMS--NET desire to set forth their intentions and agreements with respect to the development, ownership and operation of the limited partnership joint venture (hereinafter "Joint Venture").</w:t>
      </w:r>
    </w:p>
    <w:p>
      <w:pPr>
        <w:spacing w:after="0" w:line="175"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NOW, THEREFORE, in consideration of the recitals, covenants, conditions and agreements contained herein, the parties agree as follows:</w:t>
      </w:r>
    </w:p>
    <w:p>
      <w:pPr>
        <w:spacing w:after="0" w:line="174" w:lineRule="exact"/>
        <w:rPr>
          <w:sz w:val="20"/>
          <w:szCs w:val="20"/>
          <w:color w:val="auto"/>
        </w:rPr>
      </w:pPr>
    </w:p>
    <w:p>
      <w:pPr>
        <w:ind w:left="820" w:hanging="364"/>
        <w:spacing w:after="0"/>
        <w:tabs>
          <w:tab w:leader="none" w:pos="8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and in addition to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terms otherwise defined herein, the following terms shall have the meanings as set forth below:</w:t>
      </w:r>
    </w:p>
    <w:p>
      <w:pPr>
        <w:spacing w:after="0" w:line="174" w:lineRule="exact"/>
        <w:rPr>
          <w:sz w:val="20"/>
          <w:szCs w:val="20"/>
          <w:color w:val="auto"/>
        </w:rPr>
      </w:pPr>
    </w:p>
    <w:p>
      <w:pPr>
        <w:ind w:left="920"/>
        <w:spacing w:after="0"/>
        <w:tabs>
          <w:tab w:leader="none" w:pos="1460" w:val="left"/>
          <w:tab w:leader="none" w:pos="2000" w:val="left"/>
        </w:tabs>
        <w:rPr>
          <w:sz w:val="20"/>
          <w:szCs w:val="20"/>
          <w:color w:val="auto"/>
        </w:rPr>
      </w:pPr>
      <w:r>
        <w:rPr>
          <w:rFonts w:ascii="Courier New" w:cs="Courier New" w:eastAsia="Courier New" w:hAnsi="Courier New"/>
          <w:sz w:val="15"/>
          <w:szCs w:val="15"/>
          <w:color w:val="auto"/>
        </w:rPr>
        <w:t>1.1.</w:t>
        <w:tab/>
        <w:t>Act.</w:t>
        <w:tab/>
        <w:t>"Act" shall mean the Arizona Limited Partnership Act,</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Arizona Revised Statutes, Section 29-301, et seq.</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0"/>
        <w:spacing w:after="0"/>
        <w:tabs>
          <w:tab w:leader="none" w:pos="1460" w:val="left"/>
          <w:tab w:leader="none" w:pos="2560" w:val="left"/>
        </w:tabs>
        <w:rPr>
          <w:sz w:val="20"/>
          <w:szCs w:val="20"/>
          <w:color w:val="auto"/>
        </w:rPr>
      </w:pPr>
      <w:r>
        <w:rPr>
          <w:rFonts w:ascii="Courier New" w:cs="Courier New" w:eastAsia="Courier New" w:hAnsi="Courier New"/>
          <w:sz w:val="15"/>
          <w:szCs w:val="15"/>
          <w:color w:val="auto"/>
        </w:rPr>
        <w:t>1.2.</w:t>
        <w:tab/>
        <w:t>Agreement.</w:t>
        <w:tab/>
        <w:t>"Agreement" shall mean this Joint Venture Limited</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Partnership Agreement dated on the day and year appearing in the opening</w:t>
      </w:r>
    </w:p>
    <w:p>
      <w:pPr>
        <w:sectPr>
          <w:pgSz w:w="11900" w:h="16838" w:orient="portrait"/>
          <w:cols w:equalWidth="0" w:num="1">
            <w:col w:w="10219"/>
          </w:cols>
          <w:pgMar w:left="240" w:top="497" w:right="1440" w:bottom="1440" w:gutter="0" w:footer="0" w:header="0"/>
        </w:sectPr>
      </w:pPr>
    </w:p>
    <w:bookmarkStart w:id="203" w:name="page204"/>
    <w:bookmarkEnd w:id="203"/>
    <w:p>
      <w:pPr>
        <w:ind w:right="3479"/>
        <w:spacing w:after="0" w:line="253" w:lineRule="auto"/>
        <w:rPr>
          <w:sz w:val="20"/>
          <w:szCs w:val="20"/>
          <w:color w:val="auto"/>
        </w:rPr>
      </w:pPr>
      <w:r>
        <w:rPr>
          <w:rFonts w:ascii="Courier New" w:cs="Courier New" w:eastAsia="Courier New" w:hAnsi="Courier New"/>
          <w:sz w:val="15"/>
          <w:szCs w:val="15"/>
          <w:color w:val="auto"/>
        </w:rPr>
        <w:t>paragraph hereof and all Exhibits attached hereto or incorporated by reference herein and all amendments duly adopted from time to time.</w:t>
      </w:r>
    </w:p>
    <w:p>
      <w:pPr>
        <w:spacing w:after="0" w:line="174" w:lineRule="exact"/>
        <w:rPr>
          <w:sz w:val="20"/>
          <w:szCs w:val="20"/>
          <w:color w:val="auto"/>
        </w:rPr>
      </w:pPr>
    </w:p>
    <w:p>
      <w:pPr>
        <w:ind w:left="460"/>
        <w:spacing w:after="0"/>
        <w:tabs>
          <w:tab w:leader="none" w:pos="1000" w:val="left"/>
          <w:tab w:leader="none" w:pos="1820" w:val="left"/>
        </w:tabs>
        <w:rPr>
          <w:sz w:val="20"/>
          <w:szCs w:val="20"/>
          <w:color w:val="auto"/>
        </w:rPr>
      </w:pPr>
      <w:r>
        <w:rPr>
          <w:rFonts w:ascii="Courier New" w:cs="Courier New" w:eastAsia="Courier New" w:hAnsi="Courier New"/>
          <w:sz w:val="15"/>
          <w:szCs w:val="15"/>
          <w:color w:val="auto"/>
        </w:rPr>
        <w:t>1.3.</w:t>
        <w:tab/>
        <w:t>AZMIN.</w:t>
      </w:r>
      <w:r>
        <w:rPr>
          <w:sz w:val="20"/>
          <w:szCs w:val="20"/>
          <w:color w:val="auto"/>
        </w:rPr>
        <w:tab/>
      </w:r>
      <w:r>
        <w:rPr>
          <w:rFonts w:ascii="Courier New" w:cs="Courier New" w:eastAsia="Courier New" w:hAnsi="Courier New"/>
          <w:sz w:val="15"/>
          <w:szCs w:val="15"/>
          <w:color w:val="auto"/>
        </w:rPr>
        <w:t>"AZMIN" refers to the Arizona Medical Information</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Network and the Joint Venture Limited Partnership which owns and operates the Network.</w:t>
      </w:r>
    </w:p>
    <w:p>
      <w:pPr>
        <w:spacing w:after="0" w:line="174" w:lineRule="exact"/>
        <w:rPr>
          <w:sz w:val="20"/>
          <w:szCs w:val="20"/>
          <w:color w:val="auto"/>
        </w:rPr>
      </w:pPr>
    </w:p>
    <w:p>
      <w:pPr>
        <w:ind w:left="460"/>
        <w:spacing w:after="0"/>
        <w:tabs>
          <w:tab w:leader="none" w:pos="1000" w:val="left"/>
          <w:tab w:leader="none" w:pos="2920" w:val="left"/>
        </w:tabs>
        <w:rPr>
          <w:sz w:val="20"/>
          <w:szCs w:val="20"/>
          <w:color w:val="auto"/>
        </w:rPr>
      </w:pPr>
      <w:r>
        <w:rPr>
          <w:rFonts w:ascii="Courier New" w:cs="Courier New" w:eastAsia="Courier New" w:hAnsi="Courier New"/>
          <w:sz w:val="15"/>
          <w:szCs w:val="15"/>
          <w:color w:val="auto"/>
        </w:rPr>
        <w:t>1.4.</w:t>
        <w:tab/>
        <w:t>ComCenter Hardware.</w:t>
        <w:tab/>
        <w:t>"ComCenter (Communications Center)</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Hardware" refers to the Network-owned, message switching computer(s) on which the ComCenter Software runs. Such hardware is the Digital Equipment Corporation ("DEC") VAX family of computers.</w:t>
      </w:r>
    </w:p>
    <w:p>
      <w:pPr>
        <w:spacing w:after="0" w:line="175" w:lineRule="exact"/>
        <w:rPr>
          <w:sz w:val="20"/>
          <w:szCs w:val="20"/>
          <w:color w:val="auto"/>
        </w:rPr>
      </w:pPr>
    </w:p>
    <w:p>
      <w:pPr>
        <w:ind w:left="460"/>
        <w:spacing w:after="0"/>
        <w:tabs>
          <w:tab w:leader="none" w:pos="1000" w:val="left"/>
          <w:tab w:leader="none" w:pos="3300" w:val="left"/>
        </w:tabs>
        <w:rPr>
          <w:sz w:val="20"/>
          <w:szCs w:val="20"/>
          <w:color w:val="auto"/>
        </w:rPr>
      </w:pPr>
      <w:r>
        <w:rPr>
          <w:rFonts w:ascii="Courier New" w:cs="Courier New" w:eastAsia="Courier New" w:hAnsi="Courier New"/>
          <w:sz w:val="15"/>
          <w:szCs w:val="15"/>
          <w:color w:val="auto"/>
        </w:rPr>
        <w:t>1.5.</w:t>
        <w:tab/>
        <w:t>ComCenter(TM) Software.</w:t>
        <w:tab/>
        <w:t>"ComCenter(TM) Software" shall mean the</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119"/>
        <w:spacing w:after="0" w:line="251" w:lineRule="auto"/>
        <w:rPr>
          <w:sz w:val="20"/>
          <w:szCs w:val="20"/>
          <w:color w:val="auto"/>
        </w:rPr>
      </w:pPr>
      <w:r>
        <w:rPr>
          <w:rFonts w:ascii="Courier New" w:cs="Courier New" w:eastAsia="Courier New" w:hAnsi="Courier New"/>
          <w:sz w:val="15"/>
          <w:szCs w:val="15"/>
          <w:color w:val="auto"/>
        </w:rPr>
        <w:t>computer software, as hereafter defined, developed and owned by IMS that supports and facilitates the transmission of data, text, voice, clinical graphics and diagnostic images over a telephone network which resides on and operates the ComCenter hardware and includes the Network Interface.</w:t>
      </w:r>
    </w:p>
    <w:p>
      <w:pPr>
        <w:spacing w:after="0" w:line="176" w:lineRule="exact"/>
        <w:rPr>
          <w:sz w:val="20"/>
          <w:szCs w:val="20"/>
          <w:color w:val="auto"/>
        </w:rPr>
      </w:pPr>
    </w:p>
    <w:p>
      <w:pPr>
        <w:ind w:left="460"/>
        <w:spacing w:after="0"/>
        <w:tabs>
          <w:tab w:leader="none" w:pos="1000" w:val="left"/>
          <w:tab w:leader="none" w:pos="2740" w:val="left"/>
        </w:tabs>
        <w:rPr>
          <w:sz w:val="20"/>
          <w:szCs w:val="20"/>
          <w:color w:val="auto"/>
        </w:rPr>
      </w:pPr>
      <w:r>
        <w:rPr>
          <w:rFonts w:ascii="Courier New" w:cs="Courier New" w:eastAsia="Courier New" w:hAnsi="Courier New"/>
          <w:sz w:val="15"/>
          <w:szCs w:val="15"/>
          <w:color w:val="auto"/>
        </w:rPr>
        <w:t>1.6.</w:t>
        <w:tab/>
        <w:t>ComCenter System.</w:t>
        <w:tab/>
        <w:t>"ComCenter (Communications Center) System"</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refers to the ComCenter Software and ComCenter Hardware together.</w:t>
      </w:r>
    </w:p>
    <w:p>
      <w:pPr>
        <w:spacing w:after="0" w:line="185" w:lineRule="exact"/>
        <w:rPr>
          <w:sz w:val="20"/>
          <w:szCs w:val="20"/>
          <w:color w:val="auto"/>
        </w:rPr>
      </w:pPr>
    </w:p>
    <w:p>
      <w:pPr>
        <w:ind w:left="460"/>
        <w:spacing w:after="0"/>
        <w:tabs>
          <w:tab w:leader="none" w:pos="1000" w:val="left"/>
          <w:tab w:leader="none" w:pos="3020" w:val="left"/>
        </w:tabs>
        <w:rPr>
          <w:sz w:val="20"/>
          <w:szCs w:val="20"/>
          <w:color w:val="auto"/>
        </w:rPr>
      </w:pPr>
      <w:r>
        <w:rPr>
          <w:rFonts w:ascii="Courier New" w:cs="Courier New" w:eastAsia="Courier New" w:hAnsi="Courier New"/>
          <w:sz w:val="15"/>
          <w:szCs w:val="15"/>
          <w:color w:val="auto"/>
        </w:rPr>
        <w:t>1.7.</w:t>
        <w:tab/>
        <w:t>Exclusive Territory.</w:t>
        <w:tab/>
        <w:t>"Exclusive Territory" shall mean the state</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Arizona.</w:t>
      </w:r>
    </w:p>
    <w:p>
      <w:pPr>
        <w:spacing w:after="0" w:line="185" w:lineRule="exact"/>
        <w:rPr>
          <w:sz w:val="20"/>
          <w:szCs w:val="20"/>
          <w:color w:val="auto"/>
        </w:rPr>
      </w:pPr>
    </w:p>
    <w:p>
      <w:pPr>
        <w:ind w:left="460"/>
        <w:spacing w:after="0"/>
        <w:tabs>
          <w:tab w:leader="none" w:pos="1000" w:val="left"/>
          <w:tab w:leader="none" w:pos="2380" w:val="left"/>
        </w:tabs>
        <w:rPr>
          <w:sz w:val="20"/>
          <w:szCs w:val="20"/>
          <w:color w:val="auto"/>
        </w:rPr>
      </w:pPr>
      <w:r>
        <w:rPr>
          <w:rFonts w:ascii="Courier New" w:cs="Courier New" w:eastAsia="Courier New" w:hAnsi="Courier New"/>
          <w:sz w:val="15"/>
          <w:szCs w:val="15"/>
          <w:color w:val="auto"/>
        </w:rPr>
        <w:t>1.8.</w:t>
        <w:tab/>
        <w:t>IMS--NET(TM).</w:t>
        <w:tab/>
        <w:t>"IMS--NET(TM)" shall mean the Comcenter(TM)</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Software together with the PC-C Software(TM), as hereafter defined including all Network Interface. IMS--NET(TM) software is proprietary to IMS.</w:t>
      </w:r>
    </w:p>
    <w:p>
      <w:pPr>
        <w:spacing w:after="0" w:line="175" w:lineRule="exact"/>
        <w:rPr>
          <w:sz w:val="20"/>
          <w:szCs w:val="20"/>
          <w:color w:val="auto"/>
        </w:rPr>
      </w:pPr>
    </w:p>
    <w:p>
      <w:pPr>
        <w:ind w:left="460"/>
        <w:spacing w:after="0"/>
        <w:tabs>
          <w:tab w:leader="none" w:pos="1000" w:val="left"/>
          <w:tab w:leader="none" w:pos="2460" w:val="left"/>
        </w:tabs>
        <w:rPr>
          <w:sz w:val="20"/>
          <w:szCs w:val="20"/>
          <w:color w:val="auto"/>
        </w:rPr>
      </w:pPr>
      <w:r>
        <w:rPr>
          <w:rFonts w:ascii="Courier New" w:cs="Courier New" w:eastAsia="Courier New" w:hAnsi="Courier New"/>
          <w:sz w:val="15"/>
          <w:szCs w:val="15"/>
          <w:color w:val="auto"/>
        </w:rPr>
        <w:t>1.9.</w:t>
        <w:tab/>
        <w:t>Joint Venture.</w:t>
        <w:tab/>
        <w:t>"Joint Venture" shall mean the limited</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partnership entity created by this Agreement.</w:t>
      </w:r>
    </w:p>
    <w:p>
      <w:pPr>
        <w:spacing w:after="0" w:line="185" w:lineRule="exact"/>
        <w:rPr>
          <w:sz w:val="20"/>
          <w:szCs w:val="20"/>
          <w:color w:val="auto"/>
        </w:rPr>
      </w:pPr>
    </w:p>
    <w:p>
      <w:pPr>
        <w:ind w:left="460"/>
        <w:spacing w:after="0"/>
        <w:tabs>
          <w:tab w:leader="none" w:pos="1080" w:val="left"/>
          <w:tab w:leader="none" w:pos="2560" w:val="left"/>
        </w:tabs>
        <w:rPr>
          <w:sz w:val="20"/>
          <w:szCs w:val="20"/>
          <w:color w:val="auto"/>
        </w:rPr>
      </w:pPr>
      <w:r>
        <w:rPr>
          <w:rFonts w:ascii="Courier New" w:cs="Courier New" w:eastAsia="Courier New" w:hAnsi="Courier New"/>
          <w:sz w:val="15"/>
          <w:szCs w:val="15"/>
          <w:color w:val="auto"/>
        </w:rPr>
        <w:t>1.10.</w:t>
        <w:tab/>
        <w:t>Local Sponsor.</w:t>
        <w:tab/>
        <w:t>"Local Sponsor" shall mean any individual or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entity desiring to use the Network, as hereafter defined, to receive and/or disseminate advertising or information, which agrees to pay fees to the Joint Venture for the right to so use the Network and/or for the right of others to use the Network, and which does not meet the definition of National Sponsor, as hereafter defined.</w:t>
      </w:r>
    </w:p>
    <w:p>
      <w:pPr>
        <w:spacing w:after="0" w:line="176" w:lineRule="exact"/>
        <w:rPr>
          <w:sz w:val="20"/>
          <w:szCs w:val="20"/>
          <w:color w:val="auto"/>
        </w:rPr>
      </w:pPr>
    </w:p>
    <w:p>
      <w:pPr>
        <w:ind w:left="460"/>
        <w:spacing w:after="0"/>
        <w:tabs>
          <w:tab w:leader="none" w:pos="1080" w:val="left"/>
          <w:tab w:leader="none" w:pos="2840" w:val="left"/>
        </w:tabs>
        <w:rPr>
          <w:sz w:val="20"/>
          <w:szCs w:val="20"/>
          <w:color w:val="auto"/>
        </w:rPr>
      </w:pPr>
      <w:r>
        <w:rPr>
          <w:rFonts w:ascii="Courier New" w:cs="Courier New" w:eastAsia="Courier New" w:hAnsi="Courier New"/>
          <w:sz w:val="15"/>
          <w:szCs w:val="15"/>
          <w:color w:val="auto"/>
        </w:rPr>
        <w:t>1.11.</w:t>
        <w:tab/>
        <w:t>National Sponsor.</w:t>
        <w:tab/>
        <w:t>"National Sponsor" shall mean any health</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care related entity desiring to use a Network as defined, to receive and/or disseminate information, which agrees to pay fees for the right to so use the Network and which participates in at least two networks with which Integrated Medical Systems, Inc. is affiliated.</w:t>
      </w:r>
    </w:p>
    <w:p>
      <w:pPr>
        <w:spacing w:after="0" w:line="176" w:lineRule="exact"/>
        <w:rPr>
          <w:sz w:val="20"/>
          <w:szCs w:val="20"/>
          <w:color w:val="auto"/>
        </w:rPr>
      </w:pPr>
    </w:p>
    <w:p>
      <w:pPr>
        <w:ind w:left="460"/>
        <w:spacing w:after="0"/>
        <w:tabs>
          <w:tab w:leader="none" w:pos="1080" w:val="left"/>
          <w:tab w:leader="none" w:pos="1640" w:val="left"/>
        </w:tabs>
        <w:rPr>
          <w:sz w:val="20"/>
          <w:szCs w:val="20"/>
          <w:color w:val="auto"/>
        </w:rPr>
      </w:pPr>
      <w:r>
        <w:rPr>
          <w:rFonts w:ascii="Courier New" w:cs="Courier New" w:eastAsia="Courier New" w:hAnsi="Courier New"/>
          <w:sz w:val="15"/>
          <w:szCs w:val="15"/>
          <w:color w:val="auto"/>
        </w:rPr>
        <w:t>1.12.</w:t>
        <w:tab/>
        <w:t>NCW.</w:t>
        <w:tab/>
        <w:t>"NCW" (Network Communications Workstation) refers to an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IBM PC or fully compatible computer on which the PC-COM Software(TM) runs.</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9759"/>
          </w:cols>
          <w:pgMar w:left="700" w:top="650" w:right="1440" w:bottom="1440" w:gutter="0" w:footer="0" w:header="0"/>
        </w:sectPr>
      </w:pPr>
    </w:p>
    <w:bookmarkStart w:id="204" w:name="page205"/>
    <w:bookmarkEnd w:id="204"/>
    <w:p>
      <w:pPr>
        <w:ind w:left="460"/>
        <w:spacing w:after="0"/>
        <w:tabs>
          <w:tab w:leader="none" w:pos="1080" w:val="left"/>
          <w:tab w:leader="none" w:pos="2920" w:val="left"/>
        </w:tabs>
        <w:rPr>
          <w:sz w:val="20"/>
          <w:szCs w:val="20"/>
          <w:color w:val="auto"/>
        </w:rPr>
      </w:pPr>
      <w:r>
        <w:rPr>
          <w:rFonts w:ascii="Courier New" w:cs="Courier New" w:eastAsia="Courier New" w:hAnsi="Courier New"/>
          <w:sz w:val="15"/>
          <w:szCs w:val="15"/>
          <w:color w:val="auto"/>
        </w:rPr>
        <w:t>1.13.</w:t>
        <w:tab/>
        <w:t>Network Interface.</w:t>
        <w:tab/>
        <w:t>"Network Interface" refers to portions of</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IMS--NET(TM) software which automate or partially automate message transmission and which are used to interface BCBSAZ'S existing computer system(s) to the Network, and includes such existing IMS software products as Automsg(TM) and Relay(TM).</w:t>
      </w:r>
    </w:p>
    <w:p>
      <w:pPr>
        <w:spacing w:after="0" w:line="176" w:lineRule="exact"/>
        <w:rPr>
          <w:sz w:val="20"/>
          <w:szCs w:val="20"/>
          <w:color w:val="auto"/>
        </w:rPr>
      </w:pPr>
    </w:p>
    <w:p>
      <w:pPr>
        <w:ind w:left="460"/>
        <w:spacing w:after="0"/>
        <w:tabs>
          <w:tab w:leader="none" w:pos="1080" w:val="left"/>
          <w:tab w:leader="none" w:pos="2000" w:val="left"/>
        </w:tabs>
        <w:rPr>
          <w:sz w:val="20"/>
          <w:szCs w:val="20"/>
          <w:color w:val="auto"/>
        </w:rPr>
      </w:pPr>
      <w:r>
        <w:rPr>
          <w:rFonts w:ascii="Courier New" w:cs="Courier New" w:eastAsia="Courier New" w:hAnsi="Courier New"/>
          <w:sz w:val="15"/>
          <w:szCs w:val="15"/>
          <w:color w:val="auto"/>
        </w:rPr>
        <w:t>1.14.</w:t>
        <w:tab/>
        <w:t>Network.</w:t>
        <w:tab/>
        <w:t>"Network" shall mean the medical information network</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299"/>
        <w:spacing w:after="0" w:line="251" w:lineRule="auto"/>
        <w:rPr>
          <w:sz w:val="20"/>
          <w:szCs w:val="20"/>
          <w:color w:val="auto"/>
        </w:rPr>
      </w:pPr>
      <w:r>
        <w:rPr>
          <w:rFonts w:ascii="Courier New" w:cs="Courier New" w:eastAsia="Courier New" w:hAnsi="Courier New"/>
          <w:sz w:val="15"/>
          <w:szCs w:val="15"/>
          <w:color w:val="auto"/>
        </w:rPr>
        <w:t>owned and operated by IMS--NET which utilizes IMS-NET(TM) software to improve the efficiency and effectiveness of communication of and among Subscribers, BCBSAZ and other sponsors or users authorized to use the Network by IMS--NET.</w:t>
      </w:r>
    </w:p>
    <w:p>
      <w:pPr>
        <w:spacing w:after="0" w:line="176" w:lineRule="exact"/>
        <w:rPr>
          <w:sz w:val="20"/>
          <w:szCs w:val="20"/>
          <w:color w:val="auto"/>
        </w:rPr>
      </w:pPr>
    </w:p>
    <w:p>
      <w:pPr>
        <w:ind w:left="460"/>
        <w:spacing w:after="0"/>
        <w:tabs>
          <w:tab w:leader="none" w:pos="1080" w:val="left"/>
          <w:tab w:leader="none" w:pos="1640" w:val="left"/>
        </w:tabs>
        <w:rPr>
          <w:sz w:val="20"/>
          <w:szCs w:val="20"/>
          <w:color w:val="auto"/>
        </w:rPr>
      </w:pPr>
      <w:r>
        <w:rPr>
          <w:rFonts w:ascii="Courier New" w:cs="Courier New" w:eastAsia="Courier New" w:hAnsi="Courier New"/>
          <w:sz w:val="15"/>
          <w:szCs w:val="15"/>
          <w:color w:val="auto"/>
        </w:rPr>
        <w:t>1.15.</w:t>
        <w:tab/>
        <w:t>NSA.</w:t>
        <w:tab/>
        <w:t>"NSA" ("Network Services Agreement") refers to an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between the Joint Venture and a local sponsor, such as BCBSAZ.</w:t>
      </w:r>
    </w:p>
    <w:p>
      <w:pPr>
        <w:spacing w:after="0" w:line="185" w:lineRule="exact"/>
        <w:rPr>
          <w:sz w:val="20"/>
          <w:szCs w:val="20"/>
          <w:color w:val="auto"/>
        </w:rPr>
      </w:pPr>
    </w:p>
    <w:p>
      <w:pPr>
        <w:ind w:left="460"/>
        <w:spacing w:after="0"/>
        <w:tabs>
          <w:tab w:leader="none" w:pos="1080" w:val="left"/>
          <w:tab w:leader="none" w:pos="3120" w:val="left"/>
        </w:tabs>
        <w:rPr>
          <w:sz w:val="20"/>
          <w:szCs w:val="20"/>
          <w:color w:val="auto"/>
        </w:rPr>
      </w:pPr>
      <w:r>
        <w:rPr>
          <w:rFonts w:ascii="Courier New" w:cs="Courier New" w:eastAsia="Courier New" w:hAnsi="Courier New"/>
          <w:sz w:val="15"/>
          <w:szCs w:val="15"/>
          <w:color w:val="auto"/>
        </w:rPr>
        <w:t>1.16.</w:t>
        <w:tab/>
        <w:t>PC-Com(TM) Software.</w:t>
        <w:tab/>
        <w:t>"PC-Com(TM) Software" shall mean the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computer software, as hereafter defined, developed and owned by IMS, that supports and facilitates the transmission of data, text, voice, clinical graphics and diagnostic images over a telephone network and which operates on International Business Machine ("IBM") Personal Computers or IBM-compatible Personal Computers. The PC-Com(TM) resides on the NCW.</w:t>
      </w:r>
    </w:p>
    <w:p>
      <w:pPr>
        <w:spacing w:after="0" w:line="176" w:lineRule="exact"/>
        <w:rPr>
          <w:sz w:val="20"/>
          <w:szCs w:val="20"/>
          <w:color w:val="auto"/>
        </w:rPr>
      </w:pPr>
    </w:p>
    <w:p>
      <w:pPr>
        <w:ind w:left="460"/>
        <w:spacing w:after="0"/>
        <w:tabs>
          <w:tab w:leader="none" w:pos="1080" w:val="left"/>
          <w:tab w:leader="none" w:pos="1920" w:val="left"/>
        </w:tabs>
        <w:rPr>
          <w:sz w:val="20"/>
          <w:szCs w:val="20"/>
          <w:color w:val="auto"/>
        </w:rPr>
      </w:pPr>
      <w:r>
        <w:rPr>
          <w:rFonts w:ascii="Courier New" w:cs="Courier New" w:eastAsia="Courier New" w:hAnsi="Courier New"/>
          <w:sz w:val="15"/>
          <w:szCs w:val="15"/>
          <w:color w:val="auto"/>
        </w:rPr>
        <w:t>1.17.</w:t>
        <w:tab/>
        <w:t>Script.</w:t>
        <w:tab/>
        <w:t>"Script" refers to any customized screen or message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format that will appear on BCBSAZ'S or Subscriber NCWs, and used to facilitate the sending or receiving of information in a format desired by a Local Sponsor.</w:t>
      </w:r>
    </w:p>
    <w:p>
      <w:pPr>
        <w:spacing w:after="0" w:line="175" w:lineRule="exact"/>
        <w:rPr>
          <w:sz w:val="20"/>
          <w:szCs w:val="20"/>
          <w:color w:val="auto"/>
        </w:rPr>
      </w:pPr>
    </w:p>
    <w:p>
      <w:pPr>
        <w:ind w:left="460"/>
        <w:spacing w:after="0"/>
        <w:tabs>
          <w:tab w:leader="none" w:pos="1080" w:val="left"/>
          <w:tab w:leader="none" w:pos="2100" w:val="left"/>
        </w:tabs>
        <w:rPr>
          <w:sz w:val="20"/>
          <w:szCs w:val="20"/>
          <w:color w:val="auto"/>
        </w:rPr>
      </w:pPr>
      <w:r>
        <w:rPr>
          <w:rFonts w:ascii="Courier New" w:cs="Courier New" w:eastAsia="Courier New" w:hAnsi="Courier New"/>
          <w:sz w:val="15"/>
          <w:szCs w:val="15"/>
          <w:color w:val="auto"/>
        </w:rPr>
        <w:t>1.18.</w:t>
        <w:tab/>
        <w:t>Software.</w:t>
        <w:tab/>
        <w:t>"Software" shall mean a series of independent but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interrelated computer programs which interact with computer equipment and operating systems to form a complete data processing system. "Software" includes, but is not limited to, computer program listings, user manuals, functional specifications, technical documentation, source code, and tangible media upon which the computer programs are recorded.</w:t>
      </w:r>
    </w:p>
    <w:p>
      <w:pPr>
        <w:spacing w:after="0" w:line="176" w:lineRule="exact"/>
        <w:rPr>
          <w:sz w:val="20"/>
          <w:szCs w:val="20"/>
          <w:color w:val="auto"/>
        </w:rPr>
      </w:pPr>
    </w:p>
    <w:p>
      <w:pPr>
        <w:ind w:left="460"/>
        <w:spacing w:after="0"/>
        <w:tabs>
          <w:tab w:leader="none" w:pos="1080" w:val="left"/>
          <w:tab w:leader="none" w:pos="2460" w:val="left"/>
        </w:tabs>
        <w:rPr>
          <w:sz w:val="20"/>
          <w:szCs w:val="20"/>
          <w:color w:val="auto"/>
        </w:rPr>
      </w:pPr>
      <w:r>
        <w:rPr>
          <w:rFonts w:ascii="Courier New" w:cs="Courier New" w:eastAsia="Courier New" w:hAnsi="Courier New"/>
          <w:sz w:val="15"/>
          <w:szCs w:val="15"/>
          <w:color w:val="auto"/>
        </w:rPr>
        <w:t>1.19.</w:t>
        <w:tab/>
        <w:t>Subdirectory.</w:t>
        <w:tab/>
        <w:t>"Subdirectory" refers to a list of a Local</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Sponsor's sites and Subscriber sites that appears as a screen or screens on a Local Sponsor's NCWs and designates those Subscribers that the Local Sponsor has paid to communicate with over the Network.</w:t>
      </w:r>
    </w:p>
    <w:p>
      <w:pPr>
        <w:spacing w:after="0" w:line="175" w:lineRule="exact"/>
        <w:rPr>
          <w:sz w:val="20"/>
          <w:szCs w:val="20"/>
          <w:color w:val="auto"/>
        </w:rPr>
      </w:pPr>
    </w:p>
    <w:p>
      <w:pPr>
        <w:ind w:left="460"/>
        <w:spacing w:after="0"/>
        <w:tabs>
          <w:tab w:leader="none" w:pos="1080" w:val="left"/>
          <w:tab w:leader="none" w:pos="2280" w:val="left"/>
        </w:tabs>
        <w:rPr>
          <w:sz w:val="20"/>
          <w:szCs w:val="20"/>
          <w:color w:val="auto"/>
        </w:rPr>
      </w:pPr>
      <w:r>
        <w:rPr>
          <w:rFonts w:ascii="Courier New" w:cs="Courier New" w:eastAsia="Courier New" w:hAnsi="Courier New"/>
          <w:sz w:val="15"/>
          <w:szCs w:val="15"/>
          <w:color w:val="auto"/>
        </w:rPr>
        <w:t>1.20.</w:t>
        <w:tab/>
        <w:t>Subscriber.</w:t>
        <w:tab/>
        <w:t>"Subscriber" refers to any physician private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practice site or other party authorized by AZMIN to participate in the Network.</w:t>
      </w:r>
    </w:p>
    <w:p>
      <w:pPr>
        <w:spacing w:after="0" w:line="174" w:lineRule="exact"/>
        <w:rPr>
          <w:sz w:val="20"/>
          <w:szCs w:val="20"/>
          <w:color w:val="auto"/>
        </w:rPr>
      </w:pPr>
    </w:p>
    <w:p>
      <w:pPr>
        <w:ind w:left="460"/>
        <w:spacing w:after="0"/>
        <w:tabs>
          <w:tab w:leader="none" w:pos="1080" w:val="left"/>
          <w:tab w:leader="none" w:pos="3020" w:val="left"/>
        </w:tabs>
        <w:rPr>
          <w:sz w:val="20"/>
          <w:szCs w:val="20"/>
          <w:color w:val="auto"/>
        </w:rPr>
      </w:pPr>
      <w:r>
        <w:rPr>
          <w:rFonts w:ascii="Courier New" w:cs="Courier New" w:eastAsia="Courier New" w:hAnsi="Courier New"/>
          <w:sz w:val="15"/>
          <w:szCs w:val="15"/>
          <w:color w:val="auto"/>
        </w:rPr>
        <w:t>1.21.</w:t>
        <w:tab/>
        <w:t>Synergy Series(TM).</w:t>
        <w:tab/>
        <w:t>"Synergy Series" refers to the practice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support software modules provided by IMS to Subscribers in addition to the PC-Com Software. Certain Synergy Series(TM) software is provided to Subscribers without charge, such as "Word Pro(TM)" word processing, "Clinical Manager(TM)" clinical data management, "Rx Manager(TM)" drug therapy management and "CME Manager(TM)"</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9759"/>
          </w:cols>
          <w:pgMar w:left="700" w:top="650" w:right="1440" w:bottom="1440" w:gutter="0" w:footer="0" w:header="0"/>
        </w:sectPr>
      </w:pPr>
    </w:p>
    <w:bookmarkStart w:id="205" w:name="page206"/>
    <w:bookmarkEnd w:id="205"/>
    <w:p>
      <w:pPr>
        <w:ind w:left="460" w:right="2839"/>
        <w:spacing w:after="0" w:line="253" w:lineRule="auto"/>
        <w:rPr>
          <w:sz w:val="20"/>
          <w:szCs w:val="20"/>
          <w:color w:val="auto"/>
        </w:rPr>
      </w:pPr>
      <w:r>
        <w:rPr>
          <w:rFonts w:ascii="Courier New" w:cs="Courier New" w:eastAsia="Courier New" w:hAnsi="Courier New"/>
          <w:sz w:val="15"/>
          <w:szCs w:val="15"/>
          <w:color w:val="auto"/>
        </w:rPr>
        <w:t>continuing medical education management and other modules may be offered at the option of Subscribers.</w:t>
      </w:r>
    </w:p>
    <w:p>
      <w:pPr>
        <w:spacing w:after="0" w:line="174" w:lineRule="exact"/>
        <w:rPr>
          <w:sz w:val="20"/>
          <w:szCs w:val="20"/>
          <w:color w:val="auto"/>
        </w:rPr>
      </w:pPr>
    </w:p>
    <w:p>
      <w:pPr>
        <w:ind w:left="820" w:hanging="364"/>
        <w:spacing w:after="0"/>
        <w:tabs>
          <w:tab w:leader="none" w:pos="8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Limited Partnership.</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2000" w:val="left"/>
        </w:tabs>
        <w:rPr>
          <w:sz w:val="20"/>
          <w:szCs w:val="20"/>
          <w:color w:val="auto"/>
        </w:rPr>
      </w:pPr>
      <w:r>
        <w:rPr>
          <w:rFonts w:ascii="Courier New" w:cs="Courier New" w:eastAsia="Courier New" w:hAnsi="Courier New"/>
          <w:sz w:val="15"/>
          <w:szCs w:val="15"/>
          <w:color w:val="auto"/>
        </w:rPr>
        <w:t>2.1. Formation.</w:t>
        <w:tab/>
        <w:t>The Joint Venturers hereby form and establish a limited</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partnership (the "Joint Venture") under the terms and provisions of this Agreement and the provisions of the Act and the rights and liabilities of the Joint Venturers shall be as provided in the Act, except as otherwise expressly provided in this Agreement.</w:t>
      </w:r>
    </w:p>
    <w:p>
      <w:pPr>
        <w:spacing w:after="0" w:line="176" w:lineRule="exact"/>
        <w:rPr>
          <w:sz w:val="20"/>
          <w:szCs w:val="20"/>
          <w:color w:val="auto"/>
        </w:rPr>
      </w:pPr>
    </w:p>
    <w:p>
      <w:pPr>
        <w:ind w:left="460"/>
        <w:spacing w:after="0"/>
        <w:tabs>
          <w:tab w:leader="none" w:pos="4040" w:val="left"/>
        </w:tabs>
        <w:rPr>
          <w:sz w:val="20"/>
          <w:szCs w:val="20"/>
          <w:color w:val="auto"/>
        </w:rPr>
      </w:pPr>
      <w:r>
        <w:rPr>
          <w:rFonts w:ascii="Courier New" w:cs="Courier New" w:eastAsia="Courier New" w:hAnsi="Courier New"/>
          <w:sz w:val="15"/>
          <w:szCs w:val="15"/>
          <w:color w:val="auto"/>
        </w:rPr>
        <w:t>2.2. Name of the Limited Partnership.</w:t>
        <w:tab/>
        <w:t>The name of the Joint Venture shall</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be "IMS--NET of Arizona Joint Venture, Ltd.," d/b/a Arizona Medical Information Network, or such other name as the Joint Venturers may from time to time designate. The Joint Venturers shall cause to be filed, on behalf of the Joint Venture, such certificate of limited partnership or assumed or fictitious name certificate or certificates as may from time to time be required by law.</w:t>
      </w:r>
    </w:p>
    <w:p>
      <w:pPr>
        <w:spacing w:after="0" w:line="176" w:lineRule="exact"/>
        <w:rPr>
          <w:sz w:val="20"/>
          <w:szCs w:val="20"/>
          <w:color w:val="auto"/>
        </w:rPr>
      </w:pPr>
    </w:p>
    <w:p>
      <w:pPr>
        <w:ind w:left="460"/>
        <w:spacing w:after="0"/>
        <w:tabs>
          <w:tab w:leader="none" w:pos="4680" w:val="left"/>
        </w:tabs>
        <w:rPr>
          <w:sz w:val="20"/>
          <w:szCs w:val="20"/>
          <w:color w:val="auto"/>
        </w:rPr>
      </w:pPr>
      <w:r>
        <w:rPr>
          <w:rFonts w:ascii="Courier New" w:cs="Courier New" w:eastAsia="Courier New" w:hAnsi="Courier New"/>
          <w:sz w:val="15"/>
          <w:szCs w:val="15"/>
          <w:color w:val="auto"/>
        </w:rPr>
        <w:t>2.3. Place of Business of the Joint Venture.</w:t>
        <w:tab/>
        <w:t>The principal place of</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399"/>
        <w:spacing w:after="0" w:line="252" w:lineRule="auto"/>
        <w:rPr>
          <w:sz w:val="20"/>
          <w:szCs w:val="20"/>
          <w:color w:val="auto"/>
        </w:rPr>
      </w:pPr>
      <w:r>
        <w:rPr>
          <w:rFonts w:ascii="Courier New" w:cs="Courier New" w:eastAsia="Courier New" w:hAnsi="Courier New"/>
          <w:sz w:val="15"/>
          <w:szCs w:val="15"/>
          <w:color w:val="auto"/>
        </w:rPr>
        <w:t>business of the Joint Venture shall be located at 11636 North 60th Street, Scottsdale, Arizona 85254. The agent for service of process on the Joint Venture at such address shall be Kevin R. Green.</w:t>
      </w:r>
    </w:p>
    <w:p>
      <w:pPr>
        <w:spacing w:after="0" w:line="175" w:lineRule="exact"/>
        <w:rPr>
          <w:sz w:val="20"/>
          <w:szCs w:val="20"/>
          <w:color w:val="auto"/>
        </w:rPr>
      </w:pPr>
    </w:p>
    <w:p>
      <w:pPr>
        <w:ind w:left="460"/>
        <w:spacing w:after="0"/>
        <w:tabs>
          <w:tab w:leader="none" w:pos="3760" w:val="left"/>
        </w:tabs>
        <w:rPr>
          <w:sz w:val="20"/>
          <w:szCs w:val="20"/>
          <w:color w:val="auto"/>
        </w:rPr>
      </w:pPr>
      <w:r>
        <w:rPr>
          <w:rFonts w:ascii="Courier New" w:cs="Courier New" w:eastAsia="Courier New" w:hAnsi="Courier New"/>
          <w:sz w:val="15"/>
          <w:szCs w:val="15"/>
          <w:color w:val="auto"/>
        </w:rPr>
        <w:t>2.4. Partners Names and Addresses.</w:t>
        <w:tab/>
        <w:t>The names and addresses of the Partners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Venturers") are:</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ind w:left="1000"/>
        <w:spacing w:after="0" w:line="252" w:lineRule="auto"/>
        <w:rPr>
          <w:sz w:val="20"/>
          <w:szCs w:val="20"/>
          <w:color w:val="auto"/>
        </w:rPr>
      </w:pPr>
      <w:r>
        <w:rPr>
          <w:rFonts w:ascii="Courier New" w:cs="Courier New" w:eastAsia="Courier New" w:hAnsi="Courier New"/>
          <w:sz w:val="15"/>
          <w:szCs w:val="15"/>
          <w:color w:val="auto"/>
        </w:rPr>
        <w:t>General Partner (also designated as "Managing Partner"):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Partner:</w:t>
      </w:r>
    </w:p>
    <w:p>
      <w:pPr>
        <w:spacing w:after="0" w:line="540" w:lineRule="exact"/>
        <w:rPr>
          <w:sz w:val="20"/>
          <w:szCs w:val="20"/>
          <w:color w:val="auto"/>
        </w:rPr>
      </w:pPr>
    </w:p>
    <w:p>
      <w:pPr>
        <w:sectPr>
          <w:pgSz w:w="11900" w:h="16838" w:orient="portrait"/>
          <w:cols w:equalWidth="0" w:num="2">
            <w:col w:w="3140" w:space="640"/>
            <w:col w:w="6439"/>
          </w:cols>
          <w:pgMar w:left="240" w:top="650" w:right="1440" w:bottom="1440" w:gutter="0" w:footer="0" w:header="0"/>
          <w:type w:val="continuous"/>
        </w:sectPr>
      </w:pPr>
    </w:p>
    <w:p>
      <w:pPr>
        <w:ind w:left="1000"/>
        <w:spacing w:after="0" w:line="252" w:lineRule="auto"/>
        <w:rPr>
          <w:sz w:val="20"/>
          <w:szCs w:val="20"/>
          <w:color w:val="auto"/>
        </w:rPr>
      </w:pPr>
      <w:r>
        <w:rPr>
          <w:rFonts w:ascii="Courier New" w:cs="Courier New" w:eastAsia="Courier New" w:hAnsi="Courier New"/>
          <w:sz w:val="15"/>
          <w:szCs w:val="15"/>
          <w:color w:val="auto"/>
        </w:rPr>
        <w:t>IMS--NET of Arizona, Inc. 11636 North 60th Street Scottsdale, Arizona 85254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Blue Cross Blue Shield of Arizona,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2444 West Las Palmaritas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O. Box 13466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Phoenix, Arizona 85002-3466</w:t>
      </w:r>
    </w:p>
    <w:p>
      <w:pPr>
        <w:spacing w:after="0" w:line="185" w:lineRule="exact"/>
        <w:rPr>
          <w:sz w:val="20"/>
          <w:szCs w:val="20"/>
          <w:color w:val="auto"/>
        </w:rPr>
      </w:pPr>
    </w:p>
    <w:p>
      <w:pPr>
        <w:sectPr>
          <w:pgSz w:w="11900" w:h="16838" w:orient="portrait"/>
          <w:cols w:equalWidth="0" w:num="2">
            <w:col w:w="3320" w:space="460"/>
            <w:col w:w="6439"/>
          </w:cols>
          <w:pgMar w:left="240" w:top="650" w:right="1440" w:bottom="1440" w:gutter="0" w:footer="0" w:header="0"/>
          <w:type w:val="continuous"/>
        </w:sectPr>
      </w:pPr>
    </w:p>
    <w:p>
      <w:pPr>
        <w:ind w:left="460"/>
        <w:spacing w:after="0"/>
        <w:tabs>
          <w:tab w:leader="none" w:pos="2740" w:val="left"/>
        </w:tabs>
        <w:rPr>
          <w:sz w:val="20"/>
          <w:szCs w:val="20"/>
          <w:color w:val="auto"/>
        </w:rPr>
      </w:pPr>
      <w:r>
        <w:rPr>
          <w:rFonts w:ascii="Courier New" w:cs="Courier New" w:eastAsia="Courier New" w:hAnsi="Courier New"/>
          <w:sz w:val="15"/>
          <w:szCs w:val="15"/>
          <w:color w:val="auto"/>
        </w:rPr>
        <w:t>2.5. Title to Property.</w:t>
        <w:tab/>
        <w:t>All property owned by the Joint Venture, whether</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real or personal, tangible or intangible, shall be deemed to be and shall be owned by IMS--NET and the Joint Venture shall not have any ownership interest in such property, except as set forth in this Agreement.</w:t>
      </w:r>
    </w:p>
    <w:p>
      <w:pPr>
        <w:spacing w:after="0" w:line="175" w:lineRule="exact"/>
        <w:rPr>
          <w:sz w:val="20"/>
          <w:szCs w:val="20"/>
          <w:color w:val="auto"/>
        </w:rPr>
      </w:pPr>
    </w:p>
    <w:p>
      <w:pPr>
        <w:ind w:left="460"/>
        <w:spacing w:after="0"/>
        <w:tabs>
          <w:tab w:leader="none" w:pos="3200" w:val="left"/>
        </w:tabs>
        <w:rPr>
          <w:sz w:val="20"/>
          <w:szCs w:val="20"/>
          <w:color w:val="auto"/>
        </w:rPr>
      </w:pPr>
      <w:r>
        <w:rPr>
          <w:rFonts w:ascii="Courier New" w:cs="Courier New" w:eastAsia="Courier New" w:hAnsi="Courier New"/>
          <w:sz w:val="15"/>
          <w:szCs w:val="15"/>
          <w:color w:val="auto"/>
        </w:rPr>
        <w:t>2.6. Filing of Certificates.</w:t>
        <w:tab/>
        <w:t>The Managing Venturer (as defined below)</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5"/>
          <w:szCs w:val="15"/>
          <w:color w:val="auto"/>
        </w:rPr>
        <w:t>shall file and publish all such certificates, notices, statements or other instruments required by law for the formation and operation of a limited partnership in all jurisdictions where the Joint Venture may elect to do business.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50" w:right="1440" w:bottom="1440" w:gutter="0" w:footer="0" w:header="0"/>
          <w:type w:val="continuous"/>
        </w:sectPr>
      </w:pPr>
    </w:p>
    <w:bookmarkStart w:id="206" w:name="page207"/>
    <w:bookmarkEnd w:id="206"/>
    <w:p>
      <w:pPr>
        <w:ind w:left="820" w:hanging="364"/>
        <w:spacing w:after="0"/>
        <w:tabs>
          <w:tab w:leader="none" w:pos="82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820" w:val="left"/>
        </w:tabs>
        <w:rPr>
          <w:sz w:val="20"/>
          <w:szCs w:val="20"/>
          <w:color w:val="auto"/>
        </w:rPr>
      </w:pPr>
      <w:r>
        <w:rPr>
          <w:rFonts w:ascii="Courier New" w:cs="Courier New" w:eastAsia="Courier New" w:hAnsi="Courier New"/>
          <w:sz w:val="15"/>
          <w:szCs w:val="15"/>
          <w:color w:val="auto"/>
        </w:rPr>
        <w:t>3.1. Purpose.</w:t>
        <w:tab/>
        <w:t>The purpose of the Joint Venture is to establish and operate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one or more for-profit Networks in the Exclusive Territory, to improve the efficiency and effectiveness of communication related to health care delivery between hospitals, acute care facilities, mental health, substance abuse facilities and other medical facilities and physicians and other licensed health care professionals with privileges to utilize such facilities and other providers or payors with a bona fide interest in communicating with such other participants, including BCBSAZ. In furtherance of its business, the Joint Venture shall have and may exercise all the powers now or hereafter conferred by the Act on limited partnerships formed thereunder, and shall do any and all things related or incidental to its business as fully as natural persons might or could do under the laws of the state of Arizona. The Joint Venture shall engage in no other business.</w:t>
      </w:r>
    </w:p>
    <w:p>
      <w:pPr>
        <w:spacing w:after="0" w:line="183" w:lineRule="exact"/>
        <w:rPr>
          <w:sz w:val="20"/>
          <w:szCs w:val="20"/>
          <w:color w:val="auto"/>
        </w:rPr>
      </w:pPr>
    </w:p>
    <w:p>
      <w:pPr>
        <w:ind w:left="820" w:hanging="364"/>
        <w:spacing w:after="0"/>
        <w:tabs>
          <w:tab w:leader="none" w:pos="8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Fiscal Year.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3840" w:val="left"/>
        </w:tabs>
        <w:rPr>
          <w:sz w:val="20"/>
          <w:szCs w:val="20"/>
          <w:color w:val="auto"/>
        </w:rPr>
      </w:pPr>
      <w:r>
        <w:rPr>
          <w:rFonts w:ascii="Courier New" w:cs="Courier New" w:eastAsia="Courier New" w:hAnsi="Courier New"/>
          <w:sz w:val="15"/>
          <w:szCs w:val="15"/>
          <w:color w:val="auto"/>
        </w:rPr>
        <w:t>4.1. Duration of the Joint Venture.</w:t>
        <w:tab/>
        <w:t>The Joint Venture shall commence upon</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the date of execution of this Agreement, and shall continue until December 31, 2032 or until its earlier termination in accordance with the provisions of Section 14 of this Agreement.</w:t>
      </w:r>
    </w:p>
    <w:p>
      <w:pPr>
        <w:spacing w:after="0" w:line="175" w:lineRule="exact"/>
        <w:rPr>
          <w:sz w:val="20"/>
          <w:szCs w:val="20"/>
          <w:color w:val="auto"/>
        </w:rPr>
      </w:pPr>
    </w:p>
    <w:p>
      <w:pPr>
        <w:ind w:left="460"/>
        <w:spacing w:after="0"/>
        <w:tabs>
          <w:tab w:leader="none" w:pos="2180" w:val="left"/>
        </w:tabs>
        <w:rPr>
          <w:sz w:val="20"/>
          <w:szCs w:val="20"/>
          <w:color w:val="auto"/>
        </w:rPr>
      </w:pPr>
      <w:r>
        <w:rPr>
          <w:rFonts w:ascii="Courier New" w:cs="Courier New" w:eastAsia="Courier New" w:hAnsi="Courier New"/>
          <w:sz w:val="15"/>
          <w:szCs w:val="15"/>
          <w:color w:val="auto"/>
        </w:rPr>
        <w:t>4.2. Fiscal Year.</w:t>
        <w:tab/>
        <w:t>Except for the Joint Venture's initial fiscal year,</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which shall commence on the date hereof and end on December 31, 1992, the fiscal year of the Joint Venture shall commence on the first day of January of each year and shall end on the last day of December in the same year.</w:t>
      </w:r>
    </w:p>
    <w:p>
      <w:pPr>
        <w:spacing w:after="0" w:line="175" w:lineRule="exact"/>
        <w:rPr>
          <w:sz w:val="20"/>
          <w:szCs w:val="20"/>
          <w:color w:val="auto"/>
        </w:rPr>
      </w:pPr>
    </w:p>
    <w:p>
      <w:pPr>
        <w:ind w:left="820" w:hanging="364"/>
        <w:spacing w:after="0"/>
        <w:tabs>
          <w:tab w:leader="none" w:pos="82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5.1. Initial Capital Contributions.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3299" w:firstLine="461"/>
        <w:spacing w:after="0" w:line="253" w:lineRule="auto"/>
        <w:rPr>
          <w:sz w:val="20"/>
          <w:szCs w:val="20"/>
          <w:color w:val="auto"/>
        </w:rPr>
      </w:pPr>
      <w:r>
        <w:rPr>
          <w:rFonts w:ascii="Courier New" w:cs="Courier New" w:eastAsia="Courier New" w:hAnsi="Courier New"/>
          <w:sz w:val="15"/>
          <w:szCs w:val="15"/>
          <w:color w:val="auto"/>
        </w:rPr>
        <w:t>5.1.1. Concurrently herewith, each Joint Venturer shall make the following contributions to the Joint Venture:</w:t>
      </w:r>
    </w:p>
    <w:p>
      <w:pPr>
        <w:spacing w:after="0" w:line="174" w:lineRule="exact"/>
        <w:rPr>
          <w:sz w:val="20"/>
          <w:szCs w:val="20"/>
          <w:color w:val="auto"/>
        </w:rPr>
      </w:pPr>
    </w:p>
    <w:p>
      <w:pPr>
        <w:ind w:left="920" w:right="2839" w:firstLine="459"/>
        <w:spacing w:after="0" w:line="250" w:lineRule="auto"/>
        <w:tabs>
          <w:tab w:leader="none" w:pos="1843"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its interest in the Joint Venture, effective upon the date of this Agreement, IMS--NET shall cause to be licensed to the Joint Venture the business plan for operation of one or more Networks in the Exclusive Territory, all proprietary concepts, trade secrets, techniques or business expertise or other acumen developed by IMS for the purpose of commercializing a medical information network and an exclusive license to use the Software owned by IMS, including IMS--NET(TM), Com-Center(TM), and Synergy Series(TM) Software in the Exclusive Territory, as more fully set forth in the License Agreement attached to this Agreement as Exhibit B and incorporated herein by this reference.</w:t>
      </w:r>
    </w:p>
    <w:p>
      <w:pPr>
        <w:spacing w:after="0" w:line="182" w:lineRule="exact"/>
        <w:rPr>
          <w:rFonts w:ascii="Courier New" w:cs="Courier New" w:eastAsia="Courier New" w:hAnsi="Courier New"/>
          <w:sz w:val="15"/>
          <w:szCs w:val="15"/>
          <w:color w:val="auto"/>
        </w:rPr>
      </w:pPr>
    </w:p>
    <w:p>
      <w:pPr>
        <w:ind w:left="3600" w:hanging="191"/>
        <w:spacing w:after="0"/>
        <w:tabs>
          <w:tab w:leader="none" w:pos="360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10219"/>
          </w:cols>
          <w:pgMar w:left="240" w:top="651" w:right="1440" w:bottom="1440" w:gutter="0" w:footer="0" w:header="0"/>
        </w:sectPr>
      </w:pPr>
    </w:p>
    <w:bookmarkStart w:id="207" w:name="page208"/>
    <w:bookmarkEnd w:id="207"/>
    <w:p>
      <w:pPr>
        <w:ind w:left="920" w:right="2839" w:firstLine="459"/>
        <w:spacing w:after="0" w:line="252" w:lineRule="auto"/>
        <w:tabs>
          <w:tab w:leader="none" w:pos="1843"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exchange for a capital contribution of $1,000, BCBSAZ shall receive its interest in the Joint Venture, which amount shall be paid upon the date of execution of this Agreement.</w:t>
      </w:r>
    </w:p>
    <w:p>
      <w:pPr>
        <w:spacing w:after="0" w:line="175" w:lineRule="exact"/>
        <w:rPr>
          <w:sz w:val="20"/>
          <w:szCs w:val="20"/>
          <w:color w:val="auto"/>
        </w:rPr>
      </w:pPr>
    </w:p>
    <w:p>
      <w:pPr>
        <w:ind w:left="460" w:right="2839" w:firstLine="461"/>
        <w:spacing w:after="0" w:line="252" w:lineRule="auto"/>
        <w:rPr>
          <w:sz w:val="20"/>
          <w:szCs w:val="20"/>
          <w:color w:val="auto"/>
        </w:rPr>
      </w:pPr>
      <w:r>
        <w:rPr>
          <w:rFonts w:ascii="Courier New" w:cs="Courier New" w:eastAsia="Courier New" w:hAnsi="Courier New"/>
          <w:sz w:val="15"/>
          <w:szCs w:val="15"/>
          <w:color w:val="auto"/>
        </w:rPr>
        <w:t>5.1.2. No interest shall accrue on any contribution to the capital of the Joint Venture, and no Joint Venturer shall have the right to withdraw or to be repaid any capital contributed by it.</w:t>
      </w:r>
    </w:p>
    <w:p>
      <w:pPr>
        <w:spacing w:after="0" w:line="175" w:lineRule="exact"/>
        <w:rPr>
          <w:sz w:val="20"/>
          <w:szCs w:val="20"/>
          <w:color w:val="auto"/>
        </w:rPr>
      </w:pPr>
    </w:p>
    <w:p>
      <w:pPr>
        <w:ind w:left="460"/>
        <w:spacing w:after="0"/>
        <w:tabs>
          <w:tab w:leader="none" w:pos="4120" w:val="left"/>
        </w:tabs>
        <w:rPr>
          <w:sz w:val="20"/>
          <w:szCs w:val="20"/>
          <w:color w:val="auto"/>
        </w:rPr>
      </w:pPr>
      <w:r>
        <w:rPr>
          <w:rFonts w:ascii="Courier New" w:cs="Courier New" w:eastAsia="Courier New" w:hAnsi="Courier New"/>
          <w:sz w:val="15"/>
          <w:szCs w:val="15"/>
          <w:color w:val="auto"/>
        </w:rPr>
        <w:t>5.2. Additional Capital Contributions.</w:t>
        <w:tab/>
        <w:t>Additional capital contributions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be made only with the consent of the Joint Venturers.</w:t>
      </w:r>
    </w:p>
    <w:p>
      <w:pPr>
        <w:spacing w:after="0" w:line="185" w:lineRule="exact"/>
        <w:rPr>
          <w:sz w:val="20"/>
          <w:szCs w:val="20"/>
          <w:color w:val="auto"/>
        </w:rPr>
      </w:pPr>
    </w:p>
    <w:p>
      <w:pPr>
        <w:ind w:left="820" w:hanging="364"/>
        <w:spacing w:after="0"/>
        <w:tabs>
          <w:tab w:leader="none" w:pos="82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Profits and Losses.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980" w:val="left"/>
          <w:tab w:leader="none" w:pos="1820" w:val="left"/>
        </w:tabs>
        <w:rPr>
          <w:sz w:val="20"/>
          <w:szCs w:val="20"/>
          <w:color w:val="auto"/>
        </w:rPr>
      </w:pPr>
      <w:r>
        <w:rPr>
          <w:rFonts w:ascii="Courier New" w:cs="Courier New" w:eastAsia="Courier New" w:hAnsi="Courier New"/>
          <w:sz w:val="15"/>
          <w:szCs w:val="15"/>
          <w:color w:val="auto"/>
        </w:rPr>
        <w:t>6.1.</w:t>
        <w:tab/>
        <w:t>Losses.</w:t>
        <w:tab/>
        <w:t>All Joint Venture losses shall be allocated 100% to</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IMS--NET.</w:t>
      </w:r>
    </w:p>
    <w:p>
      <w:pPr>
        <w:spacing w:after="0" w:line="185" w:lineRule="exact"/>
        <w:rPr>
          <w:sz w:val="20"/>
          <w:szCs w:val="20"/>
          <w:color w:val="auto"/>
        </w:rPr>
      </w:pPr>
    </w:p>
    <w:p>
      <w:pPr>
        <w:ind w:left="460"/>
        <w:spacing w:after="0"/>
        <w:tabs>
          <w:tab w:leader="none" w:pos="1820" w:val="left"/>
        </w:tabs>
        <w:rPr>
          <w:sz w:val="20"/>
          <w:szCs w:val="20"/>
          <w:color w:val="auto"/>
        </w:rPr>
      </w:pPr>
      <w:r>
        <w:rPr>
          <w:rFonts w:ascii="Courier New" w:cs="Courier New" w:eastAsia="Courier New" w:hAnsi="Courier New"/>
          <w:sz w:val="15"/>
          <w:szCs w:val="15"/>
          <w:color w:val="auto"/>
        </w:rPr>
        <w:t>6.2. Profits.</w:t>
        <w:tab/>
        <w:t>So long as (i) BCBSAZ is in compliance or has complied with</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its obligations under the NSA and (ii) BCBSAZ has not exchanged all its interest in the profits of the Joint Venture as described in Section 6.7 below, BCBSAZ shall be allocated a portion of the profits of the Joint Venture in a manner described in this Section 6, and that portion of the profits of the Joint Venture not allocated to BCBSAZ shall be allocated to IMS--NET.</w:t>
      </w:r>
    </w:p>
    <w:p>
      <w:pPr>
        <w:spacing w:after="0" w:line="176" w:lineRule="exact"/>
        <w:rPr>
          <w:sz w:val="20"/>
          <w:szCs w:val="20"/>
          <w:color w:val="auto"/>
        </w:rPr>
      </w:pPr>
    </w:p>
    <w:p>
      <w:pPr>
        <w:ind w:left="920"/>
        <w:spacing w:after="0"/>
        <w:tabs>
          <w:tab w:leader="none" w:pos="1640" w:val="left"/>
          <w:tab w:leader="none" w:pos="3380" w:val="left"/>
        </w:tabs>
        <w:rPr>
          <w:sz w:val="20"/>
          <w:szCs w:val="20"/>
          <w:color w:val="auto"/>
        </w:rPr>
      </w:pPr>
      <w:r>
        <w:rPr>
          <w:rFonts w:ascii="Courier New" w:cs="Courier New" w:eastAsia="Courier New" w:hAnsi="Courier New"/>
          <w:sz w:val="15"/>
          <w:szCs w:val="15"/>
          <w:color w:val="auto"/>
        </w:rPr>
        <w:t>6.2.1.</w:t>
        <w:tab/>
        <w:t>Profits Interest.</w:t>
        <w:tab/>
        <w:t>BCBSAZ shall be allocated 50% of the net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profits of the Joint Venture adjusted and determined in accordance with the following:</w:t>
      </w:r>
    </w:p>
    <w:p>
      <w:pPr>
        <w:spacing w:after="0" w:line="174" w:lineRule="exact"/>
        <w:rPr>
          <w:sz w:val="20"/>
          <w:szCs w:val="20"/>
          <w:color w:val="auto"/>
        </w:rPr>
      </w:pPr>
    </w:p>
    <w:p>
      <w:pPr>
        <w:ind w:left="920" w:right="2839" w:firstLine="735"/>
        <w:spacing w:after="0" w:line="251" w:lineRule="auto"/>
        <w:tabs>
          <w:tab w:leader="none" w:pos="211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Profits of the Joint Venture shall be determined using generally accepted accounting principles, consistently applied, provided that cumulative net losses incurred by the Joint Venture from the date of this Agreement through the time of calculation and allocated to IMS--NET under Section 6.1 shall be offset against profits; and</w:t>
      </w:r>
    </w:p>
    <w:p>
      <w:pPr>
        <w:spacing w:after="0" w:line="175" w:lineRule="exact"/>
        <w:rPr>
          <w:rFonts w:ascii="Courier New" w:cs="Courier New" w:eastAsia="Courier New" w:hAnsi="Courier New"/>
          <w:sz w:val="15"/>
          <w:szCs w:val="15"/>
          <w:color w:val="auto"/>
        </w:rPr>
      </w:pPr>
    </w:p>
    <w:p>
      <w:pPr>
        <w:ind w:left="920" w:right="2839" w:firstLine="735"/>
        <w:spacing w:after="0" w:line="251" w:lineRule="auto"/>
        <w:tabs>
          <w:tab w:leader="none" w:pos="211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net profits of the Joint Venture to be allocated to BCBSAZ under this Agreement shall be reduced by the portion of such profits interest which BCBSAZ has theretofore elected to exchange with Integrated Medical Systems, Inc. ("IMS"), the parent corporation of IMS--NET for common stock of IMS as described in Section 6.7 below.</w:t>
      </w:r>
    </w:p>
    <w:p>
      <w:pPr>
        <w:spacing w:after="0" w:line="176" w:lineRule="exact"/>
        <w:rPr>
          <w:sz w:val="20"/>
          <w:szCs w:val="20"/>
          <w:color w:val="auto"/>
        </w:rPr>
      </w:pPr>
    </w:p>
    <w:p>
      <w:pPr>
        <w:ind w:left="460"/>
        <w:spacing w:after="0"/>
        <w:tabs>
          <w:tab w:leader="none" w:pos="3200" w:val="left"/>
        </w:tabs>
        <w:rPr>
          <w:sz w:val="20"/>
          <w:szCs w:val="20"/>
          <w:color w:val="auto"/>
        </w:rPr>
      </w:pPr>
      <w:r>
        <w:rPr>
          <w:rFonts w:ascii="Courier New" w:cs="Courier New" w:eastAsia="Courier New" w:hAnsi="Courier New"/>
          <w:sz w:val="15"/>
          <w:szCs w:val="15"/>
          <w:color w:val="auto"/>
        </w:rPr>
        <w:t>6.3. Federal Tax Allocation.</w:t>
        <w:tab/>
        <w:t>Except as otherwise required hereunder or as</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otherwise provided by the Code and the rules and Treasury Regulations, for federal income tax purposes, each item of income, gain or credit, and each item of loss or deduction entering into the computation of the Joint Venture's taxable income shall be allocated to the Joint Venturers on the same basis as profits and losses are allocated to the Joint Venturers for book purposes.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19"/>
          </w:cols>
          <w:pgMar w:left="240" w:top="651" w:right="1440" w:bottom="1440" w:gutter="0" w:footer="0" w:header="0"/>
        </w:sectPr>
      </w:pPr>
    </w:p>
    <w:bookmarkStart w:id="208" w:name="page209"/>
    <w:bookmarkEnd w:id="208"/>
    <w:p>
      <w:pPr>
        <w:ind w:left="460"/>
        <w:spacing w:after="0"/>
        <w:tabs>
          <w:tab w:leader="none" w:pos="4960" w:val="left"/>
        </w:tabs>
        <w:rPr>
          <w:sz w:val="20"/>
          <w:szCs w:val="20"/>
          <w:color w:val="auto"/>
        </w:rPr>
      </w:pPr>
      <w:r>
        <w:rPr>
          <w:rFonts w:ascii="Courier New" w:cs="Courier New" w:eastAsia="Courier New" w:hAnsi="Courier New"/>
          <w:sz w:val="15"/>
          <w:szCs w:val="15"/>
          <w:color w:val="auto"/>
        </w:rPr>
        <w:t>6.4. Allocations Respecting Contributed Assets.</w:t>
        <w:tab/>
        <w:t>In accordance with Code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Section 704(c) and the Treasury Regulations thereunder, income gain, credit, loss and deduction with respect to any asset contributed to the capital of the Joint Venture shall, solely for tax purposes, be allocated among the Joint Venturers so as to take account of any variation between the adjusted basis of such property to the Joint Venture for federal income tax purposes and its initial Adjusted Asset Value. In the event the Adjusted Asset Value of any Joint Venture asset is adjusted pursuant to the terms of this Agreement, subsequent allocations of income, gain, credit, loss and deduction with respect to such asset shall take account of any variation between the adjusted basis of such asset for federal income tax purposes and its Adjusted Asset Value in the same manner as under Code Section 704(c) and the Treasury Regulations thereunder.</w:t>
      </w:r>
    </w:p>
    <w:p>
      <w:pPr>
        <w:spacing w:after="0" w:line="360" w:lineRule="exact"/>
        <w:rPr>
          <w:sz w:val="20"/>
          <w:szCs w:val="20"/>
          <w:color w:val="auto"/>
        </w:rPr>
      </w:pPr>
    </w:p>
    <w:p>
      <w:pPr>
        <w:ind w:left="460"/>
        <w:spacing w:after="0"/>
        <w:tabs>
          <w:tab w:leader="none" w:pos="3300" w:val="left"/>
        </w:tabs>
        <w:rPr>
          <w:sz w:val="20"/>
          <w:szCs w:val="20"/>
          <w:color w:val="auto"/>
        </w:rPr>
      </w:pPr>
      <w:r>
        <w:rPr>
          <w:rFonts w:ascii="Courier New" w:cs="Courier New" w:eastAsia="Courier New" w:hAnsi="Courier New"/>
          <w:sz w:val="15"/>
          <w:szCs w:val="15"/>
          <w:color w:val="auto"/>
        </w:rPr>
        <w:t>6.5. Capital Account Balance.</w:t>
        <w:tab/>
        <w:t>Each Joint Venturer's capital account (a)</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shall be credited with (i) its contributions of cash, licenses and agreed values of intangibles respectively with the valuations set forth in Sections 5.1.1(a) and 5.1.1(b), to the capital of the Joint Venture, (ii) its allocable share of the Joint Venture profits determined as set forth in Section 6.2, (iii) additional capital contributions made by it, if any, and (iv) by the amount of any Joint Venture liabilities that are assumed by it or that are secured by any Joint Venture property distributed to it, and (b) shall be debited with (i) its allocable share, if any, of the Joint Venture losses, (ii) the amount of any withdrawals by or distributions to it by the Joint Venture, and (iii) by the amount of any of its liabilities that are assumed by the Joint Venture or that are secured by any property contributed by it to the Joint Venture. The capital accounts are to be maintained in a manner consistent with Treasury Regulations Section 1.704-1(b)(2)(iv).</w:t>
      </w:r>
    </w:p>
    <w:p>
      <w:pPr>
        <w:spacing w:after="0" w:line="183" w:lineRule="exact"/>
        <w:rPr>
          <w:sz w:val="20"/>
          <w:szCs w:val="20"/>
          <w:color w:val="auto"/>
        </w:rPr>
      </w:pPr>
    </w:p>
    <w:p>
      <w:pPr>
        <w:ind w:left="460"/>
        <w:spacing w:after="0"/>
        <w:tabs>
          <w:tab w:leader="none" w:pos="1820" w:val="left"/>
        </w:tabs>
        <w:rPr>
          <w:sz w:val="20"/>
          <w:szCs w:val="20"/>
          <w:color w:val="auto"/>
        </w:rPr>
      </w:pPr>
      <w:r>
        <w:rPr>
          <w:rFonts w:ascii="Courier New" w:cs="Courier New" w:eastAsia="Courier New" w:hAnsi="Courier New"/>
          <w:sz w:val="15"/>
          <w:szCs w:val="15"/>
          <w:color w:val="auto"/>
        </w:rPr>
        <w:t>6.6. General.</w:t>
        <w:tab/>
        <w:t>The respective interests of the Joint Venturers in the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profits and losses of the Joint Venture shall remain as set forth above unless changed by amendment to this Agreement or by an assignment of an interest in the Joint Venture authorized by the terms of this Agreement.</w:t>
      </w:r>
    </w:p>
    <w:p>
      <w:pPr>
        <w:spacing w:after="0" w:line="175" w:lineRule="exact"/>
        <w:rPr>
          <w:sz w:val="20"/>
          <w:szCs w:val="20"/>
          <w:color w:val="auto"/>
        </w:rPr>
      </w:pPr>
    </w:p>
    <w:p>
      <w:pPr>
        <w:ind w:left="460"/>
        <w:spacing w:after="0"/>
        <w:tabs>
          <w:tab w:leader="none" w:pos="980" w:val="left"/>
          <w:tab w:leader="none" w:pos="2920" w:val="left"/>
        </w:tabs>
        <w:rPr>
          <w:sz w:val="20"/>
          <w:szCs w:val="20"/>
          <w:color w:val="auto"/>
        </w:rPr>
      </w:pPr>
      <w:r>
        <w:rPr>
          <w:rFonts w:ascii="Courier New" w:cs="Courier New" w:eastAsia="Courier New" w:hAnsi="Courier New"/>
          <w:sz w:val="15"/>
          <w:szCs w:val="15"/>
          <w:color w:val="auto"/>
        </w:rPr>
        <w:t>6.7.</w:t>
        <w:tab/>
        <w:t>Exchange by BCBSAZ.</w:t>
        <w:tab/>
        <w:t>The parties acknowledge and agree the BCBSAZ has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an agreement with IMS, a Colorado corporation which is the parent corporation of IMS--NET, to exchange part or all of the rights of BCBSAZ under this Agreement in exchange for an equity interest in IMS, and to the extent that such exchange is effected, IMS shall become a party to this Agreement, shall become an additional limited partner and one of the joint venturers and shall be subject to the other terms and conditions of this Agreement and shall share in the rights and responsibilities of BCBSAZ as described in this Agreement to the extent such exchange has been effected.</w:t>
      </w:r>
    </w:p>
    <w:p>
      <w:pPr>
        <w:spacing w:after="0" w:line="175" w:lineRule="exact"/>
        <w:rPr>
          <w:sz w:val="20"/>
          <w:szCs w:val="20"/>
          <w:color w:val="auto"/>
        </w:rPr>
      </w:pPr>
    </w:p>
    <w:p>
      <w:pPr>
        <w:ind w:left="460"/>
        <w:spacing w:after="0"/>
        <w:tabs>
          <w:tab w:leader="none" w:pos="980" w:val="left"/>
          <w:tab w:leader="none" w:pos="4120" w:val="left"/>
        </w:tabs>
        <w:rPr>
          <w:sz w:val="20"/>
          <w:szCs w:val="20"/>
          <w:color w:val="auto"/>
        </w:rPr>
      </w:pPr>
      <w:r>
        <w:rPr>
          <w:rFonts w:ascii="Courier New" w:cs="Courier New" w:eastAsia="Courier New" w:hAnsi="Courier New"/>
          <w:sz w:val="15"/>
          <w:szCs w:val="15"/>
          <w:color w:val="auto"/>
        </w:rPr>
        <w:t>6.8.</w:t>
        <w:tab/>
        <w:t>Distributions of Available Cash.</w:t>
        <w:tab/>
        <w:t>The Joint Venture shall make cash</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distributions to Joint Venturers only out of profits as determined and allocated under Section 6.2. Distributions, if available, shall be made within 60 days following: (i) the end of calendar years 1992 and 1993, (ii) semi-annually in 1994 and 1995 and (iii) quarterly thereafter.</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19"/>
          </w:cols>
          <w:pgMar w:left="240" w:top="650" w:right="1440" w:bottom="1440" w:gutter="0" w:footer="0" w:header="0"/>
        </w:sectPr>
      </w:pPr>
    </w:p>
    <w:bookmarkStart w:id="209" w:name="page210"/>
    <w:bookmarkEnd w:id="209"/>
    <w:p>
      <w:pPr>
        <w:ind w:left="820" w:hanging="364"/>
        <w:spacing w:after="0"/>
        <w:tabs>
          <w:tab w:leader="none" w:pos="82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Venturer.</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2180" w:val="left"/>
        </w:tabs>
        <w:rPr>
          <w:sz w:val="20"/>
          <w:szCs w:val="20"/>
          <w:color w:val="auto"/>
        </w:rPr>
      </w:pPr>
      <w:r>
        <w:rPr>
          <w:rFonts w:ascii="Courier New" w:cs="Courier New" w:eastAsia="Courier New" w:hAnsi="Courier New"/>
          <w:sz w:val="15"/>
          <w:szCs w:val="15"/>
          <w:color w:val="auto"/>
        </w:rPr>
        <w:t>7.1. Appointment.</w:t>
        <w:tab/>
        <w:t>The business and affairs of the Joint Venture shall be</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conducted under the direction and control of the General Partner which shall be designated as "Managing Venturer" or "Manager." The Managing Venturer of the Joint Venture shall be IMS--NET which shall serve, with the powers described below, until it resigns or is replaced by a new Managing Venturer pursuant to the written agreement of both Joint Venturers.</w:t>
      </w:r>
    </w:p>
    <w:p>
      <w:pPr>
        <w:spacing w:after="0" w:line="176" w:lineRule="exact"/>
        <w:rPr>
          <w:sz w:val="20"/>
          <w:szCs w:val="20"/>
          <w:color w:val="auto"/>
        </w:rPr>
      </w:pPr>
    </w:p>
    <w:p>
      <w:pPr>
        <w:ind w:left="460"/>
        <w:spacing w:after="0"/>
        <w:tabs>
          <w:tab w:leader="none" w:pos="980" w:val="left"/>
          <w:tab w:leader="none" w:pos="3940" w:val="left"/>
        </w:tabs>
        <w:rPr>
          <w:sz w:val="20"/>
          <w:szCs w:val="20"/>
          <w:color w:val="auto"/>
        </w:rPr>
      </w:pPr>
      <w:r>
        <w:rPr>
          <w:rFonts w:ascii="Courier New" w:cs="Courier New" w:eastAsia="Courier New" w:hAnsi="Courier New"/>
          <w:sz w:val="15"/>
          <w:szCs w:val="15"/>
          <w:color w:val="auto"/>
        </w:rPr>
        <w:t>7.2.</w:t>
        <w:tab/>
        <w:t>Management Services Agreement.</w:t>
        <w:tab/>
        <w:t>The duties, rights, responsibilities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and authority of the Managing Venturer shall be as set forth in the Management Services Agreement in the form attached as Exhibit A, which the Managing</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Venturer shall sign and which shall be incorporated by reference into this Agreement.</w:t>
      </w:r>
    </w:p>
    <w:p>
      <w:pPr>
        <w:spacing w:after="0" w:line="174" w:lineRule="exact"/>
        <w:rPr>
          <w:sz w:val="20"/>
          <w:szCs w:val="20"/>
          <w:color w:val="auto"/>
        </w:rPr>
      </w:pPr>
    </w:p>
    <w:p>
      <w:pPr>
        <w:ind w:left="460"/>
        <w:spacing w:after="0"/>
        <w:tabs>
          <w:tab w:leader="none" w:pos="3660" w:val="left"/>
        </w:tabs>
        <w:rPr>
          <w:sz w:val="20"/>
          <w:szCs w:val="20"/>
          <w:color w:val="auto"/>
        </w:rPr>
      </w:pPr>
      <w:r>
        <w:rPr>
          <w:rFonts w:ascii="Courier New" w:cs="Courier New" w:eastAsia="Courier New" w:hAnsi="Courier New"/>
          <w:sz w:val="15"/>
          <w:szCs w:val="15"/>
          <w:color w:val="auto"/>
        </w:rPr>
        <w:t>7.3. Approval of Certain Actions.</w:t>
        <w:tab/>
        <w:t>Notwithstanding anything in Section 7.2</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contrary,</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7.3.1. Actions with respect to the purchase or sale of real estate, the making of distributions of dividends or surplus by the Joint Venture to the Joint Venturers or any of them other than in accordance with this Agreement or the Management Services Agreement, or the material changing the way the Networks are operated may not be taken without prior and specific approval of both Joint Venturers.</w:t>
      </w:r>
    </w:p>
    <w:p>
      <w:pPr>
        <w:spacing w:after="0" w:line="176"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7.3.2. The authority of the Managing Venturer to operate the Network or Networks shall be subject to review only in the following matters which, if not approved unanimously by the Joint Venturers, shall be submitted to binding arbitration:</w:t>
      </w:r>
    </w:p>
    <w:p>
      <w:pPr>
        <w:spacing w:after="0" w:line="176" w:lineRule="exact"/>
        <w:rPr>
          <w:sz w:val="20"/>
          <w:szCs w:val="20"/>
          <w:color w:val="auto"/>
        </w:rPr>
      </w:pPr>
    </w:p>
    <w:p>
      <w:pPr>
        <w:ind w:left="920" w:right="2839" w:firstLine="459"/>
        <w:spacing w:after="0" w:line="251" w:lineRule="auto"/>
        <w:tabs>
          <w:tab w:leader="none" w:pos="184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 or other compensation to employees, officers or directors of Joint Venturers, Management Committee members, or other persons, which compensation is not contemplated by the budget of the Joint Venture or is not fair value for services actually provided to the Joint Venture;</w:t>
      </w:r>
    </w:p>
    <w:p>
      <w:pPr>
        <w:spacing w:after="0" w:line="176" w:lineRule="exact"/>
        <w:rPr>
          <w:rFonts w:ascii="Courier New" w:cs="Courier New" w:eastAsia="Courier New" w:hAnsi="Courier New"/>
          <w:sz w:val="15"/>
          <w:szCs w:val="15"/>
          <w:color w:val="auto"/>
        </w:rPr>
      </w:pPr>
    </w:p>
    <w:p>
      <w:pPr>
        <w:ind w:left="920" w:right="2839" w:firstLine="459"/>
        <w:spacing w:after="0" w:line="251" w:lineRule="auto"/>
        <w:tabs>
          <w:tab w:leader="none" w:pos="184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dividends or surplus by the Joint Venture to the Joint Venturers or other distributions or payments of cash other than in accordance with this Agreement, or the Management Services Agreement;</w:t>
      </w:r>
    </w:p>
    <w:p>
      <w:pPr>
        <w:spacing w:after="0" w:line="176" w:lineRule="exact"/>
        <w:rPr>
          <w:rFonts w:ascii="Courier New" w:cs="Courier New" w:eastAsia="Courier New" w:hAnsi="Courier New"/>
          <w:sz w:val="15"/>
          <w:szCs w:val="15"/>
          <w:color w:val="auto"/>
        </w:rPr>
      </w:pPr>
    </w:p>
    <w:p>
      <w:pPr>
        <w:ind w:left="920" w:right="3119" w:firstLine="459"/>
        <w:spacing w:after="0" w:line="251" w:lineRule="auto"/>
        <w:tabs>
          <w:tab w:leader="none" w:pos="184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participation in any business venture not contemplated by this Agreement or any extraordinary expense or purchase of capital items exceeding $50,000 in any 12 month period; and</w:t>
      </w:r>
    </w:p>
    <w:p>
      <w:pPr>
        <w:spacing w:after="0" w:line="176" w:lineRule="exact"/>
        <w:rPr>
          <w:rFonts w:ascii="Courier New" w:cs="Courier New" w:eastAsia="Courier New" w:hAnsi="Courier New"/>
          <w:sz w:val="15"/>
          <w:szCs w:val="15"/>
          <w:color w:val="auto"/>
        </w:rPr>
      </w:pPr>
    </w:p>
    <w:p>
      <w:pPr>
        <w:ind w:left="3600" w:hanging="191"/>
        <w:spacing w:after="0"/>
        <w:tabs>
          <w:tab w:leader="none" w:pos="3600" w:val="left"/>
        </w:tabs>
        <w:numPr>
          <w:ilvl w:val="1"/>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19"/>
          </w:cols>
          <w:pgMar w:left="240" w:top="650" w:right="1440" w:bottom="1440" w:gutter="0" w:footer="0" w:header="0"/>
        </w:sectPr>
      </w:pPr>
    </w:p>
    <w:bookmarkStart w:id="210" w:name="page211"/>
    <w:bookmarkEnd w:id="210"/>
    <w:p>
      <w:pPr>
        <w:ind w:left="920" w:right="3299" w:firstLine="459"/>
        <w:spacing w:after="0" w:line="251" w:lineRule="auto"/>
        <w:tabs>
          <w:tab w:leader="none" w:pos="1843"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the Joint Venture to IMS or any affiliate or subsidiary thereof of a management fee, home office fee, or any extraordinary fee not specifically provided in the Joint Venture Agreement.</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7.4. Liability of Joint Venturers to Other Joint Venturer and the Joint</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Venture.</w:t>
        <w:tab/>
        <w:t>Neither Joint Venturer shall be liable to the other Joint Venturer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because any taxing authorities disallow or adjust any deductions or credits in the Joint Venture income tax returns. In addition, the doing of any act or the omission to do any act by either Joint Venturer, the effect of which may cause or result in loss or damage to the Joint Venture, if done in good faith and otherwise in accordance with the terms of this Agreement, shall not subject such Joint Venturer to any liability. The Joint Venture will indemnify and hold harmless each Joint Venturer and its successors and assigns from any claim, loss, expense, liability, action or damage resulting from any act or omission in connection with Joint Venture affairs, including, without limitation, reasonable costs and expenses of litigation, except where the same is due to or arising out of the fraud, bad faith or gross negligence of the Joint Venturer.</w:t>
      </w:r>
    </w:p>
    <w:p>
      <w:pPr>
        <w:spacing w:after="0" w:line="182" w:lineRule="exact"/>
        <w:rPr>
          <w:sz w:val="20"/>
          <w:szCs w:val="20"/>
          <w:color w:val="auto"/>
        </w:rPr>
      </w:pPr>
    </w:p>
    <w:p>
      <w:pPr>
        <w:ind w:left="820" w:hanging="364"/>
        <w:spacing w:after="0"/>
        <w:tabs>
          <w:tab w:leader="none" w:pos="820"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Responsibilities of the Joint Venturers.</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980" w:val="left"/>
        </w:tabs>
        <w:rPr>
          <w:sz w:val="20"/>
          <w:szCs w:val="20"/>
          <w:color w:val="auto"/>
        </w:rPr>
      </w:pPr>
      <w:r>
        <w:rPr>
          <w:rFonts w:ascii="Courier New" w:cs="Courier New" w:eastAsia="Courier New" w:hAnsi="Courier New"/>
          <w:sz w:val="15"/>
          <w:szCs w:val="15"/>
          <w:color w:val="auto"/>
        </w:rPr>
        <w:t>8.1.</w:t>
        <w:tab/>
        <w:t>IMS--NET.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2939" w:firstLine="461"/>
        <w:spacing w:after="0" w:line="251" w:lineRule="auto"/>
        <w:rPr>
          <w:sz w:val="20"/>
          <w:szCs w:val="20"/>
          <w:color w:val="auto"/>
        </w:rPr>
      </w:pPr>
      <w:r>
        <w:rPr>
          <w:rFonts w:ascii="Courier New" w:cs="Courier New" w:eastAsia="Courier New" w:hAnsi="Courier New"/>
          <w:sz w:val="15"/>
          <w:szCs w:val="15"/>
          <w:color w:val="auto"/>
        </w:rPr>
        <w:t>8.1.1. IMS--NET will be solely responsible for funding all marketing expenses associated with the recruiting, servicing and billing of National Sponsors. IMS--NET shall receive all revenues from National Sponsors and, after deducting 25% of such revenue as its compensation, shall promptly transmit the balance to the Joint Venture.</w:t>
      </w:r>
    </w:p>
    <w:p>
      <w:pPr>
        <w:spacing w:after="0" w:line="176" w:lineRule="exact"/>
        <w:rPr>
          <w:sz w:val="20"/>
          <w:szCs w:val="20"/>
          <w:color w:val="auto"/>
        </w:rPr>
      </w:pPr>
    </w:p>
    <w:p>
      <w:pPr>
        <w:ind w:left="460" w:right="2939" w:firstLine="461"/>
        <w:spacing w:after="0" w:line="250" w:lineRule="auto"/>
        <w:rPr>
          <w:sz w:val="20"/>
          <w:szCs w:val="20"/>
          <w:color w:val="auto"/>
        </w:rPr>
      </w:pPr>
      <w:r>
        <w:rPr>
          <w:rFonts w:ascii="Courier New" w:cs="Courier New" w:eastAsia="Courier New" w:hAnsi="Courier New"/>
          <w:sz w:val="15"/>
          <w:szCs w:val="15"/>
          <w:color w:val="auto"/>
        </w:rPr>
        <w:t>8.1.2. Pursuant to the provisions of the Software License Agreement, IMS--NET shall enter into the Escrow Agreement attached as an exhibit to the Software License Agreement which is Exhibit B to this Agreement.</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2839" w:firstLine="461"/>
        <w:spacing w:after="0" w:line="251" w:lineRule="auto"/>
        <w:rPr>
          <w:sz w:val="20"/>
          <w:szCs w:val="20"/>
          <w:color w:val="auto"/>
        </w:rPr>
      </w:pPr>
      <w:r>
        <w:rPr>
          <w:rFonts w:ascii="Courier New" w:cs="Courier New" w:eastAsia="Courier New" w:hAnsi="Courier New"/>
          <w:sz w:val="15"/>
          <w:szCs w:val="15"/>
          <w:color w:val="auto"/>
        </w:rPr>
        <w:t>8.1.3. IMS--NET shall make available to the Joint Venture and the Network any improvements in the technology or business practices reasonably available to IMS--NET through its affiliated entities which would improve the operation of the Joint Venture or the Networks.</w:t>
      </w:r>
    </w:p>
    <w:p>
      <w:pPr>
        <w:spacing w:after="0" w:line="176" w:lineRule="exact"/>
        <w:rPr>
          <w:sz w:val="20"/>
          <w:szCs w:val="20"/>
          <w:color w:val="auto"/>
        </w:rPr>
      </w:pPr>
    </w:p>
    <w:p>
      <w:pPr>
        <w:ind w:left="460"/>
        <w:spacing w:after="0"/>
        <w:tabs>
          <w:tab w:leader="none" w:pos="980" w:val="left"/>
          <w:tab w:leader="none" w:pos="3660" w:val="left"/>
        </w:tabs>
        <w:rPr>
          <w:sz w:val="20"/>
          <w:szCs w:val="20"/>
          <w:color w:val="auto"/>
        </w:rPr>
      </w:pPr>
      <w:r>
        <w:rPr>
          <w:rFonts w:ascii="Courier New" w:cs="Courier New" w:eastAsia="Courier New" w:hAnsi="Courier New"/>
          <w:sz w:val="15"/>
          <w:szCs w:val="15"/>
          <w:color w:val="auto"/>
        </w:rPr>
        <w:t>8.2.</w:t>
        <w:tab/>
        <w:t>Responsibilities of BCBSAZ.</w:t>
        <w:tab/>
        <w:t>Any additional responsibilities or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duties of BCBSAZ other than as described elsewhere in this Agreement or in an agreement referred to herein, shall be subject to unanimous approval of the Joint Venturers.</w:t>
      </w:r>
    </w:p>
    <w:p>
      <w:pPr>
        <w:spacing w:after="0" w:line="175" w:lineRule="exact"/>
        <w:rPr>
          <w:sz w:val="20"/>
          <w:szCs w:val="20"/>
          <w:color w:val="auto"/>
        </w:rPr>
      </w:pPr>
    </w:p>
    <w:p>
      <w:pPr>
        <w:ind w:left="820" w:hanging="364"/>
        <w:spacing w:after="0"/>
        <w:tabs>
          <w:tab w:leader="none" w:pos="8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BCBSAZ and IMS--NET each, for itself</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alone, warrants and represents that: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19"/>
          </w:cols>
          <w:pgMar w:left="240" w:top="650" w:right="1440" w:bottom="1440" w:gutter="0" w:footer="0" w:header="0"/>
        </w:sectPr>
      </w:pPr>
    </w:p>
    <w:bookmarkStart w:id="211" w:name="page212"/>
    <w:bookmarkEnd w:id="211"/>
    <w:p>
      <w:pPr>
        <w:ind w:left="464"/>
        <w:spacing w:after="0"/>
        <w:tabs>
          <w:tab w:leader="none" w:pos="3024" w:val="left"/>
        </w:tabs>
        <w:rPr>
          <w:sz w:val="20"/>
          <w:szCs w:val="20"/>
          <w:color w:val="auto"/>
        </w:rPr>
      </w:pPr>
      <w:r>
        <w:rPr>
          <w:rFonts w:ascii="Courier New" w:cs="Courier New" w:eastAsia="Courier New" w:hAnsi="Courier New"/>
          <w:sz w:val="15"/>
          <w:szCs w:val="15"/>
          <w:color w:val="auto"/>
        </w:rPr>
        <w:t>9.1. Content of Agreement.</w:t>
        <w:tab/>
        <w:t>Each has carefully read and understands</w:t>
      </w:r>
    </w:p>
    <w:p>
      <w:pPr>
        <w:spacing w:after="0" w:line="8" w:lineRule="exact"/>
        <w:rPr>
          <w:sz w:val="20"/>
          <w:szCs w:val="20"/>
          <w:color w:val="auto"/>
        </w:rPr>
      </w:pPr>
    </w:p>
    <w:p>
      <w:pPr>
        <w:ind w:left="92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the content of this Agreement.</w:t>
      </w:r>
    </w:p>
    <w:p>
      <w:pPr>
        <w:spacing w:after="0" w:line="185" w:lineRule="exact"/>
        <w:rPr>
          <w:sz w:val="20"/>
          <w:szCs w:val="20"/>
          <w:color w:val="auto"/>
        </w:rPr>
      </w:pPr>
    </w:p>
    <w:p>
      <w:pPr>
        <w:ind w:left="644"/>
        <w:spacing w:after="0"/>
        <w:tabs>
          <w:tab w:leader="none" w:pos="2744" w:val="left"/>
        </w:tabs>
        <w:rPr>
          <w:sz w:val="20"/>
          <w:szCs w:val="20"/>
          <w:color w:val="auto"/>
        </w:rPr>
      </w:pPr>
      <w:r>
        <w:rPr>
          <w:rFonts w:ascii="Courier New" w:cs="Courier New" w:eastAsia="Courier New" w:hAnsi="Courier New"/>
          <w:sz w:val="15"/>
          <w:szCs w:val="15"/>
          <w:color w:val="auto"/>
        </w:rPr>
        <w:t>9.2. Financial Risks.</w:t>
        <w:tab/>
        <w:t>Each understands the financial risks involved</w:t>
      </w:r>
    </w:p>
    <w:p>
      <w:pPr>
        <w:spacing w:after="0" w:line="8" w:lineRule="exact"/>
        <w:rPr>
          <w:sz w:val="20"/>
          <w:szCs w:val="20"/>
          <w:color w:val="auto"/>
        </w:rPr>
      </w:pPr>
    </w:p>
    <w:p>
      <w:pPr>
        <w:ind w:left="64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2" w:lineRule="auto"/>
        <w:rPr>
          <w:sz w:val="20"/>
          <w:szCs w:val="20"/>
          <w:color w:val="auto"/>
        </w:rPr>
      </w:pPr>
      <w:r>
        <w:rPr>
          <w:rFonts w:ascii="Courier New" w:cs="Courier New" w:eastAsia="Courier New" w:hAnsi="Courier New"/>
          <w:sz w:val="15"/>
          <w:szCs w:val="15"/>
          <w:color w:val="auto"/>
        </w:rPr>
        <w:t>in this investment, which could result in a substantial or complete loss of its investment. Each can assume a high degree of risk in making such an investment and can afford the loss of its entire investment.</w:t>
      </w:r>
    </w:p>
    <w:p>
      <w:pPr>
        <w:spacing w:after="0" w:line="175" w:lineRule="exact"/>
        <w:rPr>
          <w:sz w:val="20"/>
          <w:szCs w:val="20"/>
          <w:color w:val="auto"/>
        </w:rPr>
      </w:pPr>
    </w:p>
    <w:p>
      <w:pPr>
        <w:ind w:left="464"/>
        <w:spacing w:after="0"/>
        <w:tabs>
          <w:tab w:leader="none" w:pos="3304" w:val="left"/>
        </w:tabs>
        <w:rPr>
          <w:sz w:val="20"/>
          <w:szCs w:val="20"/>
          <w:color w:val="auto"/>
        </w:rPr>
      </w:pPr>
      <w:r>
        <w:rPr>
          <w:rFonts w:ascii="Courier New" w:cs="Courier New" w:eastAsia="Courier New" w:hAnsi="Courier New"/>
          <w:sz w:val="15"/>
          <w:szCs w:val="15"/>
          <w:color w:val="auto"/>
        </w:rPr>
        <w:t>9.3. Reliance on Own Counsel.</w:t>
        <w:tab/>
        <w:t>Each, in evaluating the merits of an</w:t>
      </w:r>
    </w:p>
    <w:p>
      <w:pPr>
        <w:spacing w:after="0" w:line="8" w:lineRule="exact"/>
        <w:rPr>
          <w:sz w:val="20"/>
          <w:szCs w:val="20"/>
          <w:color w:val="auto"/>
        </w:rPr>
      </w:pPr>
    </w:p>
    <w:p>
      <w:pPr>
        <w:ind w:left="92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939"/>
        <w:spacing w:after="0" w:line="251" w:lineRule="auto"/>
        <w:rPr>
          <w:sz w:val="20"/>
          <w:szCs w:val="20"/>
          <w:color w:val="auto"/>
        </w:rPr>
      </w:pPr>
      <w:r>
        <w:rPr>
          <w:rFonts w:ascii="Courier New" w:cs="Courier New" w:eastAsia="Courier New" w:hAnsi="Courier New"/>
          <w:sz w:val="15"/>
          <w:szCs w:val="15"/>
          <w:color w:val="auto"/>
        </w:rPr>
        <w:t>investment in the Joint Venture has relied, to the extent each deems necessary, on the advice of its own personal accountant and tax and legal counsel. Each acknowledges that neither the Joint Venture nor its counsel has provided any tax opinion or other legal advice in connection with this offering.</w:t>
      </w:r>
    </w:p>
    <w:p>
      <w:pPr>
        <w:spacing w:after="0" w:line="176" w:lineRule="exact"/>
        <w:rPr>
          <w:sz w:val="20"/>
          <w:szCs w:val="20"/>
          <w:color w:val="auto"/>
        </w:rPr>
      </w:pPr>
    </w:p>
    <w:p>
      <w:pPr>
        <w:ind w:left="464"/>
        <w:spacing w:after="0"/>
        <w:tabs>
          <w:tab w:leader="none" w:pos="4224" w:val="left"/>
        </w:tabs>
        <w:rPr>
          <w:sz w:val="20"/>
          <w:szCs w:val="20"/>
          <w:color w:val="auto"/>
        </w:rPr>
      </w:pPr>
      <w:r>
        <w:rPr>
          <w:rFonts w:ascii="Courier New" w:cs="Courier New" w:eastAsia="Courier New" w:hAnsi="Courier New"/>
          <w:sz w:val="15"/>
          <w:szCs w:val="15"/>
          <w:color w:val="auto"/>
        </w:rPr>
        <w:t>9.4. Business and Financial Experience.</w:t>
        <w:tab/>
        <w:t>Each, by reason of their</w:t>
      </w:r>
    </w:p>
    <w:p>
      <w:pPr>
        <w:spacing w:after="0" w:line="8" w:lineRule="exact"/>
        <w:rPr>
          <w:sz w:val="20"/>
          <w:szCs w:val="20"/>
          <w:color w:val="auto"/>
        </w:rPr>
      </w:pPr>
    </w:p>
    <w:p>
      <w:pPr>
        <w:ind w:left="92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1" w:lineRule="auto"/>
        <w:rPr>
          <w:sz w:val="20"/>
          <w:szCs w:val="20"/>
          <w:color w:val="auto"/>
        </w:rPr>
      </w:pPr>
      <w:r>
        <w:rPr>
          <w:rFonts w:ascii="Courier New" w:cs="Courier New" w:eastAsia="Courier New" w:hAnsi="Courier New"/>
          <w:sz w:val="15"/>
          <w:szCs w:val="15"/>
          <w:color w:val="auto"/>
        </w:rPr>
        <w:t>business and financial experience or the business and financial experience of their professional advisors who are unaffiliated with the Joint Venture, believe that they have the capacity to protect their own interests in connection with this offering.</w:t>
      </w:r>
    </w:p>
    <w:p>
      <w:pPr>
        <w:spacing w:after="0" w:line="176" w:lineRule="exact"/>
        <w:rPr>
          <w:sz w:val="20"/>
          <w:szCs w:val="20"/>
          <w:color w:val="auto"/>
        </w:rPr>
      </w:pPr>
    </w:p>
    <w:p>
      <w:pPr>
        <w:ind w:left="464"/>
        <w:spacing w:after="0"/>
        <w:tabs>
          <w:tab w:leader="none" w:pos="3944" w:val="left"/>
        </w:tabs>
        <w:rPr>
          <w:sz w:val="20"/>
          <w:szCs w:val="20"/>
          <w:color w:val="auto"/>
        </w:rPr>
      </w:pPr>
      <w:r>
        <w:rPr>
          <w:rFonts w:ascii="Courier New" w:cs="Courier New" w:eastAsia="Courier New" w:hAnsi="Courier New"/>
          <w:sz w:val="15"/>
          <w:szCs w:val="15"/>
          <w:color w:val="auto"/>
        </w:rPr>
        <w:t>9.5. Due Organization and Authority.</w:t>
        <w:tab/>
        <w:t>Each is duly organized, validly</w:t>
      </w:r>
    </w:p>
    <w:p>
      <w:pPr>
        <w:spacing w:after="0" w:line="8" w:lineRule="exact"/>
        <w:rPr>
          <w:sz w:val="20"/>
          <w:szCs w:val="20"/>
          <w:color w:val="auto"/>
        </w:rPr>
      </w:pPr>
    </w:p>
    <w:p>
      <w:pPr>
        <w:ind w:left="92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939"/>
        <w:spacing w:after="0" w:line="253" w:lineRule="auto"/>
        <w:rPr>
          <w:sz w:val="20"/>
          <w:szCs w:val="20"/>
          <w:color w:val="auto"/>
        </w:rPr>
      </w:pPr>
      <w:r>
        <w:rPr>
          <w:rFonts w:ascii="Courier New" w:cs="Courier New" w:eastAsia="Courier New" w:hAnsi="Courier New"/>
          <w:sz w:val="15"/>
          <w:szCs w:val="15"/>
          <w:color w:val="auto"/>
        </w:rPr>
        <w:t>existing and in good standing in the state of its incorporation and possesses all necessary powers and authority to enter into this Agreement.</w:t>
      </w:r>
    </w:p>
    <w:p>
      <w:pPr>
        <w:spacing w:after="0" w:line="174" w:lineRule="exact"/>
        <w:rPr>
          <w:sz w:val="20"/>
          <w:szCs w:val="20"/>
          <w:color w:val="auto"/>
        </w:rPr>
      </w:pPr>
    </w:p>
    <w:p>
      <w:pPr>
        <w:ind w:left="464" w:hanging="464"/>
        <w:spacing w:after="0"/>
        <w:tabs>
          <w:tab w:leader="none" w:pos="46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Certain Expenses.</w:t>
      </w:r>
    </w:p>
    <w:p>
      <w:pPr>
        <w:spacing w:after="0" w:line="7"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4"/>
        <w:spacing w:after="0"/>
        <w:tabs>
          <w:tab w:leader="none" w:pos="1084" w:val="left"/>
          <w:tab w:leader="none" w:pos="3304" w:val="left"/>
        </w:tabs>
        <w:rPr>
          <w:sz w:val="20"/>
          <w:szCs w:val="20"/>
          <w:color w:val="auto"/>
        </w:rPr>
      </w:pPr>
      <w:r>
        <w:rPr>
          <w:rFonts w:ascii="Courier New" w:cs="Courier New" w:eastAsia="Courier New" w:hAnsi="Courier New"/>
          <w:sz w:val="15"/>
          <w:szCs w:val="15"/>
          <w:color w:val="auto"/>
        </w:rPr>
        <w:t>10.1.</w:t>
        <w:tab/>
        <w:t>Reimbursable Expenses.</w:t>
        <w:tab/>
        <w:t>BCBSAZ and IMS--NET agree to cause the</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1" w:lineRule="auto"/>
        <w:rPr>
          <w:sz w:val="20"/>
          <w:szCs w:val="20"/>
          <w:color w:val="auto"/>
        </w:rPr>
      </w:pPr>
      <w:r>
        <w:rPr>
          <w:rFonts w:ascii="Courier New" w:cs="Courier New" w:eastAsia="Courier New" w:hAnsi="Courier New"/>
          <w:sz w:val="15"/>
          <w:szCs w:val="15"/>
          <w:color w:val="auto"/>
        </w:rPr>
        <w:t>Joint Venture either to pay or reimburse BCBSAZ or IMS--NET, as the case may be, only for such filing fees, costs, prepaid franchise taxes or other expenses directly incurred in organizing or registering the Joint Venture as a limited partnership in good standing with the state of Arizona, and any county or local government department or agency necessary or convenient to the operation of the Joint Venture as contemplated by this Agreement.</w:t>
      </w:r>
    </w:p>
    <w:p>
      <w:pPr>
        <w:spacing w:after="0" w:line="176" w:lineRule="exact"/>
        <w:rPr>
          <w:sz w:val="20"/>
          <w:szCs w:val="20"/>
          <w:color w:val="auto"/>
        </w:rPr>
      </w:pPr>
    </w:p>
    <w:p>
      <w:pPr>
        <w:ind w:left="464"/>
        <w:spacing w:after="0"/>
        <w:tabs>
          <w:tab w:leader="none" w:pos="1084" w:val="left"/>
          <w:tab w:leader="none" w:pos="3584" w:val="left"/>
        </w:tabs>
        <w:rPr>
          <w:sz w:val="20"/>
          <w:szCs w:val="20"/>
          <w:color w:val="auto"/>
        </w:rPr>
      </w:pPr>
      <w:r>
        <w:rPr>
          <w:rFonts w:ascii="Courier New" w:cs="Courier New" w:eastAsia="Courier New" w:hAnsi="Courier New"/>
          <w:sz w:val="15"/>
          <w:szCs w:val="15"/>
          <w:color w:val="auto"/>
        </w:rPr>
        <w:t>10.2.</w:t>
        <w:tab/>
        <w:t>Nonreimbursable Expenses.</w:t>
        <w:tab/>
        <w:t>BCBSAZ and IMS--NET agree that any</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939"/>
        <w:spacing w:after="0" w:line="251" w:lineRule="auto"/>
        <w:rPr>
          <w:sz w:val="20"/>
          <w:szCs w:val="20"/>
          <w:color w:val="auto"/>
        </w:rPr>
      </w:pPr>
      <w:r>
        <w:rPr>
          <w:rFonts w:ascii="Courier New" w:cs="Courier New" w:eastAsia="Courier New" w:hAnsi="Courier New"/>
          <w:sz w:val="15"/>
          <w:szCs w:val="15"/>
          <w:color w:val="auto"/>
        </w:rPr>
        <w:t>and all other expenses incurred by BCBSAZ and IMS--NET in organizing the Joint Venture other than as is expressly set forth in Section 10.1 above and in the Management Services Agreement shall not be reimbursable by the Joint Venture and shall be paid solely by the party incurring such expenses. Without limiting the generality of the foregoing, each party shall bear its own legal and accounting fees, travel, lodging, telephone and other out-of-pocket expenses involved in the negotiation, organization and formation of the Joint Venture.</w:t>
      </w:r>
    </w:p>
    <w:p>
      <w:pPr>
        <w:spacing w:after="0" w:line="175"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9763"/>
          </w:cols>
          <w:pgMar w:left="696" w:top="650" w:right="1440" w:bottom="1440" w:gutter="0" w:footer="0" w:header="0"/>
        </w:sectPr>
      </w:pPr>
    </w:p>
    <w:bookmarkStart w:id="212" w:name="page213"/>
    <w:bookmarkEnd w:id="212"/>
    <w:p>
      <w:pPr>
        <w:ind w:left="920" w:hanging="464"/>
        <w:spacing w:after="0"/>
        <w:tabs>
          <w:tab w:leader="none" w:pos="92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080" w:val="left"/>
          <w:tab w:leader="none" w:pos="2740" w:val="left"/>
        </w:tabs>
        <w:rPr>
          <w:sz w:val="20"/>
          <w:szCs w:val="20"/>
          <w:color w:val="auto"/>
        </w:rPr>
      </w:pPr>
      <w:r>
        <w:rPr>
          <w:rFonts w:ascii="Courier New" w:cs="Courier New" w:eastAsia="Courier New" w:hAnsi="Courier New"/>
          <w:sz w:val="15"/>
          <w:szCs w:val="15"/>
          <w:color w:val="auto"/>
        </w:rPr>
        <w:t>11.1.</w:t>
        <w:tab/>
        <w:t>Confidentiality.</w:t>
        <w:tab/>
        <w:t>The parties acknowledge that after execution of</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this Agreement, BCBSAZ and IMS--NET will each have access to certain confidential information and trade secrets which are proprietary to IMS--NET or BCBSAZ. Each party to this Agreement acknowledges that the unauthorized use of such information or the disclosure of any such information of the other party, or the disclosure of any such information, any part thereof belonging to the other party, to any unauthorized third party shall be injurious to the party whose confidential information and trade secrets are disclosed. Each party to this Agreement, on its own behalf and on behalf of its officers, directors and employees, by becoming a party to this Agreement, covenants and agrees that, except as authorized hereunder, they will not use or disclose to any unauthorized third party, information related to the Software, clients, marketing, research and development or other trade secrets or proprietary confidential information of the other party. Further, both IMS--NET and BCBSAZ agree to treat as confidential all Joint Venture information such as client lists, pricing information and related data and both acknowledge that unauthorized use of any such information would cause irreparable damage to the Joint Venture.</w:t>
      </w:r>
    </w:p>
    <w:p>
      <w:pPr>
        <w:spacing w:after="0" w:line="185" w:lineRule="exact"/>
        <w:rPr>
          <w:sz w:val="20"/>
          <w:szCs w:val="20"/>
          <w:color w:val="auto"/>
        </w:rPr>
      </w:pPr>
    </w:p>
    <w:p>
      <w:pPr>
        <w:ind w:left="460"/>
        <w:spacing w:after="0"/>
        <w:tabs>
          <w:tab w:leader="none" w:pos="1080" w:val="left"/>
          <w:tab w:leader="none" w:pos="3660" w:val="left"/>
        </w:tabs>
        <w:rPr>
          <w:sz w:val="20"/>
          <w:szCs w:val="20"/>
          <w:color w:val="auto"/>
        </w:rPr>
      </w:pPr>
      <w:r>
        <w:rPr>
          <w:rFonts w:ascii="Courier New" w:cs="Courier New" w:eastAsia="Courier New" w:hAnsi="Courier New"/>
          <w:sz w:val="15"/>
          <w:szCs w:val="15"/>
          <w:color w:val="auto"/>
        </w:rPr>
        <w:t>11.2.</w:t>
        <w:tab/>
        <w:t>Enforcement by Injunction.</w:t>
        <w:tab/>
        <w:t>The parties agree and acknowledge that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irrevocable harm and damage will be sustained by the party to whom the proprietary information and trade secrets belongs in the event that the other party or its officers, directors or employees violate or threatened to violate the provisions of Section 11.1 above. In the event of such a breach or threatened breach of Section 11.1, the party seeking to enforce Section 11.1 shall be entitled to have an injunction issued by any court of competent jurisdiction enjoining and restraining such breach. The seeking of an injunction shall not preclude such party from seeking such other remedies as may be available, including monetary damages.</w:t>
      </w:r>
    </w:p>
    <w:p>
      <w:pPr>
        <w:spacing w:after="0" w:line="175" w:lineRule="exact"/>
        <w:rPr>
          <w:sz w:val="20"/>
          <w:szCs w:val="20"/>
          <w:color w:val="auto"/>
        </w:rPr>
      </w:pPr>
    </w:p>
    <w:p>
      <w:pPr>
        <w:ind w:left="460"/>
        <w:spacing w:after="0"/>
        <w:tabs>
          <w:tab w:leader="none" w:pos="1080" w:val="left"/>
          <w:tab w:leader="none" w:pos="5240" w:val="left"/>
        </w:tabs>
        <w:rPr>
          <w:sz w:val="20"/>
          <w:szCs w:val="20"/>
          <w:color w:val="auto"/>
        </w:rPr>
      </w:pPr>
      <w:r>
        <w:rPr>
          <w:rFonts w:ascii="Courier New" w:cs="Courier New" w:eastAsia="Courier New" w:hAnsi="Courier New"/>
          <w:sz w:val="15"/>
          <w:szCs w:val="15"/>
          <w:color w:val="auto"/>
        </w:rPr>
        <w:t>11.3.</w:t>
        <w:tab/>
        <w:t>Enforcement by Injunction by Joint Venture.</w:t>
        <w:tab/>
        <w:t>The parties further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 and acknowledge that irrevocable harm and damage would be sustained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in the event that either BCBSAZ or its officers or directors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IMS--NET or its officers or directors or affiliates violate the provisions of</w:t>
      </w:r>
    </w:p>
    <w:p>
      <w:pPr>
        <w:spacing w:after="0" w:line="8"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5"/>
          <w:szCs w:val="15"/>
          <w:color w:val="auto"/>
        </w:rPr>
        <w:t>Section 11.1 above.</w:t>
        <w:tab/>
        <w:t>In the event of a breach or threatened breach of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11.1 by either BCBSAZ or IMS--NET, or both, then either Joint Venturer, acting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name and place of the Joint Venture shall be entitled to have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injunction issued by any court of competent jurisdiction enjoining and</w:t>
      </w:r>
    </w:p>
    <w:p>
      <w:pPr>
        <w:spacing w:after="0" w:line="8"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restraining such breach.</w:t>
        <w:tab/>
        <w:t>The seeking of an injunction shall not preclude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IMS--NET from seeking such other remedies as are available, including monetary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damages.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19"/>
          </w:cols>
          <w:pgMar w:left="240" w:top="650" w:right="1440" w:bottom="1440" w:gutter="0" w:footer="0" w:header="0"/>
        </w:sectPr>
      </w:pPr>
    </w:p>
    <w:bookmarkStart w:id="213" w:name="page214"/>
    <w:bookmarkEnd w:id="213"/>
    <w:p>
      <w:pPr>
        <w:ind w:left="464" w:hanging="464"/>
        <w:spacing w:after="0"/>
        <w:tabs>
          <w:tab w:leader="none" w:pos="464"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and Termination.</w:t>
      </w:r>
    </w:p>
    <w:p>
      <w:pPr>
        <w:spacing w:after="0" w:line="7"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
        <w:spacing w:after="0"/>
        <w:tabs>
          <w:tab w:leader="none" w:pos="624" w:val="left"/>
        </w:tabs>
        <w:rPr>
          <w:sz w:val="20"/>
          <w:szCs w:val="20"/>
          <w:color w:val="auto"/>
        </w:rPr>
      </w:pPr>
      <w:r>
        <w:rPr>
          <w:rFonts w:ascii="Courier New" w:cs="Courier New" w:eastAsia="Courier New" w:hAnsi="Courier New"/>
          <w:sz w:val="15"/>
          <w:szCs w:val="15"/>
          <w:color w:val="auto"/>
        </w:rPr>
        <w:t>12.1.</w:t>
        <w:tab/>
        <w:t>Events of Dissolution.</w:t>
      </w:r>
    </w:p>
    <w:p>
      <w:pPr>
        <w:spacing w:after="0" w:line="8" w:lineRule="exact"/>
        <w:rPr>
          <w:sz w:val="20"/>
          <w:szCs w:val="20"/>
          <w:color w:val="auto"/>
        </w:rPr>
      </w:pPr>
    </w:p>
    <w:p>
      <w:pPr>
        <w:ind w:left="644"/>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4" w:right="2839" w:firstLine="461"/>
        <w:spacing w:after="0" w:line="253" w:lineRule="auto"/>
        <w:rPr>
          <w:sz w:val="20"/>
          <w:szCs w:val="20"/>
          <w:color w:val="auto"/>
        </w:rPr>
      </w:pPr>
      <w:r>
        <w:rPr>
          <w:rFonts w:ascii="Courier New" w:cs="Courier New" w:eastAsia="Courier New" w:hAnsi="Courier New"/>
          <w:sz w:val="15"/>
          <w:szCs w:val="15"/>
          <w:color w:val="auto"/>
        </w:rPr>
        <w:t>12.1.1. The Joint Venture shall be terminated and dissolved upon the earlier to occur of the following:</w:t>
      </w:r>
    </w:p>
    <w:p>
      <w:pPr>
        <w:spacing w:after="0" w:line="174" w:lineRule="exact"/>
        <w:rPr>
          <w:sz w:val="20"/>
          <w:szCs w:val="20"/>
          <w:color w:val="auto"/>
        </w:rPr>
      </w:pPr>
    </w:p>
    <w:p>
      <w:pPr>
        <w:ind w:left="924" w:right="2839" w:firstLine="275"/>
        <w:spacing w:after="0" w:line="251" w:lineRule="auto"/>
        <w:tabs>
          <w:tab w:leader="none" w:pos="1662"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Joint Venturer shall be in material breach of this Agreement, in addition to such other remedies as may be available to the non-defaulting Joint Venturer under law, upon the election of such non-defaulting Joint Venturer after written notice of said material breach to the breaching Joint Venturer, which breach remains uncured for sixty (60) days after written notice of such breach;</w:t>
      </w:r>
    </w:p>
    <w:p>
      <w:pPr>
        <w:spacing w:after="0" w:line="175" w:lineRule="exact"/>
        <w:rPr>
          <w:rFonts w:ascii="Courier New" w:cs="Courier New" w:eastAsia="Courier New" w:hAnsi="Courier New"/>
          <w:sz w:val="15"/>
          <w:szCs w:val="15"/>
          <w:color w:val="auto"/>
        </w:rPr>
      </w:pPr>
    </w:p>
    <w:p>
      <w:pPr>
        <w:ind w:left="924" w:right="2939" w:firstLine="183"/>
        <w:spacing w:after="0" w:line="250" w:lineRule="auto"/>
        <w:tabs>
          <w:tab w:leader="none" w:pos="1662"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dissolution and commencement of winding up of either Joint Venturer, or upon either an adjudication of either Joint Venturer as bankrupt or insolvent, or upon the filing by either Joint Venturer of any petition under any chapter of the United States Bankruptcy Code or any other present or future applicable federal, state or other statute or law regarding bankruptcy, insolvency or other relief for debtors, or either Joint Venturer's seeking, or consenting to, or acquiescing in, the appointment of any trustee, receiver or liquidator of itself or of all, or any substantial portion of, its property or of its interest in the Joint Venture;</w:t>
      </w:r>
    </w:p>
    <w:p>
      <w:pPr>
        <w:spacing w:after="0" w:line="182" w:lineRule="exact"/>
        <w:rPr>
          <w:rFonts w:ascii="Courier New" w:cs="Courier New" w:eastAsia="Courier New" w:hAnsi="Courier New"/>
          <w:sz w:val="15"/>
          <w:szCs w:val="15"/>
          <w:color w:val="auto"/>
        </w:rPr>
      </w:pPr>
    </w:p>
    <w:p>
      <w:pPr>
        <w:ind w:left="1744" w:hanging="637"/>
        <w:spacing w:after="0"/>
        <w:tabs>
          <w:tab w:leader="none" w:pos="174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unanimous consent of the Joint Venturers; or</w:t>
      </w:r>
    </w:p>
    <w:p>
      <w:pPr>
        <w:spacing w:after="0" w:line="184" w:lineRule="exact"/>
        <w:rPr>
          <w:rFonts w:ascii="Courier New" w:cs="Courier New" w:eastAsia="Courier New" w:hAnsi="Courier New"/>
          <w:sz w:val="15"/>
          <w:szCs w:val="15"/>
          <w:color w:val="auto"/>
        </w:rPr>
      </w:pPr>
    </w:p>
    <w:p>
      <w:pPr>
        <w:ind w:left="1664" w:hanging="557"/>
        <w:spacing w:after="0"/>
        <w:tabs>
          <w:tab w:leader="none" w:pos="1664" w:val="left"/>
        </w:tabs>
        <w:numPr>
          <w:ilvl w:val="1"/>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date which is 40 years from the date of this Agreement.</w:t>
      </w:r>
    </w:p>
    <w:p>
      <w:pPr>
        <w:spacing w:after="0" w:line="185" w:lineRule="exact"/>
        <w:rPr>
          <w:sz w:val="20"/>
          <w:szCs w:val="20"/>
          <w:color w:val="auto"/>
        </w:rPr>
      </w:pPr>
    </w:p>
    <w:p>
      <w:pPr>
        <w:ind w:left="464" w:right="2939" w:firstLine="461"/>
        <w:spacing w:after="0" w:line="251" w:lineRule="auto"/>
        <w:rPr>
          <w:sz w:val="20"/>
          <w:szCs w:val="20"/>
          <w:color w:val="auto"/>
        </w:rPr>
      </w:pPr>
      <w:r>
        <w:rPr>
          <w:rFonts w:ascii="Courier New" w:cs="Courier New" w:eastAsia="Courier New" w:hAnsi="Courier New"/>
          <w:sz w:val="15"/>
          <w:szCs w:val="15"/>
          <w:color w:val="auto"/>
        </w:rPr>
        <w:t>12.1.2. Dissolution of the Joint Venture shall be effective on the day on which the event occurs giving rise to the dissolution, but the Joint Venture shall not terminate until the assets of the Joint Venture shall have been distributed as provided herein. Notwithstanding the dissolution of the Joint Venture, prior to the termination of the Joint Venture as aforesaid, the business of the Joint Venture and the affairs of the Joint Venturers, as such, shall continue to be governed by this Agreement.</w:t>
      </w:r>
    </w:p>
    <w:p>
      <w:pPr>
        <w:spacing w:after="0" w:line="175" w:lineRule="exact"/>
        <w:rPr>
          <w:sz w:val="20"/>
          <w:szCs w:val="20"/>
          <w:color w:val="auto"/>
        </w:rPr>
      </w:pPr>
    </w:p>
    <w:p>
      <w:pPr>
        <w:ind w:left="464" w:right="3119" w:firstLine="461"/>
        <w:spacing w:after="0" w:line="251" w:lineRule="auto"/>
        <w:rPr>
          <w:sz w:val="20"/>
          <w:szCs w:val="20"/>
          <w:color w:val="auto"/>
        </w:rPr>
      </w:pPr>
      <w:r>
        <w:rPr>
          <w:rFonts w:ascii="Courier New" w:cs="Courier New" w:eastAsia="Courier New" w:hAnsi="Courier New"/>
          <w:sz w:val="15"/>
          <w:szCs w:val="15"/>
          <w:color w:val="auto"/>
        </w:rPr>
        <w:t>12.1.3. Dissolution shall not be caused by the admission of a new limited partner to the Joint Venture; any such admission (other than admission of IMS as contemplated by Section 6.7 above) shall occur only upon unanimous consent of the Joint Venturers.</w:t>
      </w:r>
    </w:p>
    <w:p>
      <w:pPr>
        <w:spacing w:after="0" w:line="176"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9763"/>
          </w:cols>
          <w:pgMar w:left="696" w:top="650" w:right="1440" w:bottom="1440" w:gutter="0" w:footer="0" w:header="0"/>
        </w:sectPr>
      </w:pPr>
    </w:p>
    <w:bookmarkStart w:id="214" w:name="page215"/>
    <w:bookmarkEnd w:id="214"/>
    <w:p>
      <w:pPr>
        <w:ind w:left="460"/>
        <w:spacing w:after="0"/>
        <w:tabs>
          <w:tab w:leader="none" w:pos="1080" w:val="left"/>
          <w:tab w:leader="none" w:pos="3300" w:val="left"/>
        </w:tabs>
        <w:rPr>
          <w:sz w:val="20"/>
          <w:szCs w:val="20"/>
          <w:color w:val="auto"/>
        </w:rPr>
      </w:pPr>
      <w:r>
        <w:rPr>
          <w:rFonts w:ascii="Courier New" w:cs="Courier New" w:eastAsia="Courier New" w:hAnsi="Courier New"/>
          <w:sz w:val="15"/>
          <w:szCs w:val="15"/>
          <w:color w:val="auto"/>
        </w:rPr>
        <w:t>12.2.</w:t>
        <w:tab/>
        <w:t>Liquidation of Assets.</w:t>
        <w:tab/>
        <w:t>Upon dissolution, the Managing Venturer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shall liquidate the assets of the Joint Venture, and apply and distribute the proceeds thereof as contemplated by this Agreement.</w:t>
      </w:r>
    </w:p>
    <w:p>
      <w:pPr>
        <w:spacing w:after="0" w:line="174" w:lineRule="exact"/>
        <w:rPr>
          <w:sz w:val="20"/>
          <w:szCs w:val="20"/>
          <w:color w:val="auto"/>
        </w:rPr>
      </w:pPr>
    </w:p>
    <w:p>
      <w:pPr>
        <w:ind w:left="460"/>
        <w:spacing w:after="0"/>
        <w:tabs>
          <w:tab w:leader="none" w:pos="1080" w:val="left"/>
        </w:tabs>
        <w:rPr>
          <w:sz w:val="20"/>
          <w:szCs w:val="20"/>
          <w:color w:val="auto"/>
        </w:rPr>
      </w:pPr>
      <w:r>
        <w:rPr>
          <w:rFonts w:ascii="Courier New" w:cs="Courier New" w:eastAsia="Courier New" w:hAnsi="Courier New"/>
          <w:sz w:val="15"/>
          <w:szCs w:val="15"/>
          <w:color w:val="auto"/>
        </w:rPr>
        <w:t>12.3.</w:t>
        <w:tab/>
        <w:t>Distributions Upon Liquidation.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920" w:right="2839" w:firstLine="461"/>
        <w:spacing w:after="0" w:line="251" w:lineRule="auto"/>
        <w:rPr>
          <w:sz w:val="20"/>
          <w:szCs w:val="20"/>
          <w:color w:val="auto"/>
        </w:rPr>
      </w:pPr>
      <w:r>
        <w:rPr>
          <w:rFonts w:ascii="Courier New" w:cs="Courier New" w:eastAsia="Courier New" w:hAnsi="Courier New"/>
          <w:sz w:val="15"/>
          <w:szCs w:val="15"/>
          <w:color w:val="auto"/>
        </w:rPr>
        <w:t>12.3.1. After payment of liabilities owing to creditors, the Managing Venturer shall set up such reserves as it deems reasonably necessary for any contingent or unforeseen liabilities or obligations of the Joint Venture. Said reserves may be paid over by the Managing Venturer to a bank, to be held in escrow for the purpose of paying any such contingent or unforseen liabilities or obligations and, at the expiration of such period as the Managing Venturer may deem advisable, such reserves shall be distributed to the Joint Venturers or their assigns in the manner set forth in paragraph 12.3.2 below.</w:t>
      </w:r>
    </w:p>
    <w:p>
      <w:pPr>
        <w:spacing w:after="0" w:line="175" w:lineRule="exact"/>
        <w:rPr>
          <w:sz w:val="20"/>
          <w:szCs w:val="20"/>
          <w:color w:val="auto"/>
        </w:rPr>
      </w:pPr>
    </w:p>
    <w:p>
      <w:pPr>
        <w:ind w:left="920" w:right="2939" w:firstLine="461"/>
        <w:spacing w:after="0" w:line="250" w:lineRule="auto"/>
        <w:rPr>
          <w:sz w:val="20"/>
          <w:szCs w:val="20"/>
          <w:color w:val="auto"/>
        </w:rPr>
      </w:pPr>
      <w:r>
        <w:rPr>
          <w:rFonts w:ascii="Courier New" w:cs="Courier New" w:eastAsia="Courier New" w:hAnsi="Courier New"/>
          <w:sz w:val="15"/>
          <w:szCs w:val="15"/>
          <w:color w:val="auto"/>
        </w:rPr>
        <w:t>12.3.2. After paying such liabilities and providing for such reserves, the Managing Venturer shall cause the remaining net assets of the Joint Venture to be distributed to the Joint Venturers in respect of the positive balances in their capital accounts in compliance with Treasury Regulations Section 1.704-1(b)(2)(ii)(b)(2), and if any Joint Venturer's capital account has a deficit balance (after giving effect to all contributions, distributions and allocations for all taxable years, including the year in which such liquidation occurs), such Joint Venturer shall contribute to the capital of the Joint Venture the amount necessary to restore such deficit balance to zero in compliance with Treasury Regulations Section 1.701(b)(2)(ii)(b)(3).</w:t>
      </w:r>
    </w:p>
    <w:p>
      <w:pPr>
        <w:spacing w:after="0" w:line="183" w:lineRule="exact"/>
        <w:rPr>
          <w:sz w:val="20"/>
          <w:szCs w:val="20"/>
          <w:color w:val="auto"/>
        </w:rPr>
      </w:pPr>
    </w:p>
    <w:p>
      <w:pPr>
        <w:ind w:left="460"/>
        <w:spacing w:after="0"/>
        <w:tabs>
          <w:tab w:leader="none" w:pos="1080" w:val="left"/>
          <w:tab w:leader="none" w:pos="2280" w:val="left"/>
        </w:tabs>
        <w:rPr>
          <w:sz w:val="20"/>
          <w:szCs w:val="20"/>
          <w:color w:val="auto"/>
        </w:rPr>
      </w:pPr>
      <w:r>
        <w:rPr>
          <w:rFonts w:ascii="Courier New" w:cs="Courier New" w:eastAsia="Courier New" w:hAnsi="Courier New"/>
          <w:sz w:val="15"/>
          <w:szCs w:val="15"/>
          <w:color w:val="auto"/>
        </w:rPr>
        <w:t>12.4.</w:t>
        <w:tab/>
        <w:t>Valuations.</w:t>
        <w:tab/>
        <w:t>For the purposes of valuing the assets of the Joint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Venture for distribution as contemplated in Section 14 hereof, the Joint Venture's assets shall be deemed to be sold at their fair market value and the resulting profits and losses shall be allocated to the Joint Venturers capital accounts in accordance with Section 5 hereof.</w:t>
      </w:r>
    </w:p>
    <w:p>
      <w:pPr>
        <w:spacing w:after="0" w:line="176" w:lineRule="exact"/>
        <w:rPr>
          <w:sz w:val="20"/>
          <w:szCs w:val="20"/>
          <w:color w:val="auto"/>
        </w:rPr>
      </w:pPr>
    </w:p>
    <w:p>
      <w:pPr>
        <w:ind w:left="920" w:hanging="464"/>
        <w:spacing w:after="0"/>
        <w:tabs>
          <w:tab w:leader="none" w:pos="92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Not to Compete.  In the event IMS--NET acquires all of</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BCBSAZ's interest in the Joint Venture as described in Section 6.7, BCBSAZ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IMS--NET hereby mutually covenant and agree:</w:t>
      </w:r>
    </w:p>
    <w:p>
      <w:pPr>
        <w:spacing w:after="0" w:line="185" w:lineRule="exact"/>
        <w:rPr>
          <w:sz w:val="20"/>
          <w:szCs w:val="20"/>
          <w:color w:val="auto"/>
        </w:rPr>
      </w:pPr>
    </w:p>
    <w:p>
      <w:pPr>
        <w:ind w:left="1380"/>
        <w:spacing w:after="0"/>
        <w:tabs>
          <w:tab w:leader="none" w:pos="2000" w:val="left"/>
          <w:tab w:leader="none" w:pos="4500" w:val="left"/>
        </w:tabs>
        <w:rPr>
          <w:sz w:val="20"/>
          <w:szCs w:val="20"/>
          <w:color w:val="auto"/>
        </w:rPr>
      </w:pPr>
      <w:r>
        <w:rPr>
          <w:rFonts w:ascii="Courier New" w:cs="Courier New" w:eastAsia="Courier New" w:hAnsi="Courier New"/>
          <w:sz w:val="15"/>
          <w:szCs w:val="15"/>
          <w:color w:val="auto"/>
        </w:rPr>
        <w:t>13.1.</w:t>
        <w:tab/>
        <w:t>No Competition by BCBSAZ.</w:t>
        <w:tab/>
        <w:t>During the term of this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right="2839"/>
        <w:spacing w:after="0" w:line="252" w:lineRule="auto"/>
        <w:rPr>
          <w:sz w:val="20"/>
          <w:szCs w:val="20"/>
          <w:color w:val="auto"/>
        </w:rPr>
      </w:pPr>
      <w:r>
        <w:rPr>
          <w:rFonts w:ascii="Courier New" w:cs="Courier New" w:eastAsia="Courier New" w:hAnsi="Courier New"/>
          <w:sz w:val="15"/>
          <w:szCs w:val="15"/>
          <w:color w:val="auto"/>
        </w:rPr>
        <w:t>Agreement and for three (3) years after the date on which all of BCBSAZ's interest in this Agreement is exchanged by BCBSAZ for common stock of IMS as described above, BCBSAZ and IMS--NET agree as follows:</w:t>
      </w:r>
    </w:p>
    <w:p>
      <w:pPr>
        <w:spacing w:after="0" w:line="175" w:lineRule="exact"/>
        <w:rPr>
          <w:sz w:val="20"/>
          <w:szCs w:val="20"/>
          <w:color w:val="auto"/>
        </w:rPr>
      </w:pPr>
    </w:p>
    <w:p>
      <w:pPr>
        <w:jc w:val="both"/>
        <w:ind w:left="1380" w:right="3019" w:firstLine="461"/>
        <w:spacing w:after="0" w:line="252" w:lineRule="auto"/>
        <w:rPr>
          <w:sz w:val="20"/>
          <w:szCs w:val="20"/>
          <w:color w:val="auto"/>
        </w:rPr>
      </w:pPr>
      <w:r>
        <w:rPr>
          <w:rFonts w:ascii="Courier New" w:cs="Courier New" w:eastAsia="Courier New" w:hAnsi="Courier New"/>
          <w:sz w:val="15"/>
          <w:szCs w:val="15"/>
          <w:color w:val="auto"/>
        </w:rPr>
        <w:t>13.1.1. BCBSAZ and its officers and directors shall not, directly or indirectly own, manage, operate, control, organize, participate in the management, control, or organization of, be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650" w:right="1440" w:bottom="1440" w:gutter="0" w:footer="0" w:header="0"/>
        </w:sectPr>
      </w:pPr>
    </w:p>
    <w:bookmarkStart w:id="215" w:name="page216"/>
    <w:bookmarkEnd w:id="215"/>
    <w:p>
      <w:pPr>
        <w:ind w:left="1380" w:right="3119"/>
        <w:spacing w:after="0" w:line="251" w:lineRule="auto"/>
        <w:rPr>
          <w:sz w:val="20"/>
          <w:szCs w:val="20"/>
          <w:color w:val="auto"/>
        </w:rPr>
      </w:pPr>
      <w:r>
        <w:rPr>
          <w:rFonts w:ascii="Courier New" w:cs="Courier New" w:eastAsia="Courier New" w:hAnsi="Courier New"/>
          <w:sz w:val="15"/>
          <w:szCs w:val="15"/>
          <w:color w:val="auto"/>
        </w:rPr>
        <w:t>employed by any individual or organization which manages, operates or offers medical information network services or similar arrangements wherever located, which competes with, or would compete with, the Network.</w:t>
      </w:r>
    </w:p>
    <w:p>
      <w:pPr>
        <w:spacing w:after="0" w:line="176" w:lineRule="exact"/>
        <w:rPr>
          <w:sz w:val="20"/>
          <w:szCs w:val="20"/>
          <w:color w:val="auto"/>
        </w:rPr>
      </w:pPr>
    </w:p>
    <w:p>
      <w:pPr>
        <w:ind w:left="1840"/>
        <w:spacing w:after="0"/>
        <w:tabs>
          <w:tab w:leader="none" w:pos="2660" w:val="left"/>
        </w:tabs>
        <w:rPr>
          <w:sz w:val="20"/>
          <w:szCs w:val="20"/>
          <w:color w:val="auto"/>
        </w:rPr>
      </w:pPr>
      <w:r>
        <w:rPr>
          <w:rFonts w:ascii="Courier New" w:cs="Courier New" w:eastAsia="Courier New" w:hAnsi="Courier New"/>
          <w:sz w:val="15"/>
          <w:szCs w:val="15"/>
          <w:color w:val="auto"/>
        </w:rPr>
        <w:t>13.1.2.</w:t>
        <w:tab/>
        <w:t>BCBSAZ and its officers and directors acknowledge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and agree that irrevocable harm and damage will be sustained by</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IMS--NET and its business in the event that BCBSAZ or its</w:t>
      </w:r>
    </w:p>
    <w:p>
      <w:pPr>
        <w:spacing w:after="0" w:line="8" w:lineRule="exact"/>
        <w:rPr>
          <w:sz w:val="20"/>
          <w:szCs w:val="20"/>
          <w:color w:val="auto"/>
        </w:rPr>
      </w:pPr>
    </w:p>
    <w:p>
      <w:pPr>
        <w:ind w:left="1380"/>
        <w:spacing w:after="0"/>
        <w:tabs>
          <w:tab w:leader="none" w:pos="5700" w:val="left"/>
        </w:tabs>
        <w:rPr>
          <w:sz w:val="20"/>
          <w:szCs w:val="20"/>
          <w:color w:val="auto"/>
        </w:rPr>
      </w:pPr>
      <w:r>
        <w:rPr>
          <w:rFonts w:ascii="Courier New" w:cs="Courier New" w:eastAsia="Courier New" w:hAnsi="Courier New"/>
          <w:sz w:val="15"/>
          <w:szCs w:val="15"/>
          <w:color w:val="auto"/>
        </w:rPr>
        <w:t>officers and directors compete with IMS--NET.</w:t>
        <w:tab/>
        <w:t>In the event 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violation of Section 13.1.1 hereof, the parties acknowledge that</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said breach would result in irreparable injury to IMS--NET for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which monetary damages would be inadequate, and therefore, in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event of a breach or threatened breach of Section 13.1.1,</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IMS--NET shall be entitled (in addition to all other legal and</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equitable remedies) to have an injunction issued by any court of</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competent jurisdiction enjoining and restraining said breach.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running of any statute of limitations shall be tolled during the</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period of said breach.</w:t>
      </w:r>
    </w:p>
    <w:p>
      <w:pPr>
        <w:spacing w:after="0" w:line="185" w:lineRule="exact"/>
        <w:rPr>
          <w:sz w:val="20"/>
          <w:szCs w:val="20"/>
          <w:color w:val="auto"/>
        </w:rPr>
      </w:pPr>
    </w:p>
    <w:p>
      <w:pPr>
        <w:ind w:left="1380" w:right="2839" w:firstLine="461"/>
        <w:spacing w:after="0" w:line="251" w:lineRule="auto"/>
        <w:rPr>
          <w:sz w:val="20"/>
          <w:szCs w:val="20"/>
          <w:color w:val="auto"/>
        </w:rPr>
      </w:pPr>
      <w:r>
        <w:rPr>
          <w:rFonts w:ascii="Courier New" w:cs="Courier New" w:eastAsia="Courier New" w:hAnsi="Courier New"/>
          <w:sz w:val="15"/>
          <w:szCs w:val="15"/>
          <w:color w:val="auto"/>
        </w:rPr>
        <w:t>13.1.3. If the restriction contained in Section 13.1.1 or the application thereof is held to be unenforceable because of the area covered, or the duration or scope thereof, the court making such determination shall have the power to reduce the area and/or duration thereof and/or otherwise reduce the scope thereof and the restriction shall then be enforceable in its reduced form.</w:t>
      </w:r>
    </w:p>
    <w:p>
      <w:pPr>
        <w:spacing w:after="0" w:line="353" w:lineRule="exact"/>
        <w:rPr>
          <w:sz w:val="20"/>
          <w:szCs w:val="20"/>
          <w:color w:val="auto"/>
        </w:rPr>
      </w:pPr>
    </w:p>
    <w:p>
      <w:pPr>
        <w:ind w:left="920" w:hanging="464"/>
        <w:spacing w:after="0"/>
        <w:tabs>
          <w:tab w:leader="none" w:pos="92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spacing w:after="0"/>
        <w:tabs>
          <w:tab w:leader="none" w:pos="1080" w:val="left"/>
          <w:tab w:leader="none" w:pos="2000" w:val="left"/>
        </w:tabs>
        <w:rPr>
          <w:sz w:val="20"/>
          <w:szCs w:val="20"/>
          <w:color w:val="auto"/>
        </w:rPr>
      </w:pPr>
      <w:r>
        <w:rPr>
          <w:rFonts w:ascii="Courier New" w:cs="Courier New" w:eastAsia="Courier New" w:hAnsi="Courier New"/>
          <w:sz w:val="15"/>
          <w:szCs w:val="15"/>
          <w:color w:val="auto"/>
        </w:rPr>
        <w:t>14.1.</w:t>
        <w:tab/>
        <w:t>Notices.</w:t>
        <w:tab/>
        <w:t>All notices required to be given hereunder shall be given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in writing and shall be personally delivered or deemed delivered if dispatched by certified mail, return receipt requested, postage prepaid, addressed to the parties as set forth in Section 2.4 above.</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 notice shall be deemed given on the date it is deposited in the mail in accordance with the foregoing. Any party may change the address to which to send notices by notifying the other party of such change of address in writing in accordance with the foregoing.</w:t>
      </w:r>
    </w:p>
    <w:p>
      <w:pPr>
        <w:spacing w:after="0" w:line="176" w:lineRule="exact"/>
        <w:rPr>
          <w:sz w:val="20"/>
          <w:szCs w:val="20"/>
          <w:color w:val="auto"/>
        </w:rPr>
      </w:pPr>
    </w:p>
    <w:p>
      <w:pPr>
        <w:ind w:left="460"/>
        <w:spacing w:after="0"/>
        <w:tabs>
          <w:tab w:leader="none" w:pos="1080" w:val="left"/>
          <w:tab w:leader="none" w:pos="2560" w:val="left"/>
        </w:tabs>
        <w:rPr>
          <w:sz w:val="20"/>
          <w:szCs w:val="20"/>
          <w:color w:val="auto"/>
        </w:rPr>
      </w:pPr>
      <w:r>
        <w:rPr>
          <w:rFonts w:ascii="Courier New" w:cs="Courier New" w:eastAsia="Courier New" w:hAnsi="Courier New"/>
          <w:sz w:val="15"/>
          <w:szCs w:val="15"/>
          <w:color w:val="auto"/>
        </w:rPr>
        <w:t>14.2.</w:t>
        <w:tab/>
        <w:t>Governing Law.</w:t>
        <w:tab/>
        <w:t>This Agreement and all rights, duties and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obligations hereunder shall be construed and interpreted in accordance with the internal laws (not the choice of law) of the state of Arizona</w:t>
      </w:r>
    </w:p>
    <w:p>
      <w:pPr>
        <w:spacing w:after="0" w:line="174" w:lineRule="exact"/>
        <w:rPr>
          <w:sz w:val="20"/>
          <w:szCs w:val="20"/>
          <w:color w:val="auto"/>
        </w:rPr>
      </w:pPr>
    </w:p>
    <w:p>
      <w:pPr>
        <w:ind w:left="460"/>
        <w:spacing w:after="0"/>
        <w:tabs>
          <w:tab w:leader="none" w:pos="1080" w:val="left"/>
          <w:tab w:leader="none" w:pos="1920" w:val="left"/>
        </w:tabs>
        <w:rPr>
          <w:sz w:val="20"/>
          <w:szCs w:val="20"/>
          <w:color w:val="auto"/>
        </w:rPr>
      </w:pPr>
      <w:r>
        <w:rPr>
          <w:rFonts w:ascii="Courier New" w:cs="Courier New" w:eastAsia="Courier New" w:hAnsi="Courier New"/>
          <w:sz w:val="15"/>
          <w:szCs w:val="15"/>
          <w:color w:val="auto"/>
        </w:rPr>
        <w:t>14.3.</w:t>
        <w:tab/>
        <w:t>Waiver.</w:t>
        <w:tab/>
        <w:t>No waiver of any term, covenant or condition contained in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this Agreement or failure to exercise a right or remedy shall be deemed to imply a further waiver of such term, covenant, right or remedy.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19"/>
          </w:cols>
          <w:pgMar w:left="240" w:top="651" w:right="1440" w:bottom="1440" w:gutter="0" w:footer="0" w:header="0"/>
        </w:sectPr>
      </w:pPr>
    </w:p>
    <w:bookmarkStart w:id="216" w:name="page217"/>
    <w:bookmarkEnd w:id="216"/>
    <w:p>
      <w:pPr>
        <w:ind w:left="460"/>
        <w:spacing w:after="0"/>
        <w:tabs>
          <w:tab w:leader="none" w:pos="1080" w:val="left"/>
          <w:tab w:leader="none" w:pos="2460" w:val="left"/>
        </w:tabs>
        <w:rPr>
          <w:sz w:val="20"/>
          <w:szCs w:val="20"/>
          <w:color w:val="auto"/>
        </w:rPr>
      </w:pPr>
      <w:r>
        <w:rPr>
          <w:rFonts w:ascii="Courier New" w:cs="Courier New" w:eastAsia="Courier New" w:hAnsi="Courier New"/>
          <w:sz w:val="15"/>
          <w:szCs w:val="15"/>
          <w:color w:val="auto"/>
        </w:rPr>
        <w:t>14.4.</w:t>
        <w:tab/>
        <w:t>Severability.</w:t>
        <w:tab/>
        <w:t>Nothing contained in this Agreement shall be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construed so as to require the commission of an act contrary to law and whenever there is any conflict between any provision of this Agreement and any present statute, law, ordinance or regulation contrary to which the parties have no legal right to contract, the latter shall prevail, but in such event, the provisions of this Agreement affected shall be curtailed and limited only to the extent necessary to bring it within the requirements of the law and to carry out the purposes of this Agreement.</w:t>
      </w:r>
    </w:p>
    <w:p>
      <w:pPr>
        <w:spacing w:after="0" w:line="176" w:lineRule="exact"/>
        <w:rPr>
          <w:sz w:val="20"/>
          <w:szCs w:val="20"/>
          <w:color w:val="auto"/>
        </w:rPr>
      </w:pPr>
    </w:p>
    <w:p>
      <w:pPr>
        <w:ind w:left="460"/>
        <w:spacing w:after="0"/>
        <w:tabs>
          <w:tab w:leader="none" w:pos="1080" w:val="left"/>
          <w:tab w:leader="none" w:pos="2920" w:val="left"/>
        </w:tabs>
        <w:rPr>
          <w:sz w:val="20"/>
          <w:szCs w:val="20"/>
          <w:color w:val="auto"/>
        </w:rPr>
      </w:pPr>
      <w:r>
        <w:rPr>
          <w:rFonts w:ascii="Courier New" w:cs="Courier New" w:eastAsia="Courier New" w:hAnsi="Courier New"/>
          <w:sz w:val="15"/>
          <w:szCs w:val="15"/>
          <w:color w:val="auto"/>
        </w:rPr>
        <w:t>14.5.</w:t>
        <w:tab/>
        <w:t>Binding Agreement.</w:t>
        <w:tab/>
        <w:t>Subject to the restrictions on transfer and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encumbrances set forth herein, this Agreement shall inure to the benefit of and be binding upon BCBSAZ and IMS--NET and their respective legal representatives, successors, transferees, and assigns. Whenever a reference is herein made to any party such reference shall be deemed to include a reference to the legal representatives, successors, transferees, and assigns of such party.</w:t>
      </w:r>
    </w:p>
    <w:p>
      <w:pPr>
        <w:spacing w:after="0" w:line="176" w:lineRule="exact"/>
        <w:rPr>
          <w:sz w:val="20"/>
          <w:szCs w:val="20"/>
          <w:color w:val="auto"/>
        </w:rPr>
      </w:pPr>
    </w:p>
    <w:p>
      <w:pPr>
        <w:ind w:left="460"/>
        <w:spacing w:after="0"/>
        <w:tabs>
          <w:tab w:leader="none" w:pos="1080" w:val="left"/>
          <w:tab w:leader="none" w:pos="2280" w:val="left"/>
        </w:tabs>
        <w:rPr>
          <w:sz w:val="20"/>
          <w:szCs w:val="20"/>
          <w:color w:val="auto"/>
        </w:rPr>
      </w:pPr>
      <w:r>
        <w:rPr>
          <w:rFonts w:ascii="Courier New" w:cs="Courier New" w:eastAsia="Courier New" w:hAnsi="Courier New"/>
          <w:sz w:val="15"/>
          <w:szCs w:val="15"/>
          <w:color w:val="auto"/>
        </w:rPr>
        <w:t>14.6.</w:t>
        <w:tab/>
        <w:t>Assignment.</w:t>
        <w:tab/>
        <w:t>This Agreement shall not be assigned by either BCBSAZ</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IMS--NET without the express prior written consent of the other party.</w:t>
      </w:r>
    </w:p>
    <w:p>
      <w:pPr>
        <w:spacing w:after="0" w:line="185" w:lineRule="exact"/>
        <w:rPr>
          <w:sz w:val="20"/>
          <w:szCs w:val="20"/>
          <w:color w:val="auto"/>
        </w:rPr>
      </w:pPr>
    </w:p>
    <w:p>
      <w:pPr>
        <w:ind w:left="460"/>
        <w:spacing w:after="0"/>
        <w:tabs>
          <w:tab w:leader="none" w:pos="1080" w:val="left"/>
          <w:tab w:leader="none" w:pos="2100" w:val="left"/>
        </w:tabs>
        <w:rPr>
          <w:sz w:val="20"/>
          <w:szCs w:val="20"/>
          <w:color w:val="auto"/>
        </w:rPr>
      </w:pPr>
      <w:r>
        <w:rPr>
          <w:rFonts w:ascii="Courier New" w:cs="Courier New" w:eastAsia="Courier New" w:hAnsi="Courier New"/>
          <w:sz w:val="15"/>
          <w:szCs w:val="15"/>
          <w:color w:val="auto"/>
        </w:rPr>
        <w:t>14.7.</w:t>
        <w:tab/>
        <w:t>Headings.</w:t>
        <w:tab/>
        <w:t>All headings and captions used herein are for convenience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of reference only, and shall not be a part or affect the interpretation of this Agreement.</w:t>
      </w:r>
    </w:p>
    <w:p>
      <w:pPr>
        <w:spacing w:after="0" w:line="174" w:lineRule="exact"/>
        <w:rPr>
          <w:sz w:val="20"/>
          <w:szCs w:val="20"/>
          <w:color w:val="auto"/>
        </w:rPr>
      </w:pPr>
    </w:p>
    <w:p>
      <w:pPr>
        <w:ind w:left="460"/>
        <w:spacing w:after="0"/>
        <w:tabs>
          <w:tab w:leader="none" w:pos="1080" w:val="left"/>
          <w:tab w:leader="none" w:pos="2460" w:val="left"/>
        </w:tabs>
        <w:rPr>
          <w:sz w:val="20"/>
          <w:szCs w:val="20"/>
          <w:color w:val="auto"/>
        </w:rPr>
      </w:pPr>
      <w:r>
        <w:rPr>
          <w:rFonts w:ascii="Courier New" w:cs="Courier New" w:eastAsia="Courier New" w:hAnsi="Courier New"/>
          <w:sz w:val="15"/>
          <w:szCs w:val="15"/>
          <w:color w:val="auto"/>
        </w:rPr>
        <w:t>14.8.</w:t>
        <w:tab/>
        <w:t>Modification.</w:t>
        <w:tab/>
        <w:t>This Agreement may be modified only upon execution of</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written agreement signed by both parties.</w:t>
      </w:r>
    </w:p>
    <w:p>
      <w:pPr>
        <w:spacing w:after="0" w:line="185" w:lineRule="exact"/>
        <w:rPr>
          <w:sz w:val="20"/>
          <w:szCs w:val="20"/>
          <w:color w:val="auto"/>
        </w:rPr>
      </w:pPr>
    </w:p>
    <w:p>
      <w:pPr>
        <w:ind w:left="460"/>
        <w:spacing w:after="0"/>
        <w:tabs>
          <w:tab w:leader="none" w:pos="1080" w:val="left"/>
          <w:tab w:leader="none" w:pos="2840" w:val="left"/>
        </w:tabs>
        <w:rPr>
          <w:sz w:val="20"/>
          <w:szCs w:val="20"/>
          <w:color w:val="auto"/>
        </w:rPr>
      </w:pPr>
      <w:r>
        <w:rPr>
          <w:rFonts w:ascii="Courier New" w:cs="Courier New" w:eastAsia="Courier New" w:hAnsi="Courier New"/>
          <w:sz w:val="15"/>
          <w:szCs w:val="15"/>
          <w:color w:val="auto"/>
        </w:rPr>
        <w:t>14.9.</w:t>
        <w:tab/>
        <w:t>Entire Agreement.</w:t>
        <w:tab/>
        <w:t>This Agreement and the other agreements referred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to herein supersede all prior oral and written understandings and agreements between the parties. The parties acknowledge and agree that this Agreement, together with all documents and agreements referenced and incorporated herein, contains the entire agreement between the parties. No representations, promises, conditions or warranties with reference to the execution of this Agreement have been made or entered into between the parties other than as expressly stated herein.</w:t>
      </w:r>
    </w:p>
    <w:p>
      <w:pPr>
        <w:spacing w:after="0" w:line="176" w:lineRule="exact"/>
        <w:rPr>
          <w:sz w:val="20"/>
          <w:szCs w:val="20"/>
          <w:color w:val="auto"/>
        </w:rPr>
      </w:pPr>
    </w:p>
    <w:p>
      <w:pPr>
        <w:ind w:left="460"/>
        <w:spacing w:after="0"/>
        <w:tabs>
          <w:tab w:leader="none" w:pos="1180" w:val="left"/>
          <w:tab w:leader="none" w:pos="2740" w:val="left"/>
        </w:tabs>
        <w:rPr>
          <w:sz w:val="20"/>
          <w:szCs w:val="20"/>
          <w:color w:val="auto"/>
        </w:rPr>
      </w:pPr>
      <w:r>
        <w:rPr>
          <w:rFonts w:ascii="Courier New" w:cs="Courier New" w:eastAsia="Courier New" w:hAnsi="Courier New"/>
          <w:sz w:val="15"/>
          <w:szCs w:val="15"/>
          <w:color w:val="auto"/>
        </w:rPr>
        <w:t>14.10.</w:t>
        <w:tab/>
        <w:t>Attorneys Fees.</w:t>
        <w:tab/>
        <w:t>In the event of any suit under this Agreement,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reasonable attorneys' fees and costs shall be awarded by the court to the prevailing party, to be included in any judgment recovered. In addition, the prevailing party shall be entitled to recover reasonable attorneys' fees and costs incurred in enforcing any judgment arising from a suit under this Agreement. This post-judgment attorneys' fees and costs provision shall be severable from the other provisions of this Agreement and shall survive any judgment on such suit and is not to be deemed merged into the judgment.</w:t>
      </w:r>
    </w:p>
    <w:p>
      <w:pPr>
        <w:spacing w:after="0" w:line="176" w:lineRule="exact"/>
        <w:rPr>
          <w:sz w:val="20"/>
          <w:szCs w:val="20"/>
          <w:color w:val="auto"/>
        </w:rPr>
      </w:pPr>
    </w:p>
    <w:p>
      <w:pPr>
        <w:ind w:left="460"/>
        <w:spacing w:after="0"/>
        <w:tabs>
          <w:tab w:leader="none" w:pos="1180" w:val="left"/>
          <w:tab w:leader="none" w:pos="2560" w:val="left"/>
        </w:tabs>
        <w:rPr>
          <w:sz w:val="20"/>
          <w:szCs w:val="20"/>
          <w:color w:val="auto"/>
        </w:rPr>
      </w:pPr>
      <w:r>
        <w:rPr>
          <w:rFonts w:ascii="Courier New" w:cs="Courier New" w:eastAsia="Courier New" w:hAnsi="Courier New"/>
          <w:sz w:val="15"/>
          <w:szCs w:val="15"/>
          <w:color w:val="auto"/>
        </w:rPr>
        <w:t>14.11.</w:t>
        <w:tab/>
        <w:t>Counterparts.</w:t>
        <w:tab/>
        <w:t>This Agreement may be executed in two or more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579"/>
        <w:spacing w:after="0" w:line="253" w:lineRule="auto"/>
        <w:rPr>
          <w:sz w:val="20"/>
          <w:szCs w:val="20"/>
          <w:color w:val="auto"/>
        </w:rPr>
      </w:pPr>
      <w:r>
        <w:rPr>
          <w:rFonts w:ascii="Courier New" w:cs="Courier New" w:eastAsia="Courier New" w:hAnsi="Courier New"/>
          <w:sz w:val="15"/>
          <w:szCs w:val="15"/>
          <w:color w:val="auto"/>
        </w:rPr>
        <w:t>counterparts, each of which shall be deemed an original but all of which together shall constitute one and the same instrument.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19"/>
          </w:cols>
          <w:pgMar w:left="240" w:top="651" w:right="1440" w:bottom="1440" w:gutter="0" w:footer="0" w:header="0"/>
        </w:sectPr>
      </w:pPr>
    </w:p>
    <w:bookmarkStart w:id="217" w:name="page218"/>
    <w:bookmarkEnd w:id="217"/>
    <w:p>
      <w:pPr>
        <w:ind w:left="460"/>
        <w:spacing w:after="0"/>
        <w:tabs>
          <w:tab w:leader="none" w:pos="1180" w:val="left"/>
          <w:tab w:leader="none" w:pos="2180" w:val="left"/>
        </w:tabs>
        <w:rPr>
          <w:sz w:val="20"/>
          <w:szCs w:val="20"/>
          <w:color w:val="auto"/>
        </w:rPr>
      </w:pPr>
      <w:r>
        <w:rPr>
          <w:rFonts w:ascii="Courier New" w:cs="Courier New" w:eastAsia="Courier New" w:hAnsi="Courier New"/>
          <w:sz w:val="15"/>
          <w:szCs w:val="15"/>
          <w:color w:val="auto"/>
        </w:rPr>
        <w:t>14.12.</w:t>
        <w:tab/>
        <w:t>Exhibits.</w:t>
        <w:tab/>
        <w:t>All exhibits attached hereto and referred to herein are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as though fully set forth in this Agreement.</w:t>
      </w:r>
    </w:p>
    <w:p>
      <w:pPr>
        <w:spacing w:after="0" w:line="185" w:lineRule="exact"/>
        <w:rPr>
          <w:sz w:val="20"/>
          <w:szCs w:val="20"/>
          <w:color w:val="auto"/>
        </w:rPr>
      </w:pPr>
    </w:p>
    <w:p>
      <w:pPr>
        <w:ind w:right="357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effective as of the day and year first above written.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BLUE CROSS AND BLUE SHIELD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OF ARIZONA,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2444 West Las Palmaritas Drive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 O. Box 13466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Phoenix, Arizona 85002-3466</w:t>
      </w:r>
    </w:p>
    <w:p>
      <w:pPr>
        <w:spacing w:after="0" w:line="200" w:lineRule="exact"/>
        <w:rPr>
          <w:sz w:val="20"/>
          <w:szCs w:val="20"/>
          <w:color w:val="auto"/>
        </w:rPr>
      </w:pPr>
    </w:p>
    <w:p>
      <w:pPr>
        <w:spacing w:after="0" w:line="34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^SIGNATURE TO COME^</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 President &amp; CEO</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IMS--NET OF ARIZONA, INC.</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11636 North 60th Street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Scottsdale, Arizona 85254</w:t>
      </w:r>
    </w:p>
    <w:p>
      <w:pPr>
        <w:spacing w:after="0" w:line="200" w:lineRule="exact"/>
        <w:rPr>
          <w:sz w:val="20"/>
          <w:szCs w:val="20"/>
          <w:color w:val="auto"/>
        </w:rPr>
      </w:pPr>
    </w:p>
    <w:p>
      <w:pPr>
        <w:spacing w:after="0" w:line="340"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 /s/ Kevin R. Green</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Kevin R. Green, President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19"/>
          </w:cols>
          <w:pgMar w:left="240" w:top="650" w:right="1440" w:bottom="1440" w:gutter="0" w:footer="0" w:header="0"/>
        </w:sectPr>
      </w:pPr>
    </w:p>
    <w:bookmarkStart w:id="218" w:name="page219"/>
    <w:bookmarkEnd w:id="218"/>
    <w:p>
      <w:pPr>
        <w:jc w:val="right"/>
        <w:ind w:right="2839"/>
        <w:spacing w:after="0"/>
        <w:rPr>
          <w:sz w:val="20"/>
          <w:szCs w:val="20"/>
          <w:color w:val="auto"/>
        </w:rPr>
      </w:pPr>
      <w:r>
        <w:rPr>
          <w:rFonts w:ascii="Courier New" w:cs="Courier New" w:eastAsia="Courier New" w:hAnsi="Courier New"/>
          <w:sz w:val="15"/>
          <w:szCs w:val="15"/>
          <w:color w:val="auto"/>
        </w:rPr>
        <w:t>EXHIBIT 10.21</w:t>
      </w:r>
    </w:p>
    <w:p>
      <w:pPr>
        <w:spacing w:after="0" w:line="18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OPERATING AGREEMENT</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INDIANA MEDICAL COMMUNICATION NETWORK</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LIMITED LIABILITY COMPANY</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THIS OPERATING AGREEMENT ("Agreement") is made and entered into as of April 30, 1993, by and between METHODIST HOSPITAL OF INDIANA, INC., an Indiana corporation ("MHI") and INTEGRATED MEDICAL SYSTEMS INC., a Colorado corporation ("IMS"). The parties hereto are sometimes hereafter individually referred to as "Member" and collectively referred to as "Members", which terms shall include any other person or entity from time to time admitted to the Company, as hereafter defined, in accordance with the terms and conditions of this Agreement.</w:t>
      </w:r>
    </w:p>
    <w:p>
      <w:pPr>
        <w:spacing w:after="0" w:line="353"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THIS AGREEMENT is made and entered into with reference to the following facts:</w:t>
      </w:r>
    </w:p>
    <w:p>
      <w:pPr>
        <w:spacing w:after="0" w:line="174" w:lineRule="exact"/>
        <w:rPr>
          <w:sz w:val="20"/>
          <w:szCs w:val="20"/>
          <w:color w:val="auto"/>
        </w:rPr>
      </w:pPr>
    </w:p>
    <w:p>
      <w:pPr>
        <w:ind w:right="3019" w:firstLine="456"/>
        <w:spacing w:after="0" w:line="251" w:lineRule="auto"/>
        <w:tabs>
          <w:tab w:leader="none" w:pos="83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has developed and owns proprietary computer software operating on various types of computers that supports the transmission of, text, voice, graphics, images and other data, as hereafter defined, and has developed business plans, concepts and other proprietary ideas and technology for the operation of medical communication networks using IMS computer software.</w:t>
      </w:r>
    </w:p>
    <w:p>
      <w:pPr>
        <w:spacing w:after="0" w:line="176" w:lineRule="exact"/>
        <w:rPr>
          <w:rFonts w:ascii="Courier New" w:cs="Courier New" w:eastAsia="Courier New" w:hAnsi="Courier New"/>
          <w:sz w:val="15"/>
          <w:szCs w:val="15"/>
          <w:color w:val="auto"/>
        </w:rPr>
      </w:pPr>
    </w:p>
    <w:p>
      <w:pPr>
        <w:ind w:right="2939" w:firstLine="456"/>
        <w:spacing w:after="0" w:line="251" w:lineRule="auto"/>
        <w:tabs>
          <w:tab w:leader="none" w:pos="83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has formed Indiana Medical Communication Network Limited Liability Company ("Company"), a limited liability company formed under the laws of Colorado and authorized to conduct business in Indiana, and has granted an exclusive license to Company for use of its proprietary business rights and related computer software in the Exclusive Territory, as hereafter defined.</w:t>
      </w:r>
    </w:p>
    <w:p>
      <w:pPr>
        <w:spacing w:after="0" w:line="176" w:lineRule="exact"/>
        <w:rPr>
          <w:sz w:val="20"/>
          <w:szCs w:val="20"/>
          <w:color w:val="auto"/>
        </w:rPr>
      </w:pPr>
    </w:p>
    <w:p>
      <w:pPr>
        <w:ind w:right="2839" w:firstLine="456"/>
        <w:spacing w:after="0" w:line="251" w:lineRule="auto"/>
        <w:tabs>
          <w:tab w:leader="none" w:pos="83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MHI is a major provider to and is familiar with the Indiana healthcare market and knows of or has developed relationships with healthcare consumers, other hospitals, physicians, employers, insurance companies and other healthcare related entities.</w:t>
      </w:r>
    </w:p>
    <w:p>
      <w:pPr>
        <w:spacing w:after="0" w:line="176" w:lineRule="exact"/>
        <w:rPr>
          <w:rFonts w:ascii="Courier New" w:cs="Courier New" w:eastAsia="Courier New" w:hAnsi="Courier New"/>
          <w:sz w:val="15"/>
          <w:szCs w:val="15"/>
          <w:color w:val="auto"/>
        </w:rPr>
      </w:pPr>
    </w:p>
    <w:p>
      <w:pPr>
        <w:ind w:right="3119" w:firstLine="456"/>
        <w:spacing w:after="0" w:line="251" w:lineRule="auto"/>
        <w:tabs>
          <w:tab w:leader="none" w:pos="83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and MHI, in exchange for their respective good and valuable considerations to each other as hereafter defined, wish to enter into a joint venture to develop, own and operate Company as a for-profit medical communication network business in the Exclusive Territory.</w:t>
      </w:r>
    </w:p>
    <w:p>
      <w:pPr>
        <w:spacing w:after="0" w:line="176" w:lineRule="exact"/>
        <w:rPr>
          <w:rFonts w:ascii="Courier New" w:cs="Courier New" w:eastAsia="Courier New" w:hAnsi="Courier New"/>
          <w:sz w:val="15"/>
          <w:szCs w:val="15"/>
          <w:color w:val="auto"/>
        </w:rPr>
      </w:pPr>
    </w:p>
    <w:p>
      <w:pPr>
        <w:ind w:right="3119" w:firstLine="456"/>
        <w:spacing w:after="0" w:line="252" w:lineRule="auto"/>
        <w:tabs>
          <w:tab w:leader="none" w:pos="83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MHI and IMS desire to set forth their intentions and agreements with respect to the development, ownership and operation of Company as a joint venture between the Members.</w:t>
      </w:r>
    </w:p>
    <w:p>
      <w:pPr>
        <w:spacing w:after="0" w:line="352" w:lineRule="exact"/>
        <w:rPr>
          <w:sz w:val="20"/>
          <w:szCs w:val="20"/>
          <w:color w:val="auto"/>
        </w:rPr>
      </w:pPr>
    </w:p>
    <w:p>
      <w:pPr>
        <w:ind w:right="2839" w:firstLine="461"/>
        <w:spacing w:after="0" w:line="253" w:lineRule="auto"/>
        <w:rPr>
          <w:sz w:val="20"/>
          <w:szCs w:val="20"/>
          <w:color w:val="auto"/>
        </w:rPr>
      </w:pPr>
      <w:r>
        <w:rPr>
          <w:rFonts w:ascii="Courier New" w:cs="Courier New" w:eastAsia="Courier New" w:hAnsi="Courier New"/>
          <w:sz w:val="15"/>
          <w:szCs w:val="15"/>
          <w:color w:val="auto"/>
        </w:rPr>
        <w:t>NOW, THEREFORE, in consideration of the recitals, covenants, conditions and agreements contained herein, the parties agree as follows:</w:t>
      </w:r>
    </w:p>
    <w:p>
      <w:pPr>
        <w:spacing w:after="0" w:line="174" w:lineRule="exact"/>
        <w:rPr>
          <w:sz w:val="20"/>
          <w:szCs w:val="20"/>
          <w:color w:val="auto"/>
        </w:rPr>
      </w:pPr>
    </w:p>
    <w:p>
      <w:pPr>
        <w:ind w:left="820" w:hanging="364"/>
        <w:spacing w:after="0"/>
        <w:tabs>
          <w:tab w:leader="none" w:pos="82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and in addition to the</w:t>
      </w:r>
    </w:p>
    <w:p>
      <w:pPr>
        <w:spacing w:after="0" w:line="7"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terms otherwise defined herein, the following terms shall have the meanings as set forth below:</w:t>
      </w:r>
    </w:p>
    <w:p>
      <w:pPr>
        <w:spacing w:after="0" w:line="17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97" w:right="1440" w:bottom="1440" w:gutter="0" w:footer="0" w:header="0"/>
        </w:sectPr>
      </w:pPr>
    </w:p>
    <w:bookmarkStart w:id="219" w:name="page220"/>
    <w:bookmarkEnd w:id="219"/>
    <w:p>
      <w:pPr>
        <w:ind w:left="460"/>
        <w:spacing w:after="0"/>
        <w:tabs>
          <w:tab w:leader="none" w:pos="980" w:val="left"/>
        </w:tabs>
        <w:rPr>
          <w:sz w:val="20"/>
          <w:szCs w:val="20"/>
          <w:color w:val="auto"/>
        </w:rPr>
      </w:pPr>
      <w:r>
        <w:rPr>
          <w:rFonts w:ascii="Courier New" w:cs="Courier New" w:eastAsia="Courier New" w:hAnsi="Courier New"/>
          <w:sz w:val="15"/>
          <w:szCs w:val="15"/>
          <w:color w:val="auto"/>
        </w:rPr>
        <w:t>1.1.</w:t>
        <w:tab/>
        <w:t>ComCenter(TM) Hardware. "ComCenter (Communications Center) Hardware"</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spacing w:after="0" w:line="252" w:lineRule="auto"/>
        <w:rPr>
          <w:sz w:val="20"/>
          <w:szCs w:val="20"/>
          <w:color w:val="auto"/>
        </w:rPr>
      </w:pPr>
      <w:r>
        <w:rPr>
          <w:rFonts w:ascii="Courier New" w:cs="Courier New" w:eastAsia="Courier New" w:hAnsi="Courier New"/>
          <w:sz w:val="15"/>
          <w:szCs w:val="15"/>
          <w:color w:val="auto"/>
        </w:rPr>
        <w:t>refers to the message switching computer(s) on which the ComCenter Software runs. Such hardware is part of the Digital Equipment Corporation ("DEC") VAX family of computers.</w:t>
      </w:r>
    </w:p>
    <w:p>
      <w:pPr>
        <w:spacing w:after="0" w:line="175" w:lineRule="exact"/>
        <w:rPr>
          <w:sz w:val="20"/>
          <w:szCs w:val="20"/>
          <w:color w:val="auto"/>
        </w:rPr>
      </w:pPr>
    </w:p>
    <w:p>
      <w:pPr>
        <w:ind w:left="460"/>
        <w:spacing w:after="0"/>
        <w:tabs>
          <w:tab w:leader="none" w:pos="980" w:val="left"/>
          <w:tab w:leader="none" w:pos="2920" w:val="left"/>
        </w:tabs>
        <w:rPr>
          <w:sz w:val="20"/>
          <w:szCs w:val="20"/>
          <w:color w:val="auto"/>
        </w:rPr>
      </w:pPr>
      <w:r>
        <w:rPr>
          <w:rFonts w:ascii="Courier New" w:cs="Courier New" w:eastAsia="Courier New" w:hAnsi="Courier New"/>
          <w:sz w:val="15"/>
          <w:szCs w:val="15"/>
          <w:color w:val="auto"/>
        </w:rPr>
        <w:t>1.2.</w:t>
        <w:tab/>
        <w:t>ComCenter Software.</w:t>
        <w:tab/>
        <w:t>"ComCenter Software" shall mean the computer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software developed and owned by IMS that supports and facilitates the transmission of data, text, voice, graphics, images and other data, and which resides on and is operated on the ComCenter hardware.</w:t>
      </w:r>
    </w:p>
    <w:p>
      <w:pPr>
        <w:spacing w:after="0" w:line="175" w:lineRule="exact"/>
        <w:rPr>
          <w:sz w:val="20"/>
          <w:szCs w:val="20"/>
          <w:color w:val="auto"/>
        </w:rPr>
      </w:pPr>
    </w:p>
    <w:p>
      <w:pPr>
        <w:ind w:left="460"/>
        <w:spacing w:after="0"/>
        <w:tabs>
          <w:tab w:leader="none" w:pos="980" w:val="left"/>
          <w:tab w:leader="none" w:pos="2740" w:val="left"/>
        </w:tabs>
        <w:rPr>
          <w:sz w:val="20"/>
          <w:szCs w:val="20"/>
          <w:color w:val="auto"/>
        </w:rPr>
      </w:pPr>
      <w:r>
        <w:rPr>
          <w:rFonts w:ascii="Courier New" w:cs="Courier New" w:eastAsia="Courier New" w:hAnsi="Courier New"/>
          <w:sz w:val="15"/>
          <w:szCs w:val="15"/>
          <w:color w:val="auto"/>
        </w:rPr>
        <w:t>1.3.</w:t>
        <w:tab/>
        <w:t>ComCenter System.</w:t>
        <w:tab/>
        <w:t>"ComCenter System" refers to the ComCenter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Software and ComCenter Hardware together.</w:t>
      </w:r>
    </w:p>
    <w:p>
      <w:pPr>
        <w:spacing w:after="0" w:line="185" w:lineRule="exact"/>
        <w:rPr>
          <w:sz w:val="20"/>
          <w:szCs w:val="20"/>
          <w:color w:val="auto"/>
        </w:rPr>
      </w:pPr>
    </w:p>
    <w:p>
      <w:pPr>
        <w:ind w:left="460"/>
        <w:spacing w:after="0"/>
        <w:tabs>
          <w:tab w:leader="none" w:pos="980" w:val="left"/>
          <w:tab w:leader="none" w:pos="1920" w:val="left"/>
        </w:tabs>
        <w:rPr>
          <w:sz w:val="20"/>
          <w:szCs w:val="20"/>
          <w:color w:val="auto"/>
        </w:rPr>
      </w:pPr>
      <w:r>
        <w:rPr>
          <w:rFonts w:ascii="Courier New" w:cs="Courier New" w:eastAsia="Courier New" w:hAnsi="Courier New"/>
          <w:sz w:val="15"/>
          <w:szCs w:val="15"/>
          <w:color w:val="auto"/>
        </w:rPr>
        <w:t>1.4.</w:t>
        <w:tab/>
        <w:t>Company.</w:t>
        <w:tab/>
        <w:t>"Company" refers to "Indiana Medical Communication Network</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Limited Liability Company", a limited liability company formed under the laws of Colorado and registered to conduct business in Indiana, to be developed, owned and operated by the Members as a joint venture between the Members.</w:t>
      </w:r>
    </w:p>
    <w:p>
      <w:pPr>
        <w:spacing w:after="0" w:line="175" w:lineRule="exact"/>
        <w:rPr>
          <w:sz w:val="20"/>
          <w:szCs w:val="20"/>
          <w:color w:val="auto"/>
        </w:rPr>
      </w:pPr>
    </w:p>
    <w:p>
      <w:pPr>
        <w:ind w:left="460"/>
        <w:spacing w:after="0"/>
        <w:tabs>
          <w:tab w:leader="none" w:pos="980" w:val="left"/>
          <w:tab w:leader="none" w:pos="3020" w:val="left"/>
        </w:tabs>
        <w:rPr>
          <w:sz w:val="20"/>
          <w:szCs w:val="20"/>
          <w:color w:val="auto"/>
        </w:rPr>
      </w:pPr>
      <w:r>
        <w:rPr>
          <w:rFonts w:ascii="Courier New" w:cs="Courier New" w:eastAsia="Courier New" w:hAnsi="Courier New"/>
          <w:sz w:val="15"/>
          <w:szCs w:val="15"/>
          <w:color w:val="auto"/>
        </w:rPr>
        <w:t>1.5.</w:t>
        <w:tab/>
        <w:t>Exclusive Territory.</w:t>
        <w:tab/>
        <w:t>"Exclusive Territory" shall mean all of the</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Indiana except Lake and Porter Counties.</w:t>
      </w:r>
    </w:p>
    <w:p>
      <w:pPr>
        <w:spacing w:after="0" w:line="185" w:lineRule="exact"/>
        <w:rPr>
          <w:sz w:val="20"/>
          <w:szCs w:val="20"/>
          <w:color w:val="auto"/>
        </w:rPr>
      </w:pPr>
    </w:p>
    <w:p>
      <w:pPr>
        <w:ind w:left="460"/>
        <w:spacing w:after="0"/>
        <w:tabs>
          <w:tab w:leader="none" w:pos="980" w:val="left"/>
          <w:tab w:leader="none" w:pos="3120" w:val="left"/>
        </w:tabs>
        <w:rPr>
          <w:sz w:val="20"/>
          <w:szCs w:val="20"/>
          <w:color w:val="auto"/>
        </w:rPr>
      </w:pPr>
      <w:r>
        <w:rPr>
          <w:rFonts w:ascii="Courier New" w:cs="Courier New" w:eastAsia="Courier New" w:hAnsi="Courier New"/>
          <w:sz w:val="15"/>
          <w:szCs w:val="15"/>
          <w:color w:val="auto"/>
        </w:rPr>
        <w:t>1.6.</w:t>
        <w:tab/>
        <w:t>IMS-Net(TM) Software.</w:t>
        <w:tab/>
        <w:t>The "IMS--Net Software" shall mean the</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computer software developed and owned by IMS which includes the PC-Com Software, RELAY Software, ComCenter Software and other software, which interact with the ComCenter Hardware and remotely located computers and their operating systems to form a complete and functioning network by which medical and other information and data, text, voice, graphics and images can be transmitted, shared, stored and accessed.</w:t>
      </w:r>
    </w:p>
    <w:p>
      <w:pPr>
        <w:spacing w:after="0" w:line="176" w:lineRule="exact"/>
        <w:rPr>
          <w:sz w:val="20"/>
          <w:szCs w:val="20"/>
          <w:color w:val="auto"/>
        </w:rPr>
      </w:pPr>
    </w:p>
    <w:p>
      <w:pPr>
        <w:ind w:left="460"/>
        <w:spacing w:after="0"/>
        <w:tabs>
          <w:tab w:leader="none" w:pos="980" w:val="left"/>
          <w:tab w:leader="none" w:pos="2840" w:val="left"/>
        </w:tabs>
        <w:rPr>
          <w:sz w:val="20"/>
          <w:szCs w:val="20"/>
          <w:color w:val="auto"/>
        </w:rPr>
      </w:pPr>
      <w:r>
        <w:rPr>
          <w:rFonts w:ascii="Courier New" w:cs="Courier New" w:eastAsia="Courier New" w:hAnsi="Courier New"/>
          <w:sz w:val="15"/>
          <w:szCs w:val="15"/>
          <w:color w:val="auto"/>
        </w:rPr>
        <w:t>1.7.</w:t>
        <w:tab/>
        <w:t>Licensed SoftWare.</w:t>
        <w:tab/>
        <w:t>"Licensed Software" shall mean the IMS-Net</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Software and that portion of the Synergy Series Software owned outright by IMS, together with any and all subsequent modifications, revisions, improvements, enhancements or updates made by IMS in such software, and all of which has been licensed to Company by IMS through the Software License Agreement referred to herein.</w:t>
      </w:r>
    </w:p>
    <w:p>
      <w:pPr>
        <w:spacing w:after="0" w:line="176" w:lineRule="exact"/>
        <w:rPr>
          <w:sz w:val="20"/>
          <w:szCs w:val="20"/>
          <w:color w:val="auto"/>
        </w:rPr>
      </w:pPr>
    </w:p>
    <w:p>
      <w:pPr>
        <w:ind w:left="460"/>
        <w:spacing w:after="0"/>
        <w:tabs>
          <w:tab w:leader="none" w:pos="980" w:val="left"/>
          <w:tab w:leader="none" w:pos="2460" w:val="left"/>
        </w:tabs>
        <w:rPr>
          <w:sz w:val="20"/>
          <w:szCs w:val="20"/>
          <w:color w:val="auto"/>
        </w:rPr>
      </w:pPr>
      <w:r>
        <w:rPr>
          <w:rFonts w:ascii="Courier New" w:cs="Courier New" w:eastAsia="Courier New" w:hAnsi="Courier New"/>
          <w:sz w:val="15"/>
          <w:szCs w:val="15"/>
          <w:color w:val="auto"/>
        </w:rPr>
        <w:t>1.8.</w:t>
        <w:tab/>
        <w:t>Local Sponsor.</w:t>
        <w:tab/>
        <w:t>"Local Sponsor" shall mean any individual or entity</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desiring to use a Network to receive and/or disseminate information from or to a particular group of Network users and who or which agrees to pay fees to a Network for the right to use a Network.</w:t>
      </w:r>
    </w:p>
    <w:p>
      <w:pPr>
        <w:spacing w:after="0" w:line="175" w:lineRule="exact"/>
        <w:rPr>
          <w:sz w:val="20"/>
          <w:szCs w:val="20"/>
          <w:color w:val="auto"/>
        </w:rPr>
      </w:pPr>
    </w:p>
    <w:p>
      <w:pPr>
        <w:ind w:left="460"/>
        <w:spacing w:after="0"/>
        <w:tabs>
          <w:tab w:leader="none" w:pos="980" w:val="left"/>
          <w:tab w:leader="none" w:pos="2740" w:val="left"/>
        </w:tabs>
        <w:rPr>
          <w:sz w:val="20"/>
          <w:szCs w:val="20"/>
          <w:color w:val="auto"/>
        </w:rPr>
      </w:pPr>
      <w:r>
        <w:rPr>
          <w:rFonts w:ascii="Courier New" w:cs="Courier New" w:eastAsia="Courier New" w:hAnsi="Courier New"/>
          <w:sz w:val="15"/>
          <w:szCs w:val="15"/>
          <w:color w:val="auto"/>
        </w:rPr>
        <w:t>1.9.</w:t>
        <w:tab/>
        <w:t>National Sponsor.</w:t>
        <w:tab/>
        <w:t>"National Sponsor" shall mean any individual or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entity desiring to use a Network, and any other networks operated by IMS or an affiliate of IMS, to receive and/or disseminate information from or to network users and who or which agrees to pay fees for the right to use the networks.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20" w:name="page221"/>
    <w:bookmarkEnd w:id="220"/>
    <w:p>
      <w:pPr>
        <w:ind w:left="465"/>
        <w:spacing w:after="0"/>
        <w:tabs>
          <w:tab w:leader="none" w:pos="1085" w:val="left"/>
          <w:tab w:leader="none" w:pos="2005" w:val="left"/>
        </w:tabs>
        <w:rPr>
          <w:sz w:val="20"/>
          <w:szCs w:val="20"/>
          <w:color w:val="auto"/>
        </w:rPr>
      </w:pPr>
      <w:r>
        <w:rPr>
          <w:rFonts w:ascii="Courier New" w:cs="Courier New" w:eastAsia="Courier New" w:hAnsi="Courier New"/>
          <w:sz w:val="15"/>
          <w:szCs w:val="15"/>
          <w:color w:val="auto"/>
        </w:rPr>
        <w:t>1.10.</w:t>
        <w:tab/>
        <w:t>Network.</w:t>
        <w:tab/>
        <w:t>"Network" shall mean one or more electronic medical</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communication networks to be owned and operated in the Exclusive Territory by the Company, which utilizes IMS-Net software to permit text, voice, graphics, images and other data to be transmitted between and among physicians, hospitals, clinical laboratories, pharmacies, managed care organizations, insurance companies, other payors, employers and other individuals or entities.</w:t>
      </w:r>
    </w:p>
    <w:p>
      <w:pPr>
        <w:spacing w:after="0" w:line="176" w:lineRule="exact"/>
        <w:rPr>
          <w:sz w:val="20"/>
          <w:szCs w:val="20"/>
          <w:color w:val="auto"/>
        </w:rPr>
      </w:pPr>
    </w:p>
    <w:p>
      <w:pPr>
        <w:ind w:left="465"/>
        <w:spacing w:after="0"/>
        <w:tabs>
          <w:tab w:leader="none" w:pos="1085" w:val="left"/>
          <w:tab w:leader="none" w:pos="3125" w:val="left"/>
        </w:tabs>
        <w:rPr>
          <w:sz w:val="20"/>
          <w:szCs w:val="20"/>
          <w:color w:val="auto"/>
        </w:rPr>
      </w:pPr>
      <w:r>
        <w:rPr>
          <w:rFonts w:ascii="Courier New" w:cs="Courier New" w:eastAsia="Courier New" w:hAnsi="Courier New"/>
          <w:sz w:val="15"/>
          <w:szCs w:val="15"/>
          <w:color w:val="auto"/>
        </w:rPr>
        <w:t>1.11.</w:t>
        <w:tab/>
        <w:t>PC-Com(TM) Software.</w:t>
        <w:tab/>
        <w:t>"PC-Com Software" shall mean the computer</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software developed and owned by IMS which supports and facilitates the transmission of text, voice, graphics, images and other data from (or to) a Network user's computer to (or from) the ComCenter System, and which acts as a user interface between a Network user and a Network, and which operates on a user's International Business Machines ("IBM") or compatible personal computer ("PC") or other computer.</w:t>
      </w:r>
    </w:p>
    <w:p>
      <w:pPr>
        <w:spacing w:after="0" w:line="176" w:lineRule="exact"/>
        <w:rPr>
          <w:sz w:val="20"/>
          <w:szCs w:val="20"/>
          <w:color w:val="auto"/>
        </w:rPr>
      </w:pPr>
    </w:p>
    <w:p>
      <w:pPr>
        <w:ind w:left="465"/>
        <w:spacing w:after="0"/>
        <w:tabs>
          <w:tab w:leader="none" w:pos="1085" w:val="left"/>
          <w:tab w:leader="none" w:pos="3025" w:val="left"/>
        </w:tabs>
        <w:rPr>
          <w:sz w:val="20"/>
          <w:szCs w:val="20"/>
          <w:color w:val="auto"/>
        </w:rPr>
      </w:pPr>
      <w:r>
        <w:rPr>
          <w:rFonts w:ascii="Courier New" w:cs="Courier New" w:eastAsia="Courier New" w:hAnsi="Courier New"/>
          <w:sz w:val="15"/>
          <w:szCs w:val="15"/>
          <w:color w:val="auto"/>
        </w:rPr>
        <w:t>1.12.</w:t>
        <w:tab/>
        <w:t>RELAY(TM) Software.</w:t>
        <w:tab/>
        <w:t>"RELAY Software" shall mean the computer</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1" w:lineRule="auto"/>
        <w:rPr>
          <w:sz w:val="20"/>
          <w:szCs w:val="20"/>
          <w:color w:val="auto"/>
        </w:rPr>
      </w:pPr>
      <w:r>
        <w:rPr>
          <w:rFonts w:ascii="Courier New" w:cs="Courier New" w:eastAsia="Courier New" w:hAnsi="Courier New"/>
          <w:sz w:val="15"/>
          <w:szCs w:val="15"/>
          <w:color w:val="auto"/>
        </w:rPr>
        <w:t>software developed and owned by IMS which supports and facilitates the transmission of text, voice, graphics, images and other data from a host computer system to the ComCenter System, and which acts as an automatic interface between a host computer system and a Network, and which operates on PCs or other computers.</w:t>
      </w:r>
    </w:p>
    <w:p>
      <w:pPr>
        <w:spacing w:after="0" w:line="176" w:lineRule="exact"/>
        <w:rPr>
          <w:sz w:val="20"/>
          <w:szCs w:val="20"/>
          <w:color w:val="auto"/>
        </w:rPr>
      </w:pPr>
    </w:p>
    <w:p>
      <w:pPr>
        <w:ind w:left="465"/>
        <w:spacing w:after="0"/>
        <w:tabs>
          <w:tab w:leader="none" w:pos="1085" w:val="left"/>
          <w:tab w:leader="none" w:pos="4325" w:val="left"/>
        </w:tabs>
        <w:rPr>
          <w:sz w:val="20"/>
          <w:szCs w:val="20"/>
          <w:color w:val="auto"/>
        </w:rPr>
      </w:pPr>
      <w:r>
        <w:rPr>
          <w:rFonts w:ascii="Courier New" w:cs="Courier New" w:eastAsia="Courier New" w:hAnsi="Courier New"/>
          <w:sz w:val="15"/>
          <w:szCs w:val="15"/>
          <w:color w:val="auto"/>
        </w:rPr>
        <w:t>1.13.</w:t>
        <w:tab/>
        <w:t>Subscriber or Network Subscriber.</w:t>
        <w:tab/>
        <w:t>"Subscriber" or "Network</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2" w:lineRule="auto"/>
        <w:rPr>
          <w:sz w:val="20"/>
          <w:szCs w:val="20"/>
          <w:color w:val="auto"/>
        </w:rPr>
      </w:pPr>
      <w:r>
        <w:rPr>
          <w:rFonts w:ascii="Courier New" w:cs="Courier New" w:eastAsia="Courier New" w:hAnsi="Courier New"/>
          <w:sz w:val="15"/>
          <w:szCs w:val="15"/>
          <w:color w:val="auto"/>
        </w:rPr>
        <w:t>Subscriber" shall mean physicians and other members of the healthcare community who use a Network and with whom Local and National Sponsors pay to communicate over one or more networks.</w:t>
      </w:r>
    </w:p>
    <w:p>
      <w:pPr>
        <w:spacing w:after="0" w:line="175" w:lineRule="exact"/>
        <w:rPr>
          <w:sz w:val="20"/>
          <w:szCs w:val="20"/>
          <w:color w:val="auto"/>
        </w:rPr>
      </w:pPr>
    </w:p>
    <w:p>
      <w:pPr>
        <w:ind w:left="465"/>
        <w:spacing w:after="0"/>
        <w:tabs>
          <w:tab w:leader="none" w:pos="1085" w:val="left"/>
          <w:tab w:leader="none" w:pos="3845" w:val="left"/>
        </w:tabs>
        <w:rPr>
          <w:sz w:val="20"/>
          <w:szCs w:val="20"/>
          <w:color w:val="auto"/>
        </w:rPr>
      </w:pPr>
      <w:r>
        <w:rPr>
          <w:rFonts w:ascii="Courier New" w:cs="Courier New" w:eastAsia="Courier New" w:hAnsi="Courier New"/>
          <w:sz w:val="15"/>
          <w:szCs w:val="15"/>
          <w:color w:val="auto"/>
        </w:rPr>
        <w:t>1.14.</w:t>
        <w:tab/>
        <w:t>Synergy Series(TM) Software.</w:t>
        <w:tab/>
        <w:t>The "Synergy Series Software" shall</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mean the computer software, portions of which were developed and are owned by IMS, and portions of which IMS possesses and uses pursuant to one or more perpetual licenses under which IMS has the right to use and to sub-license, which includes practice support software intended primarily for use by persons or entities who use a Network, and which includes such capabilities as "Word-Pro(TM)" word processing, "Clinical Manager(TM)" clinical data management, "RX-Manager(TM)" drug therapy management and "CME-Manager(TM)" continuing medical education management.</w:t>
      </w:r>
    </w:p>
    <w:p>
      <w:pPr>
        <w:spacing w:after="0" w:line="175" w:lineRule="exact"/>
        <w:rPr>
          <w:sz w:val="20"/>
          <w:szCs w:val="20"/>
          <w:color w:val="auto"/>
        </w:rPr>
      </w:pPr>
    </w:p>
    <w:p>
      <w:pPr>
        <w:ind w:left="365" w:hanging="365"/>
        <w:spacing w:after="0"/>
        <w:tabs>
          <w:tab w:leader="none" w:pos="365"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Purpose of Company.</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985" w:val="left"/>
          <w:tab w:leader="none" w:pos="1925" w:val="left"/>
        </w:tabs>
        <w:rPr>
          <w:sz w:val="20"/>
          <w:szCs w:val="20"/>
          <w:color w:val="auto"/>
        </w:rPr>
      </w:pPr>
      <w:r>
        <w:rPr>
          <w:rFonts w:ascii="Courier New" w:cs="Courier New" w:eastAsia="Courier New" w:hAnsi="Courier New"/>
          <w:sz w:val="15"/>
          <w:szCs w:val="15"/>
          <w:color w:val="auto"/>
        </w:rPr>
        <w:t>2.1.</w:t>
        <w:tab/>
        <w:t>Purpose.</w:t>
        <w:tab/>
        <w:t>The purpose of Company is to establish and operate, and</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facilitate the rapid growth of, one or more for-profit Networks in the Exclusive Territory, with the intent that such Networks shall become the recognized standard for medical communication in the Exclusive Territory, to improve the efficiency and effectiveness of communication related to health care delivery among all hospitals, labs, pharmacies, payors, managed care and other medical facilities and physicians, and other licensed health care professionals with privileges to utilize such facilities, and other providers, payors, individuals and entities with a bona fide interest in communicating with such other participants, including MHI.</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221" w:name="page222"/>
    <w:bookmarkEnd w:id="221"/>
    <w:p>
      <w:pPr>
        <w:ind w:left="465"/>
        <w:spacing w:after="0"/>
        <w:tabs>
          <w:tab w:leader="none" w:pos="985" w:val="left"/>
          <w:tab w:leader="none" w:pos="2665" w:val="left"/>
        </w:tabs>
        <w:rPr>
          <w:sz w:val="20"/>
          <w:szCs w:val="20"/>
          <w:color w:val="auto"/>
        </w:rPr>
      </w:pPr>
      <w:r>
        <w:rPr>
          <w:rFonts w:ascii="Courier New" w:cs="Courier New" w:eastAsia="Courier New" w:hAnsi="Courier New"/>
          <w:sz w:val="15"/>
          <w:szCs w:val="15"/>
          <w:color w:val="auto"/>
        </w:rPr>
        <w:t>2.2.</w:t>
        <w:tab/>
        <w:t>Scope of Powers.</w:t>
        <w:tab/>
        <w:t>Company shall be engaged in all such activities</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related to its purpose, including marketing, sales, administration, Network operations and management, consulting, and installation, education, training, service and support of Local Sponsors, National Sponsors and Subscribers. In furtherance of its business, Company shall have and may exercise all the powers now or hereafter conferred by applicable law, and shall do any and all things related or incidental to its business as fully as natural persons might or could do by applicable law.</w:t>
      </w:r>
    </w:p>
    <w:p>
      <w:pPr>
        <w:spacing w:after="0" w:line="176" w:lineRule="exact"/>
        <w:rPr>
          <w:sz w:val="20"/>
          <w:szCs w:val="20"/>
          <w:color w:val="auto"/>
        </w:rPr>
      </w:pPr>
    </w:p>
    <w:p>
      <w:pPr>
        <w:ind w:left="465" w:hanging="465"/>
        <w:spacing w:after="0"/>
        <w:tabs>
          <w:tab w:leader="none" w:pos="46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Formation of Company, Members.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985" w:val="left"/>
          <w:tab w:leader="none" w:pos="3945" w:val="left"/>
        </w:tabs>
        <w:rPr>
          <w:sz w:val="20"/>
          <w:szCs w:val="20"/>
          <w:color w:val="auto"/>
        </w:rPr>
      </w:pPr>
      <w:r>
        <w:rPr>
          <w:rFonts w:ascii="Courier New" w:cs="Courier New" w:eastAsia="Courier New" w:hAnsi="Courier New"/>
          <w:sz w:val="15"/>
          <w:szCs w:val="15"/>
          <w:color w:val="auto"/>
        </w:rPr>
        <w:t>3.1.</w:t>
        <w:tab/>
        <w:t>Formation and Controlling Law.</w:t>
        <w:tab/>
        <w:t>IMS certifies that on February 26,</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2939"/>
        <w:spacing w:after="0" w:line="250" w:lineRule="auto"/>
        <w:rPr>
          <w:sz w:val="20"/>
          <w:szCs w:val="20"/>
          <w:color w:val="auto"/>
        </w:rPr>
      </w:pPr>
      <w:r>
        <w:rPr>
          <w:rFonts w:ascii="Courier New" w:cs="Courier New" w:eastAsia="Courier New" w:hAnsi="Courier New"/>
          <w:sz w:val="15"/>
          <w:szCs w:val="15"/>
          <w:color w:val="auto"/>
        </w:rPr>
        <w:t>1993, Articles of Organization of Company as a wholly owned affiliate of IMS, a copy of which is attached as Exhibit A-1 hereto and hereby incorporated herein,</w:t>
      </w:r>
    </w:p>
    <w:p>
      <w:pPr>
        <w:spacing w:after="0" w:line="1"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were executed and, on March 1, 1993, filed with the office of the Colorado Secretary of State under the provisions of the Colorado Limited Liability Company Act (C.R.S. 7-80-101, et seq.), as amended, which, in conjunction with</w:t>
      </w:r>
    </w:p>
    <w:p>
      <w:pPr>
        <w:spacing w:after="0" w:line="1"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Colorado case law relating thereto, shall be the controlling law for purposes of this Agreement and shall be utilized in this or any other jurisdiction for purposes of construing the terms and conditions contained herein.</w:t>
      </w:r>
    </w:p>
    <w:p>
      <w:pPr>
        <w:spacing w:after="0" w:line="175" w:lineRule="exact"/>
        <w:rPr>
          <w:sz w:val="20"/>
          <w:szCs w:val="20"/>
          <w:color w:val="auto"/>
        </w:rPr>
      </w:pPr>
    </w:p>
    <w:p>
      <w:pPr>
        <w:ind w:left="465" w:right="2939" w:firstLine="554"/>
        <w:spacing w:after="0" w:line="250" w:lineRule="auto"/>
        <w:rPr>
          <w:sz w:val="20"/>
          <w:szCs w:val="20"/>
          <w:color w:val="auto"/>
        </w:rPr>
      </w:pPr>
      <w:r>
        <w:rPr>
          <w:rFonts w:ascii="Courier New" w:cs="Courier New" w:eastAsia="Courier New" w:hAnsi="Courier New"/>
          <w:sz w:val="15"/>
          <w:szCs w:val="15"/>
          <w:color w:val="auto"/>
        </w:rPr>
        <w:t>3.1.1. This Agreement shall be the Operating Agreement of Company, as may be amended from time to time upon the agreement of the Members, and as referenced in the Articles of Organization, and hereby replaces the interim Operating Agreement established by Company on April 1, 1993, a copy of which is attached as Exhibit A-2 hereto.</w:t>
      </w:r>
    </w:p>
    <w:p>
      <w:pPr>
        <w:spacing w:after="0" w:line="2"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985" w:val="left"/>
          <w:tab w:leader="none" w:pos="3125" w:val="left"/>
        </w:tabs>
        <w:rPr>
          <w:sz w:val="20"/>
          <w:szCs w:val="20"/>
          <w:color w:val="auto"/>
        </w:rPr>
      </w:pPr>
      <w:r>
        <w:rPr>
          <w:rFonts w:ascii="Courier New" w:cs="Courier New" w:eastAsia="Courier New" w:hAnsi="Courier New"/>
          <w:sz w:val="15"/>
          <w:szCs w:val="15"/>
          <w:color w:val="auto"/>
        </w:rPr>
        <w:t>3.2.</w:t>
        <w:tab/>
        <w:t>Authority in Indiana.</w:t>
        <w:tab/>
        <w:t>IMS certifies that on March 29, 1993, an</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Application For Registration As A Foreign Limited Liability Company, a copy of which is attached as Exhibit A-3 hereto, was executed and submitted to the</w:t>
      </w:r>
    </w:p>
    <w:p>
      <w:pPr>
        <w:spacing w:after="0" w:line="1"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office of the Indiana Secretary of State under the provisions of Indiana Code 23-16-10.1. IMS further acknowledges that on March 29, 1993, a Certificate of Assumed Business Name, a copy of which is attached as Exhibit A-4 hereto, was</w:t>
      </w:r>
    </w:p>
    <w:p>
      <w:pPr>
        <w:spacing w:after="0" w:line="1" w:lineRule="exact"/>
        <w:rPr>
          <w:sz w:val="20"/>
          <w:szCs w:val="20"/>
          <w:color w:val="auto"/>
        </w:rPr>
      </w:pPr>
    </w:p>
    <w:p>
      <w:pPr>
        <w:ind w:left="49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3" w:lineRule="auto"/>
        <w:rPr>
          <w:sz w:val="20"/>
          <w:szCs w:val="20"/>
          <w:color w:val="auto"/>
        </w:rPr>
      </w:pPr>
      <w:r>
        <w:rPr>
          <w:rFonts w:ascii="Courier New" w:cs="Courier New" w:eastAsia="Courier New" w:hAnsi="Courier New"/>
          <w:sz w:val="15"/>
          <w:szCs w:val="15"/>
          <w:color w:val="auto"/>
        </w:rPr>
        <w:t>executed and submitted to the office of the Indiana Secretary of State under the provisions of Indiana Code 23-15-1-1.</w:t>
      </w:r>
    </w:p>
    <w:p>
      <w:pPr>
        <w:spacing w:after="0" w:line="174" w:lineRule="exact"/>
        <w:rPr>
          <w:sz w:val="20"/>
          <w:szCs w:val="20"/>
          <w:color w:val="auto"/>
        </w:rPr>
      </w:pPr>
    </w:p>
    <w:p>
      <w:pPr>
        <w:ind w:left="465"/>
        <w:spacing w:after="0"/>
        <w:tabs>
          <w:tab w:leader="none" w:pos="985" w:val="left"/>
          <w:tab w:leader="none" w:pos="4225" w:val="left"/>
        </w:tabs>
        <w:rPr>
          <w:sz w:val="20"/>
          <w:szCs w:val="20"/>
          <w:color w:val="auto"/>
        </w:rPr>
      </w:pPr>
      <w:r>
        <w:rPr>
          <w:rFonts w:ascii="Courier New" w:cs="Courier New" w:eastAsia="Courier New" w:hAnsi="Courier New"/>
          <w:sz w:val="15"/>
          <w:szCs w:val="15"/>
          <w:color w:val="auto"/>
        </w:rPr>
        <w:t>3.3.</w:t>
        <w:tab/>
        <w:t>Future Reorganization in Indiana.</w:t>
        <w:tab/>
        <w:t>If and when Indiana law has been</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enacted to authorize the formation of limited liability companies, and Indiana has received U.S. Internal Revenue Service recognition and approval of such limited liability companies, then Company, at its expense, shall be reorganized as a limited liability company under the provisions of such law, and the controlling law for the purposes of this Agreement shall then become the laws of the state of Indiana, provided that there are no adverse tax or other consequences to Company or any of its Members.</w:t>
      </w:r>
    </w:p>
    <w:p>
      <w:pPr>
        <w:spacing w:after="0" w:line="176" w:lineRule="exact"/>
        <w:rPr>
          <w:sz w:val="20"/>
          <w:szCs w:val="20"/>
          <w:color w:val="auto"/>
        </w:rPr>
      </w:pPr>
    </w:p>
    <w:p>
      <w:pPr>
        <w:ind w:left="465"/>
        <w:spacing w:after="0"/>
        <w:tabs>
          <w:tab w:leader="none" w:pos="985" w:val="left"/>
          <w:tab w:leader="none" w:pos="3305" w:val="left"/>
        </w:tabs>
        <w:rPr>
          <w:sz w:val="20"/>
          <w:szCs w:val="20"/>
          <w:color w:val="auto"/>
        </w:rPr>
      </w:pPr>
      <w:r>
        <w:rPr>
          <w:rFonts w:ascii="Courier New" w:cs="Courier New" w:eastAsia="Courier New" w:hAnsi="Courier New"/>
          <w:sz w:val="15"/>
          <w:szCs w:val="15"/>
          <w:color w:val="auto"/>
        </w:rPr>
        <w:t>3.4.</w:t>
        <w:tab/>
        <w:t>Filing of Certificates.</w:t>
        <w:tab/>
        <w:t>IMS shall file and publish all such</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certificates, notices, statements or other instruments required by law for the formation and</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1" w:right="1440" w:bottom="1440" w:gutter="0" w:footer="0" w:header="0"/>
        </w:sectPr>
      </w:pPr>
    </w:p>
    <w:bookmarkStart w:id="222" w:name="page223"/>
    <w:bookmarkEnd w:id="222"/>
    <w:p>
      <w:pPr>
        <w:ind w:right="2939"/>
        <w:spacing w:after="0" w:line="253" w:lineRule="auto"/>
        <w:rPr>
          <w:sz w:val="20"/>
          <w:szCs w:val="20"/>
          <w:color w:val="auto"/>
        </w:rPr>
      </w:pPr>
      <w:r>
        <w:rPr>
          <w:rFonts w:ascii="Courier New" w:cs="Courier New" w:eastAsia="Courier New" w:hAnsi="Courier New"/>
          <w:sz w:val="15"/>
          <w:szCs w:val="15"/>
          <w:color w:val="auto"/>
        </w:rPr>
        <w:t>operation of a limited liability company in all jurisdictions where Company may elect to do business.</w:t>
      </w:r>
    </w:p>
    <w:p>
      <w:pPr>
        <w:spacing w:after="0" w:line="174" w:lineRule="exact"/>
        <w:rPr>
          <w:sz w:val="20"/>
          <w:szCs w:val="20"/>
          <w:color w:val="auto"/>
        </w:rPr>
      </w:pPr>
    </w:p>
    <w:p>
      <w:pPr>
        <w:ind w:left="460"/>
        <w:spacing w:after="0"/>
        <w:tabs>
          <w:tab w:leader="none" w:pos="980" w:val="left"/>
          <w:tab w:leader="none" w:pos="3020" w:val="left"/>
        </w:tabs>
        <w:rPr>
          <w:sz w:val="20"/>
          <w:szCs w:val="20"/>
          <w:color w:val="auto"/>
        </w:rPr>
      </w:pPr>
      <w:r>
        <w:rPr>
          <w:rFonts w:ascii="Courier New" w:cs="Courier New" w:eastAsia="Courier New" w:hAnsi="Courier New"/>
          <w:sz w:val="15"/>
          <w:szCs w:val="15"/>
          <w:color w:val="auto"/>
        </w:rPr>
        <w:t>3.5.</w:t>
        <w:tab/>
        <w:t>Duration of Company.</w:t>
        <w:tab/>
        <w:t>The duration of Company shall be the maximum</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allowed by law, which is thirty (30) years from its date of organization, unless dissolved earlier in accordance with the provisions of this Agreement and applicable law.</w:t>
      </w:r>
    </w:p>
    <w:p>
      <w:pPr>
        <w:spacing w:after="0" w:line="175" w:lineRule="exact"/>
        <w:rPr>
          <w:sz w:val="20"/>
          <w:szCs w:val="20"/>
          <w:color w:val="auto"/>
        </w:rPr>
      </w:pPr>
    </w:p>
    <w:p>
      <w:pPr>
        <w:ind w:left="460"/>
        <w:spacing w:after="0"/>
        <w:tabs>
          <w:tab w:leader="none" w:pos="980" w:val="left"/>
          <w:tab w:leader="none" w:pos="2280" w:val="left"/>
        </w:tabs>
        <w:rPr>
          <w:sz w:val="20"/>
          <w:szCs w:val="20"/>
          <w:color w:val="auto"/>
        </w:rPr>
      </w:pPr>
      <w:r>
        <w:rPr>
          <w:rFonts w:ascii="Courier New" w:cs="Courier New" w:eastAsia="Courier New" w:hAnsi="Courier New"/>
          <w:sz w:val="15"/>
          <w:szCs w:val="15"/>
          <w:color w:val="auto"/>
        </w:rPr>
        <w:t>3.6.</w:t>
        <w:tab/>
        <w:t>Fiscal Year.</w:t>
        <w:tab/>
        <w:t>Except for the Company's first and last fiscal years,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fiscal year of the Company shall start on January 1 and end on December 31.</w:t>
      </w:r>
    </w:p>
    <w:p>
      <w:pPr>
        <w:spacing w:after="0" w:line="185" w:lineRule="exact"/>
        <w:rPr>
          <w:sz w:val="20"/>
          <w:szCs w:val="20"/>
          <w:color w:val="auto"/>
        </w:rPr>
      </w:pPr>
    </w:p>
    <w:p>
      <w:pPr>
        <w:ind w:left="460"/>
        <w:spacing w:after="0"/>
        <w:tabs>
          <w:tab w:leader="none" w:pos="980" w:val="left"/>
          <w:tab w:leader="none" w:pos="2660" w:val="left"/>
        </w:tabs>
        <w:rPr>
          <w:sz w:val="20"/>
          <w:szCs w:val="20"/>
          <w:color w:val="auto"/>
        </w:rPr>
      </w:pPr>
      <w:r>
        <w:rPr>
          <w:rFonts w:ascii="Courier New" w:cs="Courier New" w:eastAsia="Courier New" w:hAnsi="Courier New"/>
          <w:sz w:val="15"/>
          <w:szCs w:val="15"/>
          <w:color w:val="auto"/>
        </w:rPr>
        <w:t>3.7.</w:t>
        <w:tab/>
        <w:t>Name of Company.</w:t>
        <w:tab/>
        <w:t>The name of Company shall be "Indiana Medical</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Communication Network Limited Liability Company", d/b/a "Indiana Medical Communication Network", d/b/a "Indiana MedNet", or such other name as the Members may from time to time designate. The Members shall cause to be filed, on behalf of Company, such certificates of assumed or fictitious names as may from time to time be required by law.</w:t>
      </w:r>
    </w:p>
    <w:p>
      <w:pPr>
        <w:spacing w:after="0" w:line="176" w:lineRule="exact"/>
        <w:rPr>
          <w:sz w:val="20"/>
          <w:szCs w:val="20"/>
          <w:color w:val="auto"/>
        </w:rPr>
      </w:pPr>
    </w:p>
    <w:p>
      <w:pPr>
        <w:ind w:left="460"/>
        <w:spacing w:after="0"/>
        <w:tabs>
          <w:tab w:leader="none" w:pos="980" w:val="left"/>
          <w:tab w:leader="none" w:pos="3840" w:val="left"/>
        </w:tabs>
        <w:rPr>
          <w:sz w:val="20"/>
          <w:szCs w:val="20"/>
          <w:color w:val="auto"/>
        </w:rPr>
      </w:pPr>
      <w:r>
        <w:rPr>
          <w:rFonts w:ascii="Courier New" w:cs="Courier New" w:eastAsia="Courier New" w:hAnsi="Courier New"/>
          <w:sz w:val="15"/>
          <w:szCs w:val="15"/>
          <w:color w:val="auto"/>
        </w:rPr>
        <w:t>3.8.</w:t>
        <w:tab/>
        <w:t>Place of Business of Company.</w:t>
        <w:tab/>
        <w:t>The principal place of business of</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Company shall be at an Indianapolis location consistent with the purpose and business activities of Company, said location to be selected promptly upon execution of this Agreement, and until such time the business of Company shall be conducted from the addresses of the Members.</w:t>
      </w:r>
    </w:p>
    <w:p>
      <w:pPr>
        <w:spacing w:after="0" w:line="176" w:lineRule="exact"/>
        <w:rPr>
          <w:sz w:val="20"/>
          <w:szCs w:val="20"/>
          <w:color w:val="auto"/>
        </w:rPr>
      </w:pPr>
    </w:p>
    <w:p>
      <w:pPr>
        <w:ind w:left="460"/>
        <w:spacing w:after="0"/>
        <w:tabs>
          <w:tab w:leader="none" w:pos="980" w:val="left"/>
          <w:tab w:leader="none" w:pos="3760" w:val="left"/>
        </w:tabs>
        <w:rPr>
          <w:sz w:val="20"/>
          <w:szCs w:val="20"/>
          <w:color w:val="auto"/>
        </w:rPr>
      </w:pPr>
      <w:r>
        <w:rPr>
          <w:rFonts w:ascii="Courier New" w:cs="Courier New" w:eastAsia="Courier New" w:hAnsi="Courier New"/>
          <w:sz w:val="15"/>
          <w:szCs w:val="15"/>
          <w:color w:val="auto"/>
        </w:rPr>
        <w:t>3.9.</w:t>
        <w:tab/>
        <w:t>Members Names and Addresses.</w:t>
        <w:tab/>
        <w:t>The names and addresses of the Members,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along with the titles of the persons to whom notices should be sent, are:</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15000 West Sixth Avenue, Ste. 400</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Golden, Colorado 80401</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Attention: Senior Vice President and CFO</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Methodist Hospital of Indiana, Inc.</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1701 North Senate Boulevard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Indianapolis, Indiana 46206</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Attention: Vice President and CIO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(second copy to Senior VP and General Counsel)</w:t>
      </w:r>
    </w:p>
    <w:p>
      <w:pPr>
        <w:spacing w:after="0" w:line="185" w:lineRule="exact"/>
        <w:rPr>
          <w:sz w:val="20"/>
          <w:szCs w:val="20"/>
          <w:color w:val="auto"/>
        </w:rPr>
      </w:pPr>
    </w:p>
    <w:p>
      <w:pPr>
        <w:ind w:left="460"/>
        <w:spacing w:after="0"/>
        <w:tabs>
          <w:tab w:leader="none" w:pos="1080" w:val="left"/>
          <w:tab w:leader="none" w:pos="2660" w:val="left"/>
        </w:tabs>
        <w:rPr>
          <w:sz w:val="20"/>
          <w:szCs w:val="20"/>
          <w:color w:val="auto"/>
        </w:rPr>
      </w:pPr>
      <w:r>
        <w:rPr>
          <w:rFonts w:ascii="Courier New" w:cs="Courier New" w:eastAsia="Courier New" w:hAnsi="Courier New"/>
          <w:sz w:val="15"/>
          <w:szCs w:val="15"/>
          <w:color w:val="auto"/>
        </w:rPr>
        <w:t>3.10.</w:t>
        <w:tab/>
        <w:t>Members Rights.</w:t>
        <w:tab/>
        <w:t>Members shall have all of the rights granted under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the Colorado Limited Liability Company Act, subject to the provisions of this Agreement.</w:t>
      </w:r>
    </w:p>
    <w:p>
      <w:pPr>
        <w:spacing w:after="0" w:line="174" w:lineRule="exact"/>
        <w:rPr>
          <w:sz w:val="20"/>
          <w:szCs w:val="20"/>
          <w:color w:val="auto"/>
        </w:rPr>
      </w:pPr>
    </w:p>
    <w:p>
      <w:pPr>
        <w:ind w:left="460"/>
        <w:spacing w:after="0"/>
        <w:tabs>
          <w:tab w:leader="none" w:pos="1080" w:val="left"/>
          <w:tab w:leader="none" w:pos="3200" w:val="left"/>
        </w:tabs>
        <w:rPr>
          <w:sz w:val="20"/>
          <w:szCs w:val="20"/>
          <w:color w:val="auto"/>
        </w:rPr>
      </w:pPr>
      <w:r>
        <w:rPr>
          <w:rFonts w:ascii="Courier New" w:cs="Courier New" w:eastAsia="Courier New" w:hAnsi="Courier New"/>
          <w:sz w:val="15"/>
          <w:szCs w:val="15"/>
          <w:color w:val="auto"/>
        </w:rPr>
        <w:t>3.11.</w:t>
        <w:tab/>
        <w:t>Transfer of Interest.</w:t>
        <w:tab/>
        <w:t>Except for the transfer of ownership interest</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between IMS and MHI described in Section 4, no Member may sell, exchange, encumber, hypothecate, assign, transfer or otherwise dispose of any portion of its</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223" w:name="page224"/>
    <w:bookmarkEnd w:id="223"/>
    <w:p>
      <w:pPr>
        <w:ind w:left="5" w:right="2839"/>
        <w:spacing w:after="0" w:line="253" w:lineRule="auto"/>
        <w:rPr>
          <w:sz w:val="20"/>
          <w:szCs w:val="20"/>
          <w:color w:val="auto"/>
        </w:rPr>
      </w:pPr>
      <w:r>
        <w:rPr>
          <w:rFonts w:ascii="Courier New" w:cs="Courier New" w:eastAsia="Courier New" w:hAnsi="Courier New"/>
          <w:sz w:val="15"/>
          <w:szCs w:val="15"/>
          <w:color w:val="auto"/>
        </w:rPr>
        <w:t>ownership interest in Company, or its right to receive any share of distributions as described herein, without the unanimous consent of the Members.</w:t>
      </w:r>
    </w:p>
    <w:p>
      <w:pPr>
        <w:spacing w:after="0" w:line="174" w:lineRule="exact"/>
        <w:rPr>
          <w:sz w:val="20"/>
          <w:szCs w:val="20"/>
          <w:color w:val="auto"/>
        </w:rPr>
      </w:pPr>
    </w:p>
    <w:p>
      <w:pPr>
        <w:ind w:left="465"/>
        <w:spacing w:after="0"/>
        <w:tabs>
          <w:tab w:leader="none" w:pos="1085" w:val="left"/>
          <w:tab w:leader="none" w:pos="3025" w:val="left"/>
        </w:tabs>
        <w:rPr>
          <w:sz w:val="20"/>
          <w:szCs w:val="20"/>
          <w:color w:val="auto"/>
        </w:rPr>
      </w:pPr>
      <w:r>
        <w:rPr>
          <w:rFonts w:ascii="Courier New" w:cs="Courier New" w:eastAsia="Courier New" w:hAnsi="Courier New"/>
          <w:sz w:val="15"/>
          <w:szCs w:val="15"/>
          <w:color w:val="auto"/>
        </w:rPr>
        <w:t>3.12.</w:t>
        <w:tab/>
        <w:t>Additional Members.</w:t>
        <w:tab/>
        <w:t>No additional Member may be added to Company</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without the unanimous consent of the Members.</w:t>
      </w:r>
    </w:p>
    <w:p>
      <w:pPr>
        <w:spacing w:after="0" w:line="185" w:lineRule="exact"/>
        <w:rPr>
          <w:sz w:val="20"/>
          <w:szCs w:val="20"/>
          <w:color w:val="auto"/>
        </w:rPr>
      </w:pPr>
    </w:p>
    <w:p>
      <w:pPr>
        <w:ind w:left="465" w:hanging="465"/>
        <w:spacing w:after="0"/>
        <w:tabs>
          <w:tab w:leader="none" w:pos="46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Purchases, Ownership of Members.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  IMS Contribution to and Interest in Company.  IMS and Company have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executed the Software License Agreement, a copy of which is attached as Exhibit</w:t>
      </w:r>
    </w:p>
    <w:p>
      <w:pPr>
        <w:spacing w:after="0" w:line="8" w:lineRule="exact"/>
        <w:rPr>
          <w:sz w:val="20"/>
          <w:szCs w:val="20"/>
          <w:color w:val="auto"/>
        </w:rPr>
      </w:pPr>
    </w:p>
    <w:p>
      <w:pPr>
        <w:ind w:left="66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B hereto and hereby made a part of this Agreement, which provides to Company an - -</w:t>
      </w:r>
    </w:p>
    <w:p>
      <w:pPr>
        <w:spacing w:after="0" w:line="1"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exclusive and perpetual license in the Exclusive Territory to IMS' proprietary concepts, trade secrets, techniques, business plans and other acumen developed by IMS for the purpose of commercializing medical communication networks, and to the Licensed Software, and including the escrow of said software which provides for the survival of Company's licensed rights in the event of IMS' bankruptcy, non-performance or substantial discontinuance of business, as more fully set forth in Exhibit B hereto. Upon the execution of this Agreement and pursuant to</w:t>
      </w:r>
    </w:p>
    <w:p>
      <w:pPr>
        <w:spacing w:after="0" w:line="3"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299"/>
        <w:spacing w:after="0" w:line="253" w:lineRule="auto"/>
        <w:rPr>
          <w:sz w:val="20"/>
          <w:szCs w:val="20"/>
          <w:color w:val="auto"/>
        </w:rPr>
      </w:pPr>
      <w:r>
        <w:rPr>
          <w:rFonts w:ascii="Courier New" w:cs="Courier New" w:eastAsia="Courier New" w:hAnsi="Courier New"/>
          <w:sz w:val="15"/>
          <w:szCs w:val="15"/>
          <w:color w:val="auto"/>
        </w:rPr>
        <w:t>Section 4.2 herein, IMS shall then have a fifty-one percent (51%) ownership interest in Company.</w:t>
      </w:r>
    </w:p>
    <w:p>
      <w:pPr>
        <w:spacing w:after="0" w:line="174" w:lineRule="exact"/>
        <w:rPr>
          <w:sz w:val="20"/>
          <w:szCs w:val="20"/>
          <w:color w:val="auto"/>
        </w:rPr>
      </w:pPr>
    </w:p>
    <w:p>
      <w:pPr>
        <w:ind w:left="365"/>
        <w:spacing w:after="0"/>
        <w:tabs>
          <w:tab w:leader="none" w:pos="905" w:val="left"/>
          <w:tab w:leader="none" w:pos="4405" w:val="left"/>
        </w:tabs>
        <w:rPr>
          <w:sz w:val="20"/>
          <w:szCs w:val="20"/>
          <w:color w:val="auto"/>
        </w:rPr>
      </w:pPr>
      <w:r>
        <w:rPr>
          <w:rFonts w:ascii="Courier New" w:cs="Courier New" w:eastAsia="Courier New" w:hAnsi="Courier New"/>
          <w:sz w:val="15"/>
          <w:szCs w:val="15"/>
          <w:color w:val="auto"/>
        </w:rPr>
        <w:t>4.2.</w:t>
        <w:tab/>
        <w:t>MHI Purchase of Interest in Company.</w:t>
        <w:tab/>
        <w:t>MHI is hereby purchasing, from</w:t>
      </w:r>
    </w:p>
    <w:p>
      <w:pPr>
        <w:spacing w:after="0" w:line="8" w:lineRule="exact"/>
        <w:rPr>
          <w:sz w:val="20"/>
          <w:szCs w:val="20"/>
          <w:color w:val="auto"/>
        </w:rPr>
      </w:pPr>
    </w:p>
    <w:p>
      <w:pPr>
        <w:ind w:left="9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IMS, a forty-nine percent (49%) ownership interest in Company for $1,715,000, payable in three installments as follows:</w:t>
      </w:r>
    </w:p>
    <w:p>
      <w:pPr>
        <w:spacing w:after="0" w:line="174" w:lineRule="exact"/>
        <w:rPr>
          <w:sz w:val="20"/>
          <w:szCs w:val="20"/>
          <w:color w:val="auto"/>
        </w:rPr>
      </w:pPr>
    </w:p>
    <w:p>
      <w:pPr>
        <w:jc w:val="both"/>
        <w:ind w:left="465" w:right="3019" w:firstLine="457"/>
        <w:spacing w:after="0" w:line="252" w:lineRule="auto"/>
        <w:tabs>
          <w:tab w:leader="none" w:pos="1296"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$500,000 shall be paid, by check to IMS, at the closing and upon the execution of this Agreement, at which time a certificate representing MHI's ownership interest in Company shall be provided to MHI.</w:t>
      </w:r>
    </w:p>
    <w:p>
      <w:pPr>
        <w:spacing w:after="0" w:line="174" w:lineRule="exact"/>
        <w:rPr>
          <w:rFonts w:ascii="Courier New" w:cs="Courier New" w:eastAsia="Courier New" w:hAnsi="Courier New"/>
          <w:sz w:val="15"/>
          <w:szCs w:val="15"/>
          <w:color w:val="auto"/>
        </w:rPr>
      </w:pPr>
    </w:p>
    <w:p>
      <w:pPr>
        <w:ind w:left="465" w:right="2839" w:firstLine="457"/>
        <w:spacing w:after="0" w:line="251" w:lineRule="auto"/>
        <w:tabs>
          <w:tab w:leader="none" w:pos="1388"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$600,000 shall be paid, by check to IMS, upon the completion of registration of Company to conduct business in Indiana; approval, selection of and acceptance of employment by the CEO of Company; and approval, selection of and acceptance of Company's officers and Board of Managers ("Board"), as hereafter defined, said approvals to be made unanimously by the Members.</w:t>
      </w:r>
    </w:p>
    <w:p>
      <w:pPr>
        <w:spacing w:after="0" w:line="175" w:lineRule="exact"/>
        <w:rPr>
          <w:rFonts w:ascii="Courier New" w:cs="Courier New" w:eastAsia="Courier New" w:hAnsi="Courier New"/>
          <w:sz w:val="15"/>
          <w:szCs w:val="15"/>
          <w:color w:val="auto"/>
        </w:rPr>
      </w:pPr>
    </w:p>
    <w:p>
      <w:pPr>
        <w:ind w:left="465" w:right="2839" w:firstLine="457"/>
        <w:spacing w:after="0" w:line="250" w:lineRule="auto"/>
        <w:tabs>
          <w:tab w:leader="none" w:pos="148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$615,000 shall be paid, by check to IMS, upon completion of Company's first year business plan and budget with revenue and cost projections, occupation of its Indianapolis place of business, commencement of operation of the ComCenter System, and operation of the Network among six MHI departments and twenty physicians according to the Network Services Agreement to be executed between IMS and MHI, a copy of which is attached as Exhibit E hereto for reference only.</w:t>
      </w:r>
    </w:p>
    <w:p>
      <w:pPr>
        <w:spacing w:after="0" w:line="3" w:lineRule="exact"/>
        <w:rPr>
          <w:rFonts w:ascii="Courier New" w:cs="Courier New" w:eastAsia="Courier New" w:hAnsi="Courier New"/>
          <w:sz w:val="15"/>
          <w:szCs w:val="15"/>
          <w:color w:val="auto"/>
        </w:rPr>
      </w:pPr>
    </w:p>
    <w:p>
      <w:pPr>
        <w:ind w:left="7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479" w:firstLine="461"/>
        <w:spacing w:after="0" w:line="253" w:lineRule="auto"/>
        <w:rPr>
          <w:sz w:val="20"/>
          <w:szCs w:val="20"/>
          <w:color w:val="auto"/>
        </w:rPr>
      </w:pPr>
      <w:r>
        <w:rPr>
          <w:rFonts w:ascii="Courier New" w:cs="Courier New" w:eastAsia="Courier New" w:hAnsi="Courier New"/>
          <w:sz w:val="15"/>
          <w:szCs w:val="15"/>
          <w:color w:val="auto"/>
        </w:rPr>
        <w:t>4.2.1. MHI and IMS hereby agree that time is of the essence in completing these conditions for payment, and will mutually take all</w:t>
      </w:r>
    </w:p>
    <w:p>
      <w:pPr>
        <w:spacing w:after="0" w:line="174"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224" w:name="page225"/>
    <w:bookmarkEnd w:id="224"/>
    <w:p>
      <w:pPr>
        <w:ind w:left="465" w:right="3019"/>
        <w:spacing w:after="0" w:line="253" w:lineRule="auto"/>
        <w:rPr>
          <w:sz w:val="20"/>
          <w:szCs w:val="20"/>
          <w:color w:val="auto"/>
        </w:rPr>
      </w:pPr>
      <w:r>
        <w:rPr>
          <w:rFonts w:ascii="Courier New" w:cs="Courier New" w:eastAsia="Courier New" w:hAnsi="Courier New"/>
          <w:sz w:val="15"/>
          <w:szCs w:val="15"/>
          <w:color w:val="auto"/>
        </w:rPr>
        <w:t>reasonable actions to complete these conditions as promptly as reasonably possible.</w:t>
      </w:r>
    </w:p>
    <w:p>
      <w:pPr>
        <w:spacing w:after="0" w:line="174" w:lineRule="exact"/>
        <w:rPr>
          <w:sz w:val="20"/>
          <w:szCs w:val="20"/>
          <w:color w:val="auto"/>
        </w:rPr>
      </w:pPr>
    </w:p>
    <w:p>
      <w:pPr>
        <w:ind w:left="465" w:right="2839" w:firstLine="461"/>
        <w:spacing w:after="0" w:line="251" w:lineRule="auto"/>
        <w:rPr>
          <w:sz w:val="20"/>
          <w:szCs w:val="20"/>
          <w:color w:val="auto"/>
        </w:rPr>
      </w:pPr>
      <w:r>
        <w:rPr>
          <w:rFonts w:ascii="Courier New" w:cs="Courier New" w:eastAsia="Courier New" w:hAnsi="Courier New"/>
          <w:sz w:val="15"/>
          <w:szCs w:val="15"/>
          <w:color w:val="auto"/>
        </w:rPr>
        <w:t>4.2.2. In the event that these conditions cannot be completed due to non-performance by IMS, its products or services, or other circumstances within the control of IMS, then MHI shall have the right to terminate this Agreement, and IMS shall then, within ninety (90) days of receiving written notice from MHI and provided IMS cannot within that time remedy the completion of said conditions, return any payments made to IMS under this Agreement. MHI shall then have no portion of ownership interest in Company, and shall promptly return its ownership certificate in Company to IMS.</w:t>
      </w:r>
    </w:p>
    <w:p>
      <w:pPr>
        <w:spacing w:after="0" w:line="175" w:lineRule="exact"/>
        <w:rPr>
          <w:sz w:val="20"/>
          <w:szCs w:val="20"/>
          <w:color w:val="auto"/>
        </w:rPr>
      </w:pPr>
    </w:p>
    <w:p>
      <w:pPr>
        <w:ind w:left="465" w:right="2839" w:firstLine="461"/>
        <w:spacing w:after="0" w:line="251" w:lineRule="auto"/>
        <w:rPr>
          <w:sz w:val="20"/>
          <w:szCs w:val="20"/>
          <w:color w:val="auto"/>
        </w:rPr>
      </w:pPr>
      <w:r>
        <w:rPr>
          <w:rFonts w:ascii="Courier New" w:cs="Courier New" w:eastAsia="Courier New" w:hAnsi="Courier New"/>
          <w:sz w:val="15"/>
          <w:szCs w:val="15"/>
          <w:color w:val="auto"/>
        </w:rPr>
        <w:t>4.2.3. In the event that these conditions cannot be completed due to non-performance by MHI, or other circumstances within the control of MHI, then IMS shall have the right to terminate this Agreement and, provided that MHI cannot remedy the completion of said conditions within ninety (90) days of receiving written notice of termination from IMS, retain the first payment as liquidated damages and return any other payments made to IMS under this Agreement. MHI shall then have no portion of ownership interest in Company, and shall promptly return its ownership certificate in Company to IMS.</w:t>
      </w:r>
    </w:p>
    <w:p>
      <w:pPr>
        <w:spacing w:after="0" w:line="175" w:lineRule="exact"/>
        <w:rPr>
          <w:sz w:val="20"/>
          <w:szCs w:val="20"/>
          <w:color w:val="auto"/>
        </w:rPr>
      </w:pPr>
    </w:p>
    <w:p>
      <w:pPr>
        <w:ind w:left="465" w:hanging="465"/>
        <w:spacing w:after="0"/>
        <w:tabs>
          <w:tab w:leader="none" w:pos="46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Contributions and Sources of Funds.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5.1.  Capital Contributions of MHI.  MHI shall have no obligation to make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any capital contributions to Company at any time.</w:t>
      </w:r>
    </w:p>
    <w:p>
      <w:pPr>
        <w:spacing w:after="0" w:line="185" w:lineRule="exact"/>
        <w:rPr>
          <w:sz w:val="20"/>
          <w:szCs w:val="20"/>
          <w:color w:val="auto"/>
        </w:rPr>
      </w:pPr>
    </w:p>
    <w:p>
      <w:pPr>
        <w:ind w:left="465"/>
        <w:spacing w:after="0"/>
        <w:tabs>
          <w:tab w:leader="none" w:pos="985" w:val="left"/>
          <w:tab w:leader="none" w:pos="3845" w:val="left"/>
        </w:tabs>
        <w:rPr>
          <w:sz w:val="20"/>
          <w:szCs w:val="20"/>
          <w:color w:val="auto"/>
        </w:rPr>
      </w:pPr>
      <w:r>
        <w:rPr>
          <w:rFonts w:ascii="Courier New" w:cs="Courier New" w:eastAsia="Courier New" w:hAnsi="Courier New"/>
          <w:sz w:val="15"/>
          <w:szCs w:val="15"/>
          <w:color w:val="auto"/>
        </w:rPr>
        <w:t>5.2.</w:t>
        <w:tab/>
        <w:t>Capital Contributions of IMS.</w:t>
        <w:tab/>
        <w:t>IMS shall have no obligation to make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any capital contributions to Company at any time.</w:t>
      </w:r>
    </w:p>
    <w:p>
      <w:pPr>
        <w:spacing w:after="0" w:line="185" w:lineRule="exact"/>
        <w:rPr>
          <w:sz w:val="20"/>
          <w:szCs w:val="20"/>
          <w:color w:val="auto"/>
        </w:rPr>
      </w:pPr>
    </w:p>
    <w:p>
      <w:pPr>
        <w:ind w:left="465"/>
        <w:spacing w:after="0"/>
        <w:tabs>
          <w:tab w:leader="none" w:pos="985" w:val="left"/>
          <w:tab w:leader="none" w:pos="2745" w:val="left"/>
        </w:tabs>
        <w:rPr>
          <w:sz w:val="20"/>
          <w:szCs w:val="20"/>
          <w:color w:val="auto"/>
        </w:rPr>
      </w:pPr>
      <w:r>
        <w:rPr>
          <w:rFonts w:ascii="Courier New" w:cs="Courier New" w:eastAsia="Courier New" w:hAnsi="Courier New"/>
          <w:sz w:val="15"/>
          <w:szCs w:val="15"/>
          <w:color w:val="auto"/>
        </w:rPr>
        <w:t>5.3.</w:t>
        <w:tab/>
        <w:t>Sources of Funds.</w:t>
        <w:tab/>
        <w:t>It is the intent of the Members that adequate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funding of the financial requirements of Company shall be derived from Local Sponsor and National Sponsor fees, the first source of which shall be from MHI as the charter Local Sponsor of the Network under the terms and conditions of the Network Services Agreement to be executed between MHI and IMS. The Members shall direct Company, through the Board, to manage and grow Company in a manner consistent with this intent.</w:t>
      </w:r>
    </w:p>
    <w:p>
      <w:pPr>
        <w:spacing w:after="0" w:line="176" w:lineRule="exact"/>
        <w:rPr>
          <w:sz w:val="20"/>
          <w:szCs w:val="20"/>
          <w:color w:val="auto"/>
        </w:rPr>
      </w:pPr>
    </w:p>
    <w:p>
      <w:pPr>
        <w:ind w:left="465" w:right="3119" w:firstLine="554"/>
        <w:spacing w:after="0" w:line="251" w:lineRule="auto"/>
        <w:rPr>
          <w:sz w:val="20"/>
          <w:szCs w:val="20"/>
          <w:color w:val="auto"/>
        </w:rPr>
      </w:pPr>
      <w:r>
        <w:rPr>
          <w:rFonts w:ascii="Courier New" w:cs="Courier New" w:eastAsia="Courier New" w:hAnsi="Courier New"/>
          <w:sz w:val="15"/>
          <w:szCs w:val="15"/>
          <w:color w:val="auto"/>
        </w:rPr>
        <w:t>5.3.1. Notwithstanding the above, IMS hereby agrees that, in the event at any time that sufficient funds are not available from Network fees, IMS shall loan Company non-interest bearing funds, not to exceed a cumulative balance of $100,000 at any one time.</w:t>
      </w:r>
    </w:p>
    <w:p>
      <w:pPr>
        <w:spacing w:after="0" w:line="176" w:lineRule="exact"/>
        <w:rPr>
          <w:sz w:val="20"/>
          <w:szCs w:val="20"/>
          <w:color w:val="auto"/>
        </w:rPr>
      </w:pPr>
    </w:p>
    <w:p>
      <w:pPr>
        <w:ind w:left="465" w:right="2939" w:firstLine="554"/>
        <w:spacing w:after="0" w:line="252" w:lineRule="auto"/>
        <w:rPr>
          <w:sz w:val="20"/>
          <w:szCs w:val="20"/>
          <w:color w:val="auto"/>
        </w:rPr>
      </w:pPr>
      <w:r>
        <w:rPr>
          <w:rFonts w:ascii="Courier New" w:cs="Courier New" w:eastAsia="Courier New" w:hAnsi="Courier New"/>
          <w:sz w:val="15"/>
          <w:szCs w:val="15"/>
          <w:color w:val="auto"/>
        </w:rPr>
        <w:t>5.3.2. In addition, in the event that the outstanding loan balance of Section 5.3.1 is at its maximum, and as necessary and upon the approval of the Board, or as stated in the Company budget or business plan approved</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5" w:top="650" w:right="1440" w:bottom="1440" w:gutter="0" w:footer="0" w:header="0"/>
        </w:sectPr>
      </w:pPr>
    </w:p>
    <w:bookmarkStart w:id="225" w:name="page226"/>
    <w:bookmarkEnd w:id="225"/>
    <w:p>
      <w:pPr>
        <w:ind w:left="465" w:right="2939"/>
        <w:spacing w:after="0" w:line="251" w:lineRule="auto"/>
        <w:rPr>
          <w:sz w:val="20"/>
          <w:szCs w:val="20"/>
          <w:color w:val="auto"/>
        </w:rPr>
      </w:pPr>
      <w:r>
        <w:rPr>
          <w:rFonts w:ascii="Courier New" w:cs="Courier New" w:eastAsia="Courier New" w:hAnsi="Courier New"/>
          <w:sz w:val="15"/>
          <w:szCs w:val="15"/>
          <w:color w:val="auto"/>
        </w:rPr>
        <w:t>by the Board, additional funding shall be provided by loans secured by Local and National Sponsor contracts and provided by IMS or a third party, in a manner so as not to impair ongoing or future operations or expose Company to undue risk, including the premature distribution of any profits of Company. Such loans, if provided by IMS, shall be provided at an interest rate not to exceed the interest rate incurred by IMS in securing such loans.</w:t>
      </w:r>
    </w:p>
    <w:p>
      <w:pPr>
        <w:spacing w:after="0" w:line="176" w:lineRule="exact"/>
        <w:rPr>
          <w:sz w:val="20"/>
          <w:szCs w:val="20"/>
          <w:color w:val="auto"/>
        </w:rPr>
      </w:pPr>
    </w:p>
    <w:p>
      <w:pPr>
        <w:jc w:val="both"/>
        <w:ind w:left="465" w:right="2839" w:firstLine="461"/>
        <w:spacing w:after="0" w:line="252" w:lineRule="auto"/>
        <w:rPr>
          <w:sz w:val="20"/>
          <w:szCs w:val="20"/>
          <w:color w:val="auto"/>
        </w:rPr>
      </w:pPr>
      <w:r>
        <w:rPr>
          <w:rFonts w:ascii="Courier New" w:cs="Courier New" w:eastAsia="Courier New" w:hAnsi="Courier New"/>
          <w:sz w:val="15"/>
          <w:szCs w:val="15"/>
          <w:color w:val="auto"/>
        </w:rPr>
        <w:t>5.3.3. MHI hereby acknowledges that, coincident with the execution of this Agreement, IMS has separately provided MHI with evidence demonstrating IMS' ability to secure and loan such funds.</w:t>
      </w:r>
    </w:p>
    <w:p>
      <w:pPr>
        <w:spacing w:after="0" w:line="175" w:lineRule="exact"/>
        <w:rPr>
          <w:sz w:val="20"/>
          <w:szCs w:val="20"/>
          <w:color w:val="auto"/>
        </w:rPr>
      </w:pPr>
    </w:p>
    <w:p>
      <w:pPr>
        <w:ind w:left="465"/>
        <w:spacing w:after="0"/>
        <w:tabs>
          <w:tab w:leader="none" w:pos="985" w:val="left"/>
          <w:tab w:leader="none" w:pos="3485" w:val="left"/>
        </w:tabs>
        <w:rPr>
          <w:sz w:val="20"/>
          <w:szCs w:val="20"/>
          <w:color w:val="auto"/>
        </w:rPr>
      </w:pPr>
      <w:r>
        <w:rPr>
          <w:rFonts w:ascii="Courier New" w:cs="Courier New" w:eastAsia="Courier New" w:hAnsi="Courier New"/>
          <w:sz w:val="15"/>
          <w:szCs w:val="15"/>
          <w:color w:val="auto"/>
        </w:rPr>
        <w:t>5.4.</w:t>
        <w:tab/>
        <w:t>Additional Contributions.</w:t>
        <w:tab/>
        <w:t>Additional contributions shall be made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only with the consent of the Members.</w:t>
      </w:r>
    </w:p>
    <w:p>
      <w:pPr>
        <w:spacing w:after="0" w:line="185" w:lineRule="exact"/>
        <w:rPr>
          <w:sz w:val="20"/>
          <w:szCs w:val="20"/>
          <w:color w:val="auto"/>
        </w:rPr>
      </w:pPr>
    </w:p>
    <w:p>
      <w:pPr>
        <w:ind w:left="465"/>
        <w:spacing w:after="0"/>
        <w:tabs>
          <w:tab w:leader="none" w:pos="985" w:val="left"/>
          <w:tab w:leader="none" w:pos="3205" w:val="left"/>
        </w:tabs>
        <w:rPr>
          <w:sz w:val="20"/>
          <w:szCs w:val="20"/>
          <w:color w:val="auto"/>
        </w:rPr>
      </w:pPr>
      <w:r>
        <w:rPr>
          <w:rFonts w:ascii="Courier New" w:cs="Courier New" w:eastAsia="Courier New" w:hAnsi="Courier New"/>
          <w:sz w:val="15"/>
          <w:szCs w:val="15"/>
          <w:color w:val="auto"/>
        </w:rPr>
        <w:t>5.5.</w:t>
        <w:tab/>
        <w:t>No Dilution of Equity.</w:t>
        <w:tab/>
        <w:t>No Member's portion of its ownership interest</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in Company shall be diluted by virtue of any financial provisions as described in this Section 5.</w:t>
      </w:r>
    </w:p>
    <w:p>
      <w:pPr>
        <w:spacing w:after="0" w:line="174" w:lineRule="exact"/>
        <w:rPr>
          <w:sz w:val="20"/>
          <w:szCs w:val="20"/>
          <w:color w:val="auto"/>
        </w:rPr>
      </w:pPr>
    </w:p>
    <w:p>
      <w:pPr>
        <w:ind w:left="465" w:hanging="465"/>
        <w:spacing w:after="0"/>
        <w:tabs>
          <w:tab w:leader="none" w:pos="465"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and Allocation of Profits and Losses.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985" w:val="left"/>
          <w:tab w:leader="none" w:pos="3485" w:val="left"/>
        </w:tabs>
        <w:rPr>
          <w:sz w:val="20"/>
          <w:szCs w:val="20"/>
          <w:color w:val="auto"/>
        </w:rPr>
      </w:pPr>
      <w:r>
        <w:rPr>
          <w:rFonts w:ascii="Courier New" w:cs="Courier New" w:eastAsia="Courier New" w:hAnsi="Courier New"/>
          <w:sz w:val="15"/>
          <w:szCs w:val="15"/>
          <w:color w:val="auto"/>
        </w:rPr>
        <w:t>6.1.</w:t>
        <w:tab/>
        <w:t>Consolidation of Results.</w:t>
        <w:tab/>
        <w:t>IMS shall be entitled to consolidate the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financial results of Company by virtue of its fifty-one percent (51%) ownership interest in Company.</w:t>
      </w:r>
    </w:p>
    <w:p>
      <w:pPr>
        <w:spacing w:after="0" w:line="174" w:lineRule="exact"/>
        <w:rPr>
          <w:sz w:val="20"/>
          <w:szCs w:val="20"/>
          <w:color w:val="auto"/>
        </w:rPr>
      </w:pPr>
    </w:p>
    <w:p>
      <w:pPr>
        <w:ind w:left="465"/>
        <w:spacing w:after="0"/>
        <w:tabs>
          <w:tab w:leader="none" w:pos="985" w:val="left"/>
          <w:tab w:leader="none" w:pos="2925" w:val="left"/>
        </w:tabs>
        <w:rPr>
          <w:sz w:val="20"/>
          <w:szCs w:val="20"/>
          <w:color w:val="auto"/>
        </w:rPr>
      </w:pPr>
      <w:r>
        <w:rPr>
          <w:rFonts w:ascii="Courier New" w:cs="Courier New" w:eastAsia="Courier New" w:hAnsi="Courier New"/>
          <w:sz w:val="15"/>
          <w:szCs w:val="15"/>
          <w:color w:val="auto"/>
        </w:rPr>
        <w:t>6.2.</w:t>
        <w:tab/>
        <w:t>Profits and Losses.</w:t>
        <w:tab/>
        <w:t>All Company profits and losses shall be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determined using generally accepted accounting principles, consistently applied. All Company losses shall be allocated fifty-one percent (51%) to IMS and forty-nine percent (49%) to MHI. All Company profits, following the recovery of cumulative net losses, shall be allocated fifty-one percent (51%) to IMS and forty-nine percent (49%) to MHI.</w:t>
      </w:r>
    </w:p>
    <w:p>
      <w:pPr>
        <w:spacing w:after="0" w:line="176" w:lineRule="exact"/>
        <w:rPr>
          <w:sz w:val="20"/>
          <w:szCs w:val="20"/>
          <w:color w:val="auto"/>
        </w:rPr>
      </w:pPr>
    </w:p>
    <w:p>
      <w:pPr>
        <w:ind w:left="465"/>
        <w:spacing w:after="0"/>
        <w:tabs>
          <w:tab w:leader="none" w:pos="985" w:val="left"/>
          <w:tab w:leader="none" w:pos="3305" w:val="left"/>
        </w:tabs>
        <w:rPr>
          <w:sz w:val="20"/>
          <w:szCs w:val="20"/>
          <w:color w:val="auto"/>
        </w:rPr>
      </w:pPr>
      <w:r>
        <w:rPr>
          <w:rFonts w:ascii="Courier New" w:cs="Courier New" w:eastAsia="Courier New" w:hAnsi="Courier New"/>
          <w:sz w:val="15"/>
          <w:szCs w:val="15"/>
          <w:color w:val="auto"/>
        </w:rPr>
        <w:t>6.3.</w:t>
        <w:tab/>
        <w:t>Federal Tax Allocation.</w:t>
        <w:tab/>
        <w:t>Except as otherwise required hereunder or as</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otherwise provided by the Code and the rules and Treasury Regulations, for federal income tax purposes, each item of income, gain or credit, and each item of loss or deduction entering into the computation of the Members' taxable income shall be allocated to the Members on the same basis as profits and losses are allocated to the Members for book purposes.</w:t>
      </w:r>
    </w:p>
    <w:p>
      <w:pPr>
        <w:spacing w:after="0" w:line="176" w:lineRule="exact"/>
        <w:rPr>
          <w:sz w:val="20"/>
          <w:szCs w:val="20"/>
          <w:color w:val="auto"/>
        </w:rPr>
      </w:pPr>
    </w:p>
    <w:p>
      <w:pPr>
        <w:ind w:left="465"/>
        <w:spacing w:after="0"/>
        <w:tabs>
          <w:tab w:leader="none" w:pos="985" w:val="left"/>
          <w:tab w:leader="none" w:pos="5045" w:val="left"/>
        </w:tabs>
        <w:rPr>
          <w:sz w:val="20"/>
          <w:szCs w:val="20"/>
          <w:color w:val="auto"/>
        </w:rPr>
      </w:pPr>
      <w:r>
        <w:rPr>
          <w:rFonts w:ascii="Courier New" w:cs="Courier New" w:eastAsia="Courier New" w:hAnsi="Courier New"/>
          <w:sz w:val="15"/>
          <w:szCs w:val="15"/>
          <w:color w:val="auto"/>
        </w:rPr>
        <w:t>6.4.</w:t>
        <w:tab/>
        <w:t>Allocations Respecting Contributed Assets.</w:t>
        <w:tab/>
        <w:t>In accordance with Code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Section 704(c) and the Treasury Regulations thereunder, income gain, credit, loss and deduction with respect to any asset contributed to the capital of Company shall, /solely for tax purposes, be allocated among the Members so as to take account of any variation between the adjusted basis of such property to Company for federal income tax purposes and its initial Adjusted Asset Value. In the event the Adjusted Asset Value of any Company asset is adjusted pursuant to the terms of this Agreement, subsequent allocations of income, gain, credit, loss and deduction with respect to such asset shall take account of any variation between the adjusted basis</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226" w:name="page227"/>
    <w:bookmarkEnd w:id="226"/>
    <w:p>
      <w:pPr>
        <w:ind w:right="3119"/>
        <w:spacing w:after="0" w:line="252" w:lineRule="auto"/>
        <w:rPr>
          <w:sz w:val="20"/>
          <w:szCs w:val="20"/>
          <w:color w:val="auto"/>
        </w:rPr>
      </w:pPr>
      <w:r>
        <w:rPr>
          <w:rFonts w:ascii="Courier New" w:cs="Courier New" w:eastAsia="Courier New" w:hAnsi="Courier New"/>
          <w:sz w:val="15"/>
          <w:szCs w:val="15"/>
          <w:color w:val="auto"/>
        </w:rPr>
        <w:t>of such asset for federal income tax purposes and its Adjusted Asset Value in the same manner as under Code Section 704(c) and the Treasury Regulations thereunder.</w:t>
      </w:r>
    </w:p>
    <w:p>
      <w:pPr>
        <w:spacing w:after="0" w:line="175" w:lineRule="exact"/>
        <w:rPr>
          <w:sz w:val="20"/>
          <w:szCs w:val="20"/>
          <w:color w:val="auto"/>
        </w:rPr>
      </w:pPr>
    </w:p>
    <w:p>
      <w:pPr>
        <w:ind w:left="460"/>
        <w:spacing w:after="0"/>
        <w:tabs>
          <w:tab w:leader="none" w:pos="980" w:val="left"/>
          <w:tab w:leader="none" w:pos="3940" w:val="left"/>
        </w:tabs>
        <w:rPr>
          <w:sz w:val="20"/>
          <w:szCs w:val="20"/>
          <w:color w:val="auto"/>
        </w:rPr>
      </w:pPr>
      <w:r>
        <w:rPr>
          <w:rFonts w:ascii="Courier New" w:cs="Courier New" w:eastAsia="Courier New" w:hAnsi="Courier New"/>
          <w:sz w:val="15"/>
          <w:szCs w:val="15"/>
          <w:color w:val="auto"/>
        </w:rPr>
        <w:t>6.5.</w:t>
        <w:tab/>
        <w:t>Capital Accounts and Balances.</w:t>
        <w:tab/>
        <w:t>A separate capital account shall be</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maintained for each Member. Each Member's capital account shall be zero at the commencement of this Agreement and after completion of the transactions described in Sections 4.1 and 4.2. The capital accounts are to be maintained in a manner consistent with Treasury Regulations Section 1.704-1(b)(2)(iv). In the case of the distribution of property which is subject to any special allocation, the credit or debit to the capital account shall occur as if the property had been sold for its then fair market value. No Member shall be entitled to receive interest on its capital account, and none shall be paid.</w:t>
      </w:r>
    </w:p>
    <w:p>
      <w:pPr>
        <w:spacing w:after="0" w:line="175" w:lineRule="exact"/>
        <w:rPr>
          <w:sz w:val="20"/>
          <w:szCs w:val="20"/>
          <w:color w:val="auto"/>
        </w:rPr>
      </w:pPr>
    </w:p>
    <w:p>
      <w:pPr>
        <w:ind w:left="1000"/>
        <w:spacing w:after="0"/>
        <w:tabs>
          <w:tab w:leader="none" w:pos="1720" w:val="left"/>
        </w:tabs>
        <w:rPr>
          <w:sz w:val="20"/>
          <w:szCs w:val="20"/>
          <w:color w:val="auto"/>
        </w:rPr>
      </w:pPr>
      <w:r>
        <w:rPr>
          <w:rFonts w:ascii="Courier New" w:cs="Courier New" w:eastAsia="Courier New" w:hAnsi="Courier New"/>
          <w:sz w:val="15"/>
          <w:szCs w:val="15"/>
          <w:color w:val="auto"/>
        </w:rPr>
        <w:t>6.5.1.</w:t>
        <w:tab/>
        <w:t>Each Member's capital account shall be credited with:</w:t>
      </w:r>
    </w:p>
    <w:p>
      <w:pPr>
        <w:spacing w:after="0" w:line="185" w:lineRule="exact"/>
        <w:rPr>
          <w:sz w:val="20"/>
          <w:szCs w:val="20"/>
          <w:color w:val="auto"/>
        </w:rPr>
      </w:pPr>
    </w:p>
    <w:p>
      <w:pPr>
        <w:ind w:left="1380" w:hanging="370"/>
        <w:spacing w:after="0"/>
        <w:tabs>
          <w:tab w:leader="none" w:pos="13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contributions of cash to the capital of Company;</w:t>
      </w:r>
    </w:p>
    <w:p>
      <w:pPr>
        <w:spacing w:after="0" w:line="184" w:lineRule="exact"/>
        <w:rPr>
          <w:rFonts w:ascii="Courier New" w:cs="Courier New" w:eastAsia="Courier New" w:hAnsi="Courier New"/>
          <w:sz w:val="15"/>
          <w:szCs w:val="15"/>
          <w:color w:val="auto"/>
        </w:rPr>
      </w:pPr>
    </w:p>
    <w:p>
      <w:pPr>
        <w:ind w:left="1000" w:right="3019" w:firstLine="10"/>
        <w:spacing w:after="0" w:line="253" w:lineRule="auto"/>
        <w:tabs>
          <w:tab w:leader="none" w:pos="146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allocable share of Company profits determined as set forth in Section 6.2;</w:t>
      </w:r>
    </w:p>
    <w:p>
      <w:pPr>
        <w:spacing w:after="0" w:line="174" w:lineRule="exact"/>
        <w:rPr>
          <w:rFonts w:ascii="Courier New" w:cs="Courier New" w:eastAsia="Courier New" w:hAnsi="Courier New"/>
          <w:sz w:val="15"/>
          <w:szCs w:val="15"/>
          <w:color w:val="auto"/>
        </w:rPr>
      </w:pPr>
    </w:p>
    <w:p>
      <w:pPr>
        <w:ind w:left="1560" w:hanging="550"/>
        <w:spacing w:after="0"/>
        <w:tabs>
          <w:tab w:leader="none" w:pos="156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capital contributions made by it, if any; and</w:t>
      </w:r>
    </w:p>
    <w:p>
      <w:pPr>
        <w:spacing w:after="0" w:line="184" w:lineRule="exact"/>
        <w:rPr>
          <w:rFonts w:ascii="Courier New" w:cs="Courier New" w:eastAsia="Courier New" w:hAnsi="Courier New"/>
          <w:sz w:val="15"/>
          <w:szCs w:val="15"/>
          <w:color w:val="auto"/>
        </w:rPr>
      </w:pPr>
    </w:p>
    <w:p>
      <w:pPr>
        <w:ind w:left="1000" w:right="2939" w:firstLine="10"/>
        <w:spacing w:after="0" w:line="253" w:lineRule="auto"/>
        <w:tabs>
          <w:tab w:leader="none" w:pos="1461"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Company liabilities that are assumed by it or that are secured by any Company property distributed to it.</w:t>
      </w:r>
    </w:p>
    <w:p>
      <w:pPr>
        <w:spacing w:after="0" w:line="174" w:lineRule="exact"/>
        <w:rPr>
          <w:sz w:val="20"/>
          <w:szCs w:val="20"/>
          <w:color w:val="auto"/>
        </w:rPr>
      </w:pPr>
    </w:p>
    <w:p>
      <w:pPr>
        <w:ind w:left="1000"/>
        <w:spacing w:after="0"/>
        <w:tabs>
          <w:tab w:leader="none" w:pos="1720" w:val="left"/>
        </w:tabs>
        <w:rPr>
          <w:sz w:val="20"/>
          <w:szCs w:val="20"/>
          <w:color w:val="auto"/>
        </w:rPr>
      </w:pPr>
      <w:r>
        <w:rPr>
          <w:rFonts w:ascii="Courier New" w:cs="Courier New" w:eastAsia="Courier New" w:hAnsi="Courier New"/>
          <w:sz w:val="15"/>
          <w:szCs w:val="15"/>
          <w:color w:val="auto"/>
        </w:rPr>
        <w:t>6.5.2.</w:t>
        <w:tab/>
        <w:t>Each Member's capital account shall be debited with:</w:t>
      </w:r>
    </w:p>
    <w:p>
      <w:pPr>
        <w:spacing w:after="0" w:line="185" w:lineRule="exact"/>
        <w:rPr>
          <w:sz w:val="20"/>
          <w:szCs w:val="20"/>
          <w:color w:val="auto"/>
        </w:rPr>
      </w:pPr>
    </w:p>
    <w:p>
      <w:pPr>
        <w:ind w:left="1380" w:hanging="370"/>
        <w:spacing w:after="0"/>
        <w:tabs>
          <w:tab w:leader="none" w:pos="138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allocable share, if any, of Company losses;</w:t>
      </w:r>
    </w:p>
    <w:p>
      <w:pPr>
        <w:spacing w:after="0" w:line="184" w:lineRule="exact"/>
        <w:rPr>
          <w:rFonts w:ascii="Courier New" w:cs="Courier New" w:eastAsia="Courier New" w:hAnsi="Courier New"/>
          <w:sz w:val="15"/>
          <w:szCs w:val="15"/>
          <w:color w:val="auto"/>
        </w:rPr>
      </w:pPr>
    </w:p>
    <w:p>
      <w:pPr>
        <w:ind w:left="1000" w:right="3399" w:firstLine="10"/>
        <w:spacing w:after="0" w:line="253" w:lineRule="auto"/>
        <w:tabs>
          <w:tab w:leader="none" w:pos="1461"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withdrawals by or distributions to it by Company; and</w:t>
      </w:r>
    </w:p>
    <w:p>
      <w:pPr>
        <w:spacing w:after="0" w:line="174" w:lineRule="exact"/>
        <w:rPr>
          <w:rFonts w:ascii="Courier New" w:cs="Courier New" w:eastAsia="Courier New" w:hAnsi="Courier New"/>
          <w:sz w:val="15"/>
          <w:szCs w:val="15"/>
          <w:color w:val="auto"/>
        </w:rPr>
      </w:pPr>
    </w:p>
    <w:p>
      <w:pPr>
        <w:ind w:left="1000" w:right="3299" w:firstLine="10"/>
        <w:spacing w:after="0" w:line="252" w:lineRule="auto"/>
        <w:tabs>
          <w:tab w:leader="none" w:pos="1554"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of its liabilities that are assumed by Company or that are secured by any property contributed by it to Company.</w:t>
      </w:r>
    </w:p>
    <w:p>
      <w:pPr>
        <w:spacing w:after="0" w:line="175" w:lineRule="exact"/>
        <w:rPr>
          <w:sz w:val="20"/>
          <w:szCs w:val="20"/>
          <w:color w:val="auto"/>
        </w:rPr>
      </w:pPr>
    </w:p>
    <w:p>
      <w:pPr>
        <w:ind w:left="460"/>
        <w:spacing w:after="0"/>
        <w:tabs>
          <w:tab w:leader="none" w:pos="980" w:val="left"/>
          <w:tab w:leader="none" w:pos="4120" w:val="left"/>
        </w:tabs>
        <w:rPr>
          <w:sz w:val="20"/>
          <w:szCs w:val="20"/>
          <w:color w:val="auto"/>
        </w:rPr>
      </w:pPr>
      <w:r>
        <w:rPr>
          <w:rFonts w:ascii="Courier New" w:cs="Courier New" w:eastAsia="Courier New" w:hAnsi="Courier New"/>
          <w:sz w:val="15"/>
          <w:szCs w:val="15"/>
          <w:color w:val="auto"/>
        </w:rPr>
        <w:t>6.6.</w:t>
        <w:tab/>
        <w:t>Distributions of Available Cash.</w:t>
        <w:tab/>
        <w:t>The Company shall make cash</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distributions to Members only out of profits as determined and allocated under Section 6.2. Distributions, if available, shall be made within 60 days following the end of each calendar year. It is the intent of the Members to make such distributions, if available, at least equal to the current year's taxes on the previous year's allocated net income from Company operations. The Board may authorize such other cash distributions from time to time, if available and as agreed to, and consistent with cash needs for the on-going operation and growth of Company.</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227" w:name="page228"/>
    <w:bookmarkEnd w:id="227"/>
    <w:p>
      <w:pPr>
        <w:ind w:left="465"/>
        <w:spacing w:after="0"/>
        <w:tabs>
          <w:tab w:leader="none" w:pos="985" w:val="left"/>
          <w:tab w:leader="none" w:pos="1925" w:val="left"/>
        </w:tabs>
        <w:rPr>
          <w:sz w:val="20"/>
          <w:szCs w:val="20"/>
          <w:color w:val="auto"/>
        </w:rPr>
      </w:pPr>
      <w:r>
        <w:rPr>
          <w:rFonts w:ascii="Courier New" w:cs="Courier New" w:eastAsia="Courier New" w:hAnsi="Courier New"/>
          <w:sz w:val="15"/>
          <w:szCs w:val="15"/>
          <w:color w:val="auto"/>
        </w:rPr>
        <w:t>6.7.</w:t>
        <w:tab/>
        <w:t>General.</w:t>
        <w:tab/>
        <w:t>The respective interests of the Members in the profits and</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losses of Company shall remain as set forth above unless changed by amendment to this Agreement or by approval of the Board.</w:t>
      </w:r>
    </w:p>
    <w:p>
      <w:pPr>
        <w:spacing w:after="0" w:line="174" w:lineRule="exact"/>
        <w:rPr>
          <w:sz w:val="20"/>
          <w:szCs w:val="20"/>
          <w:color w:val="auto"/>
        </w:rPr>
      </w:pPr>
    </w:p>
    <w:p>
      <w:pPr>
        <w:ind w:left="465" w:hanging="465"/>
        <w:spacing w:after="0"/>
        <w:tabs>
          <w:tab w:leader="none" w:pos="465"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IMS Services on Behalf of Company.</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IMS Services.  IMS shall provide certain services on behalf of</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019"/>
        <w:spacing w:after="0" w:line="252" w:lineRule="auto"/>
        <w:rPr>
          <w:sz w:val="20"/>
          <w:szCs w:val="20"/>
          <w:color w:val="auto"/>
        </w:rPr>
      </w:pPr>
      <w:r>
        <w:rPr>
          <w:rFonts w:ascii="Courier New" w:cs="Courier New" w:eastAsia="Courier New" w:hAnsi="Courier New"/>
          <w:sz w:val="15"/>
          <w:szCs w:val="15"/>
          <w:color w:val="auto"/>
        </w:rPr>
        <w:t>Company regarding the general business, affairs and certain management of Company. IMS shall serve, with the powers described below, until it resigns or is replaced pursuant to the agreement of the Board or other provisions herein.</w:t>
      </w:r>
    </w:p>
    <w:p>
      <w:pPr>
        <w:spacing w:after="0" w:line="175" w:lineRule="exact"/>
        <w:rPr>
          <w:sz w:val="20"/>
          <w:szCs w:val="20"/>
          <w:color w:val="auto"/>
        </w:rPr>
      </w:pPr>
    </w:p>
    <w:p>
      <w:pPr>
        <w:ind w:left="465"/>
        <w:spacing w:after="0"/>
        <w:tabs>
          <w:tab w:leader="none" w:pos="985" w:val="left"/>
          <w:tab w:leader="none" w:pos="2925" w:val="left"/>
        </w:tabs>
        <w:rPr>
          <w:sz w:val="20"/>
          <w:szCs w:val="20"/>
          <w:color w:val="auto"/>
        </w:rPr>
      </w:pPr>
      <w:r>
        <w:rPr>
          <w:rFonts w:ascii="Courier New" w:cs="Courier New" w:eastAsia="Courier New" w:hAnsi="Courier New"/>
          <w:sz w:val="15"/>
          <w:szCs w:val="15"/>
          <w:color w:val="auto"/>
        </w:rPr>
        <w:t>7.2.</w:t>
        <w:tab/>
        <w:t>Services Agreement.</w:t>
        <w:tab/>
        <w:t>The duties, rights, responsibilities,</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obligations and authority of IMS and Company regarding the provision of certain services by IMS on behalf of Company shall be as set forth in the Services Agreement executed between IMS and Company, a copy of which is attached as Exhibit C hereto and hereby incorporated into this Agreement.</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465"/>
        <w:spacing w:after="0"/>
        <w:tabs>
          <w:tab w:leader="none" w:pos="985" w:val="left"/>
          <w:tab w:leader="none" w:pos="3765" w:val="left"/>
        </w:tabs>
        <w:rPr>
          <w:sz w:val="20"/>
          <w:szCs w:val="20"/>
          <w:color w:val="auto"/>
        </w:rPr>
      </w:pPr>
      <w:r>
        <w:rPr>
          <w:rFonts w:ascii="Courier New" w:cs="Courier New" w:eastAsia="Courier New" w:hAnsi="Courier New"/>
          <w:sz w:val="15"/>
          <w:szCs w:val="15"/>
          <w:color w:val="auto"/>
        </w:rPr>
        <w:t>7.3.</w:t>
        <w:tab/>
        <w:t>Approval of Certain Actions.</w:t>
        <w:tab/>
        <w:t>Notwithstanding the foregoing, the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authority of IMS to provide certain services on behalf of Company shall be subject to the approval of the Board in certain matters which are described in this Agreement and in the Services Agreement, and, in addition or including, the following matters:</w:t>
      </w:r>
    </w:p>
    <w:p>
      <w:pPr>
        <w:spacing w:after="0" w:line="176" w:lineRule="exact"/>
        <w:rPr>
          <w:sz w:val="20"/>
          <w:szCs w:val="20"/>
          <w:color w:val="auto"/>
        </w:rPr>
      </w:pPr>
    </w:p>
    <w:p>
      <w:pPr>
        <w:ind w:left="465" w:right="3399" w:firstLine="550"/>
        <w:spacing w:after="0" w:line="253"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with respect to the purchase, sale or lease of real estate and other significant assets on behalf of Company;</w:t>
      </w:r>
    </w:p>
    <w:p>
      <w:pPr>
        <w:spacing w:after="0" w:line="174" w:lineRule="exact"/>
        <w:rPr>
          <w:rFonts w:ascii="Courier New" w:cs="Courier New" w:eastAsia="Courier New" w:hAnsi="Courier New"/>
          <w:sz w:val="15"/>
          <w:szCs w:val="15"/>
          <w:color w:val="auto"/>
        </w:rPr>
      </w:pPr>
    </w:p>
    <w:p>
      <w:pPr>
        <w:ind w:left="465" w:right="3019" w:firstLine="550"/>
        <w:spacing w:after="0" w:line="251"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fees or other compensation to employees, officers or directors of Members, or other persons, which compensation is not contemplated by the budget of Company or is not fair value for services actually provided to Company;</w:t>
      </w:r>
    </w:p>
    <w:p>
      <w:pPr>
        <w:spacing w:after="0" w:line="176" w:lineRule="exact"/>
        <w:rPr>
          <w:rFonts w:ascii="Courier New" w:cs="Courier New" w:eastAsia="Courier New" w:hAnsi="Courier New"/>
          <w:sz w:val="15"/>
          <w:szCs w:val="15"/>
          <w:color w:val="auto"/>
        </w:rPr>
      </w:pPr>
    </w:p>
    <w:p>
      <w:pPr>
        <w:ind w:left="465" w:right="2839" w:firstLine="550"/>
        <w:spacing w:after="0" w:line="252"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dividends or surplus by Company to the Members or other distributions or payments of cash other than in accordance with this Agreement or the Services Agreement;</w:t>
      </w:r>
    </w:p>
    <w:p>
      <w:pPr>
        <w:spacing w:after="0" w:line="174" w:lineRule="exact"/>
        <w:rPr>
          <w:rFonts w:ascii="Courier New" w:cs="Courier New" w:eastAsia="Courier New" w:hAnsi="Courier New"/>
          <w:sz w:val="15"/>
          <w:szCs w:val="15"/>
          <w:color w:val="auto"/>
        </w:rPr>
      </w:pPr>
    </w:p>
    <w:p>
      <w:pPr>
        <w:ind w:left="465" w:right="2939" w:firstLine="550"/>
        <w:spacing w:after="0" w:line="251"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any business venture not contemplated by this Agreement, or any extraordinary expense or purchase of capital items exceeding $50,000 in any 12 month period, which expense or purchase is not contemplated by the Board-approved budget of Company; and</w:t>
      </w:r>
    </w:p>
    <w:p>
      <w:pPr>
        <w:spacing w:after="0" w:line="176" w:lineRule="exact"/>
        <w:rPr>
          <w:rFonts w:ascii="Courier New" w:cs="Courier New" w:eastAsia="Courier New" w:hAnsi="Courier New"/>
          <w:sz w:val="15"/>
          <w:szCs w:val="15"/>
          <w:color w:val="auto"/>
        </w:rPr>
      </w:pPr>
    </w:p>
    <w:p>
      <w:pPr>
        <w:ind w:left="465" w:right="2939" w:firstLine="550"/>
        <w:spacing w:after="0" w:line="251"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Company to IMS or any affiliate or subsidiary thereof of a management fee, home office fee, or any extraordinary fee not specifically provided in this Agreement or contemplated by the Board-approved budget of Company;</w:t>
      </w:r>
    </w:p>
    <w:p>
      <w:pPr>
        <w:spacing w:after="0" w:line="176" w:lineRule="exact"/>
        <w:rPr>
          <w:rFonts w:ascii="Courier New" w:cs="Courier New" w:eastAsia="Courier New" w:hAnsi="Courier New"/>
          <w:sz w:val="15"/>
          <w:szCs w:val="15"/>
          <w:color w:val="auto"/>
        </w:rPr>
      </w:pPr>
    </w:p>
    <w:p>
      <w:pPr>
        <w:ind w:left="465" w:right="3399" w:firstLine="550"/>
        <w:spacing w:after="0" w:line="253" w:lineRule="auto"/>
        <w:tabs>
          <w:tab w:leader="none" w:pos="138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dissolution of Company, except as otherwise provided herein.</w:t>
      </w:r>
    </w:p>
    <w:p>
      <w:pPr>
        <w:spacing w:after="0" w:line="174"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5" w:top="650" w:right="1440" w:bottom="1440" w:gutter="0" w:footer="0" w:header="0"/>
        </w:sectPr>
      </w:pPr>
    </w:p>
    <w:bookmarkStart w:id="228" w:name="page229"/>
    <w:bookmarkEnd w:id="228"/>
    <w:p>
      <w:pPr>
        <w:ind w:left="1385" w:hanging="370"/>
        <w:spacing w:after="0"/>
        <w:tabs>
          <w:tab w:leader="none" w:pos="1385"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Company's annual budget.</w:t>
      </w:r>
    </w:p>
    <w:p>
      <w:pPr>
        <w:spacing w:after="0" w:line="184" w:lineRule="exact"/>
        <w:rPr>
          <w:rFonts w:ascii="Courier New" w:cs="Courier New" w:eastAsia="Courier New" w:hAnsi="Courier New"/>
          <w:sz w:val="15"/>
          <w:szCs w:val="15"/>
          <w:color w:val="auto"/>
        </w:rPr>
      </w:pPr>
    </w:p>
    <w:p>
      <w:pPr>
        <w:ind w:left="465" w:right="2839" w:firstLine="550"/>
        <w:spacing w:after="0" w:line="250" w:lineRule="auto"/>
        <w:tabs>
          <w:tab w:leader="none" w:pos="1388"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Timing of the marketing of Network to hospitals in the Exclusive Territory, said timing to be based on a three phase approach whereby (i) the Network will be marketed to hospitals identified by MHI as positive with respect to MHI's strategic plan; (ii) the Network will be marketed to hospitals identified by MHI as neutral with respect to MHI's strategic plan; and (iii) the Network will be marketed to other hospitals. IMS hereby acknowledges receipt and acceptance of a separate list of said hospitals and phases, and agrees not to market to or permit the use of Network by hospitals not on the list without the written consent of MHI. Notwithstanding the foregoing, MHI hereby agrees that, should a third party payor wish to use the Network as a Local or National Sponsor, said payor shall not be prohibited from communication via the Network with any hospital in the Exclusive Territory to provide the Network functions needed to transact that third party payor's business on the Network. The provisions of this Section 7.3 (h) shall survive any termination of this Agreement and shall remain in full force and effect until termination of the Network Services Agreement described in Section 9.1.</w:t>
      </w:r>
    </w:p>
    <w:p>
      <w:pPr>
        <w:spacing w:after="0" w:line="184"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Managers, Officers, Decisions.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Board of Managers.  The business and affairs of Company shall be</w:t>
      </w:r>
    </w:p>
    <w:p>
      <w:pPr>
        <w:spacing w:after="0" w:line="7" w:lineRule="exact"/>
        <w:rPr>
          <w:rFonts w:ascii="Courier New" w:cs="Courier New" w:eastAsia="Courier New" w:hAnsi="Courier New"/>
          <w:sz w:val="15"/>
          <w:szCs w:val="15"/>
          <w:color w:val="auto"/>
        </w:rPr>
      </w:pPr>
    </w:p>
    <w:p>
      <w:pPr>
        <w:ind w:left="10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directed by its Board of Managers, and the Members of Company hereby authorize the Board to act on their behalf and represent their interests with respect to this Agreement and the Company, except as otherwise may be provided herein.</w:t>
      </w:r>
    </w:p>
    <w:p>
      <w:pPr>
        <w:spacing w:after="0" w:line="175" w:lineRule="exact"/>
        <w:rPr>
          <w:sz w:val="20"/>
          <w:szCs w:val="20"/>
          <w:color w:val="auto"/>
        </w:rPr>
      </w:pPr>
    </w:p>
    <w:p>
      <w:pPr>
        <w:ind w:left="1005"/>
        <w:spacing w:after="0"/>
        <w:tabs>
          <w:tab w:leader="none" w:pos="1725" w:val="left"/>
          <w:tab w:leader="none" w:pos="5045" w:val="left"/>
        </w:tabs>
        <w:rPr>
          <w:sz w:val="20"/>
          <w:szCs w:val="20"/>
          <w:color w:val="auto"/>
        </w:rPr>
      </w:pPr>
      <w:r>
        <w:rPr>
          <w:rFonts w:ascii="Courier New" w:cs="Courier New" w:eastAsia="Courier New" w:hAnsi="Courier New"/>
          <w:sz w:val="15"/>
          <w:szCs w:val="15"/>
          <w:color w:val="auto"/>
        </w:rPr>
        <w:t>8.1.1.</w:t>
        <w:tab/>
        <w:t>Number, Tenure, Voting Privileges.</w:t>
        <w:tab/>
        <w:t>There shall be four (4)</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voting members of the Board, of which two shall be appointed by MHI and two shall be appointed by IMS. Each such member of the board shall have an equal vote in the voting on or transaction of issues pertaining to Company. Each Member hereby agrees to accept the other Member's appointments. Each such member of the Board shall serve until his/her resignation or until his/her successor shall have been appointed by the respective Member. Vacancies of such members shall be filled by notice, to the Board, by the respective Member. The Board may choose to appoint the President and Chief Executive Officer ("President") of Company as a fifth member of the Board, which member shall not have voting privileges unless approved by the Board. The number, tenure and voting privileges of the Board may not be modified without the unanimous written consent of the Members.</w:t>
      </w:r>
    </w:p>
    <w:p>
      <w:pPr>
        <w:spacing w:after="0" w:line="360" w:lineRule="exact"/>
        <w:rPr>
          <w:sz w:val="20"/>
          <w:szCs w:val="20"/>
          <w:color w:val="auto"/>
        </w:rPr>
      </w:pPr>
    </w:p>
    <w:p>
      <w:pPr>
        <w:jc w:val="right"/>
        <w:ind w:right="2839"/>
        <w:spacing w:after="0"/>
        <w:tabs>
          <w:tab w:leader="none" w:pos="5620" w:val="left"/>
          <w:tab w:leader="none" w:pos="4140" w:val="left"/>
        </w:tabs>
        <w:rPr>
          <w:sz w:val="20"/>
          <w:szCs w:val="20"/>
          <w:color w:val="auto"/>
        </w:rPr>
      </w:pPr>
      <w:r>
        <w:rPr>
          <w:rFonts w:ascii="Courier New" w:cs="Courier New" w:eastAsia="Courier New" w:hAnsi="Courier New"/>
          <w:sz w:val="15"/>
          <w:szCs w:val="15"/>
          <w:color w:val="auto"/>
        </w:rPr>
        <w:t>8.1.2.</w:t>
        <w:tab/>
        <w:t>Initial Board.</w:t>
        <w:tab/>
        <w:t>Prior to the execution of this Agreement, the</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initial Board consisted of:</w:t>
      </w:r>
    </w:p>
    <w:p>
      <w:pPr>
        <w:spacing w:after="0" w:line="185"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5" w:top="650" w:right="1440" w:bottom="1440" w:gutter="0" w:footer="0" w:header="0"/>
        </w:sectPr>
      </w:pPr>
    </w:p>
    <w:bookmarkStart w:id="229" w:name="page230"/>
    <w:bookmarkEnd w:id="229"/>
    <w:p>
      <w:pPr>
        <w:ind w:left="2120" w:hanging="372"/>
        <w:spacing w:after="0"/>
        <w:tabs>
          <w:tab w:leader="none" w:pos="21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Charles I. Brown</w:t>
      </w:r>
    </w:p>
    <w:p>
      <w:pPr>
        <w:spacing w:after="0" w:line="184"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B. Hein</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Upon the execution of this Agreement and personal acceptance by each individual named below, the Board shall consist of:</w:t>
      </w:r>
    </w:p>
    <w:p>
      <w:pPr>
        <w:spacing w:after="0" w:line="174" w:lineRule="exact"/>
        <w:rPr>
          <w:sz w:val="20"/>
          <w:szCs w:val="20"/>
          <w:color w:val="auto"/>
        </w:rPr>
      </w:pPr>
    </w:p>
    <w:p>
      <w:pPr>
        <w:ind w:left="2120" w:hanging="372"/>
        <w:spacing w:after="0"/>
        <w:tabs>
          <w:tab w:leader="none" w:pos="21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Charles I. Brown, IMS appointee</w:t>
      </w:r>
    </w:p>
    <w:p>
      <w:pPr>
        <w:spacing w:after="0" w:line="184"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William B. Hein, IMS appointee</w:t>
      </w:r>
    </w:p>
    <w:p>
      <w:pPr>
        <w:spacing w:after="0" w:line="184"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Rebecca M. Shanahan, MHI appointee</w:t>
      </w:r>
    </w:p>
    <w:p>
      <w:pPr>
        <w:spacing w:after="0" w:line="184" w:lineRule="exact"/>
        <w:rPr>
          <w:rFonts w:ascii="Courier New" w:cs="Courier New" w:eastAsia="Courier New" w:hAnsi="Courier New"/>
          <w:sz w:val="15"/>
          <w:szCs w:val="15"/>
          <w:color w:val="auto"/>
        </w:rPr>
      </w:pPr>
    </w:p>
    <w:p>
      <w:pPr>
        <w:ind w:left="2120" w:hanging="372"/>
        <w:spacing w:after="0"/>
        <w:tabs>
          <w:tab w:leader="none" w:pos="212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Walter C. Zerrenner, MHI appointee</w:t>
      </w:r>
    </w:p>
    <w:p>
      <w:pPr>
        <w:spacing w:after="0" w:line="18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The Members shall have such rights and perform such duties as are contemplated for the Board until such time as the individual members of the Board have accepted their appointment.</w:t>
      </w:r>
    </w:p>
    <w:p>
      <w:pPr>
        <w:spacing w:after="0" w:line="175" w:lineRule="exact"/>
        <w:rPr>
          <w:sz w:val="20"/>
          <w:szCs w:val="20"/>
          <w:color w:val="auto"/>
        </w:rPr>
      </w:pPr>
    </w:p>
    <w:p>
      <w:pPr>
        <w:ind w:left="460"/>
        <w:spacing w:after="0"/>
        <w:tabs>
          <w:tab w:leader="none" w:pos="1180" w:val="left"/>
          <w:tab w:leader="none" w:pos="2920" w:val="left"/>
        </w:tabs>
        <w:rPr>
          <w:sz w:val="20"/>
          <w:szCs w:val="20"/>
          <w:color w:val="auto"/>
        </w:rPr>
      </w:pPr>
      <w:r>
        <w:rPr>
          <w:rFonts w:ascii="Courier New" w:cs="Courier New" w:eastAsia="Courier New" w:hAnsi="Courier New"/>
          <w:sz w:val="15"/>
          <w:szCs w:val="15"/>
          <w:color w:val="auto"/>
        </w:rPr>
        <w:t>8.1.3.</w:t>
        <w:tab/>
        <w:t>Regular Meetings.</w:t>
        <w:tab/>
        <w:t>The first meeting of the Board shall take place</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within thirty (30) days of execution of this Agreement. An annual meeting of the Board shall take place each year no later than April 30 of each year. The Board shall provide, by resolution, the time and place for the holding of such other regular meetings as they decide upon without other notice than such resolution.</w:t>
      </w:r>
    </w:p>
    <w:p>
      <w:pPr>
        <w:spacing w:after="0" w:line="176" w:lineRule="exact"/>
        <w:rPr>
          <w:sz w:val="20"/>
          <w:szCs w:val="20"/>
          <w:color w:val="auto"/>
        </w:rPr>
      </w:pPr>
    </w:p>
    <w:p>
      <w:pPr>
        <w:ind w:left="460"/>
        <w:spacing w:after="0"/>
        <w:tabs>
          <w:tab w:leader="none" w:pos="1180" w:val="left"/>
          <w:tab w:leader="none" w:pos="2920" w:val="left"/>
        </w:tabs>
        <w:rPr>
          <w:sz w:val="20"/>
          <w:szCs w:val="20"/>
          <w:color w:val="auto"/>
        </w:rPr>
      </w:pPr>
      <w:r>
        <w:rPr>
          <w:rFonts w:ascii="Courier New" w:cs="Courier New" w:eastAsia="Courier New" w:hAnsi="Courier New"/>
          <w:sz w:val="15"/>
          <w:szCs w:val="15"/>
          <w:color w:val="auto"/>
        </w:rPr>
        <w:t>8.1.4.</w:t>
        <w:tab/>
        <w:t>Special Meetings.</w:t>
        <w:tab/>
        <w:t>Special meetings of the Board may be called by</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at the request of any member of the Board or the President.</w:t>
      </w:r>
    </w:p>
    <w:p>
      <w:pPr>
        <w:spacing w:after="0" w:line="185" w:lineRule="exact"/>
        <w:rPr>
          <w:sz w:val="20"/>
          <w:szCs w:val="20"/>
          <w:color w:val="auto"/>
        </w:rPr>
      </w:pPr>
    </w:p>
    <w:p>
      <w:pPr>
        <w:ind w:left="460"/>
        <w:spacing w:after="0"/>
        <w:tabs>
          <w:tab w:leader="none" w:pos="1180" w:val="left"/>
          <w:tab w:leader="none" w:pos="3480" w:val="left"/>
        </w:tabs>
        <w:rPr>
          <w:sz w:val="20"/>
          <w:szCs w:val="20"/>
          <w:color w:val="auto"/>
        </w:rPr>
      </w:pPr>
      <w:r>
        <w:rPr>
          <w:rFonts w:ascii="Courier New" w:cs="Courier New" w:eastAsia="Courier New" w:hAnsi="Courier New"/>
          <w:sz w:val="15"/>
          <w:szCs w:val="15"/>
          <w:color w:val="auto"/>
        </w:rPr>
        <w:t>8.1.5.</w:t>
        <w:tab/>
        <w:t>Governance at Meetings.</w:t>
        <w:tab/>
        <w:t>In addition to the provisions of voting</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and other provisions of this Agreement, provisions of the Colorado Limited Liability Company Act shall govern actions taken in the conduct of any meeting.</w:t>
      </w:r>
    </w:p>
    <w:p>
      <w:pPr>
        <w:spacing w:after="0" w:line="174" w:lineRule="exact"/>
        <w:rPr>
          <w:sz w:val="20"/>
          <w:szCs w:val="20"/>
          <w:color w:val="auto"/>
        </w:rPr>
      </w:pPr>
    </w:p>
    <w:p>
      <w:pPr>
        <w:ind w:left="460"/>
        <w:spacing w:after="0"/>
        <w:tabs>
          <w:tab w:leader="none" w:pos="1180" w:val="left"/>
          <w:tab w:leader="none" w:pos="4680" w:val="left"/>
        </w:tabs>
        <w:rPr>
          <w:sz w:val="20"/>
          <w:szCs w:val="20"/>
          <w:color w:val="auto"/>
        </w:rPr>
      </w:pPr>
      <w:r>
        <w:rPr>
          <w:rFonts w:ascii="Courier New" w:cs="Courier New" w:eastAsia="Courier New" w:hAnsi="Courier New"/>
          <w:sz w:val="15"/>
          <w:szCs w:val="15"/>
          <w:color w:val="auto"/>
        </w:rPr>
        <w:t>8.1.6.</w:t>
        <w:tab/>
        <w:t>Telephone Participation at Meetings.</w:t>
        <w:tab/>
        <w:t>One or more members of Board,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or other designated persons, may participate in a meeting by means of conference telephone or similar equipment by which all persons participating in the meeting can hear each other at the same time. Such participation shall constitute presence in person at the meeting.</w:t>
      </w:r>
    </w:p>
    <w:p>
      <w:pPr>
        <w:spacing w:after="0" w:line="176" w:lineRule="exact"/>
        <w:rPr>
          <w:sz w:val="20"/>
          <w:szCs w:val="20"/>
          <w:color w:val="auto"/>
        </w:rPr>
      </w:pPr>
    </w:p>
    <w:p>
      <w:pPr>
        <w:ind w:left="460"/>
        <w:spacing w:after="0"/>
        <w:tabs>
          <w:tab w:leader="none" w:pos="1180" w:val="left"/>
          <w:tab w:leader="none" w:pos="3020" w:val="left"/>
        </w:tabs>
        <w:rPr>
          <w:sz w:val="20"/>
          <w:szCs w:val="20"/>
          <w:color w:val="auto"/>
        </w:rPr>
      </w:pPr>
      <w:r>
        <w:rPr>
          <w:rFonts w:ascii="Courier New" w:cs="Courier New" w:eastAsia="Courier New" w:hAnsi="Courier New"/>
          <w:sz w:val="15"/>
          <w:szCs w:val="15"/>
          <w:color w:val="auto"/>
        </w:rPr>
        <w:t>8.1.7.</w:t>
        <w:tab/>
        <w:t>Notice of Meeting.</w:t>
        <w:tab/>
        <w:t>Notice of any special meeting shall be given at</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least two (2) days previous thereto by written notice delivered personally, mailed, faxed, or otherwise delivered to each Board member at his or her business address. Any Board member may waive notice of any meeting whether before, at or after the meeting.</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50" w:right="1440" w:bottom="1440" w:gutter="0" w:footer="0" w:header="0"/>
        </w:sectPr>
      </w:pPr>
    </w:p>
    <w:bookmarkStart w:id="230" w:name="page231"/>
    <w:bookmarkEnd w:id="230"/>
    <w:p>
      <w:pPr>
        <w:ind w:left="460"/>
        <w:spacing w:after="0"/>
        <w:tabs>
          <w:tab w:leader="none" w:pos="1180" w:val="left"/>
          <w:tab w:leader="none" w:pos="3660" w:val="left"/>
        </w:tabs>
        <w:rPr>
          <w:sz w:val="20"/>
          <w:szCs w:val="20"/>
          <w:color w:val="auto"/>
        </w:rPr>
      </w:pPr>
      <w:r>
        <w:rPr>
          <w:rFonts w:ascii="Courier New" w:cs="Courier New" w:eastAsia="Courier New" w:hAnsi="Courier New"/>
          <w:sz w:val="15"/>
          <w:szCs w:val="15"/>
          <w:color w:val="auto"/>
        </w:rPr>
        <w:t>8.1.8.</w:t>
        <w:tab/>
        <w:t>Quorum, Manner of Acting.</w:t>
        <w:tab/>
        <w:t>At least one member of Board appointed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by each Member must be present at a meeting and, in such cases where a majority of the members fixed by Section 8.1.1 are present, shall constitute a quorum for the transaction of or voting on issues pertaining to Company. An act of the majority of the voting members present at a meeting at which a quorum is present shall be an act of the Board. Any member of Board may delay an action to vote if all voting members are not present at a meeting, provided however, that such delay shall not exceed thirty (30) days from the date of said meeting without the unanimous written consent of the Members.</w:t>
      </w:r>
    </w:p>
    <w:p>
      <w:pPr>
        <w:spacing w:after="0" w:line="175" w:lineRule="exact"/>
        <w:rPr>
          <w:sz w:val="20"/>
          <w:szCs w:val="20"/>
          <w:color w:val="auto"/>
        </w:rPr>
      </w:pPr>
    </w:p>
    <w:p>
      <w:pPr>
        <w:ind w:left="460"/>
        <w:spacing w:after="0"/>
        <w:tabs>
          <w:tab w:leader="none" w:pos="1180" w:val="left"/>
          <w:tab w:leader="none" w:pos="3380" w:val="left"/>
        </w:tabs>
        <w:rPr>
          <w:sz w:val="20"/>
          <w:szCs w:val="20"/>
          <w:color w:val="auto"/>
        </w:rPr>
      </w:pPr>
      <w:r>
        <w:rPr>
          <w:rFonts w:ascii="Courier New" w:cs="Courier New" w:eastAsia="Courier New" w:hAnsi="Courier New"/>
          <w:sz w:val="15"/>
          <w:szCs w:val="15"/>
          <w:color w:val="auto"/>
        </w:rPr>
        <w:t>8.1.9.</w:t>
        <w:tab/>
        <w:t>Presumption of Assent.</w:t>
        <w:tab/>
        <w:t>A voting member who is present at a meeting</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at which action on any matter is taken is deemed to have assented to the action taken unless (a) he/she objects at the beginning of such meeting to the holding of the meeting or the transacting of business at the meeting; (b) he/she contemporaneously requests that his/her dissent from the action be entered in the minutes of the meeting; or (c) he/she gives written notice of his/her dissent to the presiding officer of the meeting before its adjournment or to the Secretary of Company immediately after adjournment of the meeting. The right of dissent as to a specific action taken in a meeting is not available to a voting member who votes in favor of such action.</w:t>
      </w:r>
    </w:p>
    <w:p>
      <w:pPr>
        <w:spacing w:after="0" w:line="175" w:lineRule="exact"/>
        <w:rPr>
          <w:sz w:val="20"/>
          <w:szCs w:val="20"/>
          <w:color w:val="auto"/>
        </w:rPr>
      </w:pPr>
    </w:p>
    <w:p>
      <w:pPr>
        <w:ind w:left="460"/>
        <w:spacing w:after="0"/>
        <w:tabs>
          <w:tab w:leader="none" w:pos="1260" w:val="left"/>
          <w:tab w:leader="none" w:pos="4780" w:val="left"/>
        </w:tabs>
        <w:rPr>
          <w:sz w:val="20"/>
          <w:szCs w:val="20"/>
          <w:color w:val="auto"/>
        </w:rPr>
      </w:pPr>
      <w:r>
        <w:rPr>
          <w:rFonts w:ascii="Courier New" w:cs="Courier New" w:eastAsia="Courier New" w:hAnsi="Courier New"/>
          <w:sz w:val="15"/>
          <w:szCs w:val="15"/>
          <w:color w:val="auto"/>
        </w:rPr>
        <w:t>8.1.10.</w:t>
        <w:tab/>
        <w:t>Informal Action by Members of Board.</w:t>
        <w:tab/>
        <w:t>Any action required or</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permitted to be taken at a meeting may be taken without a meeting if the action is evidenced by one or more written consents describing the action taken, signed by each voting member of the Board, and delivered to the Secretary of Company for inclusion in the minutes or for filing with Company's records. Action thus taken is effective when all voting members have signed the consent, unless the consent specifies a different effective date. Such consent has the same force and effect as a unanimous vote of the Board and may be stated as such in any document.</w:t>
      </w:r>
    </w:p>
    <w:p>
      <w:pPr>
        <w:spacing w:after="0" w:line="353" w:lineRule="exact"/>
        <w:rPr>
          <w:sz w:val="20"/>
          <w:szCs w:val="20"/>
          <w:color w:val="auto"/>
        </w:rPr>
      </w:pPr>
    </w:p>
    <w:p>
      <w:pPr>
        <w:ind w:left="460"/>
        <w:spacing w:after="0"/>
        <w:tabs>
          <w:tab w:leader="none" w:pos="1260" w:val="left"/>
          <w:tab w:leader="none" w:pos="3480" w:val="left"/>
        </w:tabs>
        <w:rPr>
          <w:sz w:val="20"/>
          <w:szCs w:val="20"/>
          <w:color w:val="auto"/>
        </w:rPr>
      </w:pPr>
      <w:r>
        <w:rPr>
          <w:rFonts w:ascii="Courier New" w:cs="Courier New" w:eastAsia="Courier New" w:hAnsi="Courier New"/>
          <w:sz w:val="15"/>
          <w:szCs w:val="15"/>
          <w:color w:val="auto"/>
        </w:rPr>
        <w:t>8.1.11.</w:t>
        <w:tab/>
        <w:t>Compensation of Board.</w:t>
        <w:tab/>
        <w:t>Except for the payment of expenses, if</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any, of attendance at each meeting, there shall be no other compensation to the members of the Board. Notwithstanding the foregoing, no member is precluded from serving the Company in any other capacity and receiving compensation therefor.</w:t>
      </w:r>
    </w:p>
    <w:p>
      <w:pPr>
        <w:spacing w:after="0" w:line="175" w:lineRule="exact"/>
        <w:rPr>
          <w:sz w:val="20"/>
          <w:szCs w:val="20"/>
          <w:color w:val="auto"/>
        </w:rPr>
      </w:pPr>
    </w:p>
    <w:p>
      <w:pPr>
        <w:ind w:left="460"/>
        <w:spacing w:after="0"/>
        <w:tabs>
          <w:tab w:leader="none" w:pos="1260" w:val="left"/>
          <w:tab w:leader="none" w:pos="3120" w:val="left"/>
        </w:tabs>
        <w:rPr>
          <w:sz w:val="20"/>
          <w:szCs w:val="20"/>
          <w:color w:val="auto"/>
        </w:rPr>
      </w:pPr>
      <w:r>
        <w:rPr>
          <w:rFonts w:ascii="Courier New" w:cs="Courier New" w:eastAsia="Courier New" w:hAnsi="Courier New"/>
          <w:sz w:val="15"/>
          <w:szCs w:val="15"/>
          <w:color w:val="auto"/>
        </w:rPr>
        <w:t>8.1.12.</w:t>
        <w:tab/>
        <w:t>Chairman of Board.</w:t>
        <w:tab/>
        <w:t>One member of the Board shall be appointed</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annually by the Board as its Chairman, provided such appointment shall alternate each year between appointees of each Member, unless this provision is waived by the Board. The Chairman, when present, shall preside at all meetings of the Board and shall perform all duties as may be prescribed by the Board from time to time.</w:t>
      </w:r>
    </w:p>
    <w:p>
      <w:pPr>
        <w:spacing w:after="0" w:line="35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51" w:right="1440" w:bottom="1440" w:gutter="0" w:footer="0" w:header="0"/>
        </w:sectPr>
      </w:pPr>
    </w:p>
    <w:bookmarkStart w:id="231" w:name="page232"/>
    <w:bookmarkEnd w:id="231"/>
    <w:p>
      <w:pPr>
        <w:ind w:left="460"/>
        <w:spacing w:after="0"/>
        <w:tabs>
          <w:tab w:leader="none" w:pos="980" w:val="left"/>
          <w:tab w:leader="none" w:pos="3020" w:val="left"/>
        </w:tabs>
        <w:rPr>
          <w:sz w:val="20"/>
          <w:szCs w:val="20"/>
          <w:color w:val="auto"/>
        </w:rPr>
      </w:pPr>
      <w:r>
        <w:rPr>
          <w:rFonts w:ascii="Courier New" w:cs="Courier New" w:eastAsia="Courier New" w:hAnsi="Courier New"/>
          <w:sz w:val="15"/>
          <w:szCs w:val="15"/>
          <w:color w:val="auto"/>
        </w:rPr>
        <w:t>8.2.</w:t>
        <w:tab/>
        <w:t>Officers of Company.</w:t>
        <w:tab/>
        <w:t>The Board shall appoint officers of Company</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which shall consist of at least a President, Secretary and Treasurer. The offices of Treasurer and Secretary may be held by one person. The officers of Company shall be appointed annually at the annual meeting. Each officer shall hold office until his/her successor shall have been duly elected or until death, resignation or removal in the manner hereafter provided. The officers of Company shall perform all duties as are contemplated in the performance of the Services Agreement and in general perform all of the duties incident to their offices and other such duties as from time to time may be assigned by the Board.</w:t>
      </w:r>
    </w:p>
    <w:p>
      <w:pPr>
        <w:spacing w:after="0" w:line="175" w:lineRule="exact"/>
        <w:rPr>
          <w:sz w:val="20"/>
          <w:szCs w:val="20"/>
          <w:color w:val="auto"/>
        </w:rPr>
      </w:pPr>
    </w:p>
    <w:p>
      <w:pPr>
        <w:ind w:left="1000"/>
        <w:spacing w:after="0"/>
        <w:tabs>
          <w:tab w:leader="none" w:pos="1720" w:val="left"/>
          <w:tab w:leader="none" w:pos="3480" w:val="left"/>
        </w:tabs>
        <w:rPr>
          <w:sz w:val="20"/>
          <w:szCs w:val="20"/>
          <w:color w:val="auto"/>
        </w:rPr>
      </w:pPr>
      <w:r>
        <w:rPr>
          <w:rFonts w:ascii="Courier New" w:cs="Courier New" w:eastAsia="Courier New" w:hAnsi="Courier New"/>
          <w:sz w:val="15"/>
          <w:szCs w:val="15"/>
          <w:color w:val="auto"/>
        </w:rPr>
        <w:t>8.2.1.</w:t>
        <w:tab/>
        <w:t>Initial Officers.</w:t>
        <w:tab/>
        <w:t>Prior to the execution of this Agreement,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initial officers were:</w:t>
      </w:r>
    </w:p>
    <w:p>
      <w:pPr>
        <w:spacing w:after="0" w:line="18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President: William B. Hein</w:t>
      </w:r>
    </w:p>
    <w:p>
      <w:pPr>
        <w:spacing w:after="0" w:line="18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Secretary: Charles I. Brown</w:t>
      </w:r>
    </w:p>
    <w:p>
      <w:pPr>
        <w:spacing w:after="0" w:line="185" w:lineRule="exact"/>
        <w:rPr>
          <w:sz w:val="20"/>
          <w:szCs w:val="20"/>
          <w:color w:val="auto"/>
        </w:rPr>
      </w:pPr>
    </w:p>
    <w:p>
      <w:pPr>
        <w:ind w:left="460" w:right="3019"/>
        <w:spacing w:after="0" w:line="251" w:lineRule="auto"/>
        <w:rPr>
          <w:sz w:val="20"/>
          <w:szCs w:val="20"/>
          <w:color w:val="auto"/>
        </w:rPr>
      </w:pPr>
      <w:r>
        <w:rPr>
          <w:rFonts w:ascii="Courier New" w:cs="Courier New" w:eastAsia="Courier New" w:hAnsi="Courier New"/>
          <w:sz w:val="15"/>
          <w:szCs w:val="15"/>
          <w:color w:val="auto"/>
        </w:rPr>
        <w:t>Upon execution of this Agreement, all positions of officers of Company shall be vacant. The Board shall then take such steps as appropriate to appoint officers of Company, and shall have such rights and perform such duties as are contemplated for the officers of Company until such time as the officers are appointed.</w:t>
      </w:r>
    </w:p>
    <w:p>
      <w:pPr>
        <w:spacing w:after="0" w:line="176" w:lineRule="exact"/>
        <w:rPr>
          <w:sz w:val="20"/>
          <w:szCs w:val="20"/>
          <w:color w:val="auto"/>
        </w:rPr>
      </w:pPr>
    </w:p>
    <w:p>
      <w:pPr>
        <w:ind w:left="1000"/>
        <w:spacing w:after="0"/>
        <w:tabs>
          <w:tab w:leader="none" w:pos="1720" w:val="left"/>
          <w:tab w:leader="none" w:pos="3660" w:val="left"/>
        </w:tabs>
        <w:rPr>
          <w:sz w:val="20"/>
          <w:szCs w:val="20"/>
          <w:color w:val="auto"/>
        </w:rPr>
      </w:pPr>
      <w:r>
        <w:rPr>
          <w:rFonts w:ascii="Courier New" w:cs="Courier New" w:eastAsia="Courier New" w:hAnsi="Courier New"/>
          <w:sz w:val="15"/>
          <w:szCs w:val="15"/>
          <w:color w:val="auto"/>
        </w:rPr>
        <w:t>8.2.2.</w:t>
        <w:tab/>
        <w:t>Removal, Vacancies.</w:t>
        <w:tab/>
        <w:t>Any officer may be removed by the Board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299"/>
        <w:spacing w:after="0" w:line="252" w:lineRule="auto"/>
        <w:rPr>
          <w:sz w:val="20"/>
          <w:szCs w:val="20"/>
          <w:color w:val="auto"/>
        </w:rPr>
      </w:pPr>
      <w:r>
        <w:rPr>
          <w:rFonts w:ascii="Courier New" w:cs="Courier New" w:eastAsia="Courier New" w:hAnsi="Courier New"/>
          <w:sz w:val="15"/>
          <w:szCs w:val="15"/>
          <w:color w:val="auto"/>
        </w:rPr>
        <w:t>whenever in its judgment the best interests of Company would be served thereby. A vacancy in any office may be filled, under the provisions herein, for the unexpired portion of the term.</w:t>
      </w:r>
    </w:p>
    <w:p>
      <w:pPr>
        <w:spacing w:after="0" w:line="175" w:lineRule="exact"/>
        <w:rPr>
          <w:sz w:val="20"/>
          <w:szCs w:val="20"/>
          <w:color w:val="auto"/>
        </w:rPr>
      </w:pPr>
    </w:p>
    <w:p>
      <w:pPr>
        <w:ind w:left="1000"/>
        <w:spacing w:after="0"/>
        <w:tabs>
          <w:tab w:leader="none" w:pos="1720" w:val="left"/>
          <w:tab w:leader="none" w:pos="2840" w:val="left"/>
        </w:tabs>
        <w:rPr>
          <w:sz w:val="20"/>
          <w:szCs w:val="20"/>
          <w:color w:val="auto"/>
        </w:rPr>
      </w:pPr>
      <w:r>
        <w:rPr>
          <w:rFonts w:ascii="Courier New" w:cs="Courier New" w:eastAsia="Courier New" w:hAnsi="Courier New"/>
          <w:sz w:val="15"/>
          <w:szCs w:val="15"/>
          <w:color w:val="auto"/>
        </w:rPr>
        <w:t>8.2.3.</w:t>
        <w:tab/>
        <w:t>President.</w:t>
        <w:tab/>
        <w:t>The President shall be the chief executive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officer of Company and, subject to the Board, shall in general supervise and control all business and affairs of Company according to the Services Agreement. The President shall, when present, preside at any meeting of the Board in the absence of the Chairman.</w:t>
      </w:r>
    </w:p>
    <w:p>
      <w:pPr>
        <w:spacing w:after="0" w:line="176" w:lineRule="exact"/>
        <w:rPr>
          <w:sz w:val="20"/>
          <w:szCs w:val="20"/>
          <w:color w:val="auto"/>
        </w:rPr>
      </w:pPr>
    </w:p>
    <w:p>
      <w:pPr>
        <w:ind w:left="1000"/>
        <w:spacing w:after="0"/>
        <w:tabs>
          <w:tab w:leader="none" w:pos="1720" w:val="left"/>
          <w:tab w:leader="none" w:pos="4220" w:val="left"/>
        </w:tabs>
        <w:rPr>
          <w:sz w:val="20"/>
          <w:szCs w:val="20"/>
          <w:color w:val="auto"/>
        </w:rPr>
      </w:pPr>
      <w:r>
        <w:rPr>
          <w:rFonts w:ascii="Courier New" w:cs="Courier New" w:eastAsia="Courier New" w:hAnsi="Courier New"/>
          <w:sz w:val="15"/>
          <w:szCs w:val="15"/>
          <w:color w:val="auto"/>
        </w:rPr>
        <w:t>8.2.4.</w:t>
        <w:tab/>
        <w:t>Employment, Compensation.</w:t>
        <w:tab/>
        <w:t>Compensation of the President,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although anticipated to be provided by IMS and charged under the Services Agreement, shall be subject to the approval of the Board. Other officers, who are employees of a Member and whose duties to Company are on an occasional basis, shall not be directly compensated for their duties by Company, but such Member shall be reimbursed by Company for the services of such employees under allocated charges, whether or not specifically covered under the Services Agreement, provided if such reimbursement has not been contemplated by the Board-approved budget, it shall be subject to Board approval.</w:t>
      </w:r>
    </w:p>
    <w:p>
      <w:pPr>
        <w:spacing w:after="0" w:line="175" w:lineRule="exact"/>
        <w:rPr>
          <w:sz w:val="20"/>
          <w:szCs w:val="20"/>
          <w:color w:val="auto"/>
        </w:rPr>
      </w:pPr>
    </w:p>
    <w:p>
      <w:pPr>
        <w:ind w:left="460"/>
        <w:spacing w:after="0"/>
        <w:tabs>
          <w:tab w:leader="none" w:pos="980" w:val="left"/>
          <w:tab w:leader="none" w:pos="2180" w:val="left"/>
        </w:tabs>
        <w:rPr>
          <w:sz w:val="20"/>
          <w:szCs w:val="20"/>
          <w:color w:val="auto"/>
        </w:rPr>
      </w:pPr>
      <w:r>
        <w:rPr>
          <w:rFonts w:ascii="Courier New" w:cs="Courier New" w:eastAsia="Courier New" w:hAnsi="Courier New"/>
          <w:sz w:val="15"/>
          <w:szCs w:val="15"/>
          <w:color w:val="auto"/>
        </w:rPr>
        <w:t>8.3.</w:t>
        <w:tab/>
        <w:t>Inspection.</w:t>
        <w:tab/>
        <w:t>The books, accounts and records of Company shall be open</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inspection by any member of the Board at all times.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51" w:right="1440" w:bottom="1440" w:gutter="0" w:footer="0" w:header="0"/>
        </w:sectPr>
      </w:pPr>
    </w:p>
    <w:bookmarkStart w:id="232" w:name="page233"/>
    <w:bookmarkEnd w:id="232"/>
    <w:p>
      <w:pPr>
        <w:ind w:left="465"/>
        <w:spacing w:after="0"/>
        <w:tabs>
          <w:tab w:leader="none" w:pos="985" w:val="left"/>
          <w:tab w:leader="none" w:pos="2925" w:val="left"/>
        </w:tabs>
        <w:rPr>
          <w:sz w:val="20"/>
          <w:szCs w:val="20"/>
          <w:color w:val="auto"/>
        </w:rPr>
      </w:pPr>
      <w:r>
        <w:rPr>
          <w:rFonts w:ascii="Courier New" w:cs="Courier New" w:eastAsia="Courier New" w:hAnsi="Courier New"/>
          <w:sz w:val="15"/>
          <w:szCs w:val="15"/>
          <w:color w:val="auto"/>
        </w:rPr>
        <w:t>8.4.</w:t>
        <w:tab/>
        <w:t>Personal Liability.</w:t>
        <w:tab/>
        <w:t>Unless specifically undertaken or required by</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5" w:right="2939"/>
        <w:spacing w:after="0" w:line="252" w:lineRule="auto"/>
        <w:rPr>
          <w:sz w:val="20"/>
          <w:szCs w:val="20"/>
          <w:color w:val="auto"/>
        </w:rPr>
      </w:pPr>
      <w:r>
        <w:rPr>
          <w:rFonts w:ascii="Courier New" w:cs="Courier New" w:eastAsia="Courier New" w:hAnsi="Courier New"/>
          <w:sz w:val="15"/>
          <w:szCs w:val="15"/>
          <w:color w:val="auto"/>
        </w:rPr>
        <w:t>the Colorado Limited Liability Company Act, or other applicable law, no Member, member of the Board or officer of Company shall have personal liability for the debts and obligations of Company.</w:t>
      </w:r>
    </w:p>
    <w:p>
      <w:pPr>
        <w:spacing w:after="0" w:line="175" w:lineRule="exact"/>
        <w:rPr>
          <w:sz w:val="20"/>
          <w:szCs w:val="20"/>
          <w:color w:val="auto"/>
        </w:rPr>
      </w:pPr>
    </w:p>
    <w:p>
      <w:pPr>
        <w:ind w:left="465" w:hanging="465"/>
        <w:spacing w:after="0"/>
        <w:tabs>
          <w:tab w:leader="none" w:pos="465"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Responsibilities of the Members.</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985" w:val="left"/>
          <w:tab w:leader="none" w:pos="3665" w:val="left"/>
        </w:tabs>
        <w:rPr>
          <w:sz w:val="20"/>
          <w:szCs w:val="20"/>
          <w:color w:val="auto"/>
        </w:rPr>
      </w:pPr>
      <w:r>
        <w:rPr>
          <w:rFonts w:ascii="Courier New" w:cs="Courier New" w:eastAsia="Courier New" w:hAnsi="Courier New"/>
          <w:sz w:val="15"/>
          <w:szCs w:val="15"/>
          <w:color w:val="auto"/>
        </w:rPr>
        <w:t>9.1.</w:t>
        <w:tab/>
        <w:t>Network Services Agreement.</w:t>
        <w:tab/>
        <w:t>Coincident with the execution of this</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Agreement, IMS and MHI shall execute the Network Services Agreement, and MHI shall make payment, by check made out to Company ("Indiana Medical Communication Network LLC") in the amount of $62,500, for its first quarterly portion of the Annual Network Fee thereunder.</w:t>
      </w:r>
    </w:p>
    <w:p>
      <w:pPr>
        <w:spacing w:after="0" w:line="176" w:lineRule="exact"/>
        <w:rPr>
          <w:sz w:val="20"/>
          <w:szCs w:val="20"/>
          <w:color w:val="auto"/>
        </w:rPr>
      </w:pPr>
    </w:p>
    <w:p>
      <w:pPr>
        <w:ind w:left="465"/>
        <w:spacing w:after="0"/>
        <w:tabs>
          <w:tab w:leader="none" w:pos="985" w:val="left"/>
          <w:tab w:leader="none" w:pos="4965" w:val="left"/>
        </w:tabs>
        <w:rPr>
          <w:sz w:val="20"/>
          <w:szCs w:val="20"/>
          <w:color w:val="auto"/>
        </w:rPr>
      </w:pPr>
      <w:r>
        <w:rPr>
          <w:rFonts w:ascii="Courier New" w:cs="Courier New" w:eastAsia="Courier New" w:hAnsi="Courier New"/>
          <w:sz w:val="15"/>
          <w:szCs w:val="15"/>
          <w:color w:val="auto"/>
        </w:rPr>
        <w:t>9.2.</w:t>
        <w:tab/>
        <w:t>Assignment of Network Services Agreement.</w:t>
        <w:tab/>
        <w:t>Coincident with the</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execution of this Agreement, IMS and Company shall execute an Assignment Agreement, a copy of which is attached as Exhibit D hereto and hereby made a part hereof, assigning to Company IMS' Network Services Agreement with MHI.</w:t>
      </w:r>
    </w:p>
    <w:p>
      <w:pPr>
        <w:spacing w:after="0" w:line="175" w:lineRule="exact"/>
        <w:rPr>
          <w:sz w:val="20"/>
          <w:szCs w:val="20"/>
          <w:color w:val="auto"/>
        </w:rPr>
      </w:pPr>
    </w:p>
    <w:p>
      <w:pPr>
        <w:ind w:left="465"/>
        <w:spacing w:after="0"/>
        <w:tabs>
          <w:tab w:leader="none" w:pos="985" w:val="left"/>
          <w:tab w:leader="none" w:pos="4865" w:val="left"/>
        </w:tabs>
        <w:rPr>
          <w:sz w:val="20"/>
          <w:szCs w:val="20"/>
          <w:color w:val="auto"/>
        </w:rPr>
      </w:pPr>
      <w:r>
        <w:rPr>
          <w:rFonts w:ascii="Courier New" w:cs="Courier New" w:eastAsia="Courier New" w:hAnsi="Courier New"/>
          <w:sz w:val="15"/>
          <w:szCs w:val="15"/>
          <w:color w:val="auto"/>
        </w:rPr>
        <w:t>9.3.</w:t>
        <w:tab/>
        <w:t>National Sponsor Expenses and Revenues.</w:t>
      </w:r>
      <w:r>
        <w:rPr>
          <w:sz w:val="20"/>
          <w:szCs w:val="20"/>
          <w:color w:val="auto"/>
        </w:rPr>
        <w:tab/>
      </w:r>
      <w:r>
        <w:rPr>
          <w:rFonts w:ascii="Courier New" w:cs="Courier New" w:eastAsia="Courier New" w:hAnsi="Courier New"/>
          <w:sz w:val="15"/>
          <w:szCs w:val="15"/>
          <w:color w:val="auto"/>
        </w:rPr>
        <w:t>IMS shall be solely</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responsible for funding all expenses associated with the national marketing, servicing and billing of National Sponsors. IMS shall receive all Network revenues from National Sponsors and, after deducting twenty-five percent (25%) of such revenue as its compensation, shall promptly transmit the balance to Company. Notwithstanding the foregoing, IMS shall promptly pay, from its twenty-five percent (25%) direct allocation, directly to MHI or to its designated affiliate, ten percent (10%) of total network revenue received by IMS on a national basis from any National Sponsor which is primarily domiciled in and directed from within the Exclusive Territory, at such time as and provided (i) MHI played a substantial and significant role in recruiting such National Sponsor and (ii) such National Sponsor is also a Local Sponsor. In the event of any dispute between IMS and MHI regarding the substance and significance of MHI's role in recruiting such National Sponsors, the dispute will be brought to the Board for resolution. MHI shall use its best efforts to assist IMS and Company in recruiting such National Sponsors which may exist within the Exclusive Territory.</w:t>
      </w:r>
    </w:p>
    <w:p>
      <w:pPr>
        <w:spacing w:after="0" w:line="361" w:lineRule="exact"/>
        <w:rPr>
          <w:sz w:val="20"/>
          <w:szCs w:val="20"/>
          <w:color w:val="auto"/>
        </w:rPr>
      </w:pPr>
    </w:p>
    <w:p>
      <w:pPr>
        <w:ind w:left="465"/>
        <w:spacing w:after="0"/>
        <w:tabs>
          <w:tab w:leader="none" w:pos="985" w:val="left"/>
          <w:tab w:leader="none" w:pos="3025" w:val="left"/>
        </w:tabs>
        <w:rPr>
          <w:sz w:val="20"/>
          <w:szCs w:val="20"/>
          <w:color w:val="auto"/>
        </w:rPr>
      </w:pPr>
      <w:r>
        <w:rPr>
          <w:rFonts w:ascii="Courier New" w:cs="Courier New" w:eastAsia="Courier New" w:hAnsi="Courier New"/>
          <w:sz w:val="15"/>
          <w:szCs w:val="15"/>
          <w:color w:val="auto"/>
        </w:rPr>
        <w:t>9.4.</w:t>
        <w:tab/>
        <w:t>Improvements by IMS.</w:t>
        <w:tab/>
        <w:t>IMS shall make available to Company, at no</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cost, any improvements in the technology or business practices developed by IMS, or reasonably available to IMS through its affiliated entities, which would improve the operation of Company or Network.</w:t>
      </w:r>
    </w:p>
    <w:p>
      <w:pPr>
        <w:spacing w:after="0" w:line="175" w:lineRule="exact"/>
        <w:rPr>
          <w:sz w:val="20"/>
          <w:szCs w:val="20"/>
          <w:color w:val="auto"/>
        </w:rPr>
      </w:pPr>
    </w:p>
    <w:p>
      <w:pPr>
        <w:ind w:left="465"/>
        <w:spacing w:after="0"/>
        <w:tabs>
          <w:tab w:leader="none" w:pos="985" w:val="left"/>
          <w:tab w:leader="none" w:pos="3385" w:val="left"/>
        </w:tabs>
        <w:rPr>
          <w:sz w:val="20"/>
          <w:szCs w:val="20"/>
          <w:color w:val="auto"/>
        </w:rPr>
      </w:pPr>
      <w:r>
        <w:rPr>
          <w:rFonts w:ascii="Courier New" w:cs="Courier New" w:eastAsia="Courier New" w:hAnsi="Courier New"/>
          <w:sz w:val="15"/>
          <w:szCs w:val="15"/>
          <w:color w:val="auto"/>
        </w:rPr>
        <w:t>9.5.</w:t>
        <w:tab/>
        <w:t>Improvements by Company.</w:t>
        <w:tab/>
        <w:t>Any improvements in technology developed by</w:t>
      </w:r>
    </w:p>
    <w:p>
      <w:pPr>
        <w:spacing w:after="0" w:line="8" w:lineRule="exact"/>
        <w:rPr>
          <w:sz w:val="20"/>
          <w:szCs w:val="20"/>
          <w:color w:val="auto"/>
        </w:rPr>
      </w:pPr>
    </w:p>
    <w:p>
      <w:pPr>
        <w:ind w:left="10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Company at its expense shall be owned by Company, provided that IMS shall have a perpetual nonexclusive license authorizing IMS to incorporate such improvements into IMS software marketed or licensed outside the Exclusive Territory, at reasonable agreed upon terms, conditions and fees as approved by the Board.</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650" w:right="1440" w:bottom="1440" w:gutter="0" w:footer="0" w:header="0"/>
        </w:sectPr>
      </w:pPr>
    </w:p>
    <w:bookmarkStart w:id="233" w:name="page234"/>
    <w:bookmarkEnd w:id="233"/>
    <w:p>
      <w:pPr>
        <w:ind w:left="460"/>
        <w:spacing w:after="0"/>
        <w:tabs>
          <w:tab w:leader="none" w:pos="980" w:val="left"/>
          <w:tab w:leader="none" w:pos="3020" w:val="left"/>
        </w:tabs>
        <w:rPr>
          <w:sz w:val="20"/>
          <w:szCs w:val="20"/>
          <w:color w:val="auto"/>
        </w:rPr>
      </w:pPr>
      <w:r>
        <w:rPr>
          <w:rFonts w:ascii="Courier New" w:cs="Courier New" w:eastAsia="Courier New" w:hAnsi="Courier New"/>
          <w:sz w:val="15"/>
          <w:szCs w:val="15"/>
          <w:color w:val="auto"/>
        </w:rPr>
        <w:t>9.6.</w:t>
        <w:tab/>
        <w:t>Improvements bv MHI.</w:t>
        <w:tab/>
        <w:t>Any improvements in technology or other</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technology owned or developed by MHI and provided to Company at MHI's expense shall be owned by MHI, provided that Company and IMS shall have the right to negotiate in good faith with MHI to obtain nonexclusive licenses authorizing Company and IMS to incorporate such improvements or other technology into IMS software marketed or licensed within and outside the Exclusive Territory, at reasonable agreed upon terms, conditions and fees as approved by the Board and IMS.</w:t>
      </w:r>
    </w:p>
    <w:p>
      <w:pPr>
        <w:spacing w:after="0" w:line="176" w:lineRule="exact"/>
        <w:rPr>
          <w:sz w:val="20"/>
          <w:szCs w:val="20"/>
          <w:color w:val="auto"/>
        </w:rPr>
      </w:pPr>
    </w:p>
    <w:p>
      <w:pPr>
        <w:ind w:left="460"/>
        <w:spacing w:after="0"/>
        <w:tabs>
          <w:tab w:leader="none" w:pos="980" w:val="left"/>
          <w:tab w:leader="none" w:pos="2660" w:val="left"/>
        </w:tabs>
        <w:rPr>
          <w:sz w:val="20"/>
          <w:szCs w:val="20"/>
          <w:color w:val="auto"/>
        </w:rPr>
      </w:pPr>
      <w:r>
        <w:rPr>
          <w:rFonts w:ascii="Courier New" w:cs="Courier New" w:eastAsia="Courier New" w:hAnsi="Courier New"/>
          <w:sz w:val="15"/>
          <w:szCs w:val="15"/>
          <w:color w:val="auto"/>
        </w:rPr>
        <w:t>9.7.</w:t>
        <w:tab/>
        <w:t>Network Pricing.</w:t>
        <w:tab/>
        <w:t>IMS, by virtue of the Services Agreement, its</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business expertise in the affairs of Company, its reasonable need for consistency among its owned or affiliated networks outside the Exclusive Territory, and its contractual obligations in certain cases to maintain certain minimum pricing, shall provide guidelines to Company for setting the prices of standard Network services and products to be offered by Company, said standard services being the same that IMS or its affiliated networks provide outside the Exclusive Territory. Notwithstanding the foregoing, Company, through the Board, shall have the right to approve or modify such pricing charged by Company, provided that Company shall take no action that would violate certain minimum pricing obligations of IMS based on evidence provided by IMS. Company, through the Board, shall be responsible for setting the prices of non-standard Network services and products, if any, that may be developed and offered by Company in the Exclusive Territory.</w:t>
      </w:r>
    </w:p>
    <w:p>
      <w:pPr>
        <w:spacing w:after="0" w:line="183" w:lineRule="exact"/>
        <w:rPr>
          <w:sz w:val="20"/>
          <w:szCs w:val="20"/>
          <w:color w:val="auto"/>
        </w:rPr>
      </w:pPr>
    </w:p>
    <w:p>
      <w:pPr>
        <w:ind w:left="460"/>
        <w:spacing w:after="0"/>
        <w:tabs>
          <w:tab w:leader="none" w:pos="980" w:val="left"/>
          <w:tab w:leader="none" w:pos="5320" w:val="left"/>
        </w:tabs>
        <w:rPr>
          <w:sz w:val="20"/>
          <w:szCs w:val="20"/>
          <w:color w:val="auto"/>
        </w:rPr>
      </w:pPr>
      <w:r>
        <w:rPr>
          <w:rFonts w:ascii="Courier New" w:cs="Courier New" w:eastAsia="Courier New" w:hAnsi="Courier New"/>
          <w:sz w:val="15"/>
          <w:szCs w:val="15"/>
          <w:color w:val="auto"/>
        </w:rPr>
        <w:t>9.8.</w:t>
        <w:tab/>
        <w:t>Member Liabilities to Company and Each Other.</w:t>
        <w:tab/>
        <w:t>No Member, including</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any of its employees, officers or directors serving as a member of the Board or officer of Company, shall be liable to any other Member or the Company because any taxing authorities disallow or adjust any deductions or credits in Company income tax returns. In addition, the doing of any act or the omission to do any act by any Member, the effect of which may cause or result in loss or damage to Company or a Member, if done in good faith and otherwise in accordance with the terms of this Agreement, shall not subject such Member to any liability. Company will indemnify and hold harmless each Member and its successors and assigns from any claim, loss, expense, liability, action or damage resulting from any act or omission in connection with Company including, without limitation, reasonable costs and expenses of litigation, except where the same is due to or arising out of the fraud, bad faith or negligence of the indemnified Member.</w:t>
      </w:r>
    </w:p>
    <w:p>
      <w:pPr>
        <w:spacing w:after="0" w:line="183" w:lineRule="exact"/>
        <w:rPr>
          <w:sz w:val="20"/>
          <w:szCs w:val="20"/>
          <w:color w:val="auto"/>
        </w:rPr>
      </w:pPr>
    </w:p>
    <w:p>
      <w:pPr>
        <w:ind w:left="460"/>
        <w:spacing w:after="0"/>
        <w:tabs>
          <w:tab w:leader="none" w:pos="980" w:val="left"/>
          <w:tab w:leader="none" w:pos="5140" w:val="left"/>
        </w:tabs>
        <w:rPr>
          <w:sz w:val="20"/>
          <w:szCs w:val="20"/>
          <w:color w:val="auto"/>
        </w:rPr>
      </w:pPr>
      <w:r>
        <w:rPr>
          <w:rFonts w:ascii="Courier New" w:cs="Courier New" w:eastAsia="Courier New" w:hAnsi="Courier New"/>
          <w:sz w:val="15"/>
          <w:szCs w:val="15"/>
          <w:color w:val="auto"/>
        </w:rPr>
        <w:t>9.9.</w:t>
        <w:tab/>
        <w:t>IMS Repurchase of MHI's Ownership Interest.</w:t>
        <w:tab/>
        <w:t>In the event that, as a</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condition for IMS becoming a public company or being acquired by or merging with a public company, it is necessary that IMS re-acquire MHI's ownership interest in Company as part of a re-acquisition of all minority interests in its affiliated network businesses, MHI and IMS hereby agree to negotiate in good faith to permit the repurchase of MHI's ownership interest in Company, payable in cash, marketable securities or other forms of payment, in an amount and under terms and conditions that are acceptable to MHI and IMS.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234" w:name="page235"/>
    <w:bookmarkEnd w:id="234"/>
    <w:p>
      <w:pPr>
        <w:ind w:left="465"/>
        <w:spacing w:after="0"/>
        <w:tabs>
          <w:tab w:leader="none" w:pos="1085" w:val="left"/>
          <w:tab w:leader="none" w:pos="1825" w:val="left"/>
        </w:tabs>
        <w:rPr>
          <w:sz w:val="20"/>
          <w:szCs w:val="20"/>
          <w:color w:val="auto"/>
        </w:rPr>
      </w:pPr>
      <w:r>
        <w:rPr>
          <w:rFonts w:ascii="Courier New" w:cs="Courier New" w:eastAsia="Courier New" w:hAnsi="Courier New"/>
          <w:sz w:val="15"/>
          <w:szCs w:val="15"/>
          <w:color w:val="auto"/>
        </w:rPr>
        <w:t>9.10.</w:t>
        <w:tab/>
        <w:t>Other.</w:t>
        <w:tab/>
        <w:t>Additional responsibilities or duties of IMS or MHI, other</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than as described in this Agreement, shall be subject to the approval of the Members.</w:t>
      </w:r>
    </w:p>
    <w:p>
      <w:pPr>
        <w:spacing w:after="0" w:line="174" w:lineRule="exact"/>
        <w:rPr>
          <w:sz w:val="20"/>
          <w:szCs w:val="20"/>
          <w:color w:val="auto"/>
        </w:rPr>
      </w:pPr>
    </w:p>
    <w:p>
      <w:pPr>
        <w:ind w:left="465" w:hanging="465"/>
        <w:spacing w:after="0"/>
        <w:tabs>
          <w:tab w:leader="none" w:pos="465"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and Liquidation.</w:t>
      </w:r>
    </w:p>
    <w:p>
      <w:pPr>
        <w:spacing w:after="0" w:line="7" w:lineRule="exact"/>
        <w:rPr>
          <w:rFonts w:ascii="Courier New" w:cs="Courier New" w:eastAsia="Courier New" w:hAnsi="Courier New"/>
          <w:sz w:val="15"/>
          <w:szCs w:val="15"/>
          <w:color w:val="auto"/>
        </w:rPr>
      </w:pPr>
    </w:p>
    <w:p>
      <w:pPr>
        <w:ind w:left="4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spacing w:after="0"/>
        <w:tabs>
          <w:tab w:leader="none" w:pos="1085" w:val="left"/>
        </w:tabs>
        <w:rPr>
          <w:sz w:val="20"/>
          <w:szCs w:val="20"/>
          <w:color w:val="auto"/>
        </w:rPr>
      </w:pPr>
      <w:r>
        <w:rPr>
          <w:rFonts w:ascii="Courier New" w:cs="Courier New" w:eastAsia="Courier New" w:hAnsi="Courier New"/>
          <w:sz w:val="15"/>
          <w:szCs w:val="15"/>
          <w:color w:val="auto"/>
        </w:rPr>
        <w:t>10.1.</w:t>
        <w:tab/>
        <w:t>Events of Dissolution.</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5" w:right="3299" w:firstLine="646"/>
        <w:spacing w:after="0" w:line="253" w:lineRule="auto"/>
        <w:rPr>
          <w:sz w:val="20"/>
          <w:szCs w:val="20"/>
          <w:color w:val="auto"/>
        </w:rPr>
      </w:pPr>
      <w:r>
        <w:rPr>
          <w:rFonts w:ascii="Courier New" w:cs="Courier New" w:eastAsia="Courier New" w:hAnsi="Courier New"/>
          <w:sz w:val="15"/>
          <w:szCs w:val="15"/>
          <w:color w:val="auto"/>
        </w:rPr>
        <w:t>10.1.1. The Company shall be terminated and dissolved upon the earlier to occur of the following:</w:t>
      </w:r>
    </w:p>
    <w:p>
      <w:pPr>
        <w:spacing w:after="0" w:line="174" w:lineRule="exact"/>
        <w:rPr>
          <w:sz w:val="20"/>
          <w:szCs w:val="20"/>
          <w:color w:val="auto"/>
        </w:rPr>
      </w:pPr>
    </w:p>
    <w:p>
      <w:pPr>
        <w:ind w:left="465" w:right="3019" w:firstLine="642"/>
        <w:spacing w:after="0" w:line="251" w:lineRule="auto"/>
        <w:tabs>
          <w:tab w:leader="none" w:pos="14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Member shall be in material breach of this Agreement, in addition to such other remedies as may be available to the non-defaulting Member under law, upon the election of such non-defaulting Member after written notice of said material breach to the breaching Member, which breach remains uncured for sixty (60) days after written notice of such breach;</w:t>
      </w:r>
    </w:p>
    <w:p>
      <w:pPr>
        <w:spacing w:after="0" w:line="175" w:lineRule="exact"/>
        <w:rPr>
          <w:rFonts w:ascii="Courier New" w:cs="Courier New" w:eastAsia="Courier New" w:hAnsi="Courier New"/>
          <w:sz w:val="15"/>
          <w:szCs w:val="15"/>
          <w:color w:val="auto"/>
        </w:rPr>
      </w:pPr>
    </w:p>
    <w:p>
      <w:pPr>
        <w:ind w:left="465" w:right="2939" w:firstLine="642"/>
        <w:spacing w:after="0" w:line="250" w:lineRule="auto"/>
        <w:tabs>
          <w:tab w:leader="none" w:pos="157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dissolution and commencement of winding up of either Member, or upon either an adjudication of either Member or Company as bankrupt or insolvent, or upon the filing by either Member or Company of any petition under any chapter of the United States Bankruptcy Code or any other present or future applicable federal, state or other statute or law regarding bankruptcy, insolvency or other relief for debtors, or either Member's or Company's seeking, or consenting to, or acquiescing in, the appointment of any trustee, receiver or liquidator of itself or of all, or any substantial portion of, its property or, in the case of a Member, its interest in Company, subject to the provisions of Section 10.2;</w:t>
      </w:r>
    </w:p>
    <w:p>
      <w:pPr>
        <w:spacing w:after="0" w:line="181" w:lineRule="exact"/>
        <w:rPr>
          <w:rFonts w:ascii="Courier New" w:cs="Courier New" w:eastAsia="Courier New" w:hAnsi="Courier New"/>
          <w:sz w:val="15"/>
          <w:szCs w:val="15"/>
          <w:color w:val="auto"/>
        </w:rPr>
      </w:pPr>
    </w:p>
    <w:p>
      <w:pPr>
        <w:ind w:left="1665" w:hanging="558"/>
        <w:spacing w:after="0"/>
        <w:tabs>
          <w:tab w:leader="none" w:pos="1665"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unanimous consent of the Members;</w:t>
      </w:r>
    </w:p>
    <w:p>
      <w:pPr>
        <w:spacing w:after="0" w:line="184" w:lineRule="exact"/>
        <w:rPr>
          <w:rFonts w:ascii="Courier New" w:cs="Courier New" w:eastAsia="Courier New" w:hAnsi="Courier New"/>
          <w:sz w:val="15"/>
          <w:szCs w:val="15"/>
          <w:color w:val="auto"/>
        </w:rPr>
      </w:pPr>
    </w:p>
    <w:p>
      <w:pPr>
        <w:ind w:left="465" w:right="3219" w:firstLine="642"/>
        <w:spacing w:after="0" w:line="253" w:lineRule="auto"/>
        <w:tabs>
          <w:tab w:leader="none" w:pos="1573"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term of Company, which is thirty (30) years from the date of organization of Company; or</w:t>
      </w:r>
    </w:p>
    <w:p>
      <w:pPr>
        <w:spacing w:after="0" w:line="174" w:lineRule="exact"/>
        <w:rPr>
          <w:rFonts w:ascii="Courier New" w:cs="Courier New" w:eastAsia="Courier New" w:hAnsi="Courier New"/>
          <w:sz w:val="15"/>
          <w:szCs w:val="15"/>
          <w:color w:val="auto"/>
        </w:rPr>
      </w:pPr>
    </w:p>
    <w:p>
      <w:pPr>
        <w:ind w:left="465" w:right="2939" w:firstLine="642"/>
        <w:spacing w:after="0" w:line="253" w:lineRule="auto"/>
        <w:tabs>
          <w:tab w:leader="none" w:pos="148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act causing a dissolution under the appropriate state Limited Liability Company Act.</w:t>
      </w:r>
    </w:p>
    <w:p>
      <w:pPr>
        <w:spacing w:after="0" w:line="174" w:lineRule="exact"/>
        <w:rPr>
          <w:sz w:val="20"/>
          <w:szCs w:val="20"/>
          <w:color w:val="auto"/>
        </w:rPr>
      </w:pPr>
    </w:p>
    <w:p>
      <w:pPr>
        <w:ind w:left="465" w:right="3019" w:firstLine="646"/>
        <w:spacing w:after="0" w:line="251" w:lineRule="auto"/>
        <w:rPr>
          <w:sz w:val="20"/>
          <w:szCs w:val="20"/>
          <w:color w:val="auto"/>
        </w:rPr>
      </w:pPr>
      <w:r>
        <w:rPr>
          <w:rFonts w:ascii="Courier New" w:cs="Courier New" w:eastAsia="Courier New" w:hAnsi="Courier New"/>
          <w:sz w:val="15"/>
          <w:szCs w:val="15"/>
          <w:color w:val="auto"/>
        </w:rPr>
        <w:t>10.1.2. Dissolution of Company shall be effective on the day on which the event occurs giving rise to the dissolution, but Company shall not terminate until the assets of Company shall have been distributed as provided herein. Notwithstanding the dissolution of Company, prior to the termination of Company as aforesaid, the business of Company and the affairs of the Members, as such, shall continue to be governed by this Agreement.</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5"/>
          </w:cols>
          <w:pgMar w:left="235" w:top="650" w:right="1440" w:bottom="1440" w:gutter="0" w:footer="0" w:header="0"/>
        </w:sectPr>
      </w:pPr>
    </w:p>
    <w:bookmarkStart w:id="235" w:name="page236"/>
    <w:bookmarkEnd w:id="235"/>
    <w:p>
      <w:pPr>
        <w:ind w:left="460"/>
        <w:spacing w:after="0"/>
        <w:tabs>
          <w:tab w:leader="none" w:pos="1080" w:val="left"/>
        </w:tabs>
        <w:rPr>
          <w:sz w:val="20"/>
          <w:szCs w:val="20"/>
          <w:color w:val="auto"/>
        </w:rPr>
      </w:pPr>
      <w:r>
        <w:rPr>
          <w:rFonts w:ascii="Courier New" w:cs="Courier New" w:eastAsia="Courier New" w:hAnsi="Courier New"/>
          <w:sz w:val="15"/>
          <w:szCs w:val="15"/>
          <w:color w:val="auto"/>
        </w:rPr>
        <w:t>10.2.</w:t>
        <w:tab/>
        <w:t>Continuation of Business of Company.</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2839" w:firstLine="646"/>
        <w:spacing w:after="0" w:line="251" w:lineRule="auto"/>
        <w:rPr>
          <w:sz w:val="20"/>
          <w:szCs w:val="20"/>
          <w:color w:val="auto"/>
        </w:rPr>
      </w:pPr>
      <w:r>
        <w:rPr>
          <w:rFonts w:ascii="Courier New" w:cs="Courier New" w:eastAsia="Courier New" w:hAnsi="Courier New"/>
          <w:sz w:val="15"/>
          <w:szCs w:val="15"/>
          <w:color w:val="auto"/>
        </w:rPr>
        <w:t>10.2.1. In the event of a threat of, or actual, bankruptcy or other insolvency of Company as described in Section 10.1.1 (ii), and if both Members elect not to do so collectively, then either Member may elect to take such actions as may be appropriate to cure the conditions causing said event.</w:t>
      </w:r>
    </w:p>
    <w:p>
      <w:pPr>
        <w:spacing w:after="0" w:line="176" w:lineRule="exact"/>
        <w:rPr>
          <w:sz w:val="20"/>
          <w:szCs w:val="20"/>
          <w:color w:val="auto"/>
        </w:rPr>
      </w:pPr>
    </w:p>
    <w:p>
      <w:pPr>
        <w:ind w:left="460" w:right="2839" w:firstLine="646"/>
        <w:spacing w:after="0" w:line="251" w:lineRule="auto"/>
        <w:rPr>
          <w:sz w:val="20"/>
          <w:szCs w:val="20"/>
          <w:color w:val="auto"/>
        </w:rPr>
      </w:pPr>
      <w:r>
        <w:rPr>
          <w:rFonts w:ascii="Courier New" w:cs="Courier New" w:eastAsia="Courier New" w:hAnsi="Courier New"/>
          <w:sz w:val="15"/>
          <w:szCs w:val="15"/>
          <w:color w:val="auto"/>
        </w:rPr>
        <w:t>10.2.2. Notwithstanding anything to the contrary in this Agreement, upon any dissolution under either Section 10.1.1 (ii) or (v), MHI may, at its sole election, unless MHI is then insolvent, elect, in writing within sixty (60) days of the event, to acquire and continue the business of Company. Upon such election, MHI shall assume control of Company, shall within thirty (30) days replace IMS under the Services Agreement, and within 180 days after such date shall pay to IMS all amounts to which IMS would have been entitled had the parties agreed to liquidate Company and had disposed of its assets and its business at fair market value.</w:t>
      </w:r>
    </w:p>
    <w:p>
      <w:pPr>
        <w:spacing w:after="0" w:line="175" w:lineRule="exact"/>
        <w:rPr>
          <w:sz w:val="20"/>
          <w:szCs w:val="20"/>
          <w:color w:val="auto"/>
        </w:rPr>
      </w:pPr>
    </w:p>
    <w:p>
      <w:pPr>
        <w:jc w:val="both"/>
        <w:ind w:left="460" w:right="3019" w:firstLine="646"/>
        <w:spacing w:after="0" w:line="253" w:lineRule="auto"/>
        <w:rPr>
          <w:sz w:val="20"/>
          <w:szCs w:val="20"/>
          <w:color w:val="auto"/>
        </w:rPr>
      </w:pPr>
      <w:r>
        <w:rPr>
          <w:rFonts w:ascii="Courier New" w:cs="Courier New" w:eastAsia="Courier New" w:hAnsi="Courier New"/>
          <w:sz w:val="15"/>
          <w:szCs w:val="15"/>
          <w:color w:val="auto"/>
        </w:rPr>
        <w:t>10.2.3. Any disputes under this Section 10.2 shall be resolved by binding arbitration under terms and conditions acceptable to IMS and MHI.</w:t>
      </w:r>
    </w:p>
    <w:p>
      <w:pPr>
        <w:spacing w:after="0" w:line="174" w:lineRule="exact"/>
        <w:rPr>
          <w:sz w:val="20"/>
          <w:szCs w:val="20"/>
          <w:color w:val="auto"/>
        </w:rPr>
      </w:pPr>
    </w:p>
    <w:p>
      <w:pPr>
        <w:ind w:left="460"/>
        <w:spacing w:after="0"/>
        <w:tabs>
          <w:tab w:leader="none" w:pos="1080" w:val="left"/>
          <w:tab w:leader="none" w:pos="3300" w:val="left"/>
        </w:tabs>
        <w:rPr>
          <w:sz w:val="20"/>
          <w:szCs w:val="20"/>
          <w:color w:val="auto"/>
        </w:rPr>
      </w:pPr>
      <w:r>
        <w:rPr>
          <w:rFonts w:ascii="Courier New" w:cs="Courier New" w:eastAsia="Courier New" w:hAnsi="Courier New"/>
          <w:sz w:val="15"/>
          <w:szCs w:val="15"/>
          <w:color w:val="auto"/>
        </w:rPr>
        <w:t>10.3.</w:t>
        <w:tab/>
        <w:t>Liquidation of Assets.</w:t>
        <w:tab/>
        <w:t>Upon dissolution, the Board shall liquidate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679"/>
        <w:spacing w:after="0" w:line="253" w:lineRule="auto"/>
        <w:rPr>
          <w:sz w:val="20"/>
          <w:szCs w:val="20"/>
          <w:color w:val="auto"/>
        </w:rPr>
      </w:pPr>
      <w:r>
        <w:rPr>
          <w:rFonts w:ascii="Courier New" w:cs="Courier New" w:eastAsia="Courier New" w:hAnsi="Courier New"/>
          <w:sz w:val="15"/>
          <w:szCs w:val="15"/>
          <w:color w:val="auto"/>
        </w:rPr>
        <w:t>the assets of Company, and apply and distribute the proceeds thereof as contemplated by this Agreement.</w:t>
      </w:r>
    </w:p>
    <w:p>
      <w:pPr>
        <w:spacing w:after="0" w:line="174" w:lineRule="exact"/>
        <w:rPr>
          <w:sz w:val="20"/>
          <w:szCs w:val="20"/>
          <w:color w:val="auto"/>
        </w:rPr>
      </w:pPr>
    </w:p>
    <w:p>
      <w:pPr>
        <w:ind w:left="460"/>
        <w:spacing w:after="0"/>
        <w:tabs>
          <w:tab w:leader="none" w:pos="1080" w:val="left"/>
        </w:tabs>
        <w:rPr>
          <w:sz w:val="20"/>
          <w:szCs w:val="20"/>
          <w:color w:val="auto"/>
        </w:rPr>
      </w:pPr>
      <w:r>
        <w:rPr>
          <w:rFonts w:ascii="Courier New" w:cs="Courier New" w:eastAsia="Courier New" w:hAnsi="Courier New"/>
          <w:sz w:val="15"/>
          <w:szCs w:val="15"/>
          <w:color w:val="auto"/>
        </w:rPr>
        <w:t>10.4.</w:t>
        <w:tab/>
        <w:t>Distributions Upon Liquidation.</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460" w:right="2939" w:firstLine="646"/>
        <w:spacing w:after="0" w:line="251" w:lineRule="auto"/>
        <w:rPr>
          <w:sz w:val="20"/>
          <w:szCs w:val="20"/>
          <w:color w:val="auto"/>
        </w:rPr>
      </w:pPr>
      <w:r>
        <w:rPr>
          <w:rFonts w:ascii="Courier New" w:cs="Courier New" w:eastAsia="Courier New" w:hAnsi="Courier New"/>
          <w:sz w:val="15"/>
          <w:szCs w:val="15"/>
          <w:color w:val="auto"/>
        </w:rPr>
        <w:t>10.4.1. After payment of liabilities owing to creditors, the Board shall set up such reserves as it deems reasonably necessary for any contingent or unforeseen liabilities or obligations of Company. Said reserves may be paid over by Board to a bank, to be held in escrow for the purpose of paying any such contingent or unforseen liabilities or obligations and, at the expiration of such period as the Board may deem advisable, such reserves shall be distributed to the Members or their assigns in the manner set forth below.</w:t>
      </w:r>
    </w:p>
    <w:p>
      <w:pPr>
        <w:spacing w:after="0" w:line="175" w:lineRule="exact"/>
        <w:rPr>
          <w:sz w:val="20"/>
          <w:szCs w:val="20"/>
          <w:color w:val="auto"/>
        </w:rPr>
      </w:pPr>
    </w:p>
    <w:p>
      <w:pPr>
        <w:ind w:left="460" w:right="2839" w:firstLine="646"/>
        <w:spacing w:after="0" w:line="250" w:lineRule="auto"/>
        <w:rPr>
          <w:sz w:val="20"/>
          <w:szCs w:val="20"/>
          <w:color w:val="auto"/>
        </w:rPr>
      </w:pPr>
      <w:r>
        <w:rPr>
          <w:rFonts w:ascii="Courier New" w:cs="Courier New" w:eastAsia="Courier New" w:hAnsi="Courier New"/>
          <w:sz w:val="15"/>
          <w:szCs w:val="15"/>
          <w:color w:val="auto"/>
        </w:rPr>
        <w:t>10.4.2. After paying such liabilities and providing for such reserves, the Board shall cause the remaining net assets of Company to be distributed to the Members in respect of the positive balances in their capital accounts in compliance with Treasury Regulations Section 1.704-1(b)(2)(ii)(b)(2), and if any Member's capital account has a deficit balance (after giving effect to all contributions, distributions and allocations for all taxable years, including the year in which such liquidation occurs), such Member shall contribute to the capital of Company the amount necessary to restore such deficit balance to zero in compliance with Treasury Regulations Section 1.701(b)(2)(ii)-(b)(3).</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51" w:right="1440" w:bottom="1440" w:gutter="0" w:footer="0" w:header="0"/>
        </w:sectPr>
      </w:pPr>
    </w:p>
    <w:bookmarkStart w:id="236" w:name="page237"/>
    <w:bookmarkEnd w:id="236"/>
    <w:p>
      <w:pPr>
        <w:ind w:left="1100"/>
        <w:spacing w:after="0"/>
        <w:tabs>
          <w:tab w:leader="none" w:pos="1720" w:val="left"/>
          <w:tab w:leader="none" w:pos="2920" w:val="left"/>
        </w:tabs>
        <w:rPr>
          <w:sz w:val="20"/>
          <w:szCs w:val="20"/>
          <w:color w:val="auto"/>
        </w:rPr>
      </w:pPr>
      <w:r>
        <w:rPr>
          <w:rFonts w:ascii="Courier New" w:cs="Courier New" w:eastAsia="Courier New" w:hAnsi="Courier New"/>
          <w:sz w:val="15"/>
          <w:szCs w:val="15"/>
          <w:color w:val="auto"/>
        </w:rPr>
        <w:t>10.5.</w:t>
        <w:tab/>
        <w:t>Valuations.</w:t>
        <w:tab/>
        <w:t>For the purposes of valuing the assets of</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Company for distribution as contemplated herein, Company's assets shall be deemed to be sold at their fair market value and the resulting profits and losses shall be allocated to the Members capital accounts in accordance with Section 6 hereof.</w:t>
      </w:r>
    </w:p>
    <w:p>
      <w:pPr>
        <w:spacing w:after="0" w:line="176" w:lineRule="exact"/>
        <w:rPr>
          <w:sz w:val="20"/>
          <w:szCs w:val="20"/>
          <w:color w:val="auto"/>
        </w:rPr>
      </w:pPr>
    </w:p>
    <w:p>
      <w:pPr>
        <w:ind w:left="1100"/>
        <w:spacing w:after="0"/>
        <w:tabs>
          <w:tab w:leader="none" w:pos="1720" w:val="left"/>
          <w:tab w:leader="none" w:pos="3020" w:val="left"/>
        </w:tabs>
        <w:rPr>
          <w:sz w:val="20"/>
          <w:szCs w:val="20"/>
          <w:color w:val="auto"/>
        </w:rPr>
      </w:pPr>
      <w:r>
        <w:rPr>
          <w:rFonts w:ascii="Courier New" w:cs="Courier New" w:eastAsia="Courier New" w:hAnsi="Courier New"/>
          <w:sz w:val="15"/>
          <w:szCs w:val="15"/>
          <w:color w:val="auto"/>
        </w:rPr>
        <w:t>10.6.</w:t>
        <w:tab/>
        <w:t>No Recourse.</w:t>
        <w:tab/>
        <w:t>No Member shall have recourse against another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479"/>
        <w:spacing w:after="0" w:line="252" w:lineRule="auto"/>
        <w:rPr>
          <w:sz w:val="20"/>
          <w:szCs w:val="20"/>
          <w:color w:val="auto"/>
        </w:rPr>
      </w:pPr>
      <w:r>
        <w:rPr>
          <w:rFonts w:ascii="Courier New" w:cs="Courier New" w:eastAsia="Courier New" w:hAnsi="Courier New"/>
          <w:sz w:val="15"/>
          <w:szCs w:val="15"/>
          <w:color w:val="auto"/>
        </w:rPr>
        <w:t>if the assets of Company or the proceeds received by Company upon liquidation are insufficient to return the positive balance in their capital account, except as is provided in Section 9.8 herein.</w:t>
      </w:r>
    </w:p>
    <w:p>
      <w:pPr>
        <w:spacing w:after="0" w:line="175" w:lineRule="exact"/>
        <w:rPr>
          <w:sz w:val="20"/>
          <w:szCs w:val="20"/>
          <w:color w:val="auto"/>
        </w:rPr>
      </w:pPr>
    </w:p>
    <w:p>
      <w:pPr>
        <w:ind w:left="1100"/>
        <w:spacing w:after="0"/>
        <w:tabs>
          <w:tab w:leader="none" w:pos="1720" w:val="left"/>
          <w:tab w:leader="none" w:pos="5140" w:val="left"/>
        </w:tabs>
        <w:rPr>
          <w:sz w:val="20"/>
          <w:szCs w:val="20"/>
          <w:color w:val="auto"/>
        </w:rPr>
      </w:pPr>
      <w:r>
        <w:rPr>
          <w:rFonts w:ascii="Courier New" w:cs="Courier New" w:eastAsia="Courier New" w:hAnsi="Courier New"/>
          <w:sz w:val="15"/>
          <w:szCs w:val="15"/>
          <w:color w:val="auto"/>
        </w:rPr>
        <w:t>10.7.</w:t>
        <w:tab/>
        <w:t>Information Concerning Liquidation.</w:t>
        <w:tab/>
        <w:t>Each Member shall be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019"/>
        <w:spacing w:after="0" w:line="251" w:lineRule="auto"/>
        <w:rPr>
          <w:sz w:val="20"/>
          <w:szCs w:val="20"/>
          <w:color w:val="auto"/>
        </w:rPr>
      </w:pPr>
      <w:r>
        <w:rPr>
          <w:rFonts w:ascii="Courier New" w:cs="Courier New" w:eastAsia="Courier New" w:hAnsi="Courier New"/>
          <w:sz w:val="15"/>
          <w:szCs w:val="15"/>
          <w:color w:val="auto"/>
        </w:rPr>
        <w:t>furnished with a statement prepared by the Board setting forth the assets and liabilities of Company on the date of complete liquidation. Members shall cease to be such, and the Board shall cause to be executed, acknowledged and filed, in duplicate, with the appropriate Secretary of State, a Certificate of Cancellation of Company.</w:t>
      </w:r>
    </w:p>
    <w:p>
      <w:pPr>
        <w:spacing w:after="0" w:line="176" w:lineRule="exact"/>
        <w:rPr>
          <w:sz w:val="20"/>
          <w:szCs w:val="20"/>
          <w:color w:val="auto"/>
        </w:rPr>
      </w:pPr>
    </w:p>
    <w:p>
      <w:pPr>
        <w:ind w:left="920" w:hanging="464"/>
        <w:spacing w:after="0"/>
        <w:tabs>
          <w:tab w:leader="none" w:pos="92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MHI and IMS each, for itself alone,</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and represents that:</w:t>
      </w:r>
    </w:p>
    <w:p>
      <w:pPr>
        <w:spacing w:after="0" w:line="185" w:lineRule="exact"/>
        <w:rPr>
          <w:sz w:val="20"/>
          <w:szCs w:val="20"/>
          <w:color w:val="auto"/>
        </w:rPr>
      </w:pPr>
    </w:p>
    <w:p>
      <w:pPr>
        <w:ind w:left="1100"/>
        <w:spacing w:after="0"/>
        <w:tabs>
          <w:tab w:leader="none" w:pos="1720" w:val="left"/>
          <w:tab w:leader="none" w:pos="3840" w:val="left"/>
        </w:tabs>
        <w:rPr>
          <w:sz w:val="20"/>
          <w:szCs w:val="20"/>
          <w:color w:val="auto"/>
        </w:rPr>
      </w:pPr>
      <w:r>
        <w:rPr>
          <w:rFonts w:ascii="Courier New" w:cs="Courier New" w:eastAsia="Courier New" w:hAnsi="Courier New"/>
          <w:sz w:val="15"/>
          <w:szCs w:val="15"/>
          <w:color w:val="auto"/>
        </w:rPr>
        <w:t>11.1.</w:t>
        <w:tab/>
        <w:t>Content of Agreement.</w:t>
        <w:tab/>
        <w:t>Each has carefully read and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understands the content of this Agreement.</w:t>
      </w:r>
    </w:p>
    <w:p>
      <w:pPr>
        <w:spacing w:after="0" w:line="185" w:lineRule="exact"/>
        <w:rPr>
          <w:sz w:val="20"/>
          <w:szCs w:val="20"/>
          <w:color w:val="auto"/>
        </w:rPr>
      </w:pPr>
    </w:p>
    <w:p>
      <w:pPr>
        <w:ind w:left="1100"/>
        <w:spacing w:after="0"/>
        <w:tabs>
          <w:tab w:leader="none" w:pos="1720" w:val="left"/>
          <w:tab w:leader="none" w:pos="3380" w:val="left"/>
        </w:tabs>
        <w:rPr>
          <w:sz w:val="20"/>
          <w:szCs w:val="20"/>
          <w:color w:val="auto"/>
        </w:rPr>
      </w:pPr>
      <w:r>
        <w:rPr>
          <w:rFonts w:ascii="Courier New" w:cs="Courier New" w:eastAsia="Courier New" w:hAnsi="Courier New"/>
          <w:sz w:val="15"/>
          <w:szCs w:val="15"/>
          <w:color w:val="auto"/>
        </w:rPr>
        <w:t>11.2.</w:t>
        <w:tab/>
        <w:t>Financial Risks.</w:t>
        <w:tab/>
        <w:t>Each understands the financial risks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2" w:lineRule="auto"/>
        <w:rPr>
          <w:sz w:val="20"/>
          <w:szCs w:val="20"/>
          <w:color w:val="auto"/>
        </w:rPr>
      </w:pPr>
      <w:r>
        <w:rPr>
          <w:rFonts w:ascii="Courier New" w:cs="Courier New" w:eastAsia="Courier New" w:hAnsi="Courier New"/>
          <w:sz w:val="15"/>
          <w:szCs w:val="15"/>
          <w:color w:val="auto"/>
        </w:rPr>
        <w:t>involved in this investment, which could result in a substantial or complete loss of its investment. Each can assume a high degree of risk in making such an investment and can afford the loss of its entire investment.</w:t>
      </w:r>
    </w:p>
    <w:p>
      <w:pPr>
        <w:spacing w:after="0" w:line="175" w:lineRule="exact"/>
        <w:rPr>
          <w:sz w:val="20"/>
          <w:szCs w:val="20"/>
          <w:color w:val="auto"/>
        </w:rPr>
      </w:pPr>
    </w:p>
    <w:p>
      <w:pPr>
        <w:ind w:left="1100"/>
        <w:spacing w:after="0"/>
        <w:tabs>
          <w:tab w:leader="none" w:pos="1720" w:val="left"/>
          <w:tab w:leader="none" w:pos="4120" w:val="left"/>
        </w:tabs>
        <w:rPr>
          <w:sz w:val="20"/>
          <w:szCs w:val="20"/>
          <w:color w:val="auto"/>
        </w:rPr>
      </w:pPr>
      <w:r>
        <w:rPr>
          <w:rFonts w:ascii="Courier New" w:cs="Courier New" w:eastAsia="Courier New" w:hAnsi="Courier New"/>
          <w:sz w:val="15"/>
          <w:szCs w:val="15"/>
          <w:color w:val="auto"/>
        </w:rPr>
        <w:t>11.3.</w:t>
        <w:tab/>
        <w:t>Reliance on Own Counsel.</w:t>
        <w:tab/>
        <w:t>Each, in evaluating the merits of</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an investment in Company has performed its own due diligence and has relied, to the extent each deems necessary, on the advice of its own personal accountant and tax and legal counsel. Each acknowledges that neither Company nor its counsel has provided any tax opinion or other legal advice in connection with this offering.</w:t>
      </w:r>
    </w:p>
    <w:p>
      <w:pPr>
        <w:spacing w:after="0" w:line="176" w:lineRule="exact"/>
        <w:rPr>
          <w:sz w:val="20"/>
          <w:szCs w:val="20"/>
          <w:color w:val="auto"/>
        </w:rPr>
      </w:pPr>
    </w:p>
    <w:p>
      <w:pPr>
        <w:ind w:left="1100"/>
        <w:spacing w:after="0"/>
        <w:tabs>
          <w:tab w:leader="none" w:pos="1720" w:val="left"/>
          <w:tab w:leader="none" w:pos="5040" w:val="left"/>
        </w:tabs>
        <w:rPr>
          <w:sz w:val="20"/>
          <w:szCs w:val="20"/>
          <w:color w:val="auto"/>
        </w:rPr>
      </w:pPr>
      <w:r>
        <w:rPr>
          <w:rFonts w:ascii="Courier New" w:cs="Courier New" w:eastAsia="Courier New" w:hAnsi="Courier New"/>
          <w:sz w:val="15"/>
          <w:szCs w:val="15"/>
          <w:color w:val="auto"/>
        </w:rPr>
        <w:t>11.4.</w:t>
        <w:tab/>
        <w:t>Business and Financial Experience.</w:t>
        <w:tab/>
        <w:t>Each, by reason of their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939"/>
        <w:spacing w:after="0" w:line="251" w:lineRule="auto"/>
        <w:rPr>
          <w:sz w:val="20"/>
          <w:szCs w:val="20"/>
          <w:color w:val="auto"/>
        </w:rPr>
      </w:pPr>
      <w:r>
        <w:rPr>
          <w:rFonts w:ascii="Courier New" w:cs="Courier New" w:eastAsia="Courier New" w:hAnsi="Courier New"/>
          <w:sz w:val="15"/>
          <w:szCs w:val="15"/>
          <w:color w:val="auto"/>
        </w:rPr>
        <w:t>business and financial experience or the business and financial experience of their professional advisors who are unaffiliated with Company, believe that they have the capacity to protect their own interests in connection with this offering.</w:t>
      </w:r>
    </w:p>
    <w:p>
      <w:pPr>
        <w:spacing w:after="0" w:line="176" w:lineRule="exact"/>
        <w:rPr>
          <w:sz w:val="20"/>
          <w:szCs w:val="20"/>
          <w:color w:val="auto"/>
        </w:rPr>
      </w:pPr>
    </w:p>
    <w:p>
      <w:pPr>
        <w:ind w:left="1100"/>
        <w:spacing w:after="0"/>
        <w:tabs>
          <w:tab w:leader="none" w:pos="1720" w:val="left"/>
          <w:tab w:leader="none" w:pos="4780" w:val="left"/>
        </w:tabs>
        <w:rPr>
          <w:sz w:val="20"/>
          <w:szCs w:val="20"/>
          <w:color w:val="auto"/>
        </w:rPr>
      </w:pPr>
      <w:r>
        <w:rPr>
          <w:rFonts w:ascii="Courier New" w:cs="Courier New" w:eastAsia="Courier New" w:hAnsi="Courier New"/>
          <w:sz w:val="15"/>
          <w:szCs w:val="15"/>
          <w:color w:val="auto"/>
        </w:rPr>
        <w:t>11.5.</w:t>
        <w:tab/>
        <w:t>Due Organization and Authority.</w:t>
        <w:tab/>
        <w:t>Each is duly organized,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2839"/>
        <w:spacing w:after="0" w:line="253" w:lineRule="auto"/>
        <w:rPr>
          <w:sz w:val="20"/>
          <w:szCs w:val="20"/>
          <w:color w:val="auto"/>
        </w:rPr>
      </w:pPr>
      <w:r>
        <w:rPr>
          <w:rFonts w:ascii="Courier New" w:cs="Courier New" w:eastAsia="Courier New" w:hAnsi="Courier New"/>
          <w:sz w:val="15"/>
          <w:szCs w:val="15"/>
          <w:color w:val="auto"/>
        </w:rPr>
        <w:t>validly existing and in good standing in the state of its incorporation and possesses all necessary powers and authority to enter into this Agreement.</w:t>
      </w:r>
    </w:p>
    <w:p>
      <w:pPr>
        <w:spacing w:after="0" w:line="174" w:lineRule="exact"/>
        <w:rPr>
          <w:sz w:val="20"/>
          <w:szCs w:val="20"/>
          <w:color w:val="auto"/>
        </w:rPr>
      </w:pPr>
    </w:p>
    <w:p>
      <w:pPr>
        <w:ind w:left="920" w:hanging="464"/>
        <w:spacing w:after="0"/>
        <w:tabs>
          <w:tab w:leader="none" w:pos="92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Certain Expenses.</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100"/>
        <w:spacing w:after="0"/>
        <w:tabs>
          <w:tab w:leader="none" w:pos="1720" w:val="left"/>
          <w:tab w:leader="none" w:pos="3940" w:val="left"/>
        </w:tabs>
        <w:rPr>
          <w:sz w:val="20"/>
          <w:szCs w:val="20"/>
          <w:color w:val="auto"/>
        </w:rPr>
      </w:pPr>
      <w:r>
        <w:rPr>
          <w:rFonts w:ascii="Courier New" w:cs="Courier New" w:eastAsia="Courier New" w:hAnsi="Courier New"/>
          <w:sz w:val="15"/>
          <w:szCs w:val="15"/>
          <w:color w:val="auto"/>
        </w:rPr>
        <w:t>12.1.</w:t>
        <w:tab/>
        <w:t>Reimbursable Expenses.</w:t>
        <w:tab/>
        <w:t>MHI and IMS agree to cause Company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119"/>
        <w:spacing w:after="0" w:line="253" w:lineRule="auto"/>
        <w:rPr>
          <w:sz w:val="20"/>
          <w:szCs w:val="20"/>
          <w:color w:val="auto"/>
        </w:rPr>
      </w:pPr>
      <w:r>
        <w:rPr>
          <w:rFonts w:ascii="Courier New" w:cs="Courier New" w:eastAsia="Courier New" w:hAnsi="Courier New"/>
          <w:sz w:val="15"/>
          <w:szCs w:val="15"/>
          <w:color w:val="auto"/>
        </w:rPr>
        <w:t>either to pay or reimburse MHI or IMS, as the case may be, only for such filing</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51" w:right="1440" w:bottom="1440" w:gutter="0" w:footer="0" w:header="0"/>
        </w:sectPr>
      </w:pPr>
    </w:p>
    <w:bookmarkStart w:id="237" w:name="page238"/>
    <w:bookmarkEnd w:id="237"/>
    <w:p>
      <w:pPr>
        <w:ind w:left="4" w:right="2839"/>
        <w:spacing w:after="0" w:line="251" w:lineRule="auto"/>
        <w:rPr>
          <w:sz w:val="20"/>
          <w:szCs w:val="20"/>
          <w:color w:val="auto"/>
        </w:rPr>
      </w:pPr>
      <w:r>
        <w:rPr>
          <w:rFonts w:ascii="Courier New" w:cs="Courier New" w:eastAsia="Courier New" w:hAnsi="Courier New"/>
          <w:sz w:val="15"/>
          <w:szCs w:val="15"/>
          <w:color w:val="auto"/>
        </w:rPr>
        <w:t>fees, costs, prepaid franchise taxes or other expenses directly incurred in organizing and registering Company as a limited liability company in good standing with the states of Colorado and Indiana, and any county or local government department or agency necessary or convenient to the operation of Company as contemplated by this Agreement.</w:t>
      </w:r>
    </w:p>
    <w:p>
      <w:pPr>
        <w:spacing w:after="0" w:line="176" w:lineRule="exact"/>
        <w:rPr>
          <w:sz w:val="20"/>
          <w:szCs w:val="20"/>
          <w:color w:val="auto"/>
        </w:rPr>
      </w:pPr>
    </w:p>
    <w:p>
      <w:pPr>
        <w:ind w:left="464"/>
        <w:spacing w:after="0"/>
        <w:tabs>
          <w:tab w:leader="none" w:pos="1084" w:val="left"/>
          <w:tab w:leader="none" w:pos="3584" w:val="left"/>
        </w:tabs>
        <w:rPr>
          <w:sz w:val="20"/>
          <w:szCs w:val="20"/>
          <w:color w:val="auto"/>
        </w:rPr>
      </w:pPr>
      <w:r>
        <w:rPr>
          <w:rFonts w:ascii="Courier New" w:cs="Courier New" w:eastAsia="Courier New" w:hAnsi="Courier New"/>
          <w:sz w:val="15"/>
          <w:szCs w:val="15"/>
          <w:color w:val="auto"/>
        </w:rPr>
        <w:t>12.2.</w:t>
        <w:tab/>
        <w:t>Nonreimbursable Expenses.</w:t>
        <w:tab/>
        <w:t>MHI and IMS agree that any and all</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1" w:lineRule="auto"/>
        <w:rPr>
          <w:sz w:val="20"/>
          <w:szCs w:val="20"/>
          <w:color w:val="auto"/>
        </w:rPr>
      </w:pPr>
      <w:r>
        <w:rPr>
          <w:rFonts w:ascii="Courier New" w:cs="Courier New" w:eastAsia="Courier New" w:hAnsi="Courier New"/>
          <w:sz w:val="15"/>
          <w:szCs w:val="15"/>
          <w:color w:val="auto"/>
        </w:rPr>
        <w:t>other expenses incurred by MHI and IMS in organizing Company other than as is expressly set forth above and in the Services Agreement shall not be reimbursable by Company and shall be paid solely by the party incurring such expenses. Without limiting the generality of the foregoing, each party shall bear its own legal and accounting fees, travel, lodging, telephone and other out-of-pocket expenses involved in the negotiation, organization and formation of Company.</w:t>
      </w:r>
    </w:p>
    <w:p>
      <w:pPr>
        <w:spacing w:after="0" w:line="176" w:lineRule="exact"/>
        <w:rPr>
          <w:sz w:val="20"/>
          <w:szCs w:val="20"/>
          <w:color w:val="auto"/>
        </w:rPr>
      </w:pPr>
    </w:p>
    <w:p>
      <w:pPr>
        <w:ind w:left="464" w:hanging="464"/>
        <w:spacing w:after="0"/>
        <w:tabs>
          <w:tab w:leader="none" w:pos="464"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7"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13.1.  Confidentiality.  The parties acknowledge that after execution</w:t>
      </w:r>
    </w:p>
    <w:p>
      <w:pPr>
        <w:spacing w:after="0" w:line="7" w:lineRule="exact"/>
        <w:rPr>
          <w:rFonts w:ascii="Courier New" w:cs="Courier New" w:eastAsia="Courier New" w:hAnsi="Courier New"/>
          <w:sz w:val="15"/>
          <w:szCs w:val="15"/>
          <w:color w:val="auto"/>
        </w:rPr>
      </w:pPr>
    </w:p>
    <w:p>
      <w:pPr>
        <w:ind w:left="110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0" w:lineRule="auto"/>
        <w:rPr>
          <w:sz w:val="20"/>
          <w:szCs w:val="20"/>
          <w:color w:val="auto"/>
        </w:rPr>
      </w:pPr>
      <w:r>
        <w:rPr>
          <w:rFonts w:ascii="Courier New" w:cs="Courier New" w:eastAsia="Courier New" w:hAnsi="Courier New"/>
          <w:sz w:val="15"/>
          <w:szCs w:val="15"/>
          <w:color w:val="auto"/>
        </w:rPr>
        <w:t>of this Agreement, MHI and IMS will each have access to certain confidential information and trade secrets which are proprietary to IMS or MHI. Each party to this Agreement acknowledges that the unauthorized use of such information or the disclosure of any such information of the other party, or the disclosure of any such information, any part thereof belonging to the other party, to any unauthorized third party shall be injurious to the party whose confidential information and trade secrets are disclosed. Each party to this Agreement, on its own behalf and on behalf of its officers, directors and employees, by becoming a party to this Agreement, covenants and agrees that, except as authorized hereunder, they will not use or disclose to any unauthorized third party, information related to technology, clients, marketing, research and development or other trade secrets or proprietary confidential information of the other party. Further, both IMS and MHI agree to treat as confidential the terms and conditions of this Agreement. Further, both IMS and MHI agree to treat as confidential all Company information such as client lists, pricing information and related data and both acknowledge that unauthorized use of any such information would cause irreparable damage to Company.</w:t>
      </w:r>
    </w:p>
    <w:p>
      <w:pPr>
        <w:spacing w:after="0" w:line="185" w:lineRule="exact"/>
        <w:rPr>
          <w:sz w:val="20"/>
          <w:szCs w:val="20"/>
          <w:color w:val="auto"/>
        </w:rPr>
      </w:pPr>
    </w:p>
    <w:p>
      <w:pPr>
        <w:ind w:left="464"/>
        <w:spacing w:after="0"/>
        <w:tabs>
          <w:tab w:leader="none" w:pos="1084" w:val="left"/>
          <w:tab w:leader="none" w:pos="3664" w:val="left"/>
        </w:tabs>
        <w:rPr>
          <w:sz w:val="20"/>
          <w:szCs w:val="20"/>
          <w:color w:val="auto"/>
        </w:rPr>
      </w:pPr>
      <w:r>
        <w:rPr>
          <w:rFonts w:ascii="Courier New" w:cs="Courier New" w:eastAsia="Courier New" w:hAnsi="Courier New"/>
          <w:sz w:val="15"/>
          <w:szCs w:val="15"/>
          <w:color w:val="auto"/>
        </w:rPr>
        <w:t>13.2.</w:t>
        <w:tab/>
        <w:t>Enforcement by Injunction.</w:t>
        <w:tab/>
        <w:t>The parties agree and acknowledge</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1" w:lineRule="auto"/>
        <w:rPr>
          <w:sz w:val="20"/>
          <w:szCs w:val="20"/>
          <w:color w:val="auto"/>
        </w:rPr>
      </w:pPr>
      <w:r>
        <w:rPr>
          <w:rFonts w:ascii="Courier New" w:cs="Courier New" w:eastAsia="Courier New" w:hAnsi="Courier New"/>
          <w:sz w:val="15"/>
          <w:szCs w:val="15"/>
          <w:color w:val="auto"/>
        </w:rPr>
        <w:t>that irrevocable harm and damage will be sustained by the party to whom the proprietary information and trade secrets belongs in the event that the other party or its officers, directors or employees violate or threatened to violate the provisions of this Section. In the event of such a breach or threatened breach, the party seeking to enforce this Section shall be entitled to have an injunction issued by any court of competent jurisdiction enjoining and restraining such breach. The seeking of an injunction shall not preclude such party from seeking such other remedies as may be available, including monetary damages.</w:t>
      </w:r>
    </w:p>
    <w:p>
      <w:pPr>
        <w:spacing w:after="0" w:line="175" w:lineRule="exact"/>
        <w:rPr>
          <w:sz w:val="20"/>
          <w:szCs w:val="20"/>
          <w:color w:val="auto"/>
        </w:rPr>
      </w:pPr>
    </w:p>
    <w:p>
      <w:pPr>
        <w:ind w:left="3044"/>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63"/>
          </w:cols>
          <w:pgMar w:left="696" w:top="650" w:right="1440" w:bottom="1440" w:gutter="0" w:footer="0" w:header="0"/>
        </w:sectPr>
      </w:pPr>
    </w:p>
    <w:bookmarkStart w:id="238" w:name="page239"/>
    <w:bookmarkEnd w:id="238"/>
    <w:p>
      <w:pPr>
        <w:ind w:left="920"/>
        <w:spacing w:after="0"/>
        <w:tabs>
          <w:tab w:leader="none" w:pos="1540" w:val="left"/>
          <w:tab w:leader="none" w:pos="5140" w:val="left"/>
        </w:tabs>
        <w:rPr>
          <w:sz w:val="20"/>
          <w:szCs w:val="20"/>
          <w:color w:val="auto"/>
        </w:rPr>
      </w:pPr>
      <w:r>
        <w:rPr>
          <w:rFonts w:ascii="Courier New" w:cs="Courier New" w:eastAsia="Courier New" w:hAnsi="Courier New"/>
          <w:sz w:val="15"/>
          <w:szCs w:val="15"/>
          <w:color w:val="auto"/>
        </w:rPr>
        <w:t>13.3.</w:t>
        <w:tab/>
        <w:t>Enforcement by Injunction by Company.</w:t>
        <w:tab/>
        <w:t>The parties further</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019"/>
        <w:spacing w:after="0" w:line="251" w:lineRule="auto"/>
        <w:rPr>
          <w:sz w:val="20"/>
          <w:szCs w:val="20"/>
          <w:color w:val="auto"/>
        </w:rPr>
      </w:pPr>
      <w:r>
        <w:rPr>
          <w:rFonts w:ascii="Courier New" w:cs="Courier New" w:eastAsia="Courier New" w:hAnsi="Courier New"/>
          <w:sz w:val="15"/>
          <w:szCs w:val="15"/>
          <w:color w:val="auto"/>
        </w:rPr>
        <w:t>agree and acknowledge that irrevocable harm and damage would be sustained by Company in the event that either MHI or IMS, their officers, directors or affiliates violate the provisions of this Section. In the event of a breach or threatened breach by either MHI or IMS, or both, then either Member, acting in the name and place of Company shall be entitled to have an injunction issued by any court of competent jurisdiction enjoining and restraining such breach. The seeking of an injunction shall not preclude IMS or MHI from seeking such other remedies as are available, including monetary damages.</w:t>
      </w:r>
    </w:p>
    <w:p>
      <w:pPr>
        <w:spacing w:after="0" w:line="175" w:lineRule="exact"/>
        <w:rPr>
          <w:sz w:val="20"/>
          <w:szCs w:val="20"/>
          <w:color w:val="auto"/>
        </w:rPr>
      </w:pPr>
    </w:p>
    <w:p>
      <w:pPr>
        <w:ind w:left="920" w:hanging="464"/>
        <w:spacing w:after="0"/>
        <w:tabs>
          <w:tab w:leader="none" w:pos="9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 Not to Compete.  It is the intent of IMS and MHI to use their</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respective best efforts and good faith to position Company as the preferred entity for the use and sale of medical information network technology, services and arrangements within the Exclusive Territory, to provide access by Company to related technology which may be made available to IMS or MHI through acquisitions of or other relationships with other companies, and to wherever possible and reasonable provide Company with the opportunity to propose, develop and offer, or join with others in proposing, developing and offering, existing or new medical information network technology and services to healthcare persons and entities within the Exclusive Territory, in keeping with the purpose of Company and its business and marketing plans. Nothing in the foregoing shall deny either IMS or MHI the right to independently or jointly make use of other medical information network technology, services and arrangements for their own enjoyment or requirements if it is in their respective best interests to do so, or, in the case of MHI, to pursue the same if it is not in the scope of Company's or IMS' business to provide the same.</w:t>
      </w:r>
    </w:p>
    <w:p>
      <w:pPr>
        <w:spacing w:after="0" w:line="184" w:lineRule="exact"/>
        <w:rPr>
          <w:sz w:val="20"/>
          <w:szCs w:val="20"/>
          <w:color w:val="auto"/>
        </w:rPr>
      </w:pPr>
    </w:p>
    <w:p>
      <w:pPr>
        <w:ind w:left="920" w:hanging="464"/>
        <w:spacing w:after="0"/>
        <w:tabs>
          <w:tab w:leader="none" w:pos="920"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In the event of any unresolvable dispute between the</w:t>
      </w:r>
    </w:p>
    <w:p>
      <w:pPr>
        <w:spacing w:after="0" w:line="7"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Members, or deadlocked vote by the Board, the Members may, in addition to any other remedies available, elect to choose one of any of the following methods of resolution, said method to then be the deciding method for resolution in that instance.</w:t>
      </w:r>
    </w:p>
    <w:p>
      <w:pPr>
        <w:spacing w:after="0" w:line="176" w:lineRule="exact"/>
        <w:rPr>
          <w:sz w:val="20"/>
          <w:szCs w:val="20"/>
          <w:color w:val="auto"/>
        </w:rPr>
      </w:pPr>
    </w:p>
    <w:p>
      <w:pPr>
        <w:jc w:val="right"/>
        <w:ind w:right="2839"/>
        <w:spacing w:after="0"/>
        <w:tabs>
          <w:tab w:leader="none" w:pos="5800" w:val="left"/>
          <w:tab w:leader="none" w:pos="2560" w:val="left"/>
        </w:tabs>
        <w:rPr>
          <w:sz w:val="20"/>
          <w:szCs w:val="20"/>
          <w:color w:val="auto"/>
        </w:rPr>
      </w:pPr>
      <w:r>
        <w:rPr>
          <w:rFonts w:ascii="Courier New" w:cs="Courier New" w:eastAsia="Courier New" w:hAnsi="Courier New"/>
          <w:sz w:val="15"/>
          <w:szCs w:val="15"/>
          <w:color w:val="auto"/>
        </w:rPr>
        <w:t>15.1.</w:t>
        <w:tab/>
        <w:t>President as Voting Board Member.</w:t>
        <w:tab/>
        <w:t>If agreed to by the Members,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460" w:right="2839"/>
        <w:spacing w:after="0" w:line="252" w:lineRule="auto"/>
        <w:rPr>
          <w:sz w:val="20"/>
          <w:szCs w:val="20"/>
          <w:color w:val="auto"/>
        </w:rPr>
      </w:pPr>
      <w:r>
        <w:rPr>
          <w:rFonts w:ascii="Courier New" w:cs="Courier New" w:eastAsia="Courier New" w:hAnsi="Courier New"/>
          <w:sz w:val="15"/>
          <w:szCs w:val="15"/>
          <w:color w:val="auto"/>
        </w:rPr>
        <w:t>and in the event of a deadlocked vote by the Board, the Members may direct the Board to authorize the President as a fifth voting member of the Board, if such authorization is not already in effect.</w:t>
      </w:r>
    </w:p>
    <w:p>
      <w:pPr>
        <w:spacing w:after="0" w:line="175" w:lineRule="exact"/>
        <w:rPr>
          <w:sz w:val="20"/>
          <w:szCs w:val="20"/>
          <w:color w:val="auto"/>
        </w:rPr>
      </w:pPr>
    </w:p>
    <w:p>
      <w:pPr>
        <w:jc w:val="right"/>
        <w:ind w:right="2839"/>
        <w:spacing w:after="0"/>
        <w:tabs>
          <w:tab w:leader="none" w:pos="5800" w:val="left"/>
          <w:tab w:leader="none" w:pos="3760" w:val="left"/>
        </w:tabs>
        <w:rPr>
          <w:sz w:val="20"/>
          <w:szCs w:val="20"/>
          <w:color w:val="auto"/>
        </w:rPr>
      </w:pPr>
      <w:r>
        <w:rPr>
          <w:rFonts w:ascii="Courier New" w:cs="Courier New" w:eastAsia="Courier New" w:hAnsi="Courier New"/>
          <w:sz w:val="15"/>
          <w:szCs w:val="15"/>
          <w:color w:val="auto"/>
        </w:rPr>
        <w:t>15.2.</w:t>
        <w:tab/>
        <w:t>Binding Arbitration.</w:t>
        <w:tab/>
        <w:t>The Members may agree to submit a dispute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right="3019"/>
        <w:spacing w:after="0" w:line="253" w:lineRule="auto"/>
        <w:rPr>
          <w:sz w:val="20"/>
          <w:szCs w:val="20"/>
          <w:color w:val="auto"/>
        </w:rPr>
      </w:pPr>
      <w:r>
        <w:rPr>
          <w:rFonts w:ascii="Courier New" w:cs="Courier New" w:eastAsia="Courier New" w:hAnsi="Courier New"/>
          <w:sz w:val="15"/>
          <w:szCs w:val="15"/>
          <w:color w:val="auto"/>
        </w:rPr>
        <w:t>to binding arbitration, the terms and conditions of which shall be agreed to in advance by the Members.</w:t>
      </w:r>
    </w:p>
    <w:p>
      <w:pPr>
        <w:spacing w:after="0" w:line="174" w:lineRule="exact"/>
        <w:rPr>
          <w:sz w:val="20"/>
          <w:szCs w:val="20"/>
          <w:color w:val="auto"/>
        </w:rPr>
      </w:pPr>
    </w:p>
    <w:p>
      <w:pPr>
        <w:ind w:left="920"/>
        <w:spacing w:after="0"/>
        <w:tabs>
          <w:tab w:leader="none" w:pos="1540" w:val="left"/>
        </w:tabs>
        <w:rPr>
          <w:sz w:val="20"/>
          <w:szCs w:val="20"/>
          <w:color w:val="auto"/>
        </w:rPr>
      </w:pPr>
      <w:r>
        <w:rPr>
          <w:rFonts w:ascii="Courier New" w:cs="Courier New" w:eastAsia="Courier New" w:hAnsi="Courier New"/>
          <w:sz w:val="15"/>
          <w:szCs w:val="15"/>
          <w:color w:val="auto"/>
        </w:rPr>
        <w:t>15.3.</w:t>
        <w:tab/>
        <w:t>Buy/Sell Agreement.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560"/>
        <w:spacing w:after="0"/>
        <w:tabs>
          <w:tab w:leader="none" w:pos="2380" w:val="left"/>
          <w:tab w:leader="none" w:pos="4040" w:val="left"/>
        </w:tabs>
        <w:rPr>
          <w:sz w:val="20"/>
          <w:szCs w:val="20"/>
          <w:color w:val="auto"/>
        </w:rPr>
      </w:pPr>
      <w:r>
        <w:rPr>
          <w:rFonts w:ascii="Courier New" w:cs="Courier New" w:eastAsia="Courier New" w:hAnsi="Courier New"/>
          <w:sz w:val="15"/>
          <w:szCs w:val="15"/>
          <w:color w:val="auto"/>
        </w:rPr>
        <w:t>l5.3.1.</w:t>
        <w:tab/>
        <w:t>Offerer's Right.</w:t>
        <w:tab/>
        <w:t>At any time after the first twelve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0" w:right="2839"/>
        <w:spacing w:after="0" w:line="251" w:lineRule="auto"/>
        <w:rPr>
          <w:sz w:val="20"/>
          <w:szCs w:val="20"/>
          <w:color w:val="auto"/>
        </w:rPr>
      </w:pPr>
      <w:r>
        <w:rPr>
          <w:rFonts w:ascii="Courier New" w:cs="Courier New" w:eastAsia="Courier New" w:hAnsi="Courier New"/>
          <w:sz w:val="15"/>
          <w:szCs w:val="15"/>
          <w:color w:val="auto"/>
        </w:rPr>
        <w:t>months of this Agreement, a Member ("Offerer") may offer to purchase from the other Member ("Offeree"), all of the Offeree's ownership interest in Company at a price to be specified as an amount in dollars per one percent (1%) ownership interest. Such offer shall be in writing, and shall offer to pay to the Offeree the total amount then due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51" w:right="1440" w:bottom="1440" w:gutter="0" w:footer="0" w:header="0"/>
        </w:sectPr>
      </w:pPr>
    </w:p>
    <w:bookmarkStart w:id="239" w:name="page240"/>
    <w:bookmarkEnd w:id="239"/>
    <w:p>
      <w:pPr>
        <w:ind w:left="464" w:right="2839"/>
        <w:spacing w:after="0" w:line="252" w:lineRule="auto"/>
        <w:rPr>
          <w:sz w:val="20"/>
          <w:szCs w:val="20"/>
          <w:color w:val="auto"/>
        </w:rPr>
      </w:pPr>
      <w:r>
        <w:rPr>
          <w:rFonts w:ascii="Courier New" w:cs="Courier New" w:eastAsia="Courier New" w:hAnsi="Courier New"/>
          <w:sz w:val="15"/>
          <w:szCs w:val="15"/>
          <w:color w:val="auto"/>
        </w:rPr>
        <w:t>in cash within thirty (30) days of acceptance by the Offeree and shall further provide that the Offeree shall have at least sixty (60) days to consider the offer.</w:t>
      </w:r>
    </w:p>
    <w:p>
      <w:pPr>
        <w:spacing w:after="0" w:line="175" w:lineRule="exact"/>
        <w:rPr>
          <w:sz w:val="20"/>
          <w:szCs w:val="20"/>
          <w:color w:val="auto"/>
        </w:rPr>
      </w:pPr>
    </w:p>
    <w:p>
      <w:pPr>
        <w:ind w:left="1104"/>
        <w:spacing w:after="0"/>
        <w:tabs>
          <w:tab w:leader="none" w:pos="1924" w:val="left"/>
          <w:tab w:leader="none" w:pos="3584" w:val="left"/>
        </w:tabs>
        <w:rPr>
          <w:sz w:val="20"/>
          <w:szCs w:val="20"/>
          <w:color w:val="auto"/>
        </w:rPr>
      </w:pPr>
      <w:r>
        <w:rPr>
          <w:rFonts w:ascii="Courier New" w:cs="Courier New" w:eastAsia="Courier New" w:hAnsi="Courier New"/>
          <w:sz w:val="15"/>
          <w:szCs w:val="15"/>
          <w:color w:val="auto"/>
        </w:rPr>
        <w:t>15.3.2.</w:t>
        <w:tab/>
        <w:t>Offeree's Right.</w:t>
        <w:tab/>
        <w:t>Within the period of the offer, the</w:t>
      </w:r>
    </w:p>
    <w:p>
      <w:pPr>
        <w:spacing w:after="0" w:line="8" w:lineRule="exact"/>
        <w:rPr>
          <w:sz w:val="20"/>
          <w:szCs w:val="20"/>
          <w:color w:val="auto"/>
        </w:rPr>
      </w:pPr>
    </w:p>
    <w:p>
      <w:pPr>
        <w:ind w:left="194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4" w:right="2839"/>
        <w:spacing w:after="0" w:line="251" w:lineRule="auto"/>
        <w:rPr>
          <w:sz w:val="20"/>
          <w:szCs w:val="20"/>
          <w:color w:val="auto"/>
        </w:rPr>
      </w:pPr>
      <w:r>
        <w:rPr>
          <w:rFonts w:ascii="Courier New" w:cs="Courier New" w:eastAsia="Courier New" w:hAnsi="Courier New"/>
          <w:sz w:val="15"/>
          <w:szCs w:val="15"/>
          <w:color w:val="auto"/>
        </w:rPr>
        <w:t>Offeree shall have the right to elect either (i) to sell all of its ownership interest to the Offerer or (ii) to purchase from the Offerer all of the Offerer's ownership interest in Company at a purchase price equivalent to the Offerer's offer on a per one percent (1%) basis. On or before the expiration of the Offerer's offer, the Offeree shall indicate in writing whether it elects to sell all of its ownership interest in Company or to buy the ownership interest in Company owned by Offerer.</w:t>
      </w:r>
    </w:p>
    <w:p>
      <w:pPr>
        <w:spacing w:after="0" w:line="175" w:lineRule="exact"/>
        <w:rPr>
          <w:sz w:val="20"/>
          <w:szCs w:val="20"/>
          <w:color w:val="auto"/>
        </w:rPr>
      </w:pPr>
    </w:p>
    <w:p>
      <w:pPr>
        <w:ind w:left="1104"/>
        <w:spacing w:after="0"/>
        <w:tabs>
          <w:tab w:leader="none" w:pos="1924" w:val="left"/>
          <w:tab w:leader="none" w:pos="5064" w:val="left"/>
        </w:tabs>
        <w:rPr>
          <w:sz w:val="20"/>
          <w:szCs w:val="20"/>
          <w:color w:val="auto"/>
        </w:rPr>
      </w:pPr>
      <w:r>
        <w:rPr>
          <w:rFonts w:ascii="Courier New" w:cs="Courier New" w:eastAsia="Courier New" w:hAnsi="Courier New"/>
          <w:sz w:val="15"/>
          <w:szCs w:val="15"/>
          <w:color w:val="auto"/>
        </w:rPr>
        <w:t>15.3.3.</w:t>
        <w:tab/>
        <w:t>Closing of Buy/Sell Transaction.</w:t>
        <w:tab/>
        <w:t>The closing of a</w:t>
      </w:r>
    </w:p>
    <w:p>
      <w:pPr>
        <w:spacing w:after="0" w:line="8" w:lineRule="exact"/>
        <w:rPr>
          <w:sz w:val="20"/>
          <w:szCs w:val="20"/>
          <w:color w:val="auto"/>
        </w:rPr>
      </w:pPr>
    </w:p>
    <w:p>
      <w:pPr>
        <w:ind w:left="194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buy/sell transaction as described herein shall occur within thirty</w:t>
      </w:r>
    </w:p>
    <w:p>
      <w:pPr>
        <w:spacing w:after="0" w:line="8" w:lineRule="exact"/>
        <w:rPr>
          <w:sz w:val="20"/>
          <w:szCs w:val="20"/>
          <w:color w:val="auto"/>
        </w:rPr>
      </w:pPr>
    </w:p>
    <w:p>
      <w:pPr>
        <w:ind w:left="464" w:right="2839" w:hanging="3"/>
        <w:spacing w:after="0" w:line="250" w:lineRule="auto"/>
        <w:tabs>
          <w:tab w:leader="none" w:pos="925" w:val="left"/>
        </w:tabs>
        <w:numPr>
          <w:ilvl w:val="1"/>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expiration of the Offerer's offer. The purchaser in the transaction shall pay to the seller at the closing an amount in cash equal to the purchase price per one percent (1%) ownership interest first specified in the Offerer's offer times the total percent ownership interest of the seller. Upon such payment, all interest in and to Company and its business and assets shall be owned by the purchaser and the seller shall have no further interest in any aspect of Company's business. If MHI is the purchaser under this provision, then either MHI or IMS shall have the right to terminate the Services Agreement between Company and IMS.</w:t>
      </w:r>
    </w:p>
    <w:p>
      <w:pPr>
        <w:spacing w:after="0" w:line="181"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7"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16.1.  Time of Essence.  The Members acknowledge and agree that time</w:t>
      </w:r>
    </w:p>
    <w:p>
      <w:pPr>
        <w:spacing w:after="0" w:line="7" w:lineRule="exact"/>
        <w:rPr>
          <w:rFonts w:ascii="Courier New" w:cs="Courier New" w:eastAsia="Courier New" w:hAnsi="Courier New"/>
          <w:sz w:val="15"/>
          <w:szCs w:val="15"/>
          <w:color w:val="auto"/>
        </w:rPr>
      </w:pPr>
    </w:p>
    <w:p>
      <w:pPr>
        <w:ind w:left="110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is of the essence in this Agreement.</w:t>
      </w:r>
    </w:p>
    <w:p>
      <w:pPr>
        <w:spacing w:after="0" w:line="185" w:lineRule="exact"/>
        <w:rPr>
          <w:sz w:val="20"/>
          <w:szCs w:val="20"/>
          <w:color w:val="auto"/>
        </w:rPr>
      </w:pPr>
    </w:p>
    <w:p>
      <w:pPr>
        <w:ind w:left="464"/>
        <w:spacing w:after="0"/>
        <w:tabs>
          <w:tab w:leader="none" w:pos="1084" w:val="left"/>
          <w:tab w:leader="none" w:pos="3484" w:val="left"/>
        </w:tabs>
        <w:rPr>
          <w:sz w:val="20"/>
          <w:szCs w:val="20"/>
          <w:color w:val="auto"/>
        </w:rPr>
      </w:pPr>
      <w:r>
        <w:rPr>
          <w:rFonts w:ascii="Courier New" w:cs="Courier New" w:eastAsia="Courier New" w:hAnsi="Courier New"/>
          <w:sz w:val="15"/>
          <w:szCs w:val="15"/>
          <w:color w:val="auto"/>
        </w:rPr>
        <w:t>16.2.</w:t>
        <w:tab/>
        <w:t>Confirmation by Company.</w:t>
        <w:tab/>
        <w:t>The Members agree to take all action</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4" w:right="3019"/>
        <w:spacing w:after="0" w:line="251" w:lineRule="auto"/>
        <w:rPr>
          <w:sz w:val="20"/>
          <w:szCs w:val="20"/>
          <w:color w:val="auto"/>
        </w:rPr>
      </w:pPr>
      <w:r>
        <w:rPr>
          <w:rFonts w:ascii="Courier New" w:cs="Courier New" w:eastAsia="Courier New" w:hAnsi="Courier New"/>
          <w:sz w:val="15"/>
          <w:szCs w:val="15"/>
          <w:color w:val="auto"/>
        </w:rPr>
        <w:t>necessary and convenient to cause each member of the Board to confirm in writing that he/she has read and understood this Agreement, and that each member shall take appropriate action to cause the Company to comply with all of the relevant provisions of this Agreement.</w:t>
      </w:r>
    </w:p>
    <w:p>
      <w:pPr>
        <w:spacing w:after="0" w:line="176" w:lineRule="exact"/>
        <w:rPr>
          <w:sz w:val="20"/>
          <w:szCs w:val="20"/>
          <w:color w:val="auto"/>
        </w:rPr>
      </w:pPr>
    </w:p>
    <w:p>
      <w:pPr>
        <w:ind w:left="464"/>
        <w:spacing w:after="0"/>
        <w:tabs>
          <w:tab w:leader="none" w:pos="1084" w:val="left"/>
          <w:tab w:leader="none" w:pos="2004" w:val="left"/>
        </w:tabs>
        <w:rPr>
          <w:sz w:val="20"/>
          <w:szCs w:val="20"/>
          <w:color w:val="auto"/>
        </w:rPr>
      </w:pPr>
      <w:r>
        <w:rPr>
          <w:rFonts w:ascii="Courier New" w:cs="Courier New" w:eastAsia="Courier New" w:hAnsi="Courier New"/>
          <w:sz w:val="15"/>
          <w:szCs w:val="15"/>
          <w:color w:val="auto"/>
        </w:rPr>
        <w:t>16.3.</w:t>
        <w:tab/>
        <w:t>Notices.</w:t>
        <w:tab/>
        <w:t>All notices required to be given hereunder shall be</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1" w:lineRule="auto"/>
        <w:rPr>
          <w:sz w:val="20"/>
          <w:szCs w:val="20"/>
          <w:color w:val="auto"/>
        </w:rPr>
      </w:pPr>
      <w:r>
        <w:rPr>
          <w:rFonts w:ascii="Courier New" w:cs="Courier New" w:eastAsia="Courier New" w:hAnsi="Courier New"/>
          <w:sz w:val="15"/>
          <w:szCs w:val="15"/>
          <w:color w:val="auto"/>
        </w:rPr>
        <w:t>given in writing and shall be personally delivered or deemed delivered if dispatched by certified mail, return receipt requested, postage prepaid, addressed to the Members as set forth in Section 3.9. A notice shall be deemed given on the date it is deposited in the mail in accordance with the foregoing. Any party may change the address to which to send notices by notifying the other party of such change of address in writing in accordance with the foregoing.</w:t>
      </w:r>
    </w:p>
    <w:p>
      <w:pPr>
        <w:spacing w:after="0" w:line="176" w:lineRule="exact"/>
        <w:rPr>
          <w:sz w:val="20"/>
          <w:szCs w:val="20"/>
          <w:color w:val="auto"/>
        </w:rPr>
      </w:pPr>
    </w:p>
    <w:p>
      <w:pPr>
        <w:ind w:left="464"/>
        <w:spacing w:after="0"/>
        <w:tabs>
          <w:tab w:leader="none" w:pos="1084" w:val="left"/>
          <w:tab w:leader="none" w:pos="2564" w:val="left"/>
        </w:tabs>
        <w:rPr>
          <w:sz w:val="20"/>
          <w:szCs w:val="20"/>
          <w:color w:val="auto"/>
        </w:rPr>
      </w:pPr>
      <w:r>
        <w:rPr>
          <w:rFonts w:ascii="Courier New" w:cs="Courier New" w:eastAsia="Courier New" w:hAnsi="Courier New"/>
          <w:sz w:val="15"/>
          <w:szCs w:val="15"/>
          <w:color w:val="auto"/>
        </w:rPr>
        <w:t>16.4.</w:t>
        <w:tab/>
        <w:t>Governing Law.</w:t>
        <w:tab/>
        <w:t>This Agreement and all rights, duties and</w:t>
      </w:r>
    </w:p>
    <w:p>
      <w:pPr>
        <w:spacing w:after="0" w:line="8" w:lineRule="exact"/>
        <w:rPr>
          <w:sz w:val="20"/>
          <w:szCs w:val="20"/>
          <w:color w:val="auto"/>
        </w:rPr>
      </w:pPr>
    </w:p>
    <w:p>
      <w:pPr>
        <w:ind w:left="1104"/>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2839"/>
        <w:spacing w:after="0" w:line="253" w:lineRule="auto"/>
        <w:rPr>
          <w:sz w:val="20"/>
          <w:szCs w:val="20"/>
          <w:color w:val="auto"/>
        </w:rPr>
      </w:pPr>
      <w:r>
        <w:rPr>
          <w:rFonts w:ascii="Courier New" w:cs="Courier New" w:eastAsia="Courier New" w:hAnsi="Courier New"/>
          <w:sz w:val="15"/>
          <w:szCs w:val="15"/>
          <w:color w:val="auto"/>
        </w:rPr>
        <w:t>obligations hereunder shall be construed and interpreted in accordance with the laws of Colorado.</w:t>
      </w:r>
    </w:p>
    <w:p>
      <w:pPr>
        <w:spacing w:after="0" w:line="174" w:lineRule="exact"/>
        <w:rPr>
          <w:sz w:val="20"/>
          <w:szCs w:val="20"/>
          <w:color w:val="auto"/>
        </w:rPr>
      </w:pPr>
    </w:p>
    <w:p>
      <w:pPr>
        <w:ind w:left="3044"/>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63"/>
          </w:cols>
          <w:pgMar w:left="696" w:top="650" w:right="1440" w:bottom="1440" w:gutter="0" w:footer="0" w:header="0"/>
        </w:sectPr>
      </w:pPr>
    </w:p>
    <w:bookmarkStart w:id="240" w:name="page241"/>
    <w:bookmarkEnd w:id="240"/>
    <w:p>
      <w:pPr>
        <w:ind w:left="460"/>
        <w:spacing w:after="0"/>
        <w:tabs>
          <w:tab w:leader="none" w:pos="1080" w:val="left"/>
          <w:tab w:leader="none" w:pos="1920" w:val="left"/>
        </w:tabs>
        <w:rPr>
          <w:sz w:val="20"/>
          <w:szCs w:val="20"/>
          <w:color w:val="auto"/>
        </w:rPr>
      </w:pPr>
      <w:r>
        <w:rPr>
          <w:rFonts w:ascii="Courier New" w:cs="Courier New" w:eastAsia="Courier New" w:hAnsi="Courier New"/>
          <w:sz w:val="15"/>
          <w:szCs w:val="15"/>
          <w:color w:val="auto"/>
        </w:rPr>
        <w:t>16.5.</w:t>
        <w:tab/>
        <w:t>Waiver.</w:t>
        <w:tab/>
        <w:t>No waiver of any term, covenant or condition contained</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 this Agreement or failure to exercise a right or remedy shall be deemed to imply a further waiver of such term, covenant, right or remedy.</w:t>
      </w:r>
    </w:p>
    <w:p>
      <w:pPr>
        <w:spacing w:after="0" w:line="174" w:lineRule="exact"/>
        <w:rPr>
          <w:sz w:val="20"/>
          <w:szCs w:val="20"/>
          <w:color w:val="auto"/>
        </w:rPr>
      </w:pPr>
    </w:p>
    <w:p>
      <w:pPr>
        <w:ind w:left="460"/>
        <w:spacing w:after="0"/>
        <w:tabs>
          <w:tab w:leader="none" w:pos="1080" w:val="left"/>
          <w:tab w:leader="none" w:pos="2460" w:val="left"/>
        </w:tabs>
        <w:rPr>
          <w:sz w:val="20"/>
          <w:szCs w:val="20"/>
          <w:color w:val="auto"/>
        </w:rPr>
      </w:pPr>
      <w:r>
        <w:rPr>
          <w:rFonts w:ascii="Courier New" w:cs="Courier New" w:eastAsia="Courier New" w:hAnsi="Courier New"/>
          <w:sz w:val="15"/>
          <w:szCs w:val="15"/>
          <w:color w:val="auto"/>
        </w:rPr>
        <w:t>16.6.</w:t>
        <w:tab/>
        <w:t>Severability.</w:t>
        <w:tab/>
        <w:t>Nothing contained in this Agreement shall be</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construed so as to require the commission of an act contrary to law and whenever there is any conflict between any provision of this Agreement and any present statute, law, ordinance or regulation contrary to which the parties have no legal right to contract, the latter shall prevail, but in such event, the provisions of this Agreement affected shall be curtailed and limited only to the extent necessary to bring it within the requirements of the law and to carry out the purposes of this Agreement.</w:t>
      </w:r>
    </w:p>
    <w:p>
      <w:pPr>
        <w:spacing w:after="0" w:line="176" w:lineRule="exact"/>
        <w:rPr>
          <w:sz w:val="20"/>
          <w:szCs w:val="20"/>
          <w:color w:val="auto"/>
        </w:rPr>
      </w:pPr>
    </w:p>
    <w:p>
      <w:pPr>
        <w:ind w:left="460"/>
        <w:spacing w:after="0"/>
        <w:tabs>
          <w:tab w:leader="none" w:pos="1080" w:val="left"/>
          <w:tab w:leader="none" w:pos="2920" w:val="left"/>
        </w:tabs>
        <w:rPr>
          <w:sz w:val="20"/>
          <w:szCs w:val="20"/>
          <w:color w:val="auto"/>
        </w:rPr>
      </w:pPr>
      <w:r>
        <w:rPr>
          <w:rFonts w:ascii="Courier New" w:cs="Courier New" w:eastAsia="Courier New" w:hAnsi="Courier New"/>
          <w:sz w:val="15"/>
          <w:szCs w:val="15"/>
          <w:color w:val="auto"/>
        </w:rPr>
        <w:t>16.7.</w:t>
        <w:tab/>
        <w:t>Binding Agreement.</w:t>
        <w:tab/>
        <w:t>Subject to the restrictions on transfer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and encumbrances set forth herein, this Agreement shall inure to the benefit of and be binding upon MHI and IMS and their respective legal representatives, successors, transferees, and assigns. Whenever a reference is herein made to any party such reference shall be deemed to include a reference to the legal representatives, successors, transferees, and assigns of such party.</w:t>
      </w:r>
    </w:p>
    <w:p>
      <w:pPr>
        <w:spacing w:after="0" w:line="176" w:lineRule="exact"/>
        <w:rPr>
          <w:sz w:val="20"/>
          <w:szCs w:val="20"/>
          <w:color w:val="auto"/>
        </w:rPr>
      </w:pPr>
    </w:p>
    <w:p>
      <w:pPr>
        <w:ind w:left="460"/>
        <w:spacing w:after="0"/>
        <w:tabs>
          <w:tab w:leader="none" w:pos="1080" w:val="left"/>
          <w:tab w:leader="none" w:pos="2280" w:val="left"/>
        </w:tabs>
        <w:rPr>
          <w:sz w:val="20"/>
          <w:szCs w:val="20"/>
          <w:color w:val="auto"/>
        </w:rPr>
      </w:pPr>
      <w:r>
        <w:rPr>
          <w:rFonts w:ascii="Courier New" w:cs="Courier New" w:eastAsia="Courier New" w:hAnsi="Courier New"/>
          <w:sz w:val="15"/>
          <w:szCs w:val="15"/>
          <w:color w:val="auto"/>
        </w:rPr>
        <w:t>16.8.</w:t>
        <w:tab/>
        <w:t>Assignment.</w:t>
        <w:tab/>
        <w:t>This Agreement shall not be assigned by either MHI</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or IMS without the express prior written consent of the other party, except that MHI may assign this Agreement to any MHI wholly owned affiliate.</w:t>
      </w:r>
    </w:p>
    <w:p>
      <w:pPr>
        <w:spacing w:after="0" w:line="174" w:lineRule="exact"/>
        <w:rPr>
          <w:sz w:val="20"/>
          <w:szCs w:val="20"/>
          <w:color w:val="auto"/>
        </w:rPr>
      </w:pPr>
    </w:p>
    <w:p>
      <w:pPr>
        <w:ind w:left="460"/>
        <w:spacing w:after="0"/>
        <w:tabs>
          <w:tab w:leader="none" w:pos="1080" w:val="left"/>
          <w:tab w:leader="none" w:pos="2100" w:val="left"/>
        </w:tabs>
        <w:rPr>
          <w:sz w:val="20"/>
          <w:szCs w:val="20"/>
          <w:color w:val="auto"/>
        </w:rPr>
      </w:pPr>
      <w:r>
        <w:rPr>
          <w:rFonts w:ascii="Courier New" w:cs="Courier New" w:eastAsia="Courier New" w:hAnsi="Courier New"/>
          <w:sz w:val="15"/>
          <w:szCs w:val="15"/>
          <w:color w:val="auto"/>
        </w:rPr>
        <w:t>16.9.</w:t>
        <w:tab/>
        <w:t>Headings.</w:t>
        <w:tab/>
        <w:t>All headings and captions used herein are for</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convenience of reference only, and shall not be a part or affect the interpretation of this Agreement.</w:t>
      </w:r>
    </w:p>
    <w:p>
      <w:pPr>
        <w:spacing w:after="0" w:line="174" w:lineRule="exact"/>
        <w:rPr>
          <w:sz w:val="20"/>
          <w:szCs w:val="20"/>
          <w:color w:val="auto"/>
        </w:rPr>
      </w:pPr>
    </w:p>
    <w:p>
      <w:pPr>
        <w:ind w:left="460"/>
        <w:spacing w:after="0"/>
        <w:tabs>
          <w:tab w:leader="none" w:pos="1180" w:val="left"/>
          <w:tab w:leader="none" w:pos="2560" w:val="left"/>
        </w:tabs>
        <w:rPr>
          <w:sz w:val="20"/>
          <w:szCs w:val="20"/>
          <w:color w:val="auto"/>
        </w:rPr>
      </w:pPr>
      <w:r>
        <w:rPr>
          <w:rFonts w:ascii="Courier New" w:cs="Courier New" w:eastAsia="Courier New" w:hAnsi="Courier New"/>
          <w:sz w:val="15"/>
          <w:szCs w:val="15"/>
          <w:color w:val="auto"/>
        </w:rPr>
        <w:t>16.10.</w:t>
        <w:tab/>
        <w:t>Modification.</w:t>
        <w:tab/>
        <w:t>This Agreement may be modified only upon</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execution of a written agreement signed by the Members.</w:t>
      </w:r>
    </w:p>
    <w:p>
      <w:pPr>
        <w:spacing w:after="0" w:line="185" w:lineRule="exact"/>
        <w:rPr>
          <w:sz w:val="20"/>
          <w:szCs w:val="20"/>
          <w:color w:val="auto"/>
        </w:rPr>
      </w:pPr>
    </w:p>
    <w:p>
      <w:pPr>
        <w:ind w:left="460"/>
        <w:spacing w:after="0"/>
        <w:tabs>
          <w:tab w:leader="none" w:pos="1180" w:val="left"/>
          <w:tab w:leader="none" w:pos="2920" w:val="left"/>
        </w:tabs>
        <w:rPr>
          <w:sz w:val="20"/>
          <w:szCs w:val="20"/>
          <w:color w:val="auto"/>
        </w:rPr>
      </w:pPr>
      <w:r>
        <w:rPr>
          <w:rFonts w:ascii="Courier New" w:cs="Courier New" w:eastAsia="Courier New" w:hAnsi="Courier New"/>
          <w:sz w:val="15"/>
          <w:szCs w:val="15"/>
          <w:color w:val="auto"/>
        </w:rPr>
        <w:t>16.11.</w:t>
        <w:tab/>
        <w:t>Entire Agreement.</w:t>
        <w:tab/>
        <w:t>This Agreement and any exhibits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specifically made a part hereof or referred to herein supersede all prior oral and written understandings and agreements between the parties. The parties acknowledge and agree that this Agreement and any exhibits specifically made a part hereof or referred to herein contain the entire agreement between the parties. No representations, promises, conditions or warranties with reference to the execution of this Agreement have been made or entered into between the parties other than as expressly stated herein. In the event of a conflict, the provisions of this Agreement will govern.</w:t>
      </w:r>
    </w:p>
    <w:p>
      <w:pPr>
        <w:spacing w:after="0" w:line="175" w:lineRule="exact"/>
        <w:rPr>
          <w:sz w:val="20"/>
          <w:szCs w:val="20"/>
          <w:color w:val="auto"/>
        </w:rPr>
      </w:pPr>
    </w:p>
    <w:p>
      <w:pPr>
        <w:ind w:left="460"/>
        <w:spacing w:after="0"/>
        <w:tabs>
          <w:tab w:leader="none" w:pos="1180" w:val="left"/>
          <w:tab w:leader="none" w:pos="2740" w:val="left"/>
        </w:tabs>
        <w:rPr>
          <w:sz w:val="20"/>
          <w:szCs w:val="20"/>
          <w:color w:val="auto"/>
        </w:rPr>
      </w:pPr>
      <w:r>
        <w:rPr>
          <w:rFonts w:ascii="Courier New" w:cs="Courier New" w:eastAsia="Courier New" w:hAnsi="Courier New"/>
          <w:sz w:val="15"/>
          <w:szCs w:val="15"/>
          <w:color w:val="auto"/>
        </w:rPr>
        <w:t>16.12.</w:t>
        <w:tab/>
        <w:t>Attorneys Fees.</w:t>
        <w:tab/>
        <w:t>In the event of any suit under this</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Agreement, reasonable attorneys' fees and costs shall be awarded by the court to the prevailing party, to be included in any judgment recovered. In addition, the prevailing party shall be entitled to recover reasonable attorneys' fees and costs incurred in enforcing any judgment arising from a suit under this Agreement. This postjudgment attorneys' fees and costs provision shall be severable from the other</w:t>
      </w:r>
    </w:p>
    <w:p>
      <w:pPr>
        <w:spacing w:after="0" w:line="17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59"/>
          </w:cols>
          <w:pgMar w:left="700" w:top="650" w:right="1440" w:bottom="1440" w:gutter="0" w:footer="0" w:header="0"/>
        </w:sectPr>
      </w:pPr>
    </w:p>
    <w:bookmarkStart w:id="241" w:name="page242"/>
    <w:bookmarkEnd w:id="241"/>
    <w:p>
      <w:pPr>
        <w:ind w:left="460" w:right="3119"/>
        <w:spacing w:after="0" w:line="253" w:lineRule="auto"/>
        <w:rPr>
          <w:sz w:val="20"/>
          <w:szCs w:val="20"/>
          <w:color w:val="auto"/>
        </w:rPr>
      </w:pPr>
      <w:r>
        <w:rPr>
          <w:rFonts w:ascii="Courier New" w:cs="Courier New" w:eastAsia="Courier New" w:hAnsi="Courier New"/>
          <w:sz w:val="15"/>
          <w:szCs w:val="15"/>
          <w:color w:val="auto"/>
        </w:rPr>
        <w:t>provisions of this Agreement and shall survive any judgment on such suit and is not to be deemed merged into the judgment.</w:t>
      </w:r>
    </w:p>
    <w:p>
      <w:pPr>
        <w:spacing w:after="0" w:line="174" w:lineRule="exact"/>
        <w:rPr>
          <w:sz w:val="20"/>
          <w:szCs w:val="20"/>
          <w:color w:val="auto"/>
        </w:rPr>
      </w:pPr>
    </w:p>
    <w:p>
      <w:pPr>
        <w:ind w:right="3579" w:firstLine="461"/>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Agreement effective as of the day and year first above written.</w:t>
      </w:r>
    </w:p>
    <w:p>
      <w:pPr>
        <w:spacing w:after="0" w:line="174"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Integrated Medical Systems, Inc.</w:t>
      </w:r>
      <w:r>
        <w:rPr>
          <w:sz w:val="20"/>
          <w:szCs w:val="20"/>
          <w:color w:val="auto"/>
        </w:rPr>
        <w:tab/>
      </w:r>
      <w:r>
        <w:rPr>
          <w:rFonts w:ascii="Courier New" w:cs="Courier New" w:eastAsia="Courier New" w:hAnsi="Courier New"/>
          <w:sz w:val="15"/>
          <w:szCs w:val="15"/>
          <w:color w:val="auto"/>
        </w:rPr>
        <w:t>Methodist Hospital of Indiana, Inc.</w:t>
      </w:r>
    </w:p>
    <w:p>
      <w:pPr>
        <w:sectPr>
          <w:pgSz w:w="11900" w:h="16838" w:orient="portrait"/>
          <w:cols w:equalWidth="0" w:num="1">
            <w:col w:w="10219"/>
          </w:cols>
          <w:pgMar w:left="240" w:top="6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80" w:right="120" w:hanging="184"/>
        <w:spacing w:after="0" w:line="253" w:lineRule="auto"/>
        <w:rPr>
          <w:sz w:val="20"/>
          <w:szCs w:val="20"/>
          <w:color w:val="auto"/>
        </w:rPr>
      </w:pPr>
      <w:r>
        <w:rPr>
          <w:rFonts w:ascii="Courier New" w:cs="Courier New" w:eastAsia="Courier New" w:hAnsi="Courier New"/>
          <w:sz w:val="15"/>
          <w:szCs w:val="15"/>
          <w:color w:val="auto"/>
        </w:rPr>
        <w:t>By /s/ (Signature Appears Here)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(Signature Appears Here)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10" w:lineRule="exact"/>
        <w:rPr>
          <w:sz w:val="20"/>
          <w:szCs w:val="20"/>
          <w:color w:val="auto"/>
        </w:rPr>
      </w:pPr>
    </w:p>
    <w:p>
      <w:pPr>
        <w:sectPr>
          <w:pgSz w:w="11900" w:h="16838" w:orient="portrait"/>
          <w:cols w:equalWidth="0" w:num="2">
            <w:col w:w="3340" w:space="720"/>
            <w:col w:w="6159"/>
          </w:cols>
          <w:pgMar w:left="240" w:top="651"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Executive V.P.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4">
            <w:col w:w="280" w:space="0"/>
            <w:col w:w="3060" w:space="720"/>
            <w:col w:w="280" w:space="0"/>
            <w:col w:w="5879"/>
          </w:cols>
          <w:pgMar w:left="240" w:top="651"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51" w:right="1440" w:bottom="1440" w:gutter="0" w:footer="0" w:header="0"/>
          <w:type w:val="continuous"/>
        </w:sectPr>
      </w:pPr>
    </w:p>
    <w:bookmarkStart w:id="242" w:name="page243"/>
    <w:bookmarkEnd w:id="242"/>
    <w:p>
      <w:pPr>
        <w:jc w:val="right"/>
        <w:ind w:right="2839"/>
        <w:spacing w:after="0"/>
        <w:rPr>
          <w:sz w:val="20"/>
          <w:szCs w:val="20"/>
          <w:color w:val="auto"/>
        </w:rPr>
      </w:pPr>
      <w:r>
        <w:rPr>
          <w:rFonts w:ascii="Courier New" w:cs="Courier New" w:eastAsia="Courier New" w:hAnsi="Courier New"/>
          <w:sz w:val="15"/>
          <w:szCs w:val="15"/>
          <w:color w:val="auto"/>
        </w:rPr>
        <w:t>Exhibit 10.24</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PROMISSORY NOTE</w:t>
      </w:r>
    </w:p>
    <w:p>
      <w:pPr>
        <w:spacing w:after="0" w:line="362"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$1,500,000.00</w:t>
      </w:r>
      <w:r>
        <w:rPr>
          <w:sz w:val="20"/>
          <w:szCs w:val="20"/>
          <w:color w:val="auto"/>
        </w:rPr>
        <w:tab/>
      </w:r>
      <w:r>
        <w:rPr>
          <w:rFonts w:ascii="Courier New" w:cs="Courier New" w:eastAsia="Courier New" w:hAnsi="Courier New"/>
          <w:sz w:val="15"/>
          <w:szCs w:val="15"/>
          <w:color w:val="auto"/>
        </w:rPr>
        <w:t>September 25, 1995</w:t>
      </w:r>
    </w:p>
    <w:p>
      <w:pPr>
        <w:spacing w:after="0" w:line="362"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FOR VALUE RECEIVED, Integrated Medical Systems, Inc., a Colorado corporation ("Maker"), does hereby promise to pay to the order of Eli Lilly and Company, an Indiana corporation ("Payee"), on July 1, 1996, or such earlier date as payment may become due pursuant to the terms hereof (the "Maturity Date"), the sum of One Million and Five Hundred Thousand Dollars ($1,500,000), with interest computed from the date hereof on the unpaid principal sum from time to time outstanding at a rate of ten percent (10%) per annum except that if any portion of the principal or interest payable hereunder shall not be paid on the Maturity Date, the interest rate from and after the Maturity Date shall be 12%. Payee, as holder of this Note, and any subsequent holder of this Note, is sometimes hereinafter referred to as "Holder." Principal and interest shall be payable in money of the United States of America that at the time is legal tender for the payment of public and private debts.</w:t>
      </w:r>
    </w:p>
    <w:p>
      <w:pPr>
        <w:spacing w:after="0" w:line="183"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This Note is one of the "New Notes" secured by a certain Security Agreement, dated as of August 28, 1995, between Maker and Payee (the "Security Agreement"), and a certain Pledge Agreement, dated as of August 28, 1995, between Maker and Payee (the "Pledge Agreement"), which secure the obligations of Maker under promissory notes that may be issued from time to time by Maker to Payee. Maker has also previously issued promissory notes to Payee secured by Pledge Agreements and Security Agreements dated as of June 12, 1995 and July 27,1995. In the event of a Default (as hereinafter defined) under this Note, Holder shall be entitled to enforce its rights and shall have recourse against the Maker in accordance with the terms of this Note and applicable law and Holder shall be entitled to enforce its rights against the Collateral (as defined in the Security Agreement) and the Pledged Collateral (as defined in the Pledge Agreement) and shall have recourse against Maker as described in the Security Agreement and the Pledge Agreement.</w:t>
      </w:r>
    </w:p>
    <w:p>
      <w:pPr>
        <w:spacing w:after="0" w:line="184"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The indebtedness evidenced by this Note shall be subordinate and junior in right of payment, to the extent set forth in clauses (i) to (iv) of this paragraph, to all principal and interest on all indebtedness of Maker for borrowed money outstanding on the date hereof and listed on Schedule 1 hereto. Such indebtedness of Maker to which this</w:t>
      </w:r>
    </w:p>
    <w:p>
      <w:pPr>
        <w:sectPr>
          <w:pgSz w:w="11900" w:h="16838" w:orient="portrait"/>
          <w:cols w:equalWidth="0" w:num="1">
            <w:col w:w="10219"/>
          </w:cols>
          <w:pgMar w:left="240" w:top="497"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5"/>
          <w:szCs w:val="15"/>
          <w:color w:val="auto"/>
        </w:rPr>
        <w:t>Note is subordinate and junior is referred to as "Senior Debt."</w:t>
      </w:r>
    </w:p>
    <w:p>
      <w:pPr>
        <w:spacing w:after="0" w:line="185" w:lineRule="exact"/>
        <w:rPr>
          <w:sz w:val="20"/>
          <w:szCs w:val="20"/>
          <w:color w:val="auto"/>
        </w:rPr>
      </w:pPr>
    </w:p>
    <w:p>
      <w:pPr>
        <w:ind w:left="460" w:right="2839" w:firstLine="642"/>
        <w:spacing w:after="0" w:line="251" w:lineRule="auto"/>
        <w:tabs>
          <w:tab w:leader="none" w:pos="156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maturity of any Senior Debt by lapse of time, acceleration or otherwise, then all principal of, premium, if any, and interest on, all such matured Senior Debt shall first be paid in full before any payment on account of principal or interest is made upon this Note.</w:t>
      </w:r>
    </w:p>
    <w:p>
      <w:pPr>
        <w:spacing w:after="0" w:line="176" w:lineRule="exact"/>
        <w:rPr>
          <w:rFonts w:ascii="Courier New" w:cs="Courier New" w:eastAsia="Courier New" w:hAnsi="Courier New"/>
          <w:sz w:val="15"/>
          <w:szCs w:val="15"/>
          <w:color w:val="auto"/>
        </w:rPr>
      </w:pPr>
    </w:p>
    <w:p>
      <w:pPr>
        <w:ind w:left="460" w:right="2839" w:firstLine="550"/>
        <w:spacing w:after="0" w:line="250" w:lineRule="auto"/>
        <w:tabs>
          <w:tab w:leader="none" w:pos="156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insolvency, bankruptcy, liquidation, reorganization or other similar proceeding, or any receivership proceedings in connection therewith, relative to Maker or its creditors or its property, and in the event of any proceedings for voluntary liquidation, dissolution or other winding up of Maker, whether or not involving insolvency or bankruptcy proceedings, then all principal and interest due on Senior Debt shall first be paid in full, or such payment shall have been provided for, before any payment on account of principal or interest is made upon this Note. In any of the proceedings referred to in the first sentence of this clause (ii), any payment or distribution of any kind or character, whether in cash, property, stock or obligations, which may be payable or deliverable in respect of this Note shall be paid or delivered directly to the holders of Senior Debt (or to a banking institution selected by the court or person making the payment or delivery or designated by any holder of Senior Debt) for application in payment thereof, unless and until all principal and interest on all Senior Debt shall have been paid in full, or such payment shall have been provided for; provided, however, that:</w:t>
      </w:r>
    </w:p>
    <w:p>
      <w:pPr>
        <w:spacing w:after="0" w:line="362" w:lineRule="exact"/>
        <w:rPr>
          <w:rFonts w:ascii="Courier New" w:cs="Courier New" w:eastAsia="Courier New" w:hAnsi="Courier New"/>
          <w:sz w:val="15"/>
          <w:szCs w:val="15"/>
          <w:color w:val="auto"/>
        </w:rPr>
      </w:pPr>
    </w:p>
    <w:p>
      <w:pPr>
        <w:ind w:left="920" w:right="2839" w:firstLine="459"/>
        <w:spacing w:after="0" w:line="251" w:lineRule="auto"/>
        <w:tabs>
          <w:tab w:leader="none" w:pos="1843"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payment or delivery of such cash, property, stock or obligations to the Holder is authorized by an order or decree giving effect, and stating in such order or decree that effect is given, to the subordination of this Note to Senior Debt, and made by a court of competent jurisdiction in a reorganization proceeding under any applicable bankruptcy or reorganization law, no payment or delivery of such cash, property, stock or obligations payable or deliverable with respect to this Note shall be made to the holders of Senior Debt; and</w:t>
      </w:r>
    </w:p>
    <w:p>
      <w:pPr>
        <w:spacing w:after="0" w:line="175" w:lineRule="exact"/>
        <w:rPr>
          <w:rFonts w:ascii="Courier New" w:cs="Courier New" w:eastAsia="Courier New" w:hAnsi="Courier New"/>
          <w:sz w:val="15"/>
          <w:szCs w:val="15"/>
          <w:color w:val="auto"/>
        </w:rPr>
      </w:pPr>
    </w:p>
    <w:p>
      <w:pPr>
        <w:ind w:left="920" w:right="2939" w:firstLine="459"/>
        <w:spacing w:after="0" w:line="251" w:lineRule="auto"/>
        <w:tabs>
          <w:tab w:leader="none" w:pos="1843"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delivery shall be made to holders of Senior Debt of stock or obligations which are issued pursuant to reorganization proceedings or dissolution or liquidation proceedings, or upon any merger, consolidation,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44" w:name="page245"/>
    <w:bookmarkEnd w:id="244"/>
    <w:p>
      <w:pPr>
        <w:ind w:left="925" w:right="3019"/>
        <w:spacing w:after="0" w:line="251" w:lineRule="auto"/>
        <w:rPr>
          <w:sz w:val="20"/>
          <w:szCs w:val="20"/>
          <w:color w:val="auto"/>
        </w:rPr>
      </w:pPr>
      <w:r>
        <w:rPr>
          <w:rFonts w:ascii="Courier New" w:cs="Courier New" w:eastAsia="Courier New" w:hAnsi="Courier New"/>
          <w:sz w:val="15"/>
          <w:szCs w:val="15"/>
          <w:color w:val="auto"/>
        </w:rPr>
        <w:t>sale, lease, transfer or other disposal by Maker, as reorganized, or by the corporation succeeding to Maker or acquiring its property and assets, if such stock or obligations are subordinate and junior at least to the extent provided in this paragraph to the payment of all Senior Debt then outstanding and to the payment of any stock or obligations which are issued in exchange or substitution for any Senior Debt then outstanding.</w:t>
      </w:r>
    </w:p>
    <w:p>
      <w:pPr>
        <w:spacing w:after="0" w:line="176" w:lineRule="exact"/>
        <w:rPr>
          <w:sz w:val="20"/>
          <w:szCs w:val="20"/>
          <w:color w:val="auto"/>
        </w:rPr>
      </w:pPr>
    </w:p>
    <w:p>
      <w:pPr>
        <w:ind w:left="465" w:right="2839" w:firstLine="457"/>
        <w:spacing w:after="0" w:line="252" w:lineRule="auto"/>
        <w:tabs>
          <w:tab w:leader="none" w:pos="157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shall not make any payment of principal or interest on this Note during the continuance of any default in the payment of principal of or interest on any Senior Debt.</w:t>
      </w:r>
    </w:p>
    <w:p>
      <w:pPr>
        <w:spacing w:after="0" w:line="174" w:lineRule="exact"/>
        <w:rPr>
          <w:rFonts w:ascii="Courier New" w:cs="Courier New" w:eastAsia="Courier New" w:hAnsi="Courier New"/>
          <w:sz w:val="15"/>
          <w:szCs w:val="15"/>
          <w:color w:val="auto"/>
        </w:rPr>
      </w:pPr>
    </w:p>
    <w:p>
      <w:pPr>
        <w:ind w:left="465" w:right="2839" w:firstLine="550"/>
        <w:spacing w:after="0" w:line="250" w:lineRule="auto"/>
        <w:tabs>
          <w:tab w:leader="none" w:pos="157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are for the purpose of defining the relative rights of the holders of Senior Debt, on the one hand, and Holder, on the other hand, and as between Maker and the Holder, nothing herein shall impair the obligation of Maker, which is unconditional and absolute, to pay to the Holder the principal of and any interest on this Note, in accordance with its terms, nor shall anything herein prevent the Holder from exercising all remedies otherwise permitted by applicable law upon default hereunder, subject to the rights, under this paragraph, of holders of Senior Debt in respect of cash, property, stock, or other securities received upon the exercise of such remedies.</w:t>
      </w:r>
    </w:p>
    <w:p>
      <w:pPr>
        <w:spacing w:after="0" w:line="182" w:lineRule="exact"/>
        <w:rPr>
          <w:sz w:val="20"/>
          <w:szCs w:val="20"/>
          <w:color w:val="auto"/>
        </w:rPr>
      </w:pPr>
    </w:p>
    <w:p>
      <w:pPr>
        <w:ind w:left="5" w:right="3019" w:firstLine="923"/>
        <w:spacing w:after="0" w:line="253" w:lineRule="auto"/>
        <w:rPr>
          <w:sz w:val="20"/>
          <w:szCs w:val="20"/>
          <w:color w:val="auto"/>
        </w:rPr>
      </w:pPr>
      <w:r>
        <w:rPr>
          <w:rFonts w:ascii="Courier New" w:cs="Courier New" w:eastAsia="Courier New" w:hAnsi="Courier New"/>
          <w:sz w:val="15"/>
          <w:szCs w:val="15"/>
          <w:color w:val="auto"/>
        </w:rPr>
        <w:t>This Note may be prepaid, at any time or from time to time, in whole or in part, without penalty, at the option of Maker.</w:t>
      </w:r>
    </w:p>
    <w:p>
      <w:pPr>
        <w:spacing w:after="0" w:line="174" w:lineRule="exact"/>
        <w:rPr>
          <w:sz w:val="20"/>
          <w:szCs w:val="20"/>
          <w:color w:val="auto"/>
        </w:rPr>
      </w:pPr>
    </w:p>
    <w:p>
      <w:pPr>
        <w:ind w:left="5" w:right="2939" w:firstLine="923"/>
        <w:spacing w:after="0" w:line="251" w:lineRule="auto"/>
        <w:rPr>
          <w:sz w:val="20"/>
          <w:szCs w:val="20"/>
          <w:color w:val="auto"/>
        </w:rPr>
      </w:pPr>
      <w:r>
        <w:rPr>
          <w:rFonts w:ascii="Courier New" w:cs="Courier New" w:eastAsia="Courier New" w:hAnsi="Courier New"/>
          <w:sz w:val="15"/>
          <w:szCs w:val="15"/>
          <w:color w:val="auto"/>
        </w:rPr>
        <w:t>Upon the happening of any Default of Maker, the entire unpaid balance of the amount owed by Maker under this Note, together with interest accrued thereon, shall become immediately due and payable. Each of the following shall constitute a "Default" of Maker:</w:t>
      </w:r>
    </w:p>
    <w:p>
      <w:pPr>
        <w:spacing w:after="0" w:line="176" w:lineRule="exact"/>
        <w:rPr>
          <w:sz w:val="20"/>
          <w:szCs w:val="20"/>
          <w:color w:val="auto"/>
        </w:rPr>
      </w:pPr>
    </w:p>
    <w:p>
      <w:pPr>
        <w:jc w:val="both"/>
        <w:ind w:left="925" w:right="2839" w:hanging="925"/>
        <w:spacing w:after="0" w:line="253" w:lineRule="auto"/>
        <w:tabs>
          <w:tab w:leader="none" w:pos="925"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Maker to make any payment of principal or interest when due hereunder or under any other promissory note issued by Maker to Payee;</w:t>
      </w:r>
    </w:p>
    <w:p>
      <w:pPr>
        <w:spacing w:after="0" w:line="174"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Maker in the performance or observance of any covenant or agreement, or breach by Maker of any representation or warranty, contained (x) herein or in any other promissory note issued by Maker to Payee, in the Security Agreement or in the Pledge Agreement or in any prior Security Agreement or prior Pledge Agreement made by Maker in favor of Payee, or (y) in the Agreement and Plan of Merger, dated as of August 2, 1995, among</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1" w:right="1440" w:bottom="1440" w:gutter="0" w:footer="0" w:header="0"/>
        </w:sectPr>
      </w:pPr>
    </w:p>
    <w:bookmarkStart w:id="245" w:name="page246"/>
    <w:bookmarkEnd w:id="245"/>
    <w:p>
      <w:pPr>
        <w:ind w:left="925"/>
        <w:spacing w:after="0"/>
        <w:rPr>
          <w:sz w:val="20"/>
          <w:szCs w:val="20"/>
          <w:color w:val="auto"/>
        </w:rPr>
      </w:pPr>
      <w:r>
        <w:rPr>
          <w:rFonts w:ascii="Courier New" w:cs="Courier New" w:eastAsia="Courier New" w:hAnsi="Courier New"/>
          <w:sz w:val="15"/>
          <w:szCs w:val="15"/>
          <w:color w:val="auto"/>
        </w:rPr>
        <w:t>Maker, Payee and a subsidiary of Payee; provided that in the case of</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5" w:right="2839"/>
        <w:spacing w:after="0" w:line="251" w:lineRule="auto"/>
        <w:rPr>
          <w:sz w:val="20"/>
          <w:szCs w:val="20"/>
          <w:color w:val="auto"/>
        </w:rPr>
      </w:pPr>
      <w:r>
        <w:rPr>
          <w:rFonts w:ascii="Courier New" w:cs="Courier New" w:eastAsia="Courier New" w:hAnsi="Courier New"/>
          <w:sz w:val="15"/>
          <w:szCs w:val="15"/>
          <w:color w:val="auto"/>
        </w:rPr>
        <w:t>any default or breach under clause (y), if such default or breach is reasonably capable of cure by Maker, then such default or breach shall not be a Default hereunder unless such default or breach has not been cured by 12:00 noon, New York City time, on the tenth business day after written notice of such default or breach is provided by Holder to Maker in the manner specified below;</w:t>
      </w:r>
    </w:p>
    <w:p>
      <w:pPr>
        <w:spacing w:after="0" w:line="176" w:lineRule="exact"/>
        <w:rPr>
          <w:sz w:val="20"/>
          <w:szCs w:val="20"/>
          <w:color w:val="auto"/>
        </w:rPr>
      </w:pPr>
    </w:p>
    <w:p>
      <w:pPr>
        <w:ind w:left="925" w:right="3019" w:hanging="925"/>
        <w:spacing w:after="0" w:line="252" w:lineRule="auto"/>
        <w:tabs>
          <w:tab w:leader="none" w:pos="9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by Maker in respect of any obligation to pay principal under, or any acceleration of any right to payment under, any Senior Debt.</w:t>
      </w:r>
    </w:p>
    <w:p>
      <w:pPr>
        <w:spacing w:after="0" w:line="174" w:lineRule="exact"/>
        <w:rPr>
          <w:rFonts w:ascii="Courier New" w:cs="Courier New" w:eastAsia="Courier New" w:hAnsi="Courier New"/>
          <w:sz w:val="15"/>
          <w:szCs w:val="15"/>
          <w:color w:val="auto"/>
        </w:rPr>
      </w:pPr>
    </w:p>
    <w:p>
      <w:pPr>
        <w:ind w:left="925" w:right="3019" w:hanging="925"/>
        <w:spacing w:after="0" w:line="253" w:lineRule="auto"/>
        <w:tabs>
          <w:tab w:leader="none" w:pos="9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purporting to assign any of its obligations under this Note to any person or entity without the prior written consent of Holder;</w:t>
      </w:r>
    </w:p>
    <w:p>
      <w:pPr>
        <w:spacing w:after="0" w:line="174" w:lineRule="exact"/>
        <w:rPr>
          <w:rFonts w:ascii="Courier New" w:cs="Courier New" w:eastAsia="Courier New" w:hAnsi="Courier New"/>
          <w:sz w:val="15"/>
          <w:szCs w:val="15"/>
          <w:color w:val="auto"/>
        </w:rPr>
      </w:pPr>
    </w:p>
    <w:p>
      <w:pPr>
        <w:ind w:left="925" w:right="2839" w:hanging="925"/>
        <w:spacing w:after="0" w:line="250" w:lineRule="auto"/>
        <w:tabs>
          <w:tab w:leader="none" w:pos="9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(a) admits in writing its inability generally to pay its debts as they become due; (b) files a petition commencing a voluntary case concerning it under any Chapter of Title 11 of the United States Code entitled "Bankruptcy" ("Title 11"); (c) petitions or applies to any tribunal for the appointment of any receiver, liquidator or trustee of or for it or any substantial part of its property or assets; or (d) commences any proceeding relating to it under any other bankruptcy, reorganization, arrangement, readjustment or debt, receivership, dissolution, liquidation or similar law or statute of any jurisdiction (domestic or foreign), whether now or hereafter in effect, or any other procedure for the relief of financially distressed debtors;</w:t>
      </w:r>
    </w:p>
    <w:p>
      <w:pPr>
        <w:spacing w:after="0" w:line="182"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 involuntary case under Title 11 and an order for relief under Title 11 is entered or the petition is controverted but is not dismissed within 60 days after the commencement of the case; or</w:t>
      </w:r>
    </w:p>
    <w:p>
      <w:pPr>
        <w:spacing w:after="0" w:line="176" w:lineRule="exact"/>
        <w:rPr>
          <w:rFonts w:ascii="Courier New" w:cs="Courier New" w:eastAsia="Courier New" w:hAnsi="Courier New"/>
          <w:sz w:val="15"/>
          <w:szCs w:val="15"/>
          <w:color w:val="auto"/>
        </w:rPr>
      </w:pPr>
    </w:p>
    <w:p>
      <w:pPr>
        <w:ind w:left="925" w:right="2939" w:hanging="925"/>
        <w:spacing w:after="0" w:line="251" w:lineRule="auto"/>
        <w:tabs>
          <w:tab w:leader="none" w:pos="925"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any proceeding under any other applicable federal or state bankruptcy, insolvency or other similar law seeking the appointment of a receiver, liquidator, assignee, trustee, sequestrator, agent or custodian (or other similar official) of it or any substantial part of its property, and relief against it is ordered in such proceeding or such proceeding remains undismissed for a period of 60 days or more.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1" w:right="1440" w:bottom="1440" w:gutter="0" w:footer="0" w:header="0"/>
        </w:sectPr>
      </w:pPr>
    </w:p>
    <w:bookmarkStart w:id="246" w:name="page247"/>
    <w:bookmarkEnd w:id="246"/>
    <w:p>
      <w:pPr>
        <w:ind w:right="2839" w:firstLine="923"/>
        <w:spacing w:after="0" w:line="251" w:lineRule="auto"/>
        <w:rPr>
          <w:sz w:val="20"/>
          <w:szCs w:val="20"/>
          <w:color w:val="auto"/>
        </w:rPr>
      </w:pPr>
      <w:r>
        <w:rPr>
          <w:rFonts w:ascii="Courier New" w:cs="Courier New" w:eastAsia="Courier New" w:hAnsi="Courier New"/>
          <w:sz w:val="15"/>
          <w:szCs w:val="15"/>
          <w:color w:val="auto"/>
        </w:rPr>
        <w:t>In the event an attorney at law or other agent is retained for collection of this Note after any Default of Maker, in addition to principal and interest, Holder shall be entitled to collect all reasonable costs of collection, including but not limited to, reasonable attorneys' fees and costs, incurred in connection with any of Holder's collection efforts, whether or not suit on this Note is filed, and all such costs and expenses shall be payable by Maker on demand and also shall be secured by all other collateral at any time held by Holder as security for Maker's obligations to Holder.</w:t>
      </w:r>
    </w:p>
    <w:p>
      <w:pPr>
        <w:spacing w:after="0" w:line="17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No failure on the part of Holder to exercise any right or remedy hereunder with respect to Maker, whether before or after the happening of a Default, shall constitute waiver of any future Default or any other Default. No failure to accelerate the debt of Maker evidenced hereby by reason of a Default or indulgence granted from time to time shall be construed to be a waiver of the right to insist upon prompt payment thereafter, or shall be deemed to be a novation of this Note or a reinstatement of the debt evidenced hereby or a waiver of such right of acceleration or any other right, or be construed so as to preclude the exercise of any right Holder may have, whether by the laws of the state governing this Note, by agreement or otherwise; and Maker hereby expressly waives the benefit of any statute or rule of law or equity that would produce a result contrary to or in conflict with the foregoing. This Note may not be modified orally, but only by an agreement in writing signed by the party against whom such agreement is sought to be enforced.</w:t>
      </w:r>
    </w:p>
    <w:p>
      <w:pPr>
        <w:spacing w:after="0" w:line="184"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Any notice provided to Maker hereunder shall be sent (and shall be deemed given on the date sent) by facsimile (and confirmed by mailing by first class mail) as follows: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15000 West 6th Avenue, Suite 400</w:t>
      </w:r>
    </w:p>
    <w:p>
      <w:pPr>
        <w:spacing w:after="0" w:line="8" w:lineRule="exact"/>
        <w:rPr>
          <w:sz w:val="20"/>
          <w:szCs w:val="20"/>
          <w:color w:val="auto"/>
        </w:rPr>
      </w:pPr>
    </w:p>
    <w:p>
      <w:pPr>
        <w:ind w:left="920"/>
        <w:spacing w:after="0"/>
        <w:tabs>
          <w:tab w:leader="none" w:pos="2560" w:val="left"/>
        </w:tabs>
        <w:rPr>
          <w:sz w:val="20"/>
          <w:szCs w:val="20"/>
          <w:color w:val="auto"/>
        </w:rPr>
      </w:pPr>
      <w:r>
        <w:rPr>
          <w:rFonts w:ascii="Courier New" w:cs="Courier New" w:eastAsia="Courier New" w:hAnsi="Courier New"/>
          <w:sz w:val="15"/>
          <w:szCs w:val="15"/>
          <w:color w:val="auto"/>
        </w:rPr>
        <w:t>Golden, Colorado</w:t>
        <w:tab/>
        <w:t>80401</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Fax No.: (303) 271-7998</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or to such other facsimile number and address as Maker shall provide in writing to Holder for purposes of notices hereunder.</w:t>
      </w:r>
    </w:p>
    <w:p>
      <w:pPr>
        <w:spacing w:after="0" w:line="174" w:lineRule="exact"/>
        <w:rPr>
          <w:sz w:val="20"/>
          <w:szCs w:val="20"/>
          <w:color w:val="auto"/>
        </w:rPr>
      </w:pPr>
    </w:p>
    <w:p>
      <w:pPr>
        <w:jc w:val="both"/>
        <w:ind w:right="3119" w:firstLine="923"/>
        <w:spacing w:after="0" w:line="252" w:lineRule="auto"/>
        <w:rPr>
          <w:sz w:val="20"/>
          <w:szCs w:val="20"/>
          <w:color w:val="auto"/>
        </w:rPr>
      </w:pPr>
      <w:r>
        <w:rPr>
          <w:rFonts w:ascii="Courier New" w:cs="Courier New" w:eastAsia="Courier New" w:hAnsi="Courier New"/>
          <w:sz w:val="15"/>
          <w:szCs w:val="15"/>
          <w:color w:val="auto"/>
        </w:rPr>
        <w:t>This Note is binding upon Maker's successors and permitted assigns, shall inure to the benefit of Holder, its successors and assigns and shall be governed by and construed in accordance with laws of the State of New York.</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1" w:right="1440" w:bottom="1440" w:gutter="0" w:footer="0" w:header="0"/>
        </w:sectPr>
      </w:pPr>
    </w:p>
    <w:bookmarkStart w:id="247" w:name="page248"/>
    <w:bookmarkEnd w:id="247"/>
    <w:p>
      <w:pPr>
        <w:ind w:right="3219" w:firstLine="923"/>
        <w:spacing w:after="0" w:line="253" w:lineRule="auto"/>
        <w:rPr>
          <w:sz w:val="20"/>
          <w:szCs w:val="20"/>
          <w:color w:val="auto"/>
        </w:rPr>
      </w:pPr>
      <w:r>
        <w:rPr>
          <w:rFonts w:ascii="Courier New" w:cs="Courier New" w:eastAsia="Courier New" w:hAnsi="Courier New"/>
          <w:sz w:val="15"/>
          <w:szCs w:val="15"/>
          <w:color w:val="auto"/>
        </w:rPr>
        <w:t>IN WITNESS WHEREOF, Maker has executed this Note on the date first above written.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INTEGRATED MEDICAL SYSTEMS, INC.</w:t>
      </w:r>
    </w:p>
    <w:p>
      <w:pPr>
        <w:spacing w:after="0" w:line="200" w:lineRule="exact"/>
        <w:rPr>
          <w:sz w:val="20"/>
          <w:szCs w:val="20"/>
          <w:color w:val="auto"/>
        </w:rPr>
      </w:pP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72"/>
        </w:trPr>
        <w:tc>
          <w:tcPr>
            <w:tcW w:w="41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Schedule 1</w:t>
            </w:r>
          </w:p>
        </w:tc>
        <w:tc>
          <w:tcPr>
            <w:tcW w:w="1560" w:type="dxa"/>
            <w:vAlign w:val="bottom"/>
          </w:tcPr>
          <w:p>
            <w:pPr>
              <w:spacing w:after="0"/>
              <w:rPr>
                <w:sz w:val="14"/>
                <w:szCs w:val="14"/>
                <w:color w:val="auto"/>
              </w:rPr>
            </w:pPr>
          </w:p>
        </w:tc>
      </w:tr>
      <w:tr>
        <w:trPr>
          <w:trHeight w:val="177"/>
        </w:trPr>
        <w:tc>
          <w:tcPr>
            <w:tcW w:w="4160" w:type="dxa"/>
            <w:vAlign w:val="bottom"/>
          </w:tcPr>
          <w:p>
            <w:pPr>
              <w:ind w:left="2780"/>
              <w:spacing w:after="0"/>
              <w:rPr>
                <w:sz w:val="20"/>
                <w:szCs w:val="20"/>
                <w:color w:val="auto"/>
              </w:rPr>
            </w:pPr>
            <w:r>
              <w:rPr>
                <w:rFonts w:ascii="Courier New" w:cs="Courier New" w:eastAsia="Courier New" w:hAnsi="Courier New"/>
                <w:sz w:val="15"/>
                <w:szCs w:val="15"/>
                <w:color w:val="auto"/>
              </w:rPr>
              <w:t>to</w:t>
            </w:r>
          </w:p>
        </w:tc>
        <w:tc>
          <w:tcPr>
            <w:tcW w:w="1560" w:type="dxa"/>
            <w:vAlign w:val="bottom"/>
          </w:tcPr>
          <w:p>
            <w:pPr>
              <w:spacing w:after="0"/>
              <w:rPr>
                <w:sz w:val="15"/>
                <w:szCs w:val="15"/>
                <w:color w:val="auto"/>
              </w:rPr>
            </w:pPr>
          </w:p>
        </w:tc>
      </w:tr>
      <w:tr>
        <w:trPr>
          <w:trHeight w:val="177"/>
        </w:trPr>
        <w:tc>
          <w:tcPr>
            <w:tcW w:w="4160" w:type="dxa"/>
            <w:vAlign w:val="bottom"/>
          </w:tcPr>
          <w:p>
            <w:pPr>
              <w:ind w:left="2120"/>
              <w:spacing w:after="0"/>
              <w:rPr>
                <w:sz w:val="20"/>
                <w:szCs w:val="20"/>
                <w:color w:val="auto"/>
              </w:rPr>
            </w:pPr>
            <w:r>
              <w:rPr>
                <w:rFonts w:ascii="Courier New" w:cs="Courier New" w:eastAsia="Courier New" w:hAnsi="Courier New"/>
                <w:sz w:val="15"/>
                <w:szCs w:val="15"/>
                <w:color w:val="auto"/>
              </w:rPr>
              <w:t>Promissory Note</w:t>
            </w:r>
          </w:p>
        </w:tc>
        <w:tc>
          <w:tcPr>
            <w:tcW w:w="1560" w:type="dxa"/>
            <w:vAlign w:val="bottom"/>
          </w:tcPr>
          <w:p>
            <w:pPr>
              <w:spacing w:after="0"/>
              <w:rPr>
                <w:sz w:val="15"/>
                <w:szCs w:val="15"/>
                <w:color w:val="auto"/>
              </w:rPr>
            </w:pPr>
          </w:p>
        </w:tc>
      </w:tr>
      <w:tr>
        <w:trPr>
          <w:trHeight w:val="355"/>
        </w:trPr>
        <w:tc>
          <w:tcPr>
            <w:tcW w:w="41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Senior Debt</w:t>
            </w:r>
          </w:p>
        </w:tc>
        <w:tc>
          <w:tcPr>
            <w:tcW w:w="1560" w:type="dxa"/>
            <w:vAlign w:val="bottom"/>
          </w:tcPr>
          <w:p>
            <w:pPr>
              <w:spacing w:after="0"/>
              <w:rPr>
                <w:sz w:val="24"/>
                <w:szCs w:val="24"/>
                <w:color w:val="auto"/>
              </w:rPr>
            </w:pPr>
          </w:p>
        </w:tc>
      </w:tr>
      <w:tr>
        <w:trPr>
          <w:trHeight w:val="177"/>
        </w:trPr>
        <w:tc>
          <w:tcPr>
            <w:tcW w:w="416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r>
      <w:tr>
        <w:trPr>
          <w:trHeight w:val="710"/>
        </w:trPr>
        <w:tc>
          <w:tcPr>
            <w:tcW w:w="4160" w:type="dxa"/>
            <w:vAlign w:val="bottom"/>
          </w:tcPr>
          <w:p>
            <w:pPr>
              <w:spacing w:after="0"/>
              <w:rPr>
                <w:sz w:val="20"/>
                <w:szCs w:val="20"/>
                <w:color w:val="auto"/>
              </w:rPr>
            </w:pPr>
            <w:r>
              <w:rPr>
                <w:rFonts w:ascii="Courier New" w:cs="Courier New" w:eastAsia="Courier New" w:hAnsi="Courier New"/>
                <w:sz w:val="15"/>
                <w:szCs w:val="15"/>
                <w:color w:val="auto"/>
              </w:rPr>
              <w:t>Creditor</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Amount</w:t>
            </w:r>
          </w:p>
        </w:tc>
      </w:tr>
      <w:tr>
        <w:trPr>
          <w:trHeight w:val="177"/>
        </w:trPr>
        <w:tc>
          <w:tcPr>
            <w:tcW w:w="4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First National Bank of Wyoming</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355"/>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Prime Leasing Corporation</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120,013</w:t>
            </w:r>
          </w:p>
        </w:tc>
      </w:tr>
      <w:tr>
        <w:trPr>
          <w:trHeight w:val="355"/>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CHCN Partners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30,112</w:t>
            </w:r>
          </w:p>
        </w:tc>
      </w:tr>
      <w:tr>
        <w:trPr>
          <w:trHeight w:val="355"/>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NEC/XEROX (Long Term Debt)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135,404</w:t>
            </w:r>
          </w:p>
        </w:tc>
      </w:tr>
      <w:tr>
        <w:trPr>
          <w:trHeight w:val="532"/>
        </w:trPr>
        <w:tc>
          <w:tcPr>
            <w:tcW w:w="416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7</w:t>
            </w:r>
          </w:p>
        </w:tc>
        <w:tc>
          <w:tcPr>
            <w:tcW w:w="1560" w:type="dxa"/>
            <w:vAlign w:val="bottom"/>
          </w:tcPr>
          <w:p>
            <w:pPr>
              <w:spacing w:after="0"/>
              <w:rPr>
                <w:sz w:val="24"/>
                <w:szCs w:val="24"/>
                <w:color w:val="auto"/>
              </w:rPr>
            </w:pPr>
          </w:p>
        </w:tc>
      </w:tr>
    </w:tbl>
    <w:p>
      <w:pPr>
        <w:sectPr>
          <w:pgSz w:w="11900" w:h="16838" w:orient="portrait"/>
          <w:cols w:equalWidth="0" w:num="1">
            <w:col w:w="9399"/>
          </w:cols>
          <w:pgMar w:left="1060" w:top="650" w:right="1440" w:bottom="1440" w:gutter="0" w:footer="0" w:header="0"/>
        </w:sectPr>
      </w:pPr>
    </w:p>
    <w:bookmarkStart w:id="249" w:name="page250"/>
    <w:bookmarkEnd w:id="249"/>
    <w:p>
      <w:pPr>
        <w:jc w:val="right"/>
        <w:ind w:right="2839"/>
        <w:spacing w:after="0"/>
        <w:rPr>
          <w:sz w:val="20"/>
          <w:szCs w:val="20"/>
          <w:color w:val="auto"/>
        </w:rPr>
      </w:pPr>
      <w:r>
        <w:rPr>
          <w:rFonts w:ascii="Courier New" w:cs="Courier New" w:eastAsia="Courier New" w:hAnsi="Courier New"/>
          <w:sz w:val="15"/>
          <w:szCs w:val="15"/>
          <w:color w:val="auto"/>
        </w:rPr>
        <w:t>Exhibit 10.25</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PROMISSORY NOTE</w:t>
      </w:r>
    </w:p>
    <w:p>
      <w:pPr>
        <w:spacing w:after="0" w:line="36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$1,350,000.00</w:t>
      </w:r>
      <w:r>
        <w:rPr>
          <w:sz w:val="20"/>
          <w:szCs w:val="20"/>
          <w:color w:val="auto"/>
        </w:rPr>
        <w:tab/>
      </w:r>
      <w:r>
        <w:rPr>
          <w:rFonts w:ascii="Courier New" w:cs="Courier New" w:eastAsia="Courier New" w:hAnsi="Courier New"/>
          <w:sz w:val="15"/>
          <w:szCs w:val="15"/>
          <w:color w:val="auto"/>
        </w:rPr>
        <w:t>October 17, 1995</w:t>
      </w:r>
    </w:p>
    <w:p>
      <w:pPr>
        <w:spacing w:after="0" w:line="362"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FOR VALUE RECEIVED, Integrated Medical Systems, Inc., a Colorado corporation ("Maker"), does hereby promise to pay to the order of Eli Lilly and Company, an Indiana corporation ("Payee"), on July 1, 1996, or such earlier date as payment may become due pursuant to the terms hereof (the "Maturity Date"), the sum of One Million Three Hundred Fifty Thousand Dollars ($1,350,000), with interest computed from the date hereof on the unpaid principal sum from time to time outstanding at a rate of ten percent (10%) per annum except that if any portion of the principal or interest payable hereunder shall not be paid on the Maturity Date, the interest rate from and after the Maturity Date shall be 12%. Payee, as holder of this Note, and any subsequent holder of this Note, is sometimes hereinafter referred to as "Holder." Principal and interest shall be payable in money of the United States of America that at the time is legal tender for the payment of public and private debts.</w:t>
      </w:r>
    </w:p>
    <w:p>
      <w:pPr>
        <w:spacing w:after="0" w:line="183"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This Note is one of the "New Notes" secured by a certain Security Agreement, dated as of August 28, 1995, between Maker and Payee (the "Security Agreement"), and a certain Pledge Agreement, dated as of August 28, 1995, between Maker and Payee (the "Pledge Agreement"), which secure the obligations of Maker under promissory notes that may be issued from time to time by Maker to Payee. Maker has also previously issued promissory notes to Payee secured by Pledge Agreements and Security Agreements dated as of June 12, 1995 and July 27,1995. In the event of a Default (as hereinafter defined) under this Note, Holder shall be entitled to enforce its rights and shall have recourse against the Maker in accordance with the terms of this Note and applicable law and Holder shall be entitled to enforce its rights against the Collateral (as defined in the Security Agreement) and the Pledged Collateral (as defined in the Pledge Agreement) and shall have recourse against Maker as described in the Security Agreement and the Pledge Agreement.</w:t>
      </w:r>
    </w:p>
    <w:p>
      <w:pPr>
        <w:spacing w:after="0" w:line="184"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The indebtedness evidenced by this Note shall be subordinate and junior in right of payment, to the extent set forth in clauses (i) to (iv) of this paragraph, to all principal and interest on all indebtedness of Maker for borrowed money outstanding on the date hereof and listed on Schedule 1 hereto. Such indebtedness of Maker to which this</w:t>
      </w:r>
    </w:p>
    <w:p>
      <w:pPr>
        <w:sectPr>
          <w:pgSz w:w="11900" w:h="16838" w:orient="portrait"/>
          <w:cols w:equalWidth="0" w:num="1">
            <w:col w:w="10219"/>
          </w:cols>
          <w:pgMar w:left="240" w:top="319"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5"/>
          <w:szCs w:val="15"/>
          <w:color w:val="auto"/>
        </w:rPr>
        <w:t>Note is subordinate and junior is referred to as "Senior Debt."</w:t>
      </w:r>
    </w:p>
    <w:p>
      <w:pPr>
        <w:spacing w:after="0" w:line="185" w:lineRule="exact"/>
        <w:rPr>
          <w:sz w:val="20"/>
          <w:szCs w:val="20"/>
          <w:color w:val="auto"/>
        </w:rPr>
      </w:pPr>
    </w:p>
    <w:p>
      <w:pPr>
        <w:ind w:left="460" w:right="2839" w:firstLine="642"/>
        <w:spacing w:after="0" w:line="251" w:lineRule="auto"/>
        <w:tabs>
          <w:tab w:leader="none" w:pos="156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maturity of any Senior Debt by lapse of time, acceleration or otherwise, then all principal of, premium, if any, and interest on, all such matured Senior Debt shall first be paid in full before any payment on account of principal or interest is made upon this Note.</w:t>
      </w:r>
    </w:p>
    <w:p>
      <w:pPr>
        <w:spacing w:after="0" w:line="176" w:lineRule="exact"/>
        <w:rPr>
          <w:rFonts w:ascii="Courier New" w:cs="Courier New" w:eastAsia="Courier New" w:hAnsi="Courier New"/>
          <w:sz w:val="15"/>
          <w:szCs w:val="15"/>
          <w:color w:val="auto"/>
        </w:rPr>
      </w:pPr>
    </w:p>
    <w:p>
      <w:pPr>
        <w:ind w:left="460" w:right="2839" w:firstLine="550"/>
        <w:spacing w:after="0" w:line="250" w:lineRule="auto"/>
        <w:tabs>
          <w:tab w:leader="none" w:pos="1567"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insolvency, bankruptcy, liquidation, reorganization or other similar proceeding, or any receivership proceedings in connection therewith, relative to Maker or its creditors or its property, and in the event of any proceedings for voluntary liquidation, dissolution or other winding up of Maker, whether or not involving insolvency or bankruptcy proceedings, then all principal and interest due on Senior Debt shall first be paid in full, or such payment shall have been provided for, before any payment on account of principal or interest is made upon this Note. In any of the proceedings referred to in the first sentence of this clause (ii), any payment or distribution of any kind or character, whether in cash, property, stock or obligations, which may be payable or deliverable in respect of this Note shall be paid or delivered directly to the holders of Senior Debt (or to a banking institution selected by the court or person making the payment or delivery or designated by any holder of Senior Debt) for application in payment thereof, unless and until all principal and interest on all Senior Debt shall have been paid in full, or such payment shall have been provided for; provided, however, that:</w:t>
      </w:r>
    </w:p>
    <w:p>
      <w:pPr>
        <w:spacing w:after="0" w:line="362" w:lineRule="exact"/>
        <w:rPr>
          <w:rFonts w:ascii="Courier New" w:cs="Courier New" w:eastAsia="Courier New" w:hAnsi="Courier New"/>
          <w:sz w:val="15"/>
          <w:szCs w:val="15"/>
          <w:color w:val="auto"/>
        </w:rPr>
      </w:pPr>
    </w:p>
    <w:p>
      <w:pPr>
        <w:ind w:left="920" w:right="2839" w:firstLine="459"/>
        <w:spacing w:after="0" w:line="251" w:lineRule="auto"/>
        <w:tabs>
          <w:tab w:leader="none" w:pos="1843"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payment or delivery of such cash, property, stock or obligations to the Holder is authorized by an order or decree giving effect, and stating in such order or decree that effect is given, to the subordination of this Note to Senior Debt, and made by a court of competent jurisdiction in a reorganization proceeding under any applicable bankruptcy or reorganization law, no payment or delivery of such cash, property, stock or obligations payable or deliverable with respect to this Note shall be made to the holders of Senior Debt; and</w:t>
      </w:r>
    </w:p>
    <w:p>
      <w:pPr>
        <w:spacing w:after="0" w:line="175" w:lineRule="exact"/>
        <w:rPr>
          <w:rFonts w:ascii="Courier New" w:cs="Courier New" w:eastAsia="Courier New" w:hAnsi="Courier New"/>
          <w:sz w:val="15"/>
          <w:szCs w:val="15"/>
          <w:color w:val="auto"/>
        </w:rPr>
      </w:pPr>
    </w:p>
    <w:p>
      <w:pPr>
        <w:ind w:left="920" w:right="2939" w:firstLine="459"/>
        <w:spacing w:after="0" w:line="251" w:lineRule="auto"/>
        <w:tabs>
          <w:tab w:leader="none" w:pos="1843"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delivery shall be made to holders of Senior Debt of stock or obligations which are issued pursuant to reorganization proceedings or dissolution or liquidation proceedings, or upon any merger, consolidation,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1" w:right="1440" w:bottom="1440" w:gutter="0" w:footer="0" w:header="0"/>
        </w:sectPr>
      </w:pPr>
    </w:p>
    <w:bookmarkStart w:id="251" w:name="page252"/>
    <w:bookmarkEnd w:id="251"/>
    <w:p>
      <w:pPr>
        <w:ind w:left="925" w:right="3019"/>
        <w:spacing w:after="0" w:line="251" w:lineRule="auto"/>
        <w:rPr>
          <w:sz w:val="20"/>
          <w:szCs w:val="20"/>
          <w:color w:val="auto"/>
        </w:rPr>
      </w:pPr>
      <w:r>
        <w:rPr>
          <w:rFonts w:ascii="Courier New" w:cs="Courier New" w:eastAsia="Courier New" w:hAnsi="Courier New"/>
          <w:sz w:val="15"/>
          <w:szCs w:val="15"/>
          <w:color w:val="auto"/>
        </w:rPr>
        <w:t>sale, lease, transfer or other disposal by Maker, as reorganized, or by the corporation succeeding to Maker or acquiring its property and assets, if such stock or obligations are subordinate and junior at least to the extent provided in this paragraph to the payment of all Senior Debt then outstanding and to the payment of any stock or obligations which are issued in exchange or substitution for any Senior Debt then outstanding.</w:t>
      </w:r>
    </w:p>
    <w:p>
      <w:pPr>
        <w:spacing w:after="0" w:line="176" w:lineRule="exact"/>
        <w:rPr>
          <w:sz w:val="20"/>
          <w:szCs w:val="20"/>
          <w:color w:val="auto"/>
        </w:rPr>
      </w:pPr>
    </w:p>
    <w:p>
      <w:pPr>
        <w:ind w:left="465" w:right="2839" w:firstLine="457"/>
        <w:spacing w:after="0" w:line="252" w:lineRule="auto"/>
        <w:tabs>
          <w:tab w:leader="none" w:pos="157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shall not make any payment of principal or interest on this Note during the continuance of any default in the payment of principal of or interest on any Senior Debt.</w:t>
      </w:r>
    </w:p>
    <w:p>
      <w:pPr>
        <w:spacing w:after="0" w:line="174" w:lineRule="exact"/>
        <w:rPr>
          <w:rFonts w:ascii="Courier New" w:cs="Courier New" w:eastAsia="Courier New" w:hAnsi="Courier New"/>
          <w:sz w:val="15"/>
          <w:szCs w:val="15"/>
          <w:color w:val="auto"/>
        </w:rPr>
      </w:pPr>
    </w:p>
    <w:p>
      <w:pPr>
        <w:ind w:left="465" w:right="2839" w:firstLine="550"/>
        <w:spacing w:after="0" w:line="250" w:lineRule="auto"/>
        <w:tabs>
          <w:tab w:leader="none" w:pos="157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are for the purpose of defining the relative rights of the holders of Senior Debt, on the one hand, and Holder, on the other hand, and as between Maker and the Holder, nothing herein shall impair the obligation of Maker, which is unconditional and absolute, to pay to the Holder the principal of and any interest on this Note, in accordance with its terms, nor shall anything herein prevent the Holder from exercising all remedies otherwise permitted by applicable law upon default hereunder, subject to the rights, under this paragraph, of holders of Senior Debt in respect of cash, property, stock, or other securities received upon the exercise of such remedies.</w:t>
      </w:r>
    </w:p>
    <w:p>
      <w:pPr>
        <w:spacing w:after="0" w:line="182" w:lineRule="exact"/>
        <w:rPr>
          <w:sz w:val="20"/>
          <w:szCs w:val="20"/>
          <w:color w:val="auto"/>
        </w:rPr>
      </w:pPr>
    </w:p>
    <w:p>
      <w:pPr>
        <w:ind w:left="5" w:right="3019" w:firstLine="923"/>
        <w:spacing w:after="0" w:line="253" w:lineRule="auto"/>
        <w:rPr>
          <w:sz w:val="20"/>
          <w:szCs w:val="20"/>
          <w:color w:val="auto"/>
        </w:rPr>
      </w:pPr>
      <w:r>
        <w:rPr>
          <w:rFonts w:ascii="Courier New" w:cs="Courier New" w:eastAsia="Courier New" w:hAnsi="Courier New"/>
          <w:sz w:val="15"/>
          <w:szCs w:val="15"/>
          <w:color w:val="auto"/>
        </w:rPr>
        <w:t>This Note may be prepaid, at any time or from time to time, in whole or in part, without penalty, at the option of Maker.</w:t>
      </w:r>
    </w:p>
    <w:p>
      <w:pPr>
        <w:spacing w:after="0" w:line="174" w:lineRule="exact"/>
        <w:rPr>
          <w:sz w:val="20"/>
          <w:szCs w:val="20"/>
          <w:color w:val="auto"/>
        </w:rPr>
      </w:pPr>
    </w:p>
    <w:p>
      <w:pPr>
        <w:ind w:left="5" w:right="2939" w:firstLine="923"/>
        <w:spacing w:after="0" w:line="251" w:lineRule="auto"/>
        <w:rPr>
          <w:sz w:val="20"/>
          <w:szCs w:val="20"/>
          <w:color w:val="auto"/>
        </w:rPr>
      </w:pPr>
      <w:r>
        <w:rPr>
          <w:rFonts w:ascii="Courier New" w:cs="Courier New" w:eastAsia="Courier New" w:hAnsi="Courier New"/>
          <w:sz w:val="15"/>
          <w:szCs w:val="15"/>
          <w:color w:val="auto"/>
        </w:rPr>
        <w:t>Upon the happening of any Default of Maker, the entire unpaid balance of the amount owed by Maker under this Note, together with interest accrued thereon, shall become immediately due and payable. Each of the following shall constitute a "Default" of Maker:</w:t>
      </w:r>
    </w:p>
    <w:p>
      <w:pPr>
        <w:spacing w:after="0" w:line="176" w:lineRule="exact"/>
        <w:rPr>
          <w:sz w:val="20"/>
          <w:szCs w:val="20"/>
          <w:color w:val="auto"/>
        </w:rPr>
      </w:pPr>
    </w:p>
    <w:p>
      <w:pPr>
        <w:jc w:val="both"/>
        <w:ind w:left="925" w:right="2839" w:hanging="925"/>
        <w:spacing w:after="0" w:line="253" w:lineRule="auto"/>
        <w:tabs>
          <w:tab w:leader="none" w:pos="92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Maker to make any payment of principal or interest when due hereunder or under any other promissory note issued by Maker to Payee;</w:t>
      </w:r>
    </w:p>
    <w:p>
      <w:pPr>
        <w:spacing w:after="0" w:line="174"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Maker in the performance or observance of any covenant or agreement, or breach by Maker of any representation or warranty, contained (x) herein or in any other promissory note issued by Maker to Payee, in the Security Agreement or in the Pledge Agreement or in any prior Security Agreement or prior Pledge Agreement made by Maker in favor of Payee, or (y) in the Agreement and Plan of Merger, dated as of August 2, 1995, among</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1" w:right="1440" w:bottom="1440" w:gutter="0" w:footer="0" w:header="0"/>
        </w:sectPr>
      </w:pPr>
    </w:p>
    <w:bookmarkStart w:id="252" w:name="page253"/>
    <w:bookmarkEnd w:id="252"/>
    <w:p>
      <w:pPr>
        <w:ind w:left="925"/>
        <w:spacing w:after="0"/>
        <w:rPr>
          <w:sz w:val="20"/>
          <w:szCs w:val="20"/>
          <w:color w:val="auto"/>
        </w:rPr>
      </w:pPr>
      <w:r>
        <w:rPr>
          <w:rFonts w:ascii="Courier New" w:cs="Courier New" w:eastAsia="Courier New" w:hAnsi="Courier New"/>
          <w:sz w:val="15"/>
          <w:szCs w:val="15"/>
          <w:color w:val="auto"/>
        </w:rPr>
        <w:t>Maker, Payee and a subsidiary of Payee; provided that in the case of</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5" w:right="2839"/>
        <w:spacing w:after="0" w:line="251" w:lineRule="auto"/>
        <w:rPr>
          <w:sz w:val="20"/>
          <w:szCs w:val="20"/>
          <w:color w:val="auto"/>
        </w:rPr>
      </w:pPr>
      <w:r>
        <w:rPr>
          <w:rFonts w:ascii="Courier New" w:cs="Courier New" w:eastAsia="Courier New" w:hAnsi="Courier New"/>
          <w:sz w:val="15"/>
          <w:szCs w:val="15"/>
          <w:color w:val="auto"/>
        </w:rPr>
        <w:t>any default or breach under clause (y), if such default or breach is reasonably capable of cure by Maker, then such default or breach shall not be a Default hereunder unless such default or breach has not been cured by 12:00 noon, New York City time, on the tenth business day after written notice of such default or breach is provided by Holder to Maker in the manner specified below;</w:t>
      </w:r>
    </w:p>
    <w:p>
      <w:pPr>
        <w:spacing w:after="0" w:line="176" w:lineRule="exact"/>
        <w:rPr>
          <w:sz w:val="20"/>
          <w:szCs w:val="20"/>
          <w:color w:val="auto"/>
        </w:rPr>
      </w:pPr>
    </w:p>
    <w:p>
      <w:pPr>
        <w:ind w:left="925" w:right="3019" w:hanging="925"/>
        <w:spacing w:after="0" w:line="252" w:lineRule="auto"/>
        <w:tabs>
          <w:tab w:leader="none" w:pos="92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by Maker in respect of any obligation to pay principal under, or any acceleration of any right to payment under, any Senior Debt.</w:t>
      </w:r>
    </w:p>
    <w:p>
      <w:pPr>
        <w:spacing w:after="0" w:line="174" w:lineRule="exact"/>
        <w:rPr>
          <w:rFonts w:ascii="Courier New" w:cs="Courier New" w:eastAsia="Courier New" w:hAnsi="Courier New"/>
          <w:sz w:val="15"/>
          <w:szCs w:val="15"/>
          <w:color w:val="auto"/>
        </w:rPr>
      </w:pPr>
    </w:p>
    <w:p>
      <w:pPr>
        <w:ind w:left="925" w:right="3019" w:hanging="925"/>
        <w:spacing w:after="0" w:line="253" w:lineRule="auto"/>
        <w:tabs>
          <w:tab w:leader="none" w:pos="92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purporting to assign any of its obligations under this Note to any person or entity without the prior written consent of Holder;</w:t>
      </w:r>
    </w:p>
    <w:p>
      <w:pPr>
        <w:spacing w:after="0" w:line="174" w:lineRule="exact"/>
        <w:rPr>
          <w:rFonts w:ascii="Courier New" w:cs="Courier New" w:eastAsia="Courier New" w:hAnsi="Courier New"/>
          <w:sz w:val="15"/>
          <w:szCs w:val="15"/>
          <w:color w:val="auto"/>
        </w:rPr>
      </w:pPr>
    </w:p>
    <w:p>
      <w:pPr>
        <w:ind w:left="925" w:right="2839" w:hanging="925"/>
        <w:spacing w:after="0" w:line="250" w:lineRule="auto"/>
        <w:tabs>
          <w:tab w:leader="none" w:pos="92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(a) admits in writing its inability generally to pay its debts as they become due; (b) files a petition commencing a voluntary case concerning it under any Chapter of Title 11 of the United States Code entitled "Bankruptcy" ("Title 11"); (c) petitions or applies to any tribunal for the appointment of any receiver, liquidator or trustee of or for it or any substantial part of its property or assets; or (d) commences any proceeding relating to it under any other bankruptcy, reorganization, arrangement, readjustment or debt, receivership, dissolution, liquidation or similar law or statute of any jurisdiction (domestic or foreign), whether now or hereafter in effect, or any other procedure for the relief of financially distressed debtors;</w:t>
      </w:r>
    </w:p>
    <w:p>
      <w:pPr>
        <w:spacing w:after="0" w:line="182"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 involuntary case under Title 11 and an order for relief under Title 11 is entered or the petition is controverted but is not dismissed within 60 days after the commencement of the case; or</w:t>
      </w:r>
    </w:p>
    <w:p>
      <w:pPr>
        <w:spacing w:after="0" w:line="176" w:lineRule="exact"/>
        <w:rPr>
          <w:rFonts w:ascii="Courier New" w:cs="Courier New" w:eastAsia="Courier New" w:hAnsi="Courier New"/>
          <w:sz w:val="15"/>
          <w:szCs w:val="15"/>
          <w:color w:val="auto"/>
        </w:rPr>
      </w:pPr>
    </w:p>
    <w:p>
      <w:pPr>
        <w:ind w:left="925" w:right="2939" w:hanging="925"/>
        <w:spacing w:after="0" w:line="251" w:lineRule="auto"/>
        <w:tabs>
          <w:tab w:leader="none" w:pos="925"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any proceeding under any other applicable federal or state bankruptcy, insolvency or other similar law seeking the appointment of a receiver, liquidator, assignee, trustee, sequestrator, agent or custodian (or other similar official) of it or any substantial part of its property, and relief against it is ordered in such proceeding or such proceeding remains undismissed for a period of 60 days or more.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0" w:right="1440" w:bottom="1440" w:gutter="0" w:footer="0" w:header="0"/>
        </w:sectPr>
      </w:pPr>
    </w:p>
    <w:bookmarkStart w:id="253" w:name="page254"/>
    <w:bookmarkEnd w:id="253"/>
    <w:p>
      <w:pPr>
        <w:ind w:right="2839" w:firstLine="923"/>
        <w:spacing w:after="0" w:line="251" w:lineRule="auto"/>
        <w:rPr>
          <w:sz w:val="20"/>
          <w:szCs w:val="20"/>
          <w:color w:val="auto"/>
        </w:rPr>
      </w:pPr>
      <w:r>
        <w:rPr>
          <w:rFonts w:ascii="Courier New" w:cs="Courier New" w:eastAsia="Courier New" w:hAnsi="Courier New"/>
          <w:sz w:val="15"/>
          <w:szCs w:val="15"/>
          <w:color w:val="auto"/>
        </w:rPr>
        <w:t>In the event an attorney at law or other agent is retained for collection of this Note after any Default of Maker, in addition to principal and interest, Holder shall be entitled to collect all reasonable costs of collection, including but not limited to, reasonable attorneys' fees and costs, incurred in connection with any of Holder's collection efforts, whether or not suit on this Note is filed, and all such costs and expenses shall be payable by Maker on demand and also shall be secured by all other collateral at any time held by Holder as security for Maker's obligations to Holder.</w:t>
      </w:r>
    </w:p>
    <w:p>
      <w:pPr>
        <w:spacing w:after="0" w:line="17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No failure on the part of Holder to exercise any right or remedy hereunder with respect to Maker, whether before or after the happening of a Default, shall constitute waiver of any future Default or any other Default. No failure to accelerate the debt of Maker evidenced hereby by reason of a Default or indulgence granted from time to time shall be construed to be a waiver of the right to insist upon prompt payment thereafter, or shall be deemed to be a novation of this Note or a reinstatement of the debt evidenced hereby or a waiver of such right of acceleration or any other right, or be construed so as to preclude the exercise of any right Holder may have, whether by the laws of the state governing this Note, by agreement or otherwise; and Maker hereby expressly waives the benefit of any statute or rule of law or equity that would produce a result contrary to or in conflict with the foregoing. This Note may not be modified orally, but only by an agreement in writing signed by the party against whom such agreement is sought to be enforced.</w:t>
      </w:r>
    </w:p>
    <w:p>
      <w:pPr>
        <w:spacing w:after="0" w:line="184"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Any notice provided to Maker hereunder shall be sent (and shall be deemed given on the date sent) by facsimile (and confirmed by mailing by first class mail) as follows: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15000 West 6th Avenue, Suite 400</w:t>
      </w:r>
    </w:p>
    <w:p>
      <w:pPr>
        <w:spacing w:after="0" w:line="8" w:lineRule="exact"/>
        <w:rPr>
          <w:sz w:val="20"/>
          <w:szCs w:val="20"/>
          <w:color w:val="auto"/>
        </w:rPr>
      </w:pPr>
    </w:p>
    <w:p>
      <w:pPr>
        <w:ind w:left="920"/>
        <w:spacing w:after="0"/>
        <w:tabs>
          <w:tab w:leader="none" w:pos="2560" w:val="left"/>
        </w:tabs>
        <w:rPr>
          <w:sz w:val="20"/>
          <w:szCs w:val="20"/>
          <w:color w:val="auto"/>
        </w:rPr>
      </w:pPr>
      <w:r>
        <w:rPr>
          <w:rFonts w:ascii="Courier New" w:cs="Courier New" w:eastAsia="Courier New" w:hAnsi="Courier New"/>
          <w:sz w:val="15"/>
          <w:szCs w:val="15"/>
          <w:color w:val="auto"/>
        </w:rPr>
        <w:t>Golden, Colorado</w:t>
        <w:tab/>
        <w:t>80401</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Fax No.: (303) 271-7998</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or to such other facsimile number and address as Maker shall provide in writing to Holder for purposes of notices hereunder.</w:t>
      </w:r>
    </w:p>
    <w:p>
      <w:pPr>
        <w:spacing w:after="0" w:line="174" w:lineRule="exact"/>
        <w:rPr>
          <w:sz w:val="20"/>
          <w:szCs w:val="20"/>
          <w:color w:val="auto"/>
        </w:rPr>
      </w:pPr>
    </w:p>
    <w:p>
      <w:pPr>
        <w:jc w:val="both"/>
        <w:ind w:right="3119" w:firstLine="923"/>
        <w:spacing w:after="0" w:line="252" w:lineRule="auto"/>
        <w:rPr>
          <w:sz w:val="20"/>
          <w:szCs w:val="20"/>
          <w:color w:val="auto"/>
        </w:rPr>
      </w:pPr>
      <w:r>
        <w:rPr>
          <w:rFonts w:ascii="Courier New" w:cs="Courier New" w:eastAsia="Courier New" w:hAnsi="Courier New"/>
          <w:sz w:val="15"/>
          <w:szCs w:val="15"/>
          <w:color w:val="auto"/>
        </w:rPr>
        <w:t>This Note is binding upon Maker's successors and permitted assigns, shall inure to the benefit of Holder, its successors and assigns and shall be governed by and construed in accordance with laws of the State of New York.</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1" w:right="1440" w:bottom="1440" w:gutter="0" w:footer="0" w:header="0"/>
        </w:sectPr>
      </w:pPr>
    </w:p>
    <w:bookmarkStart w:id="254" w:name="page255"/>
    <w:bookmarkEnd w:id="254"/>
    <w:p>
      <w:pPr>
        <w:ind w:right="3219" w:firstLine="923"/>
        <w:spacing w:after="0" w:line="253" w:lineRule="auto"/>
        <w:rPr>
          <w:sz w:val="20"/>
          <w:szCs w:val="20"/>
          <w:color w:val="auto"/>
        </w:rPr>
      </w:pPr>
      <w:r>
        <w:rPr>
          <w:rFonts w:ascii="Courier New" w:cs="Courier New" w:eastAsia="Courier New" w:hAnsi="Courier New"/>
          <w:sz w:val="15"/>
          <w:szCs w:val="15"/>
          <w:color w:val="auto"/>
        </w:rPr>
        <w:t>IN WITNESS WHEREOF, Maker has executed this Note on the date first above written.</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INTEGRATED MEDICAL SYSTEMS, INC.</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1"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72"/>
        </w:trPr>
        <w:tc>
          <w:tcPr>
            <w:tcW w:w="4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Schedule 1</w:t>
            </w:r>
          </w:p>
        </w:tc>
        <w:tc>
          <w:tcPr>
            <w:tcW w:w="1380" w:type="dxa"/>
            <w:vAlign w:val="bottom"/>
          </w:tcPr>
          <w:p>
            <w:pPr>
              <w:spacing w:after="0"/>
              <w:rPr>
                <w:sz w:val="14"/>
                <w:szCs w:val="14"/>
                <w:color w:val="auto"/>
              </w:rPr>
            </w:pPr>
          </w:p>
        </w:tc>
      </w:tr>
      <w:tr>
        <w:trPr>
          <w:trHeight w:val="177"/>
        </w:trPr>
        <w:tc>
          <w:tcPr>
            <w:tcW w:w="4260" w:type="dxa"/>
            <w:vAlign w:val="bottom"/>
          </w:tcPr>
          <w:p>
            <w:pPr>
              <w:ind w:left="3060"/>
              <w:spacing w:after="0"/>
              <w:rPr>
                <w:sz w:val="20"/>
                <w:szCs w:val="20"/>
                <w:color w:val="auto"/>
              </w:rPr>
            </w:pPr>
            <w:r>
              <w:rPr>
                <w:rFonts w:ascii="Courier New" w:cs="Courier New" w:eastAsia="Courier New" w:hAnsi="Courier New"/>
                <w:sz w:val="15"/>
                <w:szCs w:val="15"/>
                <w:color w:val="auto"/>
              </w:rPr>
              <w:t>to</w:t>
            </w:r>
          </w:p>
        </w:tc>
        <w:tc>
          <w:tcPr>
            <w:tcW w:w="1380" w:type="dxa"/>
            <w:vAlign w:val="bottom"/>
          </w:tcPr>
          <w:p>
            <w:pPr>
              <w:spacing w:after="0"/>
              <w:rPr>
                <w:sz w:val="15"/>
                <w:szCs w:val="15"/>
                <w:color w:val="auto"/>
              </w:rPr>
            </w:pPr>
          </w:p>
        </w:tc>
      </w:tr>
      <w:tr>
        <w:trPr>
          <w:trHeight w:val="177"/>
        </w:trPr>
        <w:tc>
          <w:tcPr>
            <w:tcW w:w="4260" w:type="dxa"/>
            <w:vAlign w:val="bottom"/>
          </w:tcPr>
          <w:p>
            <w:pPr>
              <w:ind w:left="2400"/>
              <w:spacing w:after="0"/>
              <w:rPr>
                <w:sz w:val="20"/>
                <w:szCs w:val="20"/>
                <w:color w:val="auto"/>
              </w:rPr>
            </w:pPr>
            <w:r>
              <w:rPr>
                <w:rFonts w:ascii="Courier New" w:cs="Courier New" w:eastAsia="Courier New" w:hAnsi="Courier New"/>
                <w:sz w:val="15"/>
                <w:szCs w:val="15"/>
                <w:color w:val="auto"/>
              </w:rPr>
              <w:t>Promissory Note</w:t>
            </w:r>
          </w:p>
        </w:tc>
        <w:tc>
          <w:tcPr>
            <w:tcW w:w="1380" w:type="dxa"/>
            <w:vAlign w:val="bottom"/>
          </w:tcPr>
          <w:p>
            <w:pPr>
              <w:spacing w:after="0"/>
              <w:rPr>
                <w:sz w:val="15"/>
                <w:szCs w:val="15"/>
                <w:color w:val="auto"/>
              </w:rPr>
            </w:pPr>
          </w:p>
        </w:tc>
      </w:tr>
      <w:tr>
        <w:trPr>
          <w:trHeight w:val="355"/>
        </w:trPr>
        <w:tc>
          <w:tcPr>
            <w:tcW w:w="4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Senior Debt</w:t>
            </w:r>
          </w:p>
        </w:tc>
        <w:tc>
          <w:tcPr>
            <w:tcW w:w="1380" w:type="dxa"/>
            <w:vAlign w:val="bottom"/>
          </w:tcPr>
          <w:p>
            <w:pPr>
              <w:spacing w:after="0"/>
              <w:rPr>
                <w:sz w:val="24"/>
                <w:szCs w:val="24"/>
                <w:color w:val="auto"/>
              </w:rPr>
            </w:pPr>
          </w:p>
        </w:tc>
      </w:tr>
      <w:tr>
        <w:trPr>
          <w:trHeight w:val="177"/>
        </w:trPr>
        <w:tc>
          <w:tcPr>
            <w:tcW w:w="42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r>
      <w:tr>
        <w:trPr>
          <w:trHeight w:val="887"/>
        </w:trPr>
        <w:tc>
          <w:tcPr>
            <w:tcW w:w="4260" w:type="dxa"/>
            <w:vAlign w:val="bottom"/>
          </w:tcPr>
          <w:p>
            <w:pPr>
              <w:spacing w:after="0"/>
              <w:rPr>
                <w:sz w:val="20"/>
                <w:szCs w:val="20"/>
                <w:color w:val="auto"/>
              </w:rPr>
            </w:pPr>
            <w:r>
              <w:rPr>
                <w:rFonts w:ascii="Courier New" w:cs="Courier New" w:eastAsia="Courier New" w:hAnsi="Courier New"/>
                <w:sz w:val="15"/>
                <w:szCs w:val="15"/>
                <w:color w:val="auto"/>
              </w:rPr>
              <w:t>Creditor</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Amount</w:t>
            </w:r>
          </w:p>
        </w:tc>
      </w:tr>
      <w:tr>
        <w:trPr>
          <w:trHeight w:val="177"/>
        </w:trPr>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First National Bank of Wyoming</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355"/>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Prime Leasing Corporation</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120,013</w:t>
            </w:r>
          </w:p>
        </w:tc>
      </w:tr>
      <w:tr>
        <w:trPr>
          <w:trHeight w:val="35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CHCN Partners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30,112</w:t>
            </w:r>
          </w:p>
        </w:tc>
      </w:tr>
      <w:tr>
        <w:trPr>
          <w:trHeight w:val="35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NEC/XEROX (Long Term Debt)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135,404</w:t>
            </w:r>
          </w:p>
        </w:tc>
      </w:tr>
      <w:tr>
        <w:trPr>
          <w:trHeight w:val="710"/>
        </w:trPr>
        <w:tc>
          <w:tcPr>
            <w:tcW w:w="426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7</w:t>
            </w:r>
          </w:p>
        </w:tc>
        <w:tc>
          <w:tcPr>
            <w:tcW w:w="1380" w:type="dxa"/>
            <w:vAlign w:val="bottom"/>
          </w:tcPr>
          <w:p>
            <w:pPr>
              <w:spacing w:after="0"/>
              <w:rPr>
                <w:sz w:val="24"/>
                <w:szCs w:val="24"/>
                <w:color w:val="auto"/>
              </w:rPr>
            </w:pPr>
          </w:p>
        </w:tc>
      </w:tr>
    </w:tbl>
    <w:p>
      <w:pPr>
        <w:sectPr>
          <w:pgSz w:w="11900" w:h="16838" w:orient="portrait"/>
          <w:cols w:equalWidth="0" w:num="1">
            <w:col w:w="9679"/>
          </w:cols>
          <w:pgMar w:left="780" w:top="650" w:right="1440" w:bottom="1440" w:gutter="0" w:footer="0" w:header="0"/>
        </w:sectPr>
      </w:pPr>
    </w:p>
    <w:bookmarkStart w:id="256" w:name="page257"/>
    <w:bookmarkEnd w:id="256"/>
    <w:p>
      <w:pPr>
        <w:jc w:val="right"/>
        <w:ind w:right="2839"/>
        <w:spacing w:after="0"/>
        <w:rPr>
          <w:sz w:val="20"/>
          <w:szCs w:val="20"/>
          <w:color w:val="auto"/>
        </w:rPr>
      </w:pPr>
      <w:r>
        <w:rPr>
          <w:rFonts w:ascii="Courier New" w:cs="Courier New" w:eastAsia="Courier New" w:hAnsi="Courier New"/>
          <w:sz w:val="15"/>
          <w:szCs w:val="15"/>
          <w:color w:val="auto"/>
        </w:rPr>
        <w:t>Exhibit 10.26</w:t>
      </w:r>
    </w:p>
    <w:p>
      <w:pPr>
        <w:spacing w:after="0" w:line="36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PROMISSORY NOTE</w:t>
      </w:r>
    </w:p>
    <w:p>
      <w:pPr>
        <w:spacing w:after="0" w:line="36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$1,000,000.00</w:t>
      </w:r>
      <w:r>
        <w:rPr>
          <w:sz w:val="20"/>
          <w:szCs w:val="20"/>
          <w:color w:val="auto"/>
        </w:rPr>
        <w:tab/>
      </w:r>
      <w:r>
        <w:rPr>
          <w:rFonts w:ascii="Courier New" w:cs="Courier New" w:eastAsia="Courier New" w:hAnsi="Courier New"/>
          <w:sz w:val="15"/>
          <w:szCs w:val="15"/>
          <w:color w:val="auto"/>
        </w:rPr>
        <w:t>October 25, 1995</w:t>
      </w:r>
    </w:p>
    <w:p>
      <w:pPr>
        <w:spacing w:after="0" w:line="362"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FOR VALUE RECEIVED, Integrated Medical Systems, Inc., a Colorado corporation ("Maker"), does hereby promise to pay to the order of Eli Lilly and Company, an Indiana corporation ("Payee"), on July 1, 1996, or such earlier date as payment may become due pursuant to the terms hereof (the "Maturity Date"), the sum of One Million Dollars ($1,000,000), with interest computed from the date hereof on the unpaid principal sum from time to time outstanding at a rate of ten percent (10%) per annum except that if any portion of the principal or interest payable hereunder shall not be paid on the Maturity Date, the interest rate from and after the Maturity Date shall be 12%. Payee, as holder of this Note, and any subsequent holder of this Note, is sometimes hereinafter referred to as "Holder." Principal and interest shall be payable in money of the United States of America that at the time is legal tender for the payment of public and private debts.</w:t>
      </w:r>
    </w:p>
    <w:p>
      <w:pPr>
        <w:spacing w:after="0" w:line="360"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This Note is one of the "New Notes" secured by a certain Security Agreement, dated as of August 28, 1995, between Maker and Payee (the "Security Agreement"), and a certain Pledge Agreement, dated as of August 28, 1995, between Maker and Payee (the "Pledge Agreement"), which secure the obligations of Maker under promissory notes that may be issued from time to time by Maker to Payee. Maker has also previously issued promissory notes to Payee secured by Pledge Agreements and Security Agreements dated as of June 12, 1995 and July 27,1995. In the event of a Default (as hereinafter defined) under this Note, Holder shall be entitled to enforce its rights and shall have recourse against the Maker in accordance with the terms of this Note and applicable law and Holder shall be entitled to enforce its rights against the Collateral (as defined in the Security Agreement) and the Pledged Collateral (as defined in the Pledge Agreement) and shall have recourse against Maker as described in the Security Agreement and the Pledge Agreement.</w:t>
      </w:r>
    </w:p>
    <w:p>
      <w:pPr>
        <w:spacing w:after="0" w:line="184"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The indebtedness evidenced by this Note shall be subordinate and junior in right of payment, to the extent set forth in clauses (i) to (iv) of this paragraph, to all principal and interest on all indebtedness of Maker for borrowed money outstanding on the date hereof and listed on Schedule 1 hereto. Such indebtedness of Maker to which this</w:t>
      </w:r>
    </w:p>
    <w:p>
      <w:pPr>
        <w:sectPr>
          <w:pgSz w:w="11900" w:h="16838" w:orient="portrait"/>
          <w:cols w:equalWidth="0" w:num="1">
            <w:col w:w="10219"/>
          </w:cols>
          <w:pgMar w:left="240" w:top="497"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Note is subordinate and junior is referred to as "Senior Debt."</w:t>
      </w:r>
    </w:p>
    <w:p>
      <w:pPr>
        <w:spacing w:after="0" w:line="185" w:lineRule="exact"/>
        <w:rPr>
          <w:sz w:val="20"/>
          <w:szCs w:val="20"/>
          <w:color w:val="auto"/>
        </w:rPr>
      </w:pPr>
    </w:p>
    <w:p>
      <w:pPr>
        <w:ind w:left="460" w:right="3119" w:firstLine="457"/>
        <w:spacing w:after="0" w:line="251" w:lineRule="auto"/>
        <w:tabs>
          <w:tab w:leader="none" w:pos="1475"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maturity of any Senior Debt by lapse of time, acceleration or otherwise, then all principal of, premium, if any, and interest on, all such matured Senior Debt shall first be paid in full before any payment on account of principal or interest is made upon this Note.</w:t>
      </w:r>
    </w:p>
    <w:p>
      <w:pPr>
        <w:spacing w:after="0" w:line="176" w:lineRule="exact"/>
        <w:rPr>
          <w:rFonts w:ascii="Courier New" w:cs="Courier New" w:eastAsia="Courier New" w:hAnsi="Courier New"/>
          <w:sz w:val="15"/>
          <w:szCs w:val="15"/>
          <w:color w:val="auto"/>
        </w:rPr>
      </w:pPr>
    </w:p>
    <w:p>
      <w:pPr>
        <w:ind w:left="460" w:right="2839" w:firstLine="457"/>
        <w:spacing w:after="0" w:line="250" w:lineRule="auto"/>
        <w:tabs>
          <w:tab w:leader="none" w:pos="1475"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insolvency, bankruptcy, liquidation, reorganization or other similar proceeding, or any receivership proceedings in connection therewith, relative to Maker or its creditors or its property, and in the event of any proceedings for voluntary liquidation, dissolution or other winding up of Maker, whether or not involving insolvency or bankruptcy proceedings, then all principal and interest due on Senior Debt shall first be paid in full, or such payment shall have been provided for, before any payment on account of principal or interest is made upon this Note. In any of the proceedings referred to in the first sentence of this clause (ii), any payment or distribution of any kind or character, whether in cash, property, stock or obligations, which may be payable or deliverable in respect of this Note shall be paid or delivered directly to the holders of Senior Debt (or to a banking institution selected by the court or person making the payment or delivery or designated by any holder of Senior Debt) for application in payment thereof, unless and until all principal and interest on all Senior Debt shall have been paid in full, or such payment shall have been provided for; provided, however, that:</w:t>
      </w:r>
    </w:p>
    <w:p>
      <w:pPr>
        <w:spacing w:after="0" w:line="362" w:lineRule="exact"/>
        <w:rPr>
          <w:rFonts w:ascii="Courier New" w:cs="Courier New" w:eastAsia="Courier New" w:hAnsi="Courier New"/>
          <w:sz w:val="15"/>
          <w:szCs w:val="15"/>
          <w:color w:val="auto"/>
        </w:rPr>
      </w:pPr>
    </w:p>
    <w:p>
      <w:pPr>
        <w:ind w:left="920" w:right="2839" w:firstLine="459"/>
        <w:spacing w:after="0" w:line="251" w:lineRule="auto"/>
        <w:tabs>
          <w:tab w:leader="none" w:pos="1843"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payment or delivery of such cash, property, stock or obligations to the Holder is authorized by an order or decree giving effect, and stating in such order or decree that effect is given, to the subordination of this Note to Senior Debt, and made by a court of competent jurisdiction in a reorganization proceeding under any applicable bankruptcy or reorganization law, no payment or delivery of such cash, property, stock or obligations payable or deliverable with respect to this Note shall be made to the holders of Senior Debt; and</w:t>
      </w:r>
    </w:p>
    <w:p>
      <w:pPr>
        <w:spacing w:after="0" w:line="175" w:lineRule="exact"/>
        <w:rPr>
          <w:rFonts w:ascii="Courier New" w:cs="Courier New" w:eastAsia="Courier New" w:hAnsi="Courier New"/>
          <w:sz w:val="15"/>
          <w:szCs w:val="15"/>
          <w:color w:val="auto"/>
        </w:rPr>
      </w:pPr>
    </w:p>
    <w:p>
      <w:pPr>
        <w:ind w:left="920" w:right="2939" w:firstLine="459"/>
        <w:spacing w:after="0" w:line="251" w:lineRule="auto"/>
        <w:tabs>
          <w:tab w:leader="none" w:pos="1843"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such delivery shall be made to holders of Senior Debt of stock or obligations which are issued pursuant to reorganization proceedings or dissolution or liquidation proceedings, or upon any merger, consolidation,</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258" w:name="page259"/>
    <w:bookmarkEnd w:id="258"/>
    <w:p>
      <w:pPr>
        <w:ind w:left="925" w:right="3019"/>
        <w:spacing w:after="0" w:line="251" w:lineRule="auto"/>
        <w:rPr>
          <w:sz w:val="20"/>
          <w:szCs w:val="20"/>
          <w:color w:val="auto"/>
        </w:rPr>
      </w:pPr>
      <w:r>
        <w:rPr>
          <w:rFonts w:ascii="Courier New" w:cs="Courier New" w:eastAsia="Courier New" w:hAnsi="Courier New"/>
          <w:sz w:val="15"/>
          <w:szCs w:val="15"/>
          <w:color w:val="auto"/>
        </w:rPr>
        <w:t>sale, lease, transfer or other disposal by Maker, as reorganized, or by the corporation succeeding to Maker or acquiring its property and assets, if such stock or obligations are subordinate and junior at least to the extent provided in this paragraph to the payment of all Senior Debt then outstanding and to the payment of any stock or obligations which are issued in exchange or substitution for any Senior Debt then outstanding.</w:t>
      </w:r>
    </w:p>
    <w:p>
      <w:pPr>
        <w:spacing w:after="0" w:line="176" w:lineRule="exact"/>
        <w:rPr>
          <w:sz w:val="20"/>
          <w:szCs w:val="20"/>
          <w:color w:val="auto"/>
        </w:rPr>
      </w:pPr>
    </w:p>
    <w:p>
      <w:pPr>
        <w:ind w:left="465" w:right="2839" w:firstLine="457"/>
        <w:spacing w:after="0" w:line="252" w:lineRule="auto"/>
        <w:tabs>
          <w:tab w:leader="none" w:pos="157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shall not make any payment of principal or interest on this Note during the continuance of any default in the payment of principal of or interest on any Senior Debt.</w:t>
      </w:r>
    </w:p>
    <w:p>
      <w:pPr>
        <w:spacing w:after="0" w:line="174" w:lineRule="exact"/>
        <w:rPr>
          <w:rFonts w:ascii="Courier New" w:cs="Courier New" w:eastAsia="Courier New" w:hAnsi="Courier New"/>
          <w:sz w:val="15"/>
          <w:szCs w:val="15"/>
          <w:color w:val="auto"/>
        </w:rPr>
      </w:pPr>
    </w:p>
    <w:p>
      <w:pPr>
        <w:ind w:left="465" w:right="2839" w:firstLine="457"/>
        <w:spacing w:after="0" w:line="250" w:lineRule="auto"/>
        <w:tabs>
          <w:tab w:leader="none" w:pos="157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paragraph are for the purpose of defining the relative rights of the holders of Senior Debt, on the one hand, and Holder, on the other hand, and as between Maker and the Holder, nothing herein shall impair the obligation of Maker, which is unconditional and absolute, to pay to the Holder the principal of and any interest on this Note, in accordance with its terms, nor shall anything herein prevent the Holder from exercising all remedies otherwise permitted by applicable law upon default hereunder, subject to the rights, under this paragraph, of holders of Senior Debt in respect of cash, property, stock, or other securities received upon the exercise of such remedies.</w:t>
      </w:r>
    </w:p>
    <w:p>
      <w:pPr>
        <w:spacing w:after="0" w:line="182" w:lineRule="exact"/>
        <w:rPr>
          <w:sz w:val="20"/>
          <w:szCs w:val="20"/>
          <w:color w:val="auto"/>
        </w:rPr>
      </w:pPr>
    </w:p>
    <w:p>
      <w:pPr>
        <w:ind w:left="5" w:right="3019" w:firstLine="923"/>
        <w:spacing w:after="0" w:line="253" w:lineRule="auto"/>
        <w:rPr>
          <w:sz w:val="20"/>
          <w:szCs w:val="20"/>
          <w:color w:val="auto"/>
        </w:rPr>
      </w:pPr>
      <w:r>
        <w:rPr>
          <w:rFonts w:ascii="Courier New" w:cs="Courier New" w:eastAsia="Courier New" w:hAnsi="Courier New"/>
          <w:sz w:val="15"/>
          <w:szCs w:val="15"/>
          <w:color w:val="auto"/>
        </w:rPr>
        <w:t>This Note may be prepaid, at any time or from time to time, in whole or in part, without penalty, at the option of Maker.</w:t>
      </w:r>
    </w:p>
    <w:p>
      <w:pPr>
        <w:spacing w:after="0" w:line="174" w:lineRule="exact"/>
        <w:rPr>
          <w:sz w:val="20"/>
          <w:szCs w:val="20"/>
          <w:color w:val="auto"/>
        </w:rPr>
      </w:pPr>
    </w:p>
    <w:p>
      <w:pPr>
        <w:ind w:left="5" w:right="2939" w:firstLine="923"/>
        <w:spacing w:after="0" w:line="251" w:lineRule="auto"/>
        <w:rPr>
          <w:sz w:val="20"/>
          <w:szCs w:val="20"/>
          <w:color w:val="auto"/>
        </w:rPr>
      </w:pPr>
      <w:r>
        <w:rPr>
          <w:rFonts w:ascii="Courier New" w:cs="Courier New" w:eastAsia="Courier New" w:hAnsi="Courier New"/>
          <w:sz w:val="15"/>
          <w:szCs w:val="15"/>
          <w:color w:val="auto"/>
        </w:rPr>
        <w:t>Upon the happening of any Default of Maker, the entire unpaid balance of the amount owed by Maker under this Note, together with interest accrued thereon, shall become immediately due and payable. Each of the following shall constitute a "Default" of Maker:</w:t>
      </w:r>
    </w:p>
    <w:p>
      <w:pPr>
        <w:spacing w:after="0" w:line="176" w:lineRule="exact"/>
        <w:rPr>
          <w:sz w:val="20"/>
          <w:szCs w:val="20"/>
          <w:color w:val="auto"/>
        </w:rPr>
      </w:pPr>
    </w:p>
    <w:p>
      <w:pPr>
        <w:jc w:val="both"/>
        <w:ind w:left="925" w:right="2839" w:hanging="925"/>
        <w:spacing w:after="0" w:line="253" w:lineRule="auto"/>
        <w:tabs>
          <w:tab w:leader="none" w:pos="925"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Maker to make any payment of principal or interest when due hereunder or under any other promissory note issued by Maker to Payee;</w:t>
      </w:r>
    </w:p>
    <w:p>
      <w:pPr>
        <w:spacing w:after="0" w:line="174"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by Maker in the performance or observance of any covenant or agreement, or breach by Maker of any representation or warranty, contained (x) herein or in any other promissory note issued by Maker to Payee, in the Security Agreement or in the Pledge Agreement or in any prior Security Agreement or prior Pledge Agreement made by Maker in favor of Payee, or (y) in the Agreement and Plan of Merger, dated as of August 2, 1995, among</w:t>
      </w:r>
    </w:p>
    <w:p>
      <w:pPr>
        <w:spacing w:after="0" w:line="200" w:lineRule="exact"/>
        <w:rPr>
          <w:sz w:val="20"/>
          <w:szCs w:val="20"/>
          <w:color w:val="auto"/>
        </w:rPr>
      </w:pPr>
    </w:p>
    <w:p>
      <w:pPr>
        <w:spacing w:after="0" w:line="330"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650" w:right="1440" w:bottom="1440" w:gutter="0" w:footer="0" w:header="0"/>
        </w:sectPr>
      </w:pPr>
    </w:p>
    <w:bookmarkStart w:id="259" w:name="page260"/>
    <w:bookmarkEnd w:id="259"/>
    <w:p>
      <w:pPr>
        <w:ind w:left="925"/>
        <w:spacing w:after="0"/>
        <w:rPr>
          <w:sz w:val="20"/>
          <w:szCs w:val="20"/>
          <w:color w:val="auto"/>
        </w:rPr>
      </w:pPr>
      <w:r>
        <w:rPr>
          <w:rFonts w:ascii="Courier New" w:cs="Courier New" w:eastAsia="Courier New" w:hAnsi="Courier New"/>
          <w:sz w:val="15"/>
          <w:szCs w:val="15"/>
          <w:color w:val="auto"/>
        </w:rPr>
        <w:t>Maker, Payee and a subsidiary of Payee; provided that in the case of</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925" w:right="2839"/>
        <w:spacing w:after="0" w:line="251" w:lineRule="auto"/>
        <w:rPr>
          <w:sz w:val="20"/>
          <w:szCs w:val="20"/>
          <w:color w:val="auto"/>
        </w:rPr>
      </w:pPr>
      <w:r>
        <w:rPr>
          <w:rFonts w:ascii="Courier New" w:cs="Courier New" w:eastAsia="Courier New" w:hAnsi="Courier New"/>
          <w:sz w:val="15"/>
          <w:szCs w:val="15"/>
          <w:color w:val="auto"/>
        </w:rPr>
        <w:t>any default or breach under clause (y), if such default or breach is reasonably capable of cure by Maker, then such default or breach shall not be a Default hereunder unless such default or breach has not been cured by 12:00 noon, New York City time, on the tenth business day after written notice of such default or breach is provided by Holder to Maker in the manner specified below;</w:t>
      </w:r>
    </w:p>
    <w:p>
      <w:pPr>
        <w:spacing w:after="0" w:line="176" w:lineRule="exact"/>
        <w:rPr>
          <w:sz w:val="20"/>
          <w:szCs w:val="20"/>
          <w:color w:val="auto"/>
        </w:rPr>
      </w:pPr>
    </w:p>
    <w:p>
      <w:pPr>
        <w:ind w:left="925" w:right="3019" w:hanging="925"/>
        <w:spacing w:after="0" w:line="252" w:lineRule="auto"/>
        <w:tabs>
          <w:tab w:leader="none" w:pos="92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by Maker in respect of any obligation to pay principal under, or any acceleration of any right to payment under, any Senior Debt.</w:t>
      </w:r>
    </w:p>
    <w:p>
      <w:pPr>
        <w:spacing w:after="0" w:line="174" w:lineRule="exact"/>
        <w:rPr>
          <w:rFonts w:ascii="Courier New" w:cs="Courier New" w:eastAsia="Courier New" w:hAnsi="Courier New"/>
          <w:sz w:val="15"/>
          <w:szCs w:val="15"/>
          <w:color w:val="auto"/>
        </w:rPr>
      </w:pPr>
    </w:p>
    <w:p>
      <w:pPr>
        <w:ind w:left="925" w:right="3019" w:hanging="925"/>
        <w:spacing w:after="0" w:line="253" w:lineRule="auto"/>
        <w:tabs>
          <w:tab w:leader="none" w:pos="92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purporting to assign any of its obligations under this Note to any person or entity without the prior written consent of Holder;</w:t>
      </w:r>
    </w:p>
    <w:p>
      <w:pPr>
        <w:spacing w:after="0" w:line="174" w:lineRule="exact"/>
        <w:rPr>
          <w:rFonts w:ascii="Courier New" w:cs="Courier New" w:eastAsia="Courier New" w:hAnsi="Courier New"/>
          <w:sz w:val="15"/>
          <w:szCs w:val="15"/>
          <w:color w:val="auto"/>
        </w:rPr>
      </w:pPr>
    </w:p>
    <w:p>
      <w:pPr>
        <w:ind w:left="925" w:right="2839" w:hanging="925"/>
        <w:spacing w:after="0" w:line="250" w:lineRule="auto"/>
        <w:tabs>
          <w:tab w:leader="none" w:pos="92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Maker (a) admits in writing its inability generally to pay its debts as they become due; (b) files a petition commencing a voluntary case concerning it under any Chapter of Title 11 of the United States Code entitled "Bankruptcy" ("Title 11"); (c) petitions or applies to any tribunal for the appointment of any receiver, liquidator or trustee of or for it or any substantial part of its property or assets; or (d) commences any proceeding relating to it under any other bankruptcy, reorganization, arrangement, readjustment or debt, receivership, dissolution, liquidation or similar law or statute of any jurisdiction (domestic or foreign), whether now or hereafter in effect, or any other procedure for the relief of financially distressed debtors;</w:t>
      </w:r>
    </w:p>
    <w:p>
      <w:pPr>
        <w:spacing w:after="0" w:line="182" w:lineRule="exact"/>
        <w:rPr>
          <w:rFonts w:ascii="Courier New" w:cs="Courier New" w:eastAsia="Courier New" w:hAnsi="Courier New"/>
          <w:sz w:val="15"/>
          <w:szCs w:val="15"/>
          <w:color w:val="auto"/>
        </w:rPr>
      </w:pPr>
    </w:p>
    <w:p>
      <w:pPr>
        <w:ind w:left="925" w:right="3019" w:hanging="925"/>
        <w:spacing w:after="0" w:line="251" w:lineRule="auto"/>
        <w:tabs>
          <w:tab w:leader="none" w:pos="92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 involuntary case under Title 11 and an order for relief under Title 11 is entered or the petition is controverted but is not dismissed within 60 days after the commencement of the case; or</w:t>
      </w:r>
    </w:p>
    <w:p>
      <w:pPr>
        <w:spacing w:after="0" w:line="176" w:lineRule="exact"/>
        <w:rPr>
          <w:rFonts w:ascii="Courier New" w:cs="Courier New" w:eastAsia="Courier New" w:hAnsi="Courier New"/>
          <w:sz w:val="15"/>
          <w:szCs w:val="15"/>
          <w:color w:val="auto"/>
        </w:rPr>
      </w:pPr>
    </w:p>
    <w:p>
      <w:pPr>
        <w:ind w:left="925" w:right="2939" w:hanging="925"/>
        <w:spacing w:after="0" w:line="251" w:lineRule="auto"/>
        <w:tabs>
          <w:tab w:leader="none" w:pos="925"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against Maker of any proceeding under any other applicable federal or state bankruptcy, insolvency or other similar law seeking the appointment of a receiver, liquidator, assignee, trustee, sequestrator, agent or custodian (or other similar official) of it or any substantial part of its property, and relief against it is ordered in such proceeding or such proceeding remains undismissed for a period of 60 days or more.</w:t>
      </w: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1" w:right="1440" w:bottom="1440" w:gutter="0" w:footer="0" w:header="0"/>
        </w:sectPr>
      </w:pPr>
    </w:p>
    <w:bookmarkStart w:id="260" w:name="page261"/>
    <w:bookmarkEnd w:id="260"/>
    <w:p>
      <w:pPr>
        <w:ind w:right="2839" w:firstLine="923"/>
        <w:spacing w:after="0" w:line="251" w:lineRule="auto"/>
        <w:rPr>
          <w:sz w:val="20"/>
          <w:szCs w:val="20"/>
          <w:color w:val="auto"/>
        </w:rPr>
      </w:pPr>
      <w:r>
        <w:rPr>
          <w:rFonts w:ascii="Courier New" w:cs="Courier New" w:eastAsia="Courier New" w:hAnsi="Courier New"/>
          <w:sz w:val="15"/>
          <w:szCs w:val="15"/>
          <w:color w:val="auto"/>
        </w:rPr>
        <w:t>In the event an attorney at law or other agent is retained for collection of this Note after any Default of Maker, in addition to principal and interest, Holder shall be entitled to collect all reasonable costs of collection, including but not limited to, reasonable attorneys' fees and costs, incurred in connection with any of Holder's collection efforts, whether or not suit on this Note is filed, and all such costs and expenses shall be payable by Maker on demand and also shall be secured by all other collateral at any time held by Holder as security for Maker's obligations to Holder.</w:t>
      </w:r>
    </w:p>
    <w:p>
      <w:pPr>
        <w:spacing w:after="0" w:line="17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No failure on the part of Holder to exercise any right or remedy hereunder with respect to Maker, whether before or after the happening of a Default, shall constitute waiver of any future Default or any other Default. No failure to accelerate the debt of Maker evidenced hereby by reason of a Default or indulgence granted from time to time shall be construed to be a waiver of the right to insist upon prompt payment thereafter, or shall be deemed to be a novation of this Note or a reinstatement of the debt evidenced hereby or a waiver of such right of acceleration or any other right, or be construed so as to preclude the exercise of any right Holder may have, whether by the laws of the state governing this Note, by agreement or otherwise; and Maker hereby expressly waives the benefit of any statute or rule of law or equity that would produce a result contrary to or in conflict with the foregoing. This Note may not be modified orally, but only by an agreement in writing signed by the party against whom such agreement is sought to be enforced.</w:t>
      </w:r>
    </w:p>
    <w:p>
      <w:pPr>
        <w:spacing w:after="0" w:line="184"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Any notice provided to Maker hereunder shall be sent (and shall be deemed given on the date sent) by facsimile (and confirmed by mailing by first class mail) as follows:</w:t>
      </w:r>
    </w:p>
    <w:p>
      <w:pPr>
        <w:spacing w:after="0" w:line="17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Integrated Medical Systems, Inc.</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15000 West 6th Avenue, Suite 400</w:t>
      </w:r>
    </w:p>
    <w:p>
      <w:pPr>
        <w:spacing w:after="0" w:line="8" w:lineRule="exact"/>
        <w:rPr>
          <w:sz w:val="20"/>
          <w:szCs w:val="20"/>
          <w:color w:val="auto"/>
        </w:rPr>
      </w:pPr>
    </w:p>
    <w:p>
      <w:pPr>
        <w:ind w:left="920"/>
        <w:spacing w:after="0"/>
        <w:tabs>
          <w:tab w:leader="none" w:pos="2560" w:val="left"/>
        </w:tabs>
        <w:rPr>
          <w:sz w:val="20"/>
          <w:szCs w:val="20"/>
          <w:color w:val="auto"/>
        </w:rPr>
      </w:pPr>
      <w:r>
        <w:rPr>
          <w:rFonts w:ascii="Courier New" w:cs="Courier New" w:eastAsia="Courier New" w:hAnsi="Courier New"/>
          <w:sz w:val="15"/>
          <w:szCs w:val="15"/>
          <w:color w:val="auto"/>
        </w:rPr>
        <w:t>Golden, Colorado</w:t>
        <w:tab/>
        <w:t>80401</w:t>
      </w: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Fax No.: (303) 271-7998</w:t>
      </w:r>
    </w:p>
    <w:p>
      <w:pPr>
        <w:spacing w:after="0" w:line="362"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or to such other facsimile number and address as Maker shall provide in writing to Holder for purposes of notices hereunder.</w:t>
      </w:r>
    </w:p>
    <w:p>
      <w:pPr>
        <w:spacing w:after="0" w:line="174" w:lineRule="exact"/>
        <w:rPr>
          <w:sz w:val="20"/>
          <w:szCs w:val="20"/>
          <w:color w:val="auto"/>
        </w:rPr>
      </w:pPr>
    </w:p>
    <w:p>
      <w:pPr>
        <w:jc w:val="both"/>
        <w:ind w:right="3119" w:firstLine="923"/>
        <w:spacing w:after="0" w:line="252" w:lineRule="auto"/>
        <w:rPr>
          <w:sz w:val="20"/>
          <w:szCs w:val="20"/>
          <w:color w:val="auto"/>
        </w:rPr>
      </w:pPr>
      <w:r>
        <w:rPr>
          <w:rFonts w:ascii="Courier New" w:cs="Courier New" w:eastAsia="Courier New" w:hAnsi="Courier New"/>
          <w:sz w:val="15"/>
          <w:szCs w:val="15"/>
          <w:color w:val="auto"/>
        </w:rPr>
        <w:t>This Note is binding upon Maker's successors and permitted assigns, shall inure to the benefit of Holder, its successors and assigns and shall be governed by and construed in accordance with laws of the State of New York.</w:t>
      </w:r>
    </w:p>
    <w:p>
      <w:pPr>
        <w:spacing w:after="0" w:line="35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1" w:right="1440" w:bottom="1440" w:gutter="0" w:footer="0" w:header="0"/>
        </w:sectPr>
      </w:pPr>
    </w:p>
    <w:bookmarkStart w:id="261" w:name="page262"/>
    <w:bookmarkEnd w:id="261"/>
    <w:p>
      <w:pPr>
        <w:ind w:right="3219" w:firstLine="923"/>
        <w:spacing w:after="0" w:line="253" w:lineRule="auto"/>
        <w:rPr>
          <w:sz w:val="20"/>
          <w:szCs w:val="20"/>
          <w:color w:val="auto"/>
        </w:rPr>
      </w:pPr>
      <w:r>
        <w:rPr>
          <w:rFonts w:ascii="Courier New" w:cs="Courier New" w:eastAsia="Courier New" w:hAnsi="Courier New"/>
          <w:sz w:val="15"/>
          <w:szCs w:val="15"/>
          <w:color w:val="auto"/>
        </w:rPr>
        <w:t>IN WITNESS WHEREOF, Maker has executed this Note on the date first above written.</w:t>
      </w:r>
    </w:p>
    <w:p>
      <w:pPr>
        <w:spacing w:after="0" w:line="174"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INTEGRATED MEDICAL SYSTEMS, INC.</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Name:</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Title:</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3500" w:type="dxa"/>
            <w:vAlign w:val="bottom"/>
          </w:tcPr>
          <w:p>
            <w:pPr>
              <w:ind w:left="280"/>
              <w:spacing w:after="0"/>
              <w:rPr>
                <w:sz w:val="20"/>
                <w:szCs w:val="20"/>
                <w:color w:val="auto"/>
              </w:rPr>
            </w:pPr>
            <w:r>
              <w:rPr>
                <w:rFonts w:ascii="Courier New" w:cs="Courier New" w:eastAsia="Courier New" w:hAnsi="Courier New"/>
                <w:sz w:val="15"/>
                <w:szCs w:val="15"/>
                <w:color w:val="auto"/>
              </w:rPr>
              <w:t>Schedule 1</w:t>
            </w:r>
          </w:p>
        </w:tc>
      </w:tr>
      <w:tr>
        <w:trPr>
          <w:trHeight w:val="177"/>
        </w:trPr>
        <w:tc>
          <w:tcPr>
            <w:tcW w:w="2860" w:type="dxa"/>
            <w:vAlign w:val="bottom"/>
          </w:tcPr>
          <w:p>
            <w:pPr>
              <w:spacing w:after="0"/>
              <w:rPr>
                <w:sz w:val="15"/>
                <w:szCs w:val="15"/>
                <w:color w:val="auto"/>
              </w:rPr>
            </w:pPr>
          </w:p>
        </w:tc>
        <w:tc>
          <w:tcPr>
            <w:tcW w:w="3500" w:type="dxa"/>
            <w:vAlign w:val="bottom"/>
          </w:tcPr>
          <w:p>
            <w:pPr>
              <w:jc w:val="right"/>
              <w:ind w:right="2603"/>
              <w:spacing w:after="0"/>
              <w:rPr>
                <w:sz w:val="20"/>
                <w:szCs w:val="20"/>
                <w:color w:val="auto"/>
              </w:rPr>
            </w:pPr>
            <w:r>
              <w:rPr>
                <w:rFonts w:ascii="Courier New" w:cs="Courier New" w:eastAsia="Courier New" w:hAnsi="Courier New"/>
                <w:sz w:val="15"/>
                <w:szCs w:val="15"/>
                <w:color w:val="auto"/>
              </w:rPr>
              <w:t>to</w:t>
            </w:r>
          </w:p>
        </w:tc>
      </w:tr>
      <w:tr>
        <w:trPr>
          <w:trHeight w:val="177"/>
        </w:trPr>
        <w:tc>
          <w:tcPr>
            <w:tcW w:w="2860" w:type="dxa"/>
            <w:vAlign w:val="bottom"/>
          </w:tcPr>
          <w:p>
            <w:pPr>
              <w:spacing w:after="0"/>
              <w:rPr>
                <w:sz w:val="15"/>
                <w:szCs w:val="15"/>
                <w:color w:val="auto"/>
              </w:rPr>
            </w:pPr>
          </w:p>
        </w:tc>
        <w:tc>
          <w:tcPr>
            <w:tcW w:w="3500" w:type="dxa"/>
            <w:vAlign w:val="bottom"/>
          </w:tcPr>
          <w:p>
            <w:pPr>
              <w:jc w:val="right"/>
              <w:ind w:right="1943"/>
              <w:spacing w:after="0"/>
              <w:rPr>
                <w:sz w:val="20"/>
                <w:szCs w:val="20"/>
                <w:color w:val="auto"/>
              </w:rPr>
            </w:pPr>
            <w:r>
              <w:rPr>
                <w:rFonts w:ascii="Courier New" w:cs="Courier New" w:eastAsia="Courier New" w:hAnsi="Courier New"/>
                <w:sz w:val="15"/>
                <w:szCs w:val="15"/>
                <w:color w:val="auto"/>
              </w:rPr>
              <w:t>Promissory Note</w:t>
            </w:r>
          </w:p>
        </w:tc>
      </w:tr>
      <w:tr>
        <w:trPr>
          <w:trHeight w:val="355"/>
        </w:trPr>
        <w:tc>
          <w:tcPr>
            <w:tcW w:w="2860" w:type="dxa"/>
            <w:vAlign w:val="bottom"/>
          </w:tcPr>
          <w:p>
            <w:pPr>
              <w:spacing w:after="0"/>
              <w:rPr>
                <w:sz w:val="24"/>
                <w:szCs w:val="24"/>
                <w:color w:val="auto"/>
              </w:rPr>
            </w:pPr>
          </w:p>
        </w:tc>
        <w:tc>
          <w:tcPr>
            <w:tcW w:w="3500" w:type="dxa"/>
            <w:vAlign w:val="bottom"/>
          </w:tcPr>
          <w:p>
            <w:pPr>
              <w:ind w:left="280"/>
              <w:spacing w:after="0"/>
              <w:rPr>
                <w:sz w:val="20"/>
                <w:szCs w:val="20"/>
                <w:color w:val="auto"/>
              </w:rPr>
            </w:pPr>
            <w:r>
              <w:rPr>
                <w:rFonts w:ascii="Courier New" w:cs="Courier New" w:eastAsia="Courier New" w:hAnsi="Courier New"/>
                <w:sz w:val="15"/>
                <w:szCs w:val="15"/>
                <w:color w:val="auto"/>
              </w:rPr>
              <w:t>Senior Debt</w:t>
            </w:r>
          </w:p>
        </w:tc>
      </w:tr>
      <w:tr>
        <w:trPr>
          <w:trHeight w:val="177"/>
        </w:trPr>
        <w:tc>
          <w:tcPr>
            <w:tcW w:w="2860" w:type="dxa"/>
            <w:vAlign w:val="bottom"/>
          </w:tcPr>
          <w:p>
            <w:pPr>
              <w:spacing w:after="0"/>
              <w:rPr>
                <w:sz w:val="15"/>
                <w:szCs w:val="15"/>
                <w:color w:val="auto"/>
              </w:rPr>
            </w:pPr>
          </w:p>
        </w:tc>
        <w:tc>
          <w:tcPr>
            <w:tcW w:w="3500" w:type="dxa"/>
            <w:vAlign w:val="bottom"/>
          </w:tcPr>
          <w:p>
            <w:pPr>
              <w:jc w:val="right"/>
              <w:ind w:right="2143"/>
              <w:spacing w:after="0"/>
              <w:rPr>
                <w:sz w:val="20"/>
                <w:szCs w:val="20"/>
                <w:color w:val="auto"/>
              </w:rPr>
            </w:pPr>
            <w:r>
              <w:rPr>
                <w:rFonts w:ascii="Courier New" w:cs="Courier New" w:eastAsia="Courier New" w:hAnsi="Courier New"/>
                <w:sz w:val="15"/>
                <w:szCs w:val="15"/>
                <w:color w:val="auto"/>
              </w:rPr>
              <w:t>-----------</w:t>
            </w:r>
          </w:p>
        </w:tc>
      </w:tr>
      <w:tr>
        <w:trPr>
          <w:trHeight w:val="88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Creditor</w:t>
            </w:r>
          </w:p>
        </w:tc>
        <w:tc>
          <w:tcPr>
            <w:tcW w:w="35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Amount</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First National Bank of Wyoming</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Prime Leasing Corporation</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120,013</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CHCN Partners</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30,112</w:t>
            </w: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NEC/XEROX (Long Term Debt)</w:t>
            </w:r>
          </w:p>
        </w:tc>
        <w:tc>
          <w:tcPr>
            <w:tcW w:w="3500" w:type="dxa"/>
            <w:vAlign w:val="bottom"/>
          </w:tcPr>
          <w:p>
            <w:pPr>
              <w:jc w:val="right"/>
              <w:spacing w:after="0"/>
              <w:rPr>
                <w:sz w:val="20"/>
                <w:szCs w:val="20"/>
                <w:color w:val="auto"/>
              </w:rPr>
            </w:pPr>
            <w:r>
              <w:rPr>
                <w:rFonts w:ascii="Courier New" w:cs="Courier New" w:eastAsia="Courier New" w:hAnsi="Courier New"/>
                <w:sz w:val="15"/>
                <w:szCs w:val="15"/>
                <w:color w:val="auto"/>
              </w:rPr>
              <w:t>135,404</w:t>
            </w:r>
          </w:p>
        </w:tc>
      </w:tr>
      <w:tr>
        <w:trPr>
          <w:trHeight w:val="887"/>
        </w:trPr>
        <w:tc>
          <w:tcPr>
            <w:tcW w:w="2860" w:type="dxa"/>
            <w:vAlign w:val="bottom"/>
          </w:tcPr>
          <w:p>
            <w:pPr>
              <w:spacing w:after="0"/>
              <w:rPr>
                <w:sz w:val="24"/>
                <w:szCs w:val="24"/>
                <w:color w:val="auto"/>
              </w:rPr>
            </w:pPr>
          </w:p>
        </w:tc>
        <w:tc>
          <w:tcPr>
            <w:tcW w:w="3500" w:type="dxa"/>
            <w:vAlign w:val="bottom"/>
          </w:tcPr>
          <w:p>
            <w:pPr>
              <w:jc w:val="right"/>
              <w:ind w:right="2603"/>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19"/>
          </w:cols>
          <w:pgMar w:left="240" w:top="650" w:right="1440" w:bottom="1440" w:gutter="0" w:footer="0" w:header="0"/>
        </w:sectPr>
      </w:pPr>
    </w:p>
    <w:bookmarkStart w:id="263" w:name="page264"/>
    <w:bookmarkEnd w:id="263"/>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 (and to all references to our Firm) included in or made a part of this registration statement.</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Denver, Colorado,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25, 1995.</w:t>
      </w:r>
    </w:p>
    <w:p>
      <w:pPr>
        <w:spacing w:after="0" w:line="36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 Arthur Andersen LLP</w:t>
      </w:r>
    </w:p>
    <w:p>
      <w:pPr>
        <w:sectPr>
          <w:pgSz w:w="11900" w:h="16838" w:orient="portrait"/>
          <w:cols w:equalWidth="0" w:num="1">
            <w:col w:w="10219"/>
          </w:cols>
          <w:pgMar w:left="240" w:top="497" w:right="1440" w:bottom="1440" w:gutter="0" w:footer="0" w:header="0"/>
        </w:sectPr>
      </w:pPr>
    </w:p>
    <w:bookmarkStart w:id="264" w:name="page265"/>
    <w:bookmarkEnd w:id="264"/>
    <w:p>
      <w:pPr>
        <w:ind w:left="1480"/>
        <w:spacing w:after="0"/>
        <w:rPr>
          <w:sz w:val="20"/>
          <w:szCs w:val="20"/>
          <w:color w:val="auto"/>
        </w:rPr>
      </w:pPr>
      <w:r>
        <w:rPr>
          <w:rFonts w:ascii="Courier New" w:cs="Courier New" w:eastAsia="Courier New" w:hAnsi="Courier New"/>
          <w:sz w:val="15"/>
          <w:szCs w:val="15"/>
          <w:color w:val="auto"/>
        </w:rPr>
        <w:t>[LETTERHEAD OF ERNST &amp; YOUNG LLP APPEARS HERE]</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23.2</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We consent to the reference to our firm under the caption "Experts" and "Selected Consolidated Financial Data of Lilly" in the Registration Statement (Amendment No. 1 to Form S-4) and related Prospectus of Eli Lilly and Company and Integrated Medical Systems, Inc. (IMS) for the registration of 10,792,695 shares of Series D Preferred Stock of IMS, 2,000,000 shares of Series B Preferred Stock of IMS, 655,103 warrants to purchase Series D Preferred Stock of IMS, 2,380,457 Options to Purchase Series D Preferred Stock of IMS, 292,979 Options to Purchase Common Stock of Eli Lilly and Company, 292,979 shares of Eli Lilly and Company Common Stock, and 10,792,695 Put Rights for Series D Preferred Stock of IMS and to the incorporation by reference therein of our report dated February 8, 1995, with respect to the consolidated financial statements of Eli Lilly and Company incorporated by reference in its Annual Report (Form 10-K) for the year ended December 31, 1994, filed with the Securities and Exchange Commission.</w:t>
      </w:r>
    </w:p>
    <w:p>
      <w:pPr>
        <w:spacing w:after="0" w:line="200" w:lineRule="exact"/>
        <w:rPr>
          <w:sz w:val="20"/>
          <w:szCs w:val="20"/>
          <w:color w:val="auto"/>
        </w:rPr>
      </w:pPr>
    </w:p>
    <w:p>
      <w:pPr>
        <w:spacing w:after="0" w:line="33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26, 1995</w:t>
      </w:r>
    </w:p>
    <w:p>
      <w:pPr>
        <w:sectPr>
          <w:pgSz w:w="11900" w:h="16838" w:orient="portrait"/>
          <w:cols w:equalWidth="0" w:num="1">
            <w:col w:w="10219"/>
          </w:cols>
          <w:pgMar w:left="240" w:top="497" w:right="1440" w:bottom="1440" w:gutter="0" w:footer="0" w:header="0"/>
        </w:sectPr>
      </w:pPr>
    </w:p>
    <w:bookmarkStart w:id="265" w:name="page266"/>
    <w:bookmarkEnd w:id="265"/>
    <w:p>
      <w:pPr>
        <w:jc w:val="right"/>
        <w:ind w:right="2839"/>
        <w:spacing w:after="0"/>
        <w:rPr>
          <w:sz w:val="20"/>
          <w:szCs w:val="20"/>
          <w:color w:val="auto"/>
        </w:rPr>
      </w:pPr>
      <w:r>
        <w:rPr>
          <w:rFonts w:ascii="Courier New" w:cs="Courier New" w:eastAsia="Courier New" w:hAnsi="Courier New"/>
          <w:sz w:val="15"/>
          <w:szCs w:val="15"/>
          <w:color w:val="auto"/>
        </w:rPr>
        <w:t>Exhibit 23.3</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this Amendment No. 1 to Registration Statement No. 33-62613 of Eli Lilly and Company and Integrated Medical Systems, Inc. on Form S-4 of our report dated August 19, 1994, on the combined financial statements of PCS Group for each of the three years in the period ended March 31, 1994 appearing in the Current Report on Form 8-K/A dated November 29, 1994, of Eli Lilly and Company. We also consent to the reference to us under the heading "Experts" in the Prospectus, which is part of such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Phoenix, Arizona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25, 1995</w:t>
      </w:r>
    </w:p>
    <w:p>
      <w:pPr>
        <w:sectPr>
          <w:pgSz w:w="11900" w:h="16838" w:orient="portrait"/>
          <w:cols w:equalWidth="0" w:num="1">
            <w:col w:w="10219"/>
          </w:cols>
          <w:pgMar w:left="240" w:top="497" w:right="1440" w:bottom="1440" w:gutter="0" w:footer="0" w:header="0"/>
        </w:sectPr>
      </w:pPr>
    </w:p>
    <w:bookmarkStart w:id="266" w:name="page267"/>
    <w:bookmarkEnd w:id="266"/>
    <w:p>
      <w:pPr>
        <w:jc w:val="right"/>
        <w:ind w:right="2839"/>
        <w:spacing w:after="0"/>
        <w:rPr>
          <w:sz w:val="20"/>
          <w:szCs w:val="20"/>
          <w:color w:val="auto"/>
        </w:rPr>
      </w:pPr>
      <w:r>
        <w:rPr>
          <w:rFonts w:ascii="Courier New" w:cs="Courier New" w:eastAsia="Courier New" w:hAnsi="Courier New"/>
          <w:sz w:val="15"/>
          <w:szCs w:val="15"/>
          <w:color w:val="auto"/>
        </w:rPr>
        <w:t>EXHIBIT 23.7</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CONSENT OF SMITH BARNEY INC.</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We hereby consent to the inclusion of our opinion in the Proxy Statement-Prospectus included in the Joint Registration Statement of Eli Lilly and Company and Integrated Medical Systems, Inc. and to all references to our name under the captions "Summary - The Merger - Opinion of Financial Adviser" and "Special Factors to be Considered - Opinion of Financial Advisor" therein. In giving such consent, we do not thereby admit that we come within the category of persons whose consent is required under Section 7 of the Securities Act of 1933 or the rules and regulations adopted by the Securities and Exchange Commission thereunder.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Smith Barney Inc.</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25, 1995</w:t>
      </w:r>
    </w:p>
    <w:sectPr>
      <w:pgSz w:w="11900" w:h="16838" w:orient="portrait"/>
      <w:cols w:equalWidth="0" w:num="1">
        <w:col w:w="10219"/>
      </w:cols>
      <w:pgMar w:left="240" w:top="4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F72E4E"/>
    <w:multiLevelType w:val="hybridMultilevel"/>
    <w:lvl w:ilvl="0">
      <w:lvlJc w:val="left"/>
      <w:lvlText w:val="-"/>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lowerLetter"/>
      <w:start w:val="1"/>
    </w:lvl>
  </w:abstractNum>
  <w:abstractNum w:abstractNumId="3">
    <w:nsid w:val="2A082C70"/>
    <w:multiLevelType w:val="hybridMultilevel"/>
    <w:lvl w:ilvl="0">
      <w:lvlJc w:val="left"/>
      <w:lvlText w:val="%1."/>
      <w:numFmt w:val="decimal"/>
      <w:start w:val="1"/>
    </w:lvl>
  </w:abstractNum>
  <w:abstractNum w:abstractNumId="4">
    <w:nsid w:val="5EC6AFD4"/>
    <w:multiLevelType w:val="hybridMultilevel"/>
    <w:lvl w:ilvl="0">
      <w:lvlJc w:val="left"/>
      <w:lvlText w:val="(%1)"/>
      <w:numFmt w:val="decimal"/>
      <w:start w:val="2"/>
    </w:lvl>
  </w:abstractNum>
  <w:abstractNum w:abstractNumId="5">
    <w:nsid w:val="19E21BB2"/>
    <w:multiLevelType w:val="hybridMultilevel"/>
    <w:lvl w:ilvl="0">
      <w:lvlJc w:val="left"/>
      <w:lvlText w:val="(%1)"/>
      <w:numFmt w:val="lowerRoman"/>
      <w:start w:val="2"/>
    </w:lvl>
  </w:abstractNum>
  <w:abstractNum w:abstractNumId="6">
    <w:nsid w:val="75E0858A"/>
    <w:multiLevelType w:val="hybridMultilevel"/>
    <w:lvl w:ilvl="0">
      <w:lvlJc w:val="left"/>
      <w:lvlText w:val="(%1)"/>
      <w:numFmt w:val="decimal"/>
      <w:start w:val="1"/>
    </w:lvl>
  </w:abstractNum>
  <w:abstractNum w:abstractNumId="7">
    <w:nsid w:val="57A61A29"/>
    <w:multiLevelType w:val="hybridMultilevel"/>
    <w:lvl w:ilvl="0">
      <w:lvlJc w:val="left"/>
      <w:lvlText w:val="(%1)"/>
      <w:numFmt w:val="decimal"/>
      <w:start w:val="2"/>
    </w:lvl>
  </w:abstractNum>
  <w:abstractNum w:abstractNumId="8">
    <w:nsid w:val="5399C654"/>
    <w:multiLevelType w:val="hybridMultilevel"/>
    <w:lvl w:ilvl="0">
      <w:lvlJc w:val="left"/>
      <w:lvlText w:val="(%1)"/>
      <w:numFmt w:val="lowerRoman"/>
      <w:start w:val="3"/>
    </w:lvl>
  </w:abstractNum>
  <w:abstractNum w:abstractNumId="9">
    <w:nsid w:val="20EE1348"/>
    <w:multiLevelType w:val="hybridMultilevel"/>
    <w:lvl w:ilvl="0">
      <w:lvlJc w:val="left"/>
      <w:lvlText w:val="(%1)"/>
      <w:numFmt w:val="decimal"/>
      <w:start w:val="3"/>
    </w:lvl>
  </w:abstractNum>
  <w:abstractNum w:abstractNumId="10">
    <w:nsid w:val="4427069A"/>
    <w:multiLevelType w:val="hybridMultilevel"/>
    <w:lvl w:ilvl="0">
      <w:lvlJc w:val="left"/>
      <w:lvlText w:val="(%1)"/>
      <w:numFmt w:val="lowerLetter"/>
      <w:start w:val="1"/>
    </w:lvl>
  </w:abstractNum>
  <w:abstractNum w:abstractNumId="11">
    <w:nsid w:val="B37E80A"/>
    <w:multiLevelType w:val="hybridMultilevel"/>
    <w:lvl w:ilvl="0">
      <w:lvlJc w:val="left"/>
      <w:lvlText w:val="(%1)"/>
      <w:numFmt w:val="lowerLetter"/>
      <w:start w:val="1"/>
    </w:lvl>
  </w:abstractNum>
  <w:abstractNum w:abstractNumId="12">
    <w:nsid w:val="2157F6BC"/>
    <w:multiLevelType w:val="hybridMultilevel"/>
    <w:lvl w:ilvl="0">
      <w:lvlJc w:val="left"/>
      <w:lvlText w:val="(%1)"/>
      <w:numFmt w:val="decimal"/>
      <w:start w:val="5"/>
    </w:lvl>
  </w:abstractNum>
  <w:abstractNum w:abstractNumId="13">
    <w:nsid w:val="704E1DD5"/>
    <w:multiLevelType w:val="hybridMultilevel"/>
    <w:lvl w:ilvl="0">
      <w:lvlJc w:val="left"/>
      <w:lvlText w:val="(%1)"/>
      <w:numFmt w:val="lowerRoman"/>
      <w:start w:val="1"/>
    </w:lvl>
  </w:abstractNum>
  <w:abstractNum w:abstractNumId="14">
    <w:nsid w:val="57D2F10E"/>
    <w:multiLevelType w:val="hybridMultilevel"/>
    <w:lvl w:ilvl="0">
      <w:lvlJc w:val="left"/>
      <w:lvlText w:val="(%1)"/>
      <w:numFmt w:val="lowerRoman"/>
      <w:start w:val="3"/>
    </w:lvl>
  </w:abstractNum>
  <w:abstractNum w:abstractNumId="15">
    <w:nsid w:val="BFFAE18"/>
    <w:multiLevelType w:val="hybridMultilevel"/>
    <w:lvl w:ilvl="0">
      <w:lvlJc w:val="left"/>
      <w:lvlText w:val="(%1)"/>
      <w:numFmt w:val="lowerRoman"/>
      <w:start w:val="13"/>
    </w:lvl>
  </w:abstractNum>
  <w:abstractNum w:abstractNumId="16">
    <w:nsid w:val="E3E47A8"/>
    <w:multiLevelType w:val="hybridMultilevel"/>
    <w:lvl w:ilvl="0">
      <w:lvlJc w:val="left"/>
      <w:lvlText w:val="(%1)"/>
      <w:numFmt w:val="lowerRoman"/>
      <w:start w:val="15"/>
    </w:lvl>
  </w:abstractNum>
  <w:abstractNum w:abstractNumId="17">
    <w:nsid w:val="2E48F044"/>
    <w:multiLevelType w:val="hybridMultilevel"/>
    <w:lvl w:ilvl="0">
      <w:lvlJc w:val="left"/>
      <w:lvlText w:val="(%1)"/>
      <w:numFmt w:val="lowerRoman"/>
      <w:start w:val="19"/>
    </w:lvl>
  </w:abstractNum>
  <w:abstractNum w:abstractNumId="18">
    <w:nsid w:val="49D0FEAC"/>
    <w:multiLevelType w:val="hybridMultilevel"/>
    <w:lvl w:ilvl="0">
      <w:lvlJc w:val="left"/>
      <w:lvlText w:val="(%1)"/>
      <w:numFmt w:val="lowerRoman"/>
      <w:start w:val="21"/>
    </w:lvl>
  </w:abstractNum>
  <w:abstractNum w:abstractNumId="19">
    <w:nsid w:val="4BEE5A5B"/>
    <w:multiLevelType w:val="hybridMultilevel"/>
    <w:lvl w:ilvl="0">
      <w:lvlJc w:val="left"/>
      <w:lvlText w:val="(%1)"/>
      <w:numFmt w:val="lowerLetter"/>
      <w:start w:val="2"/>
    </w:lvl>
  </w:abstractNum>
  <w:abstractNum w:abstractNumId="20">
    <w:nsid w:val="5551B9F3"/>
    <w:multiLevelType w:val="hybridMultilevel"/>
    <w:lvl w:ilvl="0">
      <w:lvlJc w:val="left"/>
      <w:lvlText w:val="(%1)"/>
      <w:numFmt w:val="lowerRoman"/>
      <w:start w:val="1"/>
    </w:lvl>
  </w:abstractNum>
  <w:abstractNum w:abstractNumId="21">
    <w:nsid w:val="24F6AB8E"/>
    <w:multiLevelType w:val="hybridMultilevel"/>
    <w:lvl w:ilvl="0">
      <w:lvlJc w:val="left"/>
      <w:lvlText w:val="(%1)"/>
      <w:numFmt w:val="lowerRoman"/>
      <w:start w:val="2"/>
    </w:lvl>
  </w:abstractNum>
  <w:abstractNum w:abstractNumId="22">
    <w:nsid w:val="634C574C"/>
    <w:multiLevelType w:val="hybridMultilevel"/>
    <w:lvl w:ilvl="0">
      <w:lvlJc w:val="left"/>
      <w:lvlText w:val="--"/>
      <w:numFmt w:val="bullet"/>
      <w:start w:val="1"/>
    </w:lvl>
  </w:abstractNum>
  <w:abstractNum w:abstractNumId="23">
    <w:nsid w:val="24E99DD7"/>
    <w:multiLevelType w:val="hybridMultilevel"/>
    <w:lvl w:ilvl="0">
      <w:lvlJc w:val="left"/>
      <w:lvlText w:val="--"/>
      <w:numFmt w:val="bullet"/>
      <w:start w:val="1"/>
    </w:lvl>
  </w:abstractNum>
  <w:abstractNum w:abstractNumId="24">
    <w:nsid w:val="2A31B62D"/>
    <w:multiLevelType w:val="hybridMultilevel"/>
    <w:lvl w:ilvl="0">
      <w:lvlJc w:val="left"/>
      <w:lvlText w:val="(%1)"/>
      <w:numFmt w:val="decimal"/>
      <w:start w:val="1"/>
    </w:lvl>
  </w:abstractNum>
  <w:abstractNum w:abstractNumId="25">
    <w:nsid w:val="1849C29B"/>
    <w:multiLevelType w:val="hybridMultilevel"/>
    <w:lvl w:ilvl="0">
      <w:lvlJc w:val="left"/>
      <w:lvlText w:val="(%1)"/>
      <w:numFmt w:val="decimal"/>
      <w:start w:val="2"/>
    </w:lvl>
  </w:abstractNum>
  <w:abstractNum w:abstractNumId="26">
    <w:nsid w:val="7DFF9D09"/>
    <w:multiLevelType w:val="hybridMultilevel"/>
    <w:lvl w:ilvl="0">
      <w:lvlJc w:val="left"/>
      <w:lvlText w:val="(%1)"/>
      <w:numFmt w:val="decimal"/>
      <w:start w:val="1"/>
    </w:lvl>
  </w:abstractNum>
  <w:abstractNum w:abstractNumId="27">
    <w:nsid w:val="754342"/>
    <w:multiLevelType w:val="hybridMultilevel"/>
    <w:lvl w:ilvl="0">
      <w:lvlJc w:val="left"/>
      <w:lvlText w:val="(%1)"/>
      <w:numFmt w:val="decimal"/>
      <w:start w:val="4"/>
    </w:lvl>
  </w:abstractNum>
  <w:abstractNum w:abstractNumId="28">
    <w:nsid w:val="69E7F3E5"/>
    <w:multiLevelType w:val="hybridMultilevel"/>
    <w:lvl w:ilvl="0">
      <w:lvlJc w:val="left"/>
      <w:lvlText w:val="(%1)"/>
      <w:numFmt w:val="decimal"/>
      <w:start w:val="1"/>
    </w:lvl>
  </w:abstractNum>
  <w:abstractNum w:abstractNumId="29">
    <w:nsid w:val="2A6DE806"/>
    <w:multiLevelType w:val="hybridMultilevel"/>
    <w:lvl w:ilvl="0">
      <w:lvlJc w:val="left"/>
      <w:lvlText w:val="(%1)"/>
      <w:numFmt w:val="decimal"/>
      <w:start w:val="1"/>
    </w:lvl>
  </w:abstractNum>
  <w:abstractNum w:abstractNumId="30">
    <w:nsid w:val="1816F8C4"/>
    <w:multiLevelType w:val="hybridMultilevel"/>
    <w:lvl w:ilvl="0">
      <w:lvlJc w:val="left"/>
      <w:lvlText w:val="."/>
      <w:numFmt w:val="bullet"/>
      <w:start w:val="1"/>
    </w:lvl>
  </w:abstractNum>
  <w:abstractNum w:abstractNumId="31">
    <w:nsid w:val="37DF2233"/>
    <w:multiLevelType w:val="hybridMultilevel"/>
    <w:lvl w:ilvl="0">
      <w:lvlJc w:val="left"/>
      <w:lvlText w:val="."/>
      <w:numFmt w:val="bullet"/>
      <w:start w:val="1"/>
    </w:lvl>
  </w:abstractNum>
  <w:abstractNum w:abstractNumId="32">
    <w:nsid w:val="7AB49DAF"/>
    <w:multiLevelType w:val="hybridMultilevel"/>
    <w:lvl w:ilvl="0">
      <w:lvlJc w:val="left"/>
      <w:lvlText w:val="."/>
      <w:numFmt w:val="bullet"/>
      <w:start w:val="1"/>
    </w:lvl>
  </w:abstractNum>
  <w:abstractNum w:abstractNumId="33">
    <w:nsid w:val="759F82CD"/>
    <w:multiLevelType w:val="hybridMultilevel"/>
    <w:lvl w:ilvl="0">
      <w:lvlJc w:val="left"/>
      <w:lvlText w:val="."/>
      <w:numFmt w:val="bullet"/>
      <w:start w:val="1"/>
    </w:lvl>
  </w:abstractNum>
  <w:abstractNum w:abstractNumId="34">
    <w:nsid w:val="61E74EA3"/>
    <w:multiLevelType w:val="hybridMultilevel"/>
    <w:lvl w:ilvl="0">
      <w:lvlJc w:val="left"/>
      <w:lvlText w:val="."/>
      <w:numFmt w:val="bullet"/>
      <w:start w:val="1"/>
    </w:lvl>
  </w:abstractNum>
  <w:abstractNum w:abstractNumId="35">
    <w:nsid w:val="597B4D84"/>
    <w:multiLevelType w:val="hybridMultilevel"/>
    <w:lvl w:ilvl="0">
      <w:lvlJc w:val="left"/>
      <w:lvlText w:val="."/>
      <w:numFmt w:val="bullet"/>
      <w:start w:val="1"/>
    </w:lvl>
  </w:abstractNum>
  <w:abstractNum w:abstractNumId="36">
    <w:nsid w:val="F819E7F"/>
    <w:multiLevelType w:val="hybridMultilevel"/>
    <w:lvl w:ilvl="0">
      <w:lvlJc w:val="left"/>
      <w:lvlText w:val="."/>
      <w:numFmt w:val="bullet"/>
      <w:start w:val="1"/>
    </w:lvl>
  </w:abstractNum>
  <w:abstractNum w:abstractNumId="37">
    <w:nsid w:val="57C7D42D"/>
    <w:multiLevelType w:val="hybridMultilevel"/>
    <w:lvl w:ilvl="0">
      <w:lvlJc w:val="left"/>
      <w:lvlText w:val="(%1)"/>
      <w:numFmt w:val="decimal"/>
      <w:start w:val="1"/>
    </w:lvl>
  </w:abstractNum>
  <w:abstractNum w:abstractNumId="38">
    <w:nsid w:val="312167AD"/>
    <w:multiLevelType w:val="hybridMultilevel"/>
    <w:lvl w:ilvl="0">
      <w:lvlJc w:val="left"/>
      <w:lvlText w:val="-"/>
      <w:numFmt w:val="bullet"/>
      <w:start w:val="1"/>
    </w:lvl>
    <w:lvl w:ilvl="1">
      <w:lvlJc w:val="left"/>
      <w:lvlText w:val="*"/>
      <w:numFmt w:val="bullet"/>
      <w:start w:val="1"/>
    </w:lvl>
  </w:abstractNum>
  <w:abstractNum w:abstractNumId="39">
    <w:nsid w:val="631B64D4"/>
    <w:multiLevelType w:val="hybridMultilevel"/>
    <w:lvl w:ilvl="0">
      <w:lvlJc w:val="left"/>
      <w:lvlText w:val="-"/>
      <w:numFmt w:val="bullet"/>
      <w:start w:val="1"/>
    </w:lvl>
    <w:lvl w:ilvl="1">
      <w:lvlJc w:val="left"/>
      <w:lvlText w:val="**"/>
      <w:numFmt w:val="bullet"/>
      <w:start w:val="1"/>
    </w:lvl>
  </w:abstractNum>
  <w:abstractNum w:abstractNumId="40">
    <w:nsid w:val="78B5E776"/>
    <w:multiLevelType w:val="hybridMultilevel"/>
    <w:lvl w:ilvl="0">
      <w:lvlJc w:val="left"/>
      <w:lvlText w:val="-"/>
      <w:numFmt w:val="bullet"/>
      <w:start w:val="1"/>
    </w:lvl>
    <w:lvl w:ilvl="1">
      <w:lvlJc w:val="left"/>
      <w:lvlText w:val="***"/>
      <w:numFmt w:val="bullet"/>
      <w:start w:val="1"/>
    </w:lvl>
  </w:abstractNum>
  <w:abstractNum w:abstractNumId="41">
    <w:nsid w:val="75486E47"/>
    <w:multiLevelType w:val="hybridMultilevel"/>
    <w:lvl w:ilvl="0">
      <w:lvlJc w:val="left"/>
      <w:lvlText w:val="-"/>
      <w:numFmt w:val="bullet"/>
      <w:start w:val="1"/>
    </w:lvl>
    <w:lvl w:ilvl="1">
      <w:lvlJc w:val="left"/>
      <w:lvlText w:val="****"/>
      <w:numFmt w:val="bullet"/>
      <w:start w:val="1"/>
    </w:lvl>
  </w:abstractNum>
  <w:abstractNum w:abstractNumId="42">
    <w:nsid w:val="6E534CDE"/>
    <w:multiLevelType w:val="hybridMultilevel"/>
    <w:lvl w:ilvl="0">
      <w:lvlJc w:val="left"/>
      <w:lvlText w:val="(%1)"/>
      <w:numFmt w:val="decimal"/>
      <w:start w:val="1"/>
    </w:lvl>
  </w:abstractNum>
  <w:abstractNum w:abstractNumId="43">
    <w:nsid w:val="1A0DDE32"/>
    <w:multiLevelType w:val="hybridMultilevel"/>
    <w:lvl w:ilvl="0">
      <w:lvlJc w:val="left"/>
      <w:lvlText w:val="(%1)"/>
      <w:numFmt w:val="decimal"/>
      <w:start w:val="4"/>
    </w:lvl>
  </w:abstractNum>
  <w:abstractNum w:abstractNumId="44">
    <w:nsid w:val="65968C1C"/>
    <w:multiLevelType w:val="hybridMultilevel"/>
    <w:lvl w:ilvl="0">
      <w:lvlJc w:val="left"/>
      <w:lvlText w:val="(%1)"/>
      <w:numFmt w:val="decimal"/>
      <w:start w:val="1"/>
    </w:lvl>
  </w:abstractNum>
  <w:abstractNum w:abstractNumId="45">
    <w:nsid w:val="46263DEC"/>
    <w:multiLevelType w:val="hybridMultilevel"/>
    <w:lvl w:ilvl="0">
      <w:lvlJc w:val="left"/>
      <w:lvlText w:val="----"/>
      <w:numFmt w:val="bullet"/>
      <w:start w:val="1"/>
    </w:lvl>
  </w:abstractNum>
  <w:abstractNum w:abstractNumId="46">
    <w:nsid w:val="260D8C4A"/>
    <w:multiLevelType w:val="hybridMultilevel"/>
    <w:lvl w:ilvl="0">
      <w:lvlJc w:val="left"/>
      <w:lvlText w:val="(%1)"/>
      <w:numFmt w:val="decimal"/>
      <w:start w:val="1"/>
    </w:lvl>
  </w:abstractNum>
  <w:abstractNum w:abstractNumId="47">
    <w:nsid w:val="73D4D3C4"/>
    <w:multiLevelType w:val="hybridMultilevel"/>
    <w:lvl w:ilvl="0">
      <w:lvlJc w:val="left"/>
      <w:lvlText w:val="----"/>
      <w:numFmt w:val="bullet"/>
      <w:start w:val="1"/>
    </w:lvl>
  </w:abstractNum>
  <w:abstractNum w:abstractNumId="48">
    <w:nsid w:val="746F2E30"/>
    <w:multiLevelType w:val="hybridMultilevel"/>
    <w:lvl w:ilvl="0">
      <w:lvlJc w:val="left"/>
      <w:lvlText w:val="-"/>
      <w:numFmt w:val="bullet"/>
      <w:start w:val="1"/>
    </w:lvl>
    <w:lvl w:ilvl="1">
      <w:lvlJc w:val="left"/>
      <w:lvlText w:val="*"/>
      <w:numFmt w:val="bullet"/>
      <w:start w:val="1"/>
    </w:lvl>
  </w:abstractNum>
  <w:abstractNum w:abstractNumId="49">
    <w:nsid w:val="6FDE8AF6"/>
    <w:multiLevelType w:val="hybridMultilevel"/>
    <w:lvl w:ilvl="0">
      <w:lvlJc w:val="left"/>
      <w:lvlText w:val="(%1)"/>
      <w:numFmt w:val="decimal"/>
      <w:start w:val="1"/>
    </w:lvl>
  </w:abstractNum>
  <w:abstractNum w:abstractNumId="50">
    <w:nsid w:val="3FC32E20"/>
    <w:multiLevelType w:val="hybridMultilevel"/>
    <w:lvl w:ilvl="0">
      <w:lvlJc w:val="left"/>
      <w:lvlText w:val="(%1)"/>
      <w:numFmt w:val="lowerRoman"/>
      <w:start w:val="3"/>
    </w:lvl>
  </w:abstractNum>
  <w:abstractNum w:abstractNumId="51">
    <w:nsid w:val="49C0E823"/>
    <w:multiLevelType w:val="hybridMultilevel"/>
    <w:lvl w:ilvl="0">
      <w:lvlJc w:val="left"/>
      <w:lvlText w:val="%1."/>
      <w:numFmt w:val="decimal"/>
      <w:start w:val="1"/>
    </w:lvl>
  </w:abstractNum>
  <w:abstractNum w:abstractNumId="52">
    <w:nsid w:val="14D53685"/>
    <w:multiLevelType w:val="hybridMultilevel"/>
    <w:lvl w:ilvl="0">
      <w:lvlJc w:val="left"/>
      <w:lvlText w:val="(%1)"/>
      <w:numFmt w:val="decimal"/>
      <w:start w:val="1"/>
    </w:lvl>
  </w:abstractNum>
  <w:abstractNum w:abstractNumId="53">
    <w:nsid w:val="230F856C"/>
    <w:multiLevelType w:val="hybridMultilevel"/>
    <w:lvl w:ilvl="0">
      <w:lvlJc w:val="left"/>
      <w:lvlText w:val="(%1)"/>
      <w:numFmt w:val="decimal"/>
      <w:start w:val="2"/>
    </w:lvl>
  </w:abstractNum>
  <w:abstractNum w:abstractNumId="54">
    <w:nsid w:val="6EAA85FB"/>
    <w:multiLevelType w:val="hybridMultilevel"/>
    <w:lvl w:ilvl="0">
      <w:lvlJc w:val="left"/>
      <w:lvlText w:val="(%1)"/>
      <w:numFmt w:val="upperLetter"/>
      <w:start w:val="1"/>
    </w:lvl>
  </w:abstractNum>
  <w:abstractNum w:abstractNumId="55">
    <w:nsid w:val="3F06ECB2"/>
    <w:multiLevelType w:val="hybridMultilevel"/>
    <w:lvl w:ilvl="0">
      <w:lvlJc w:val="left"/>
      <w:lvlText w:val="%1."/>
      <w:numFmt w:val="decimal"/>
      <w:start w:val="109"/>
    </w:lvl>
  </w:abstractNum>
  <w:abstractNum w:abstractNumId="56">
    <w:nsid w:val="3B594807"/>
    <w:multiLevelType w:val="hybridMultilevel"/>
    <w:lvl w:ilvl="0">
      <w:lvlJc w:val="left"/>
      <w:lvlText w:val="(%1)"/>
      <w:numFmt w:val="decimal"/>
      <w:start w:val="6"/>
    </w:lvl>
  </w:abstractNum>
  <w:abstractNum w:abstractNumId="57">
    <w:nsid w:val="6CAA2304"/>
    <w:multiLevelType w:val="hybridMultilevel"/>
    <w:lvl w:ilvl="0">
      <w:lvlJc w:val="left"/>
      <w:lvlText w:val="(%1)"/>
      <w:numFmt w:val="decimal"/>
      <w:start w:val="8"/>
    </w:lvl>
  </w:abstractNum>
  <w:abstractNum w:abstractNumId="58">
    <w:nsid w:val="3F7C2FF4"/>
    <w:multiLevelType w:val="hybridMultilevel"/>
    <w:lvl w:ilvl="0">
      <w:lvlJc w:val="left"/>
      <w:lvlText w:val="(%1)"/>
      <w:numFmt w:val="lowerLetter"/>
      <w:start w:val="2"/>
    </w:lvl>
    <w:lvl w:ilvl="1">
      <w:lvlJc w:val="left"/>
      <w:lvlText w:val="(%2)"/>
      <w:numFmt w:val="lowerRoman"/>
      <w:start w:val="1"/>
    </w:lvl>
  </w:abstractNum>
  <w:abstractNum w:abstractNumId="59">
    <w:nsid w:val="25413BEC"/>
    <w:multiLevelType w:val="hybridMultilevel"/>
    <w:lvl w:ilvl="0">
      <w:lvlJc w:val="left"/>
      <w:lvlText w:val="(%1)"/>
      <w:numFmt w:val="lowerRoman"/>
      <w:start w:val="4"/>
    </w:lvl>
  </w:abstractNum>
  <w:abstractNum w:abstractNumId="60">
    <w:nsid w:val="17180B0B"/>
    <w:multiLevelType w:val="hybridMultilevel"/>
    <w:lvl w:ilvl="0">
      <w:lvlJc w:val="left"/>
      <w:lvlText w:val="%1."/>
      <w:numFmt w:val="decimal"/>
      <w:start w:val="1"/>
    </w:lvl>
  </w:abstractNum>
  <w:abstractNum w:abstractNumId="61">
    <w:nsid w:val="579328B9"/>
    <w:multiLevelType w:val="hybridMultilevel"/>
    <w:lvl w:ilvl="0">
      <w:lvlJc w:val="left"/>
      <w:lvlText w:val="%1."/>
      <w:numFmt w:val="decimal"/>
      <w:start w:val="7"/>
    </w:lvl>
  </w:abstractNum>
  <w:abstractNum w:abstractNumId="62">
    <w:nsid w:val="5D205E20"/>
    <w:multiLevelType w:val="hybridMultilevel"/>
    <w:lvl w:ilvl="0">
      <w:lvlJc w:val="left"/>
      <w:lvlText w:val="%1."/>
      <w:numFmt w:val="decimal"/>
      <w:start w:val="8"/>
    </w:lvl>
  </w:abstractNum>
  <w:abstractNum w:abstractNumId="63">
    <w:nsid w:val="11CCA8BA"/>
    <w:multiLevelType w:val="hybridMultilevel"/>
    <w:lvl w:ilvl="0">
      <w:lvlJc w:val="left"/>
      <w:lvlText w:val="%1."/>
      <w:numFmt w:val="decimal"/>
      <w:start w:val="1"/>
    </w:lvl>
  </w:abstractNum>
  <w:abstractNum w:abstractNumId="64">
    <w:nsid w:val="4D32AB86"/>
    <w:multiLevelType w:val="hybridMultilevel"/>
    <w:lvl w:ilvl="0">
      <w:lvlJc w:val="left"/>
      <w:lvlText w:val="%1."/>
      <w:numFmt w:val="decimal"/>
      <w:start w:val="2"/>
    </w:lvl>
  </w:abstractNum>
  <w:abstractNum w:abstractNumId="65">
    <w:nsid w:val="3F07ACC3"/>
    <w:multiLevelType w:val="hybridMultilevel"/>
    <w:lvl w:ilvl="0">
      <w:lvlJc w:val="left"/>
      <w:lvlText w:val="(%1)"/>
      <w:numFmt w:val="lowerLetter"/>
      <w:start w:val="2"/>
    </w:lvl>
  </w:abstractNum>
  <w:abstractNum w:abstractNumId="66">
    <w:nsid w:val="6B47F63E"/>
    <w:multiLevelType w:val="hybridMultilevel"/>
    <w:lvl w:ilvl="0">
      <w:lvlJc w:val="left"/>
      <w:lvlText w:val="(%1)"/>
      <w:numFmt w:val="lowerLetter"/>
      <w:start w:val="5"/>
    </w:lvl>
  </w:abstractNum>
  <w:abstractNum w:abstractNumId="67">
    <w:nsid w:val="5CB44A05"/>
    <w:multiLevelType w:val="hybridMultilevel"/>
    <w:lvl w:ilvl="0">
      <w:lvlJc w:val="left"/>
      <w:lvlText w:val="%1."/>
      <w:numFmt w:val="decimal"/>
      <w:start w:val="4"/>
    </w:lvl>
  </w:abstractNum>
  <w:abstractNum w:abstractNumId="68">
    <w:nsid w:val="16CF80F1"/>
    <w:multiLevelType w:val="hybridMultilevel"/>
    <w:lvl w:ilvl="0">
      <w:lvlJc w:val="left"/>
      <w:lvlText w:val="(%1)"/>
      <w:numFmt w:val="lowerLetter"/>
      <w:start w:val="2"/>
    </w:lvl>
  </w:abstractNum>
  <w:abstractNum w:abstractNumId="69">
    <w:nsid w:val="1C695DEC"/>
    <w:multiLevelType w:val="hybridMultilevel"/>
    <w:lvl w:ilvl="0">
      <w:lvlJc w:val="left"/>
      <w:lvlText w:val="(%1)"/>
      <w:numFmt w:val="lowerRoman"/>
      <w:start w:val="2"/>
    </w:lvl>
  </w:abstractNum>
  <w:abstractNum w:abstractNumId="70">
    <w:nsid w:val="3FCFAED9"/>
    <w:multiLevelType w:val="hybridMultilevel"/>
    <w:lvl w:ilvl="0">
      <w:lvlJc w:val="left"/>
      <w:lvlText w:val="%1."/>
      <w:numFmt w:val="decimal"/>
      <w:start w:val="5"/>
    </w:lvl>
  </w:abstractNum>
  <w:abstractNum w:abstractNumId="71">
    <w:nsid w:val="F856867"/>
    <w:multiLevelType w:val="hybridMultilevel"/>
    <w:lvl w:ilvl="0">
      <w:lvlJc w:val="left"/>
      <w:lvlText w:val="%1."/>
      <w:numFmt w:val="decimal"/>
      <w:start w:val="6"/>
    </w:lvl>
  </w:abstractNum>
  <w:abstractNum w:abstractNumId="72">
    <w:nsid w:val="11B1CC33"/>
    <w:multiLevelType w:val="hybridMultilevel"/>
    <w:lvl w:ilvl="0">
      <w:lvlJc w:val="left"/>
      <w:lvlText w:val="%1."/>
      <w:numFmt w:val="decimal"/>
      <w:start w:val="1"/>
    </w:lvl>
  </w:abstractNum>
  <w:abstractNum w:abstractNumId="73">
    <w:nsid w:val="2E22FBB7"/>
    <w:multiLevelType w:val="hybridMultilevel"/>
    <w:lvl w:ilvl="0">
      <w:lvlJc w:val="left"/>
      <w:lvlText w:val="(%1)"/>
      <w:numFmt w:val="lowerLetter"/>
      <w:start w:val="2"/>
    </w:lvl>
  </w:abstractNum>
  <w:abstractNum w:abstractNumId="74">
    <w:nsid w:val="29934699"/>
    <w:multiLevelType w:val="hybridMultilevel"/>
    <w:lvl w:ilvl="0">
      <w:lvlJc w:val="left"/>
      <w:lvlText w:val="(%1)"/>
      <w:numFmt w:val="lowerLetter"/>
      <w:start w:val="3"/>
    </w:lvl>
    <w:lvl w:ilvl="1">
      <w:lvlJc w:val="left"/>
      <w:lvlText w:val="(%2)"/>
      <w:numFmt w:val="decimal"/>
      <w:start w:val="1"/>
    </w:lvl>
  </w:abstractNum>
  <w:abstractNum w:abstractNumId="75">
    <w:nsid w:val="77485850"/>
    <w:multiLevelType w:val="hybridMultilevel"/>
    <w:lvl w:ilvl="0">
      <w:lvlJc w:val="left"/>
      <w:lvlText w:val="%1."/>
      <w:numFmt w:val="decimal"/>
      <w:start w:val="2"/>
    </w:lvl>
  </w:abstractNum>
  <w:abstractNum w:abstractNumId="76">
    <w:nsid w:val="744939A3"/>
    <w:multiLevelType w:val="hybridMultilevel"/>
    <w:lvl w:ilvl="0">
      <w:lvlJc w:val="left"/>
      <w:lvlText w:val="(%1)"/>
      <w:numFmt w:val="lowerLetter"/>
      <w:start w:val="2"/>
    </w:lvl>
  </w:abstractNum>
  <w:abstractNum w:abstractNumId="77">
    <w:nsid w:val="4FA0D2E3"/>
    <w:multiLevelType w:val="hybridMultilevel"/>
    <w:lvl w:ilvl="0">
      <w:lvlJc w:val="left"/>
      <w:lvlText w:val="(%1)"/>
      <w:numFmt w:val="decimal"/>
      <w:start w:val="1"/>
    </w:lvl>
  </w:abstractNum>
  <w:abstractNum w:abstractNumId="78">
    <w:nsid w:val="6B1D2C14"/>
    <w:multiLevelType w:val="hybridMultilevel"/>
    <w:lvl w:ilvl="0">
      <w:lvlJc w:val="left"/>
      <w:lvlText w:val="%1."/>
      <w:numFmt w:val="decimal"/>
      <w:start w:val="3"/>
    </w:lvl>
  </w:abstractNum>
  <w:abstractNum w:abstractNumId="79">
    <w:nsid w:val="68B867D3"/>
    <w:multiLevelType w:val="hybridMultilevel"/>
    <w:lvl w:ilvl="0">
      <w:lvlJc w:val="left"/>
      <w:lvlText w:val="(%1)"/>
      <w:numFmt w:val="lowerLetter"/>
      <w:start w:val="2"/>
    </w:lvl>
  </w:abstractNum>
  <w:abstractNum w:abstractNumId="80">
    <w:nsid w:val="3F7F5DD9"/>
    <w:multiLevelType w:val="hybridMultilevel"/>
    <w:lvl w:ilvl="0">
      <w:lvlJc w:val="left"/>
      <w:lvlText w:val="%1."/>
      <w:numFmt w:val="decimal"/>
      <w:start w:val="5"/>
    </w:lvl>
  </w:abstractNum>
  <w:abstractNum w:abstractNumId="81">
    <w:nsid w:val="2AE05A34"/>
    <w:multiLevelType w:val="hybridMultilevel"/>
    <w:lvl w:ilvl="0">
      <w:lvlJc w:val="left"/>
      <w:lvlText w:val="%1"/>
      <w:numFmt w:val="decimal"/>
      <w:start w:val="1"/>
    </w:lvl>
    <w:lvl w:ilvl="1">
      <w:lvlJc w:val="left"/>
      <w:lvlText w:val="(%2)"/>
      <w:numFmt w:val="lowerLetter"/>
      <w:start w:val="1"/>
    </w:lvl>
  </w:abstractNum>
  <w:abstractNum w:abstractNumId="82">
    <w:nsid w:val="32794FF7"/>
    <w:multiLevelType w:val="hybridMultilevel"/>
    <w:lvl w:ilvl="0">
      <w:lvlJc w:val="left"/>
      <w:lvlText w:val="%1."/>
      <w:numFmt w:val="decimal"/>
      <w:start w:val="6"/>
    </w:lvl>
    <w:lvl w:ilvl="1">
      <w:lvlJc w:val="left"/>
      <w:lvlText w:val="%2"/>
      <w:numFmt w:val="lowerLetter"/>
      <w:start w:val="1"/>
    </w:lvl>
  </w:abstractNum>
  <w:abstractNum w:abstractNumId="83">
    <w:nsid w:val="5454945E"/>
    <w:multiLevelType w:val="hybridMultilevel"/>
    <w:lvl w:ilvl="0">
      <w:lvlJc w:val="left"/>
      <w:lvlText w:val="%1."/>
      <w:numFmt w:val="decimal"/>
      <w:start w:val="7"/>
    </w:lvl>
  </w:abstractNum>
  <w:abstractNum w:abstractNumId="84">
    <w:nsid w:val="4DEFDFA0"/>
    <w:multiLevelType w:val="hybridMultilevel"/>
    <w:lvl w:ilvl="0">
      <w:lvlJc w:val="left"/>
      <w:lvlText w:val="(%1)"/>
      <w:numFmt w:val="lowerLetter"/>
      <w:start w:val="2"/>
    </w:lvl>
  </w:abstractNum>
  <w:abstractNum w:abstractNumId="85">
    <w:nsid w:val="2123D5F2"/>
    <w:multiLevelType w:val="hybridMultilevel"/>
    <w:lvl w:ilvl="0">
      <w:lvlJc w:val="left"/>
      <w:lvlText w:val="(%1)"/>
      <w:numFmt w:val="lowerLetter"/>
      <w:start w:val="1"/>
    </w:lvl>
    <w:lvl w:ilvl="1">
      <w:lvlJc w:val="left"/>
      <w:lvlText w:val="(%2)"/>
      <w:numFmt w:val="lowerLetter"/>
      <w:start w:val="9"/>
    </w:lvl>
  </w:abstractNum>
  <w:abstractNum w:abstractNumId="86">
    <w:nsid w:val="135B8110"/>
    <w:multiLevelType w:val="hybridMultilevel"/>
    <w:lvl w:ilvl="0">
      <w:lvlJc w:val="left"/>
      <w:lvlText w:val="(%1)"/>
      <w:numFmt w:val="lowerRoman"/>
      <w:start w:val="2"/>
    </w:lvl>
  </w:abstractNum>
  <w:abstractNum w:abstractNumId="87">
    <w:nsid w:val="94927A8"/>
    <w:multiLevelType w:val="hybridMultilevel"/>
    <w:lvl w:ilvl="0">
      <w:lvlJc w:val="left"/>
      <w:lvlText w:val="(%1)"/>
      <w:numFmt w:val="lowerLetter"/>
      <w:start w:val="2"/>
    </w:lvl>
  </w:abstractNum>
  <w:abstractNum w:abstractNumId="88">
    <w:nsid w:val="DCDF8F6"/>
    <w:multiLevelType w:val="hybridMultilevel"/>
    <w:lvl w:ilvl="0">
      <w:lvlJc w:val="left"/>
      <w:lvlText w:val="%1."/>
      <w:numFmt w:val="decimal"/>
      <w:start w:val="9"/>
    </w:lvl>
  </w:abstractNum>
  <w:abstractNum w:abstractNumId="89">
    <w:nsid w:val="52D7B105"/>
    <w:multiLevelType w:val="hybridMultilevel"/>
    <w:lvl w:ilvl="0">
      <w:lvlJc w:val="left"/>
      <w:lvlText w:val="%1."/>
      <w:numFmt w:val="decimal"/>
      <w:start w:val="10"/>
    </w:lvl>
  </w:abstractNum>
  <w:abstractNum w:abstractNumId="90">
    <w:nsid w:val="2E8A6394"/>
    <w:multiLevelType w:val="hybridMultilevel"/>
    <w:lvl w:ilvl="0">
      <w:lvlJc w:val="left"/>
      <w:lvlText w:val="%1."/>
      <w:numFmt w:val="decimal"/>
      <w:start w:val="14"/>
    </w:lvl>
  </w:abstractNum>
  <w:abstractNum w:abstractNumId="91">
    <w:nsid w:val="24E60401"/>
    <w:multiLevelType w:val="hybridMultilevel"/>
    <w:lvl w:ilvl="0">
      <w:lvlJc w:val="left"/>
      <w:lvlText w:val="(%1)"/>
      <w:numFmt w:val="lowerLetter"/>
      <w:start w:val="1"/>
    </w:lvl>
  </w:abstractNum>
  <w:abstractNum w:abstractNumId="92">
    <w:nsid w:val="2A6AD9BE"/>
    <w:multiLevelType w:val="hybridMultilevel"/>
    <w:lvl w:ilvl="0">
      <w:lvlJc w:val="left"/>
      <w:lvlText w:val="(%1)"/>
      <w:numFmt w:val="lowerLetter"/>
      <w:start w:val="3"/>
    </w:lvl>
  </w:abstractNum>
  <w:abstractNum w:abstractNumId="93">
    <w:nsid w:val="BAAC1B4"/>
    <w:multiLevelType w:val="hybridMultilevel"/>
    <w:lvl w:ilvl="0">
      <w:lvlJc w:val="left"/>
      <w:lvlText w:val="%1."/>
      <w:numFmt w:val="decimal"/>
      <w:start w:val="2"/>
    </w:lvl>
  </w:abstractNum>
  <w:abstractNum w:abstractNumId="94">
    <w:nsid w:val="36B2ACBC"/>
    <w:multiLevelType w:val="hybridMultilevel"/>
    <w:lvl w:ilvl="0">
      <w:lvlJc w:val="left"/>
      <w:lvlText w:val="%1."/>
      <w:numFmt w:val="decimal"/>
      <w:start w:val="4"/>
    </w:lvl>
  </w:abstractNum>
  <w:abstractNum w:abstractNumId="95">
    <w:nsid w:val="779D8544"/>
    <w:multiLevelType w:val="hybridMultilevel"/>
    <w:lvl w:ilvl="0">
      <w:lvlJc w:val="left"/>
      <w:lvlText w:val="%1."/>
      <w:numFmt w:val="decimal"/>
      <w:start w:val="5"/>
    </w:lvl>
  </w:abstractNum>
  <w:abstractNum w:abstractNumId="96">
    <w:nsid w:val="4AB26E78"/>
    <w:multiLevelType w:val="hybridMultilevel"/>
    <w:lvl w:ilvl="0">
      <w:lvlJc w:val="left"/>
      <w:lvlText w:val="#"/>
      <w:numFmt w:val="bullet"/>
      <w:start w:val="1"/>
    </w:lvl>
  </w:abstractNum>
  <w:abstractNum w:abstractNumId="97">
    <w:nsid w:val="21FAA2FA"/>
    <w:multiLevelType w:val="hybridMultilevel"/>
    <w:lvl w:ilvl="0">
      <w:lvlJc w:val="left"/>
      <w:lvlText w:val="%1."/>
      <w:numFmt w:val="decimal"/>
      <w:start w:val="2"/>
    </w:lvl>
  </w:abstractNum>
  <w:abstractNum w:abstractNumId="98">
    <w:nsid w:val="5451CF49"/>
    <w:multiLevelType w:val="hybridMultilevel"/>
    <w:lvl w:ilvl="0">
      <w:lvlJc w:val="left"/>
      <w:lvlText w:val="%1."/>
      <w:numFmt w:val="decimal"/>
      <w:start w:val="4"/>
    </w:lvl>
  </w:abstractNum>
  <w:abstractNum w:abstractNumId="99">
    <w:nsid w:val="6181EF69"/>
    <w:multiLevelType w:val="hybridMultilevel"/>
    <w:lvl w:ilvl="0">
      <w:lvlJc w:val="left"/>
      <w:lvlText w:val="%1."/>
      <w:numFmt w:val="decimal"/>
      <w:start w:val="5"/>
    </w:lvl>
  </w:abstractNum>
  <w:abstractNum w:abstractNumId="100">
    <w:nsid w:val="3E6400E6"/>
    <w:multiLevelType w:val="hybridMultilevel"/>
    <w:lvl w:ilvl="0">
      <w:lvlJc w:val="left"/>
      <w:lvlText w:val="#"/>
      <w:numFmt w:val="bullet"/>
      <w:start w:val="1"/>
    </w:lvl>
  </w:abstractNum>
  <w:abstractNum w:abstractNumId="101">
    <w:nsid w:val="14217E23"/>
    <w:multiLevelType w:val="hybridMultilevel"/>
    <w:lvl w:ilvl="0">
      <w:lvlJc w:val="left"/>
      <w:lvlText w:val="(%1)"/>
      <w:numFmt w:val="decimal"/>
      <w:start w:val="1"/>
    </w:lvl>
  </w:abstractNum>
  <w:abstractNum w:abstractNumId="102">
    <w:nsid w:val="710757D0"/>
    <w:multiLevelType w:val="hybridMultilevel"/>
    <w:lvl w:ilvl="0">
      <w:lvlJc w:val="left"/>
      <w:lvlText w:val="(%1)"/>
      <w:numFmt w:val="lowerLetter"/>
      <w:start w:val="1"/>
    </w:lvl>
    <w:lvl w:ilvl="1">
      <w:lvlJc w:val="left"/>
      <w:lvlText w:val="(%2)"/>
      <w:numFmt w:val="upperLetter"/>
      <w:start w:val="9"/>
    </w:lvl>
  </w:abstractNum>
  <w:abstractNum w:abstractNumId="103">
    <w:nsid w:val="5015CD1A"/>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5"/>
    </w:lvl>
  </w:abstractNum>
  <w:abstractNum w:abstractNumId="104">
    <w:nsid w:val="424479DA"/>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105">
    <w:nsid w:val="1A9A9E69"/>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106">
    <w:nsid w:val="475E256A"/>
    <w:multiLevelType w:val="hybridMultilevel"/>
    <w:lvl w:ilvl="0">
      <w:lvlJc w:val="left"/>
      <w:lvlText w:val="(%1)"/>
      <w:numFmt w:val="lowerLetter"/>
      <w:start w:val="1"/>
    </w:lvl>
    <w:lvl w:ilvl="1">
      <w:lvlJc w:val="left"/>
      <w:lvlText w:val="(%2)"/>
      <w:numFmt w:val="upperLetter"/>
      <w:start w:val="9"/>
    </w:lvl>
  </w:abstractNum>
  <w:abstractNum w:abstractNumId="107">
    <w:nsid w:val="368DB37E"/>
    <w:multiLevelType w:val="hybridMultilevel"/>
    <w:lvl w:ilvl="0">
      <w:lvlJc w:val="left"/>
      <w:lvlText w:val="%1"/>
      <w:numFmt w:val="lowerLetter"/>
      <w:start w:val="1"/>
    </w:lvl>
    <w:lvl w:ilvl="1">
      <w:lvlJc w:val="left"/>
      <w:lvlText w:val="(%2)"/>
      <w:numFmt w:val="upperLetter"/>
      <w:start w:val="35"/>
    </w:lvl>
  </w:abstractNum>
  <w:abstractNum w:abstractNumId="108">
    <w:nsid w:val="6A3B714C"/>
    <w:multiLevelType w:val="hybridMultilevel"/>
    <w:lvl w:ilvl="0">
      <w:lvlJc w:val="left"/>
      <w:lvlText w:val="(%1)"/>
      <w:numFmt w:val="lowerLetter"/>
      <w:start w:val="2"/>
    </w:lvl>
    <w:lvl w:ilvl="1">
      <w:lvlJc w:val="left"/>
      <w:lvlText w:val="(%2)"/>
      <w:numFmt w:val="upperLetter"/>
      <w:start w:val="9"/>
    </w:lvl>
  </w:abstractNum>
  <w:abstractNum w:abstractNumId="109">
    <w:nsid w:val="327B517E"/>
    <w:multiLevelType w:val="hybridMultilevel"/>
    <w:lvl w:ilvl="0">
      <w:lvlJc w:val="left"/>
      <w:lvlText w:val="%1"/>
      <w:numFmt w:val="decimal"/>
      <w:start w:val="1"/>
    </w:lvl>
    <w:lvl w:ilvl="1">
      <w:lvlJc w:val="left"/>
      <w:lvlText w:val="(%2)"/>
      <w:numFmt w:val="upperLetter"/>
      <w:start w:val="35"/>
    </w:lvl>
  </w:abstractNum>
  <w:abstractNum w:abstractNumId="110">
    <w:nsid w:val="1F461B51"/>
    <w:multiLevelType w:val="hybridMultilevel"/>
    <w:lvl w:ilvl="0">
      <w:lvlJc w:val="left"/>
      <w:lvlText w:val="(%1)"/>
      <w:numFmt w:val="decimal"/>
      <w:start w:val="3"/>
    </w:lvl>
    <w:lvl w:ilvl="1">
      <w:lvlJc w:val="left"/>
      <w:lvlText w:val="%2"/>
      <w:numFmt w:val="upperLetter"/>
      <w:start w:val="1"/>
    </w:lvl>
  </w:abstractNum>
  <w:abstractNum w:abstractNumId="111">
    <w:nsid w:val="29BACF25"/>
    <w:multiLevelType w:val="hybridMultilevel"/>
    <w:lvl w:ilvl="0">
      <w:lvlJc w:val="left"/>
      <w:lvlText w:val="(%1)"/>
      <w:numFmt w:val="decimal"/>
      <w:start w:val="2"/>
    </w:lvl>
    <w:lvl w:ilvl="1">
      <w:lvlJc w:val="left"/>
      <w:lvlText w:val="(%2)"/>
      <w:numFmt w:val="lowerLetter"/>
      <w:start w:val="1"/>
    </w:lvl>
  </w:abstractNum>
  <w:abstractNum w:abstractNumId="112">
    <w:nsid w:val="5D5BABB3"/>
    <w:multiLevelType w:val="hybridMultilevel"/>
    <w:lvl w:ilvl="0">
      <w:lvlJc w:val="left"/>
      <w:lvlText w:val="%1"/>
      <w:numFmt w:val="decimal"/>
      <w:start w:val="1"/>
    </w:lvl>
    <w:lvl w:ilvl="1">
      <w:lvlJc w:val="left"/>
      <w:lvlText w:val="(%2)"/>
      <w:numFmt w:val="decimal"/>
      <w:start w:val="2"/>
    </w:lvl>
  </w:abstractNum>
  <w:abstractNum w:abstractNumId="113">
    <w:nsid w:val="51BF6B48"/>
    <w:multiLevelType w:val="hybridMultilevel"/>
    <w:lvl w:ilvl="0">
      <w:lvlJc w:val="left"/>
      <w:lvlText w:val="(%1)"/>
      <w:numFmt w:val="decimal"/>
      <w:start w:val="2"/>
    </w:lvl>
    <w:lvl w:ilvl="1">
      <w:lvlJc w:val="left"/>
      <w:lvlText w:val="%2"/>
      <w:numFmt w:val="decimal"/>
      <w:start w:val="1"/>
    </w:lvl>
  </w:abstractNum>
  <w:abstractNum w:abstractNumId="114">
    <w:nsid w:val="7E0F638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15">
    <w:nsid w:val="2B4B8B5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6">
    <w:nsid w:val="72E3413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17">
    <w:nsid w:val="116AE494"/>
    <w:multiLevelType w:val="hybridMultilevel"/>
    <w:lvl w:ilvl="0">
      <w:lvlJc w:val="left"/>
      <w:lvlText w:val="(%1)"/>
      <w:numFmt w:val="decimal"/>
      <w:start w:val="2"/>
    </w:lvl>
    <w:lvl w:ilvl="1">
      <w:lvlJc w:val="left"/>
      <w:lvlText w:val="(%2)"/>
      <w:numFmt w:val="lowerLetter"/>
      <w:start w:val="1"/>
    </w:lvl>
  </w:abstractNum>
  <w:abstractNum w:abstractNumId="118">
    <w:nsid w:val="3494B2FB"/>
    <w:multiLevelType w:val="hybridMultilevel"/>
    <w:lvl w:ilvl="0">
      <w:lvlJc w:val="left"/>
      <w:lvlText w:val="%1"/>
      <w:numFmt w:val="decimal"/>
      <w:start w:val="1"/>
    </w:lvl>
    <w:lvl w:ilvl="1">
      <w:lvlJc w:val="left"/>
      <w:lvlText w:val="(%2)"/>
      <w:numFmt w:val="lowerLetter"/>
      <w:start w:val="1"/>
    </w:lvl>
  </w:abstractNum>
  <w:abstractNum w:abstractNumId="119">
    <w:nsid w:val="B13A31"/>
    <w:multiLevelType w:val="hybridMultilevel"/>
    <w:lvl w:ilvl="0">
      <w:lvlJc w:val="left"/>
      <w:lvlText w:val="(%1)"/>
      <w:numFmt w:val="decimal"/>
      <w:start w:val="2"/>
    </w:lvl>
    <w:lvl w:ilvl="1">
      <w:lvlJc w:val="left"/>
      <w:lvlText w:val="%2"/>
      <w:numFmt w:val="lowerLetter"/>
      <w:start w:val="1"/>
    </w:lvl>
  </w:abstractNum>
  <w:abstractNum w:abstractNumId="120">
    <w:nsid w:val="64429599"/>
    <w:multiLevelType w:val="hybridMultilevel"/>
    <w:lvl w:ilvl="0">
      <w:lvlJc w:val="left"/>
      <w:lvlText w:val="(%1)"/>
      <w:numFmt w:val="decimal"/>
      <w:start w:val="2"/>
    </w:lvl>
  </w:abstractNum>
  <w:abstractNum w:abstractNumId="121">
    <w:nsid w:val="631F1690"/>
    <w:multiLevelType w:val="hybridMultilevel"/>
    <w:lvl w:ilvl="0">
      <w:lvlJc w:val="left"/>
      <w:lvlText w:val="(%1)"/>
      <w:numFmt w:val="decimal"/>
      <w:start w:val="2"/>
    </w:lvl>
    <w:lvl w:ilvl="1">
      <w:lvlJc w:val="left"/>
      <w:lvlText w:val="(%2)"/>
      <w:numFmt w:val="lowerLetter"/>
      <w:start w:val="1"/>
    </w:lvl>
  </w:abstractNum>
  <w:abstractNum w:abstractNumId="122">
    <w:nsid w:val="25973E32"/>
    <w:multiLevelType w:val="hybridMultilevel"/>
    <w:lvl w:ilvl="0">
      <w:lvlJc w:val="left"/>
      <w:lvlText w:val="(%1)"/>
      <w:numFmt w:val="decimal"/>
      <w:start w:val="2"/>
    </w:lvl>
  </w:abstractNum>
  <w:abstractNum w:abstractNumId="123">
    <w:nsid w:val="EAD6F57"/>
    <w:multiLevelType w:val="hybridMultilevel"/>
    <w:lvl w:ilvl="0">
      <w:lvlJc w:val="left"/>
      <w:lvlText w:val="(%1)"/>
      <w:numFmt w:val="decimal"/>
      <w:start w:val="2"/>
    </w:lvl>
  </w:abstractNum>
  <w:abstractNum w:abstractNumId="124">
    <w:nsid w:val="6EC9D84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5">
    <w:nsid w:val="5C49EAEE"/>
    <w:multiLevelType w:val="hybridMultilevel"/>
    <w:lvl w:ilvl="0">
      <w:lvlJc w:val="left"/>
      <w:lvlText w:val="%1"/>
      <w:numFmt w:val="decimal"/>
      <w:start w:val="1"/>
    </w:lvl>
    <w:lvl w:ilvl="1">
      <w:lvlJc w:val="left"/>
      <w:lvlText w:val="(%2)"/>
      <w:numFmt w:val="decimal"/>
      <w:start w:val="2"/>
    </w:lvl>
  </w:abstractNum>
  <w:abstractNum w:abstractNumId="126">
    <w:nsid w:val="64AF49B"/>
    <w:multiLevelType w:val="hybridMultilevel"/>
    <w:lvl w:ilvl="0">
      <w:lvlJc w:val="left"/>
      <w:lvlText w:val="(%1)"/>
      <w:numFmt w:val="decimal"/>
      <w:start w:val="1"/>
    </w:lvl>
    <w:lvl w:ilvl="1">
      <w:lvlJc w:val="left"/>
      <w:lvlText w:val="%2"/>
      <w:numFmt w:val="decimal"/>
      <w:start w:val="1"/>
    </w:lvl>
  </w:abstractNum>
  <w:abstractNum w:abstractNumId="127">
    <w:nsid w:val="397C46BC"/>
    <w:multiLevelType w:val="hybridMultilevel"/>
    <w:lvl w:ilvl="0">
      <w:lvlJc w:val="left"/>
      <w:lvlText w:val="%1"/>
      <w:numFmt w:val="decimal"/>
      <w:start w:val="1"/>
    </w:lvl>
    <w:lvl w:ilvl="1">
      <w:lvlJc w:val="left"/>
      <w:lvlText w:val="(%2)"/>
      <w:numFmt w:val="decimal"/>
      <w:start w:val="3"/>
    </w:lvl>
  </w:abstractNum>
  <w:abstractNum w:abstractNumId="128">
    <w:nsid w:val="7E448DE9"/>
    <w:multiLevelType w:val="hybridMultilevel"/>
    <w:lvl w:ilvl="0">
      <w:lvlJc w:val="left"/>
      <w:lvlText w:val="(%1)"/>
      <w:numFmt w:val="decimal"/>
      <w:start w:val="2"/>
    </w:lvl>
    <w:lvl w:ilvl="1">
      <w:lvlJc w:val="left"/>
      <w:lvlText w:val="%2"/>
      <w:numFmt w:val="decimal"/>
      <w:start w:val="1"/>
    </w:lvl>
  </w:abstractNum>
  <w:abstractNum w:abstractNumId="129">
    <w:nsid w:val="5A9CC3E5"/>
    <w:multiLevelType w:val="hybridMultilevel"/>
    <w:lvl w:ilvl="0">
      <w:lvlJc w:val="left"/>
      <w:lvlText w:val="(%1)"/>
      <w:numFmt w:val="decimal"/>
      <w:start w:val="2"/>
    </w:lvl>
    <w:lvl w:ilvl="1">
      <w:lvlJc w:val="left"/>
      <w:lvlText w:val="(%2)"/>
      <w:numFmt w:val="lowerLetter"/>
      <w:start w:val="1"/>
    </w:lvl>
  </w:abstractNum>
  <w:abstractNum w:abstractNumId="130">
    <w:nsid w:val="1AFE3625"/>
    <w:multiLevelType w:val="hybridMultilevel"/>
    <w:lvl w:ilvl="0">
      <w:lvlJc w:val="left"/>
      <w:lvlText w:val="*"/>
      <w:numFmt w:val="bullet"/>
      <w:start w:val="1"/>
    </w:lvl>
  </w:abstractNum>
  <w:abstractNum w:abstractNumId="131">
    <w:nsid w:val="3CA88ECF"/>
    <w:multiLevelType w:val="hybridMultilevel"/>
    <w:lvl w:ilvl="0">
      <w:lvlJc w:val="left"/>
      <w:lvlText w:val="(%1)"/>
      <w:numFmt w:val="decimal"/>
      <w:start w:val="1"/>
    </w:lvl>
  </w:abstractNum>
  <w:abstractNum w:abstractNumId="132">
    <w:nsid w:val="6EBE4208"/>
    <w:multiLevelType w:val="hybridMultilevel"/>
    <w:lvl w:ilvl="0">
      <w:lvlJc w:val="left"/>
      <w:lvlText w:val="(%1)"/>
      <w:numFmt w:val="lowerRoman"/>
      <w:start w:val="1"/>
    </w:lvl>
  </w:abstractNum>
  <w:abstractNum w:abstractNumId="133">
    <w:nsid w:val="C058DF5"/>
    <w:multiLevelType w:val="hybridMultilevel"/>
    <w:lvl w:ilvl="0">
      <w:lvlJc w:val="left"/>
      <w:lvlText w:val="(%1)"/>
      <w:numFmt w:val="decimal"/>
      <w:start w:val="2"/>
    </w:lvl>
  </w:abstractNum>
  <w:abstractNum w:abstractNumId="134">
    <w:nsid w:val="CBE5BE9"/>
    <w:multiLevelType w:val="hybridMultilevel"/>
    <w:lvl w:ilvl="0">
      <w:lvlJc w:val="left"/>
      <w:lvlText w:val="-"/>
      <w:numFmt w:val="bullet"/>
      <w:start w:val="1"/>
    </w:lvl>
  </w:abstractNum>
  <w:abstractNum w:abstractNumId="135">
    <w:nsid w:val="3102BBE2"/>
    <w:multiLevelType w:val="hybridMultilevel"/>
    <w:lvl w:ilvl="0">
      <w:lvlJc w:val="left"/>
      <w:lvlText w:val="-"/>
      <w:numFmt w:val="bullet"/>
      <w:start w:val="1"/>
    </w:lvl>
  </w:abstractNum>
  <w:abstractNum w:abstractNumId="136">
    <w:nsid w:val="26A02C5E"/>
    <w:multiLevelType w:val="hybridMultilevel"/>
    <w:lvl w:ilvl="0">
      <w:lvlJc w:val="left"/>
      <w:lvlText w:val="-"/>
      <w:numFmt w:val="bullet"/>
      <w:start w:val="1"/>
    </w:lvl>
  </w:abstractNum>
  <w:abstractNum w:abstractNumId="137">
    <w:nsid w:val="541C8153"/>
    <w:multiLevelType w:val="hybridMultilevel"/>
    <w:lvl w:ilvl="0">
      <w:lvlJc w:val="left"/>
      <w:lvlText w:val="-"/>
      <w:numFmt w:val="bullet"/>
      <w:start w:val="1"/>
    </w:lvl>
  </w:abstractNum>
  <w:abstractNum w:abstractNumId="138">
    <w:nsid w:val="67906F60"/>
    <w:multiLevelType w:val="hybridMultilevel"/>
    <w:lvl w:ilvl="0">
      <w:lvlJc w:val="left"/>
      <w:lvlText w:val="-"/>
      <w:numFmt w:val="bullet"/>
      <w:start w:val="1"/>
    </w:lvl>
  </w:abstractNum>
  <w:abstractNum w:abstractNumId="139">
    <w:nsid w:val="10DB9DAA"/>
    <w:multiLevelType w:val="hybridMultilevel"/>
    <w:lvl w:ilvl="0">
      <w:lvlJc w:val="left"/>
      <w:lvlText w:val="-"/>
      <w:numFmt w:val="bullet"/>
      <w:start w:val="1"/>
    </w:lvl>
  </w:abstractNum>
  <w:abstractNum w:abstractNumId="140">
    <w:nsid w:val="697D2D2"/>
    <w:multiLevelType w:val="hybridMultilevel"/>
    <w:lvl w:ilvl="0">
      <w:lvlJc w:val="left"/>
      <w:lvlText w:val="-"/>
      <w:numFmt w:val="bullet"/>
      <w:start w:val="1"/>
    </w:lvl>
  </w:abstractNum>
  <w:abstractNum w:abstractNumId="141">
    <w:nsid w:val="6D68AB2"/>
    <w:multiLevelType w:val="hybridMultilevel"/>
    <w:lvl w:ilvl="0">
      <w:lvlJc w:val="left"/>
      <w:lvlText w:val="-"/>
      <w:numFmt w:val="bullet"/>
      <w:start w:val="1"/>
    </w:lvl>
  </w:abstractNum>
  <w:abstractNum w:abstractNumId="142">
    <w:nsid w:val="3A966CD0"/>
    <w:multiLevelType w:val="hybridMultilevel"/>
    <w:lvl w:ilvl="0">
      <w:lvlJc w:val="left"/>
      <w:lvlText w:val="-"/>
      <w:numFmt w:val="bullet"/>
      <w:start w:val="1"/>
    </w:lvl>
  </w:abstractNum>
  <w:abstractNum w:abstractNumId="143">
    <w:nsid w:val="63F37E85"/>
    <w:multiLevelType w:val="hybridMultilevel"/>
    <w:lvl w:ilvl="0">
      <w:lvlJc w:val="left"/>
      <w:lvlText w:val="-"/>
      <w:numFmt w:val="bullet"/>
      <w:start w:val="1"/>
    </w:lvl>
  </w:abstractNum>
  <w:abstractNum w:abstractNumId="144">
    <w:nsid w:val="5895F5FA"/>
    <w:multiLevelType w:val="hybridMultilevel"/>
    <w:lvl w:ilvl="0">
      <w:lvlJc w:val="left"/>
      <w:lvlText w:val="-"/>
      <w:numFmt w:val="bullet"/>
      <w:start w:val="1"/>
    </w:lvl>
  </w:abstractNum>
  <w:abstractNum w:abstractNumId="145">
    <w:nsid w:val="38A5D054"/>
    <w:multiLevelType w:val="hybridMultilevel"/>
    <w:lvl w:ilvl="0">
      <w:lvlJc w:val="left"/>
      <w:lvlText w:val="-"/>
      <w:numFmt w:val="bullet"/>
      <w:start w:val="1"/>
    </w:lvl>
  </w:abstractNum>
  <w:abstractNum w:abstractNumId="146">
    <w:nsid w:val="F3F09D8"/>
    <w:multiLevelType w:val="hybridMultilevel"/>
    <w:lvl w:ilvl="0">
      <w:lvlJc w:val="left"/>
      <w:lvlText w:val="-"/>
      <w:numFmt w:val="bullet"/>
      <w:start w:val="1"/>
    </w:lvl>
  </w:abstractNum>
  <w:abstractNum w:abstractNumId="147">
    <w:nsid w:val="4B793735"/>
    <w:multiLevelType w:val="hybridMultilevel"/>
    <w:lvl w:ilvl="0">
      <w:lvlJc w:val="left"/>
      <w:lvlText w:val="-"/>
      <w:numFmt w:val="bullet"/>
      <w:start w:val="1"/>
    </w:lvl>
  </w:abstractNum>
  <w:abstractNum w:abstractNumId="148">
    <w:nsid w:val="4A10B4E8"/>
    <w:multiLevelType w:val="hybridMultilevel"/>
    <w:lvl w:ilvl="0">
      <w:lvlJc w:val="left"/>
      <w:lvlText w:val="-"/>
      <w:numFmt w:val="bullet"/>
      <w:start w:val="1"/>
    </w:lvl>
  </w:abstractNum>
  <w:abstractNum w:abstractNumId="149">
    <w:nsid w:val="43D3BCD4"/>
    <w:multiLevelType w:val="hybridMultilevel"/>
    <w:lvl w:ilvl="0">
      <w:lvlJc w:val="left"/>
      <w:lvlText w:val="-"/>
      <w:numFmt w:val="bullet"/>
      <w:start w:val="1"/>
    </w:lvl>
  </w:abstractNum>
  <w:abstractNum w:abstractNumId="150">
    <w:nsid w:val="4C2A7166"/>
    <w:multiLevelType w:val="hybridMultilevel"/>
    <w:lvl w:ilvl="0">
      <w:lvlJc w:val="left"/>
      <w:lvlText w:val="-"/>
      <w:numFmt w:val="bullet"/>
      <w:start w:val="1"/>
    </w:lvl>
  </w:abstractNum>
  <w:abstractNum w:abstractNumId="151">
    <w:nsid w:val="2E534A82"/>
    <w:multiLevelType w:val="hybridMultilevel"/>
    <w:lvl w:ilvl="0">
      <w:lvlJc w:val="left"/>
      <w:lvlText w:val="-"/>
      <w:numFmt w:val="bullet"/>
      <w:start w:val="1"/>
    </w:lvl>
  </w:abstractNum>
  <w:abstractNum w:abstractNumId="152">
    <w:nsid w:val="26F2D364"/>
    <w:multiLevelType w:val="hybridMultilevel"/>
    <w:lvl w:ilvl="0">
      <w:lvlJc w:val="left"/>
      <w:lvlText w:val="-"/>
      <w:numFmt w:val="bullet"/>
      <w:start w:val="1"/>
    </w:lvl>
  </w:abstractNum>
  <w:abstractNum w:abstractNumId="153">
    <w:nsid w:val="71C1AF98"/>
    <w:multiLevelType w:val="hybridMultilevel"/>
    <w:lvl w:ilvl="0">
      <w:lvlJc w:val="left"/>
      <w:lvlText w:val="%1."/>
      <w:numFmt w:val="decimal"/>
      <w:start w:val="1"/>
    </w:lvl>
  </w:abstractNum>
  <w:abstractNum w:abstractNumId="154">
    <w:nsid w:val="3D00B9D9"/>
    <w:multiLevelType w:val="hybridMultilevel"/>
    <w:lvl w:ilvl="0">
      <w:lvlJc w:val="left"/>
      <w:lvlText w:val="%1."/>
      <w:numFmt w:val="decimal"/>
      <w:start w:val="2"/>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2"/>
    </w:lvl>
  </w:abstractNum>
  <w:abstractNum w:abstractNumId="157">
    <w:nsid w:val="434BAE75"/>
    <w:multiLevelType w:val="hybridMultilevel"/>
    <w:lvl w:ilvl="0">
      <w:lvlJc w:val="left"/>
      <w:lvlText w:val="%1."/>
      <w:numFmt w:val="decimal"/>
      <w:start w:val="3"/>
    </w:lvl>
  </w:abstractNum>
  <w:abstractNum w:abstractNumId="158">
    <w:nsid w:val="4F38F26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9">
    <w:nsid w:val="4C502870"/>
    <w:multiLevelType w:val="hybridMultilevel"/>
    <w:lvl w:ilvl="0">
      <w:lvlJc w:val="left"/>
      <w:lvlText w:val="(%1)"/>
      <w:numFmt w:val="lowerLetter"/>
      <w:start w:val="4"/>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decimal"/>
      <w:start w:val="4"/>
    </w:lvl>
  </w:abstractNum>
  <w:abstractNum w:abstractNumId="162">
    <w:nsid w:val="8F8B73F"/>
    <w:multiLevelType w:val="hybridMultilevel"/>
    <w:lvl w:ilvl="0">
      <w:lvlJc w:val="left"/>
      <w:lvlText w:val="(%1)"/>
      <w:numFmt w:val="lowerLetter"/>
      <w:start w:val="1"/>
    </w:lvl>
    <w:lvl w:ilvl="1">
      <w:lvlJc w:val="left"/>
      <w:lvlText w:val="-"/>
      <w:numFmt w:val="bullet"/>
      <w:start w:val="1"/>
    </w:lvl>
  </w:abstractNum>
  <w:abstractNum w:abstractNumId="163">
    <w:nsid w:val="CA6B462"/>
    <w:multiLevelType w:val="hybridMultilevel"/>
    <w:lvl w:ilvl="0">
      <w:lvlJc w:val="left"/>
      <w:lvlText w:val="%1."/>
      <w:numFmt w:val="decimal"/>
      <w:start w:val="5"/>
    </w:lvl>
  </w:abstractNum>
  <w:abstractNum w:abstractNumId="164">
    <w:nsid w:val="763CB680"/>
    <w:multiLevelType w:val="hybridMultilevel"/>
    <w:lvl w:ilvl="0">
      <w:lvlJc w:val="left"/>
      <w:lvlText w:val="(%1)"/>
      <w:numFmt w:val="decimal"/>
      <w:start w:val="120"/>
    </w:lvl>
  </w:abstractNum>
  <w:abstractNum w:abstractNumId="165">
    <w:nsid w:val="15B71329"/>
    <w:multiLevelType w:val="hybridMultilevel"/>
    <w:lvl w:ilvl="0">
      <w:lvlJc w:val="left"/>
      <w:lvlText w:val="%1."/>
      <w:numFmt w:val="decimal"/>
      <w:start w:val="6"/>
    </w:lvl>
  </w:abstractNum>
  <w:abstractNum w:abstractNumId="166">
    <w:nsid w:val="3DA97044"/>
    <w:multiLevelType w:val="hybridMultilevel"/>
    <w:lvl w:ilvl="0">
      <w:lvlJc w:val="left"/>
      <w:lvlText w:val="%1."/>
      <w:numFmt w:val="decimal"/>
      <w:start w:val="7"/>
    </w:lvl>
  </w:abstractNum>
  <w:abstractNum w:abstractNumId="167">
    <w:nsid w:val="1CDCE2DE"/>
    <w:multiLevelType w:val="hybridMultilevel"/>
    <w:lvl w:ilvl="0">
      <w:lvlJc w:val="left"/>
      <w:lvlText w:val="%1."/>
      <w:numFmt w:val="decimal"/>
      <w:start w:val="8"/>
    </w:lvl>
  </w:abstractNum>
  <w:abstractNum w:abstractNumId="168">
    <w:nsid w:val="69D3947C"/>
    <w:multiLevelType w:val="hybridMultilevel"/>
    <w:lvl w:ilvl="0">
      <w:lvlJc w:val="left"/>
      <w:lvlText w:val="%1."/>
      <w:numFmt w:val="decimal"/>
      <w:start w:val="9"/>
    </w:lvl>
  </w:abstractNum>
  <w:abstractNum w:abstractNumId="169">
    <w:nsid w:val="2539DFA5"/>
    <w:multiLevelType w:val="hybridMultilevel"/>
    <w:lvl w:ilvl="0">
      <w:lvlJc w:val="left"/>
      <w:lvlText w:val="(%1)"/>
      <w:numFmt w:val="lowerLetter"/>
      <w:start w:val="1"/>
    </w:lvl>
    <w:lvl w:ilvl="1">
      <w:lvlJc w:val="left"/>
      <w:lvlText w:val="----"/>
      <w:numFmt w:val="bullet"/>
      <w:start w:val="1"/>
    </w:lvl>
  </w:abstractNum>
  <w:abstractNum w:abstractNumId="170">
    <w:nsid w:val="2DB88089"/>
    <w:multiLevelType w:val="hybridMultilevel"/>
    <w:lvl w:ilvl="0">
      <w:lvlJc w:val="left"/>
      <w:lvlText w:val="(%1)"/>
      <w:numFmt w:val="lowerLetter"/>
      <w:start w:val="2"/>
    </w:lvl>
    <w:lvl w:ilvl="1">
      <w:lvlJc w:val="left"/>
      <w:lvlText w:val="---"/>
      <w:numFmt w:val="bullet"/>
      <w:start w:val="1"/>
    </w:lvl>
  </w:abstractNum>
  <w:abstractNum w:abstractNumId="171">
    <w:nsid w:val="706B674E"/>
    <w:multiLevelType w:val="hybridMultilevel"/>
    <w:lvl w:ilvl="0">
      <w:lvlJc w:val="left"/>
      <w:lvlText w:val="(%1)"/>
      <w:numFmt w:val="lowerLetter"/>
      <w:start w:val="4"/>
    </w:lvl>
    <w:lvl w:ilvl="1">
      <w:lvlJc w:val="left"/>
      <w:lvlText w:val="-"/>
      <w:numFmt w:val="bullet"/>
      <w:start w:val="1"/>
    </w:lvl>
  </w:abstractNum>
  <w:abstractNum w:abstractNumId="172">
    <w:nsid w:val="2C106A57"/>
    <w:multiLevelType w:val="hybridMultilevel"/>
    <w:lvl w:ilvl="0">
      <w:lvlJc w:val="left"/>
      <w:lvlText w:val="%1."/>
      <w:numFmt w:val="decimal"/>
      <w:start w:val="10"/>
    </w:lvl>
  </w:abstractNum>
  <w:abstractNum w:abstractNumId="173">
    <w:nsid w:val="684EED59"/>
    <w:multiLevelType w:val="hybridMultilevel"/>
    <w:lvl w:ilvl="0">
      <w:lvlJc w:val="left"/>
      <w:lvlText w:val="%1."/>
      <w:numFmt w:val="decimal"/>
      <w:start w:val="11"/>
    </w:lvl>
  </w:abstractNum>
  <w:abstractNum w:abstractNumId="174">
    <w:nsid w:val="545EE5D3"/>
    <w:multiLevelType w:val="hybridMultilevel"/>
    <w:lvl w:ilvl="0">
      <w:lvlJc w:val="left"/>
      <w:lvlText w:val="%1"/>
      <w:numFmt w:val="decimal"/>
      <w:start w:val="1"/>
    </w:lvl>
    <w:lvl w:ilvl="1">
      <w:lvlJc w:val="left"/>
      <w:lvlText w:val="(%2)"/>
      <w:numFmt w:val="lowerLetter"/>
      <w:start w:val="1"/>
    </w:lvl>
  </w:abstractNum>
  <w:abstractNum w:abstractNumId="175">
    <w:nsid w:val="4A66051"/>
    <w:multiLevelType w:val="hybridMultilevel"/>
    <w:lvl w:ilvl="0">
      <w:lvlJc w:val="left"/>
      <w:lvlText w:val="%1."/>
      <w:numFmt w:val="decimal"/>
      <w:start w:val="12"/>
    </w:lvl>
    <w:lvl w:ilvl="1">
      <w:lvlJc w:val="left"/>
      <w:lvlText w:val="%2"/>
      <w:numFmt w:val="lowerLetter"/>
      <w:start w:val="1"/>
    </w:lvl>
  </w:abstractNum>
  <w:abstractNum w:abstractNumId="176">
    <w:nsid w:val="20F4BDAD"/>
    <w:multiLevelType w:val="hybridMultilevel"/>
    <w:lvl w:ilvl="0">
      <w:lvlJc w:val="left"/>
      <w:lvlText w:val="(%1)"/>
      <w:numFmt w:val="lowerLetter"/>
      <w:start w:val="1"/>
    </w:lvl>
    <w:lvl w:ilvl="1">
      <w:lvlJc w:val="left"/>
      <w:lvlText w:val="-"/>
      <w:numFmt w:val="bullet"/>
      <w:start w:val="1"/>
    </w:lvl>
  </w:abstractNum>
  <w:abstractNum w:abstractNumId="177">
    <w:nsid w:val="639DEFAC"/>
    <w:multiLevelType w:val="hybridMultilevel"/>
    <w:lvl w:ilvl="0">
      <w:lvlJc w:val="left"/>
      <w:lvlText w:val="%1."/>
      <w:numFmt w:val="decimal"/>
      <w:start w:val="13"/>
    </w:lvl>
  </w:abstractNum>
  <w:abstractNum w:abstractNumId="178">
    <w:nsid w:val="501F9786"/>
    <w:multiLevelType w:val="hybridMultilevel"/>
    <w:lvl w:ilvl="0">
      <w:lvlJc w:val="left"/>
      <w:lvlText w:val="%1."/>
      <w:numFmt w:val="upperLetter"/>
      <w:start w:val="1"/>
    </w:lvl>
  </w:abstractNum>
  <w:abstractNum w:abstractNumId="179">
    <w:nsid w:val="6B057295"/>
    <w:multiLevelType w:val="hybridMultilevel"/>
    <w:lvl w:ilvl="0">
      <w:lvlJc w:val="left"/>
      <w:lvlText w:val="%1."/>
      <w:numFmt w:val="decimal"/>
      <w:start w:val="1"/>
    </w:lvl>
  </w:abstractNum>
  <w:abstractNum w:abstractNumId="180">
    <w:nsid w:val="2771AC80"/>
    <w:multiLevelType w:val="hybridMultilevel"/>
    <w:lvl w:ilvl="0">
      <w:lvlJc w:val="left"/>
      <w:lvlText w:val="%1."/>
      <w:numFmt w:val="decimal"/>
      <w:start w:val="2"/>
    </w:lvl>
  </w:abstractNum>
  <w:abstractNum w:abstractNumId="181">
    <w:nsid w:val="1C4A08EC"/>
    <w:multiLevelType w:val="hybridMultilevel"/>
    <w:lvl w:ilvl="0">
      <w:lvlJc w:val="left"/>
      <w:lvlText w:val="%1."/>
      <w:numFmt w:val="decimal"/>
      <w:start w:val="3"/>
    </w:lvl>
  </w:abstractNum>
  <w:abstractNum w:abstractNumId="182">
    <w:nsid w:val="1958BD17"/>
    <w:multiLevelType w:val="hybridMultilevel"/>
    <w:lvl w:ilvl="0">
      <w:lvlJc w:val="left"/>
      <w:lvlText w:val="%1."/>
      <w:numFmt w:val="decimal"/>
      <w:start w:val="4"/>
    </w:lvl>
  </w:abstractNum>
  <w:abstractNum w:abstractNumId="183">
    <w:nsid w:val="4E647FE4"/>
    <w:multiLevelType w:val="hybridMultilevel"/>
    <w:lvl w:ilvl="0">
      <w:lvlJc w:val="left"/>
      <w:lvlText w:val="(%1)"/>
      <w:numFmt w:val="lowerRoman"/>
      <w:start w:val="2"/>
    </w:lvl>
  </w:abstractNum>
  <w:abstractNum w:abstractNumId="184">
    <w:nsid w:val="E0BB885"/>
    <w:multiLevelType w:val="hybridMultilevel"/>
    <w:lvl w:ilvl="0">
      <w:lvlJc w:val="left"/>
      <w:lvlText w:val="%1."/>
      <w:numFmt w:val="decimal"/>
      <w:start w:val="5"/>
    </w:lvl>
  </w:abstractNum>
  <w:abstractNum w:abstractNumId="185">
    <w:nsid w:val="565976F1"/>
    <w:multiLevelType w:val="hybridMultilevel"/>
    <w:lvl w:ilvl="0">
      <w:lvlJc w:val="left"/>
      <w:lvlText w:val="%1."/>
      <w:numFmt w:val="decimal"/>
      <w:start w:val="6"/>
    </w:lvl>
  </w:abstractNum>
  <w:abstractNum w:abstractNumId="186">
    <w:nsid w:val="64212B8C"/>
    <w:multiLevelType w:val="hybridMultilevel"/>
    <w:lvl w:ilvl="0">
      <w:lvlJc w:val="left"/>
      <w:lvlText w:val="(%1)"/>
      <w:numFmt w:val="decimal"/>
      <w:start w:val="18"/>
    </w:lvl>
  </w:abstractNum>
  <w:abstractNum w:abstractNumId="187">
    <w:nsid w:val="5C17530C"/>
    <w:multiLevelType w:val="hybridMultilevel"/>
    <w:lvl w:ilvl="0">
      <w:lvlJc w:val="left"/>
      <w:lvlText w:val="%1."/>
      <w:numFmt w:val="decimal"/>
      <w:start w:val="7"/>
    </w:lvl>
  </w:abstractNum>
  <w:abstractNum w:abstractNumId="188">
    <w:nsid w:val="19A52566"/>
    <w:multiLevelType w:val="hybridMultilevel"/>
    <w:lvl w:ilvl="0">
      <w:lvlJc w:val="left"/>
      <w:lvlText w:val="%1."/>
      <w:numFmt w:val="decimal"/>
      <w:start w:val="8"/>
    </w:lvl>
  </w:abstractNum>
  <w:abstractNum w:abstractNumId="189">
    <w:nsid w:val="335A1DF1"/>
    <w:multiLevelType w:val="hybridMultilevel"/>
    <w:lvl w:ilvl="0">
      <w:lvlJc w:val="left"/>
      <w:lvlText w:val="%1."/>
      <w:numFmt w:val="decimal"/>
      <w:start w:val="9"/>
    </w:lvl>
  </w:abstractNum>
  <w:abstractNum w:abstractNumId="190">
    <w:nsid w:val="28677B7C"/>
    <w:multiLevelType w:val="hybridMultilevel"/>
    <w:lvl w:ilvl="0">
      <w:lvlJc w:val="left"/>
      <w:lvlText w:val="%1."/>
      <w:numFmt w:val="decimal"/>
      <w:start w:val="10"/>
    </w:lvl>
  </w:abstractNum>
  <w:abstractNum w:abstractNumId="191">
    <w:nsid w:val="378D97C0"/>
    <w:multiLevelType w:val="hybridMultilevel"/>
    <w:lvl w:ilvl="0">
      <w:lvlJc w:val="left"/>
      <w:lvlText w:val="-"/>
      <w:numFmt w:val="bullet"/>
      <w:start w:val="1"/>
    </w:lvl>
    <w:lvl w:ilvl="1">
      <w:lvlJc w:val="left"/>
      <w:lvlText w:val="%2."/>
      <w:numFmt w:val="decimal"/>
      <w:start w:val="11"/>
    </w:lvl>
  </w:abstractNum>
  <w:abstractNum w:abstractNumId="192">
    <w:nsid w:val="1D91467C"/>
    <w:multiLevelType w:val="hybridMultilevel"/>
    <w:lvl w:ilvl="0">
      <w:lvlJc w:val="left"/>
      <w:lvlText w:val="%1."/>
      <w:numFmt w:val="decimal"/>
      <w:start w:val="12"/>
    </w:lvl>
  </w:abstractNum>
  <w:abstractNum w:abstractNumId="193">
    <w:nsid w:val="316032BB"/>
    <w:multiLevelType w:val="hybridMultilevel"/>
    <w:lvl w:ilvl="0">
      <w:lvlJc w:val="left"/>
      <w:lvlText w:val="%1."/>
      <w:numFmt w:val="decimal"/>
      <w:start w:val="13"/>
    </w:lvl>
  </w:abstractNum>
  <w:abstractNum w:abstractNumId="194">
    <w:nsid w:val="44344C22"/>
    <w:multiLevelType w:val="hybridMultilevel"/>
    <w:lvl w:ilvl="0">
      <w:lvlJc w:val="left"/>
      <w:lvlText w:val="%1."/>
      <w:numFmt w:val="upperLetter"/>
      <w:start w:val="1"/>
    </w:lvl>
  </w:abstractNum>
  <w:abstractNum w:abstractNumId="195">
    <w:nsid w:val="13CDFCFC"/>
    <w:multiLevelType w:val="hybridMultilevel"/>
    <w:lvl w:ilvl="0">
      <w:lvlJc w:val="left"/>
      <w:lvlText w:val="%1."/>
      <w:numFmt w:val="decimal"/>
      <w:start w:val="1"/>
    </w:lvl>
  </w:abstractNum>
  <w:abstractNum w:abstractNumId="196">
    <w:nsid w:val="471745E4"/>
    <w:multiLevelType w:val="hybridMultilevel"/>
    <w:lvl w:ilvl="0">
      <w:lvlJc w:val="left"/>
      <w:lvlText w:val="%1."/>
      <w:numFmt w:val="decimal"/>
      <w:start w:val="2"/>
    </w:lvl>
  </w:abstractNum>
  <w:abstractNum w:abstractNumId="197">
    <w:nsid w:val="1DDBC66"/>
    <w:multiLevelType w:val="hybridMultilevel"/>
    <w:lvl w:ilvl="0">
      <w:lvlJc w:val="left"/>
      <w:lvlText w:val="%1."/>
      <w:numFmt w:val="decimal"/>
      <w:start w:val="3"/>
    </w:lvl>
  </w:abstractNum>
  <w:abstractNum w:abstractNumId="198">
    <w:nsid w:val="30AADFDA"/>
    <w:multiLevelType w:val="hybridMultilevel"/>
    <w:lvl w:ilvl="0">
      <w:lvlJc w:val="left"/>
      <w:lvlText w:val="%1."/>
      <w:numFmt w:val="decimal"/>
      <w:start w:val="4"/>
    </w:lvl>
  </w:abstractNum>
  <w:abstractNum w:abstractNumId="199">
    <w:nsid w:val="30EADA61"/>
    <w:multiLevelType w:val="hybridMultilevel"/>
    <w:lvl w:ilvl="0">
      <w:lvlJc w:val="left"/>
      <w:lvlText w:val="%1."/>
      <w:numFmt w:val="decimal"/>
      <w:start w:val="5"/>
    </w:lvl>
  </w:abstractNum>
  <w:abstractNum w:abstractNumId="200">
    <w:nsid w:val="27179C0B"/>
    <w:multiLevelType w:val="hybridMultilevel"/>
    <w:lvl w:ilvl="0">
      <w:lvlJc w:val="left"/>
      <w:lvlText w:val="(%1)"/>
      <w:numFmt w:val="lowerLetter"/>
      <w:start w:val="1"/>
    </w:lvl>
    <w:lvl w:ilvl="1">
      <w:lvlJc w:val="left"/>
      <w:lvlText w:val="-"/>
      <w:numFmt w:val="bullet"/>
      <w:start w:val="1"/>
    </w:lvl>
  </w:abstractNum>
  <w:abstractNum w:abstractNumId="201">
    <w:nsid w:val="5E636063"/>
    <w:multiLevelType w:val="hybridMultilevel"/>
    <w:lvl w:ilvl="0">
      <w:lvlJc w:val="left"/>
      <w:lvlText w:val="(%1)"/>
      <w:numFmt w:val="lowerLetter"/>
      <w:start w:val="2"/>
    </w:lvl>
  </w:abstractNum>
  <w:abstractNum w:abstractNumId="202">
    <w:nsid w:val="215641AF"/>
    <w:multiLevelType w:val="hybridMultilevel"/>
    <w:lvl w:ilvl="0">
      <w:lvlJc w:val="left"/>
      <w:lvlText w:val="%1."/>
      <w:numFmt w:val="decimal"/>
      <w:start w:val="6"/>
    </w:lvl>
  </w:abstractNum>
  <w:abstractNum w:abstractNumId="203">
    <w:nsid w:val="53280662"/>
    <w:multiLevelType w:val="hybridMultilevel"/>
    <w:lvl w:ilvl="0">
      <w:lvlJc w:val="left"/>
      <w:lvlText w:val="(%1)"/>
      <w:numFmt w:val="lowerLetter"/>
      <w:start w:val="1"/>
    </w:lvl>
  </w:abstractNum>
  <w:abstractNum w:abstractNumId="204">
    <w:nsid w:val="46B24DBC"/>
    <w:multiLevelType w:val="hybridMultilevel"/>
    <w:lvl w:ilvl="0">
      <w:lvlJc w:val="left"/>
      <w:lvlText w:val="%1."/>
      <w:numFmt w:val="decimal"/>
      <w:start w:val="7"/>
    </w:lvl>
  </w:abstractNum>
  <w:abstractNum w:abstractNumId="205">
    <w:nsid w:val="75B52783"/>
    <w:multiLevelType w:val="hybridMultilevel"/>
    <w:lvl w:ilvl="0">
      <w:lvlJc w:val="left"/>
      <w:lvlText w:val="(%1)"/>
      <w:numFmt w:val="lowerLetter"/>
      <w:start w:val="1"/>
    </w:lvl>
    <w:lvl w:ilvl="1">
      <w:lvlJc w:val="left"/>
      <w:lvlText w:val="-"/>
      <w:numFmt w:val="bullet"/>
      <w:start w:val="1"/>
    </w:lvl>
  </w:abstractNum>
  <w:abstractNum w:abstractNumId="206">
    <w:nsid w:val="57CE66B4"/>
    <w:multiLevelType w:val="hybridMultilevel"/>
    <w:lvl w:ilvl="0">
      <w:lvlJc w:val="left"/>
      <w:lvlText w:val="(%1)"/>
      <w:numFmt w:val="lowerLetter"/>
      <w:start w:val="4"/>
    </w:lvl>
  </w:abstractNum>
  <w:abstractNum w:abstractNumId="207">
    <w:nsid w:val="67A70B69"/>
    <w:multiLevelType w:val="hybridMultilevel"/>
    <w:lvl w:ilvl="0">
      <w:lvlJc w:val="left"/>
      <w:lvlText w:val="%1."/>
      <w:numFmt w:val="decimal"/>
      <w:start w:val="8"/>
    </w:lvl>
  </w:abstractNum>
  <w:abstractNum w:abstractNumId="208">
    <w:nsid w:val="5953172F"/>
    <w:multiLevelType w:val="hybridMultilevel"/>
    <w:lvl w:ilvl="0">
      <w:lvlJc w:val="left"/>
      <w:lvlText w:val="%1."/>
      <w:numFmt w:val="decimal"/>
      <w:start w:val="9"/>
    </w:lvl>
  </w:abstractNum>
  <w:abstractNum w:abstractNumId="209">
    <w:nsid w:val="27EDFE3A"/>
    <w:multiLevelType w:val="hybridMultilevel"/>
    <w:lvl w:ilvl="0">
      <w:lvlJc w:val="left"/>
      <w:lvlText w:val="%1."/>
      <w:numFmt w:val="decimal"/>
      <w:start w:val="10"/>
    </w:lvl>
  </w:abstractNum>
  <w:abstractNum w:abstractNumId="210">
    <w:nsid w:val="52AC7DFF"/>
    <w:multiLevelType w:val="hybridMultilevel"/>
    <w:lvl w:ilvl="0">
      <w:lvlJc w:val="left"/>
      <w:lvlText w:val="%1."/>
      <w:numFmt w:val="decimal"/>
      <w:start w:val="11"/>
    </w:lvl>
  </w:abstractNum>
  <w:abstractNum w:abstractNumId="211">
    <w:nsid w:val="C4C3AF"/>
    <w:multiLevelType w:val="hybridMultilevel"/>
    <w:lvl w:ilvl="0">
      <w:lvlJc w:val="left"/>
      <w:lvlText w:val="%1."/>
      <w:numFmt w:val="decimal"/>
      <w:start w:val="12"/>
    </w:lvl>
  </w:abstractNum>
  <w:abstractNum w:abstractNumId="212">
    <w:nsid w:val="44380727"/>
    <w:multiLevelType w:val="hybridMultilevel"/>
    <w:lvl w:ilvl="0">
      <w:lvlJc w:val="left"/>
      <w:lvlText w:val="(%1)"/>
      <w:numFmt w:val="lowerRoman"/>
      <w:start w:val="1"/>
    </w:lvl>
    <w:lvl w:ilvl="1">
      <w:lvlJc w:val="left"/>
      <w:lvlText w:val="(%2)"/>
      <w:numFmt w:val="lowerRoman"/>
      <w:start w:val="3"/>
    </w:lvl>
  </w:abstractNum>
  <w:abstractNum w:abstractNumId="213">
    <w:nsid w:val="6C053B16"/>
    <w:multiLevelType w:val="hybridMultilevel"/>
    <w:lvl w:ilvl="0">
      <w:lvlJc w:val="left"/>
      <w:lvlText w:val="%1."/>
      <w:numFmt w:val="decimal"/>
      <w:start w:val="13"/>
    </w:lvl>
  </w:abstractNum>
  <w:abstractNum w:abstractNumId="214">
    <w:nsid w:val="4F294393"/>
    <w:multiLevelType w:val="hybridMultilevel"/>
    <w:lvl w:ilvl="0">
      <w:lvlJc w:val="left"/>
      <w:lvlText w:val="%1."/>
      <w:numFmt w:val="decimal"/>
      <w:start w:val="14"/>
    </w:lvl>
  </w:abstractNum>
  <w:abstractNum w:abstractNumId="215">
    <w:nsid w:val="5243BFAC"/>
    <w:multiLevelType w:val="hybridMultilevel"/>
    <w:lvl w:ilvl="0">
      <w:lvlJc w:val="left"/>
      <w:lvlText w:val="%1."/>
      <w:numFmt w:val="upperLetter"/>
      <w:start w:val="1"/>
    </w:lvl>
  </w:abstractNum>
  <w:abstractNum w:abstractNumId="216">
    <w:nsid w:val="425EB207"/>
    <w:multiLevelType w:val="hybridMultilevel"/>
    <w:lvl w:ilvl="0">
      <w:lvlJc w:val="left"/>
      <w:lvlText w:val="%1."/>
      <w:numFmt w:val="upperLetter"/>
      <w:start w:val="4"/>
    </w:lvl>
  </w:abstractNum>
  <w:abstractNum w:abstractNumId="217">
    <w:nsid w:val="334A6F1F"/>
    <w:multiLevelType w:val="hybridMultilevel"/>
    <w:lvl w:ilvl="0">
      <w:lvlJc w:val="left"/>
      <w:lvlText w:val="%1."/>
      <w:numFmt w:val="decimal"/>
      <w:start w:val="1"/>
    </w:lvl>
  </w:abstractNum>
  <w:abstractNum w:abstractNumId="218">
    <w:nsid w:val="2E5B12B8"/>
    <w:multiLevelType w:val="hybridMultilevel"/>
    <w:lvl w:ilvl="0">
      <w:lvlJc w:val="left"/>
      <w:lvlText w:val="%1."/>
      <w:numFmt w:val="decimal"/>
      <w:start w:val="2"/>
    </w:lvl>
  </w:abstractNum>
  <w:abstractNum w:abstractNumId="219">
    <w:nsid w:val="5C03D76D"/>
    <w:multiLevelType w:val="hybridMultilevel"/>
    <w:lvl w:ilvl="0">
      <w:lvlJc w:val="left"/>
      <w:lvlText w:val="%1."/>
      <w:numFmt w:val="decimal"/>
      <w:start w:val="3"/>
    </w:lvl>
  </w:abstractNum>
  <w:abstractNum w:abstractNumId="220">
    <w:nsid w:val="66A48D11"/>
    <w:multiLevelType w:val="hybridMultilevel"/>
    <w:lvl w:ilvl="0">
      <w:lvlJc w:val="left"/>
      <w:lvlText w:val="%1."/>
      <w:numFmt w:val="decimal"/>
      <w:start w:val="4"/>
    </w:lvl>
  </w:abstractNum>
  <w:abstractNum w:abstractNumId="221">
    <w:nsid w:val="56C28E34"/>
    <w:multiLevelType w:val="hybridMultilevel"/>
    <w:lvl w:ilvl="0">
      <w:lvlJc w:val="left"/>
      <w:lvlText w:val="(%1)"/>
      <w:numFmt w:val="lowerRoman"/>
      <w:start w:val="1"/>
    </w:lvl>
  </w:abstractNum>
  <w:abstractNum w:abstractNumId="222">
    <w:nsid w:val="13916F2D"/>
    <w:multiLevelType w:val="hybridMultilevel"/>
    <w:lvl w:ilvl="0">
      <w:lvlJc w:val="left"/>
      <w:lvlText w:val="%1."/>
      <w:numFmt w:val="decimal"/>
      <w:start w:val="5"/>
    </w:lvl>
  </w:abstractNum>
  <w:abstractNum w:abstractNumId="223">
    <w:nsid w:val="435D38D"/>
    <w:multiLevelType w:val="hybridMultilevel"/>
    <w:lvl w:ilvl="0">
      <w:lvlJc w:val="left"/>
      <w:lvlText w:val="%1."/>
      <w:numFmt w:val="decimal"/>
      <w:start w:val="6"/>
    </w:lvl>
  </w:abstractNum>
  <w:abstractNum w:abstractNumId="224">
    <w:nsid w:val="822C0EF"/>
    <w:multiLevelType w:val="hybridMultilevel"/>
    <w:lvl w:ilvl="0">
      <w:lvlJc w:val="left"/>
      <w:lvlText w:val="(%1)"/>
      <w:numFmt w:val="lowerRoman"/>
      <w:start w:val="1"/>
    </w:lvl>
  </w:abstractNum>
  <w:abstractNum w:abstractNumId="225">
    <w:nsid w:val="57C5BB4F"/>
    <w:multiLevelType w:val="hybridMultilevel"/>
    <w:lvl w:ilvl="0">
      <w:lvlJc w:val="left"/>
      <w:lvlText w:val="(%1)"/>
      <w:numFmt w:val="lowerRoman"/>
      <w:start w:val="1"/>
    </w:lvl>
  </w:abstractNum>
  <w:abstractNum w:abstractNumId="226">
    <w:nsid w:val="1803D089"/>
    <w:multiLevelType w:val="hybridMultilevel"/>
    <w:lvl w:ilvl="0">
      <w:lvlJc w:val="left"/>
      <w:lvlText w:val="%1."/>
      <w:numFmt w:val="decimal"/>
      <w:start w:val="7"/>
    </w:lvl>
  </w:abstractNum>
  <w:abstractNum w:abstractNumId="227">
    <w:nsid w:val="4F3A06D4"/>
    <w:multiLevelType w:val="hybridMultilevel"/>
    <w:lvl w:ilvl="0">
      <w:lvlJc w:val="left"/>
      <w:lvlText w:val="(%1)"/>
      <w:numFmt w:val="lowerLetter"/>
      <w:start w:val="1"/>
    </w:lvl>
  </w:abstractNum>
  <w:abstractNum w:abstractNumId="228">
    <w:nsid w:val="59A377B6"/>
    <w:multiLevelType w:val="hybridMultilevel"/>
    <w:lvl w:ilvl="0">
      <w:lvlJc w:val="left"/>
      <w:lvlText w:val="%1"/>
      <w:numFmt w:val="decimal"/>
      <w:start w:val="1"/>
    </w:lvl>
    <w:lvl w:ilvl="1">
      <w:lvlJc w:val="left"/>
      <w:lvlText w:val="(%2)"/>
      <w:numFmt w:val="lowerLetter"/>
      <w:start w:val="7"/>
    </w:lvl>
  </w:abstractNum>
  <w:abstractNum w:abstractNumId="229">
    <w:nsid w:val="48AEB063"/>
    <w:multiLevelType w:val="hybridMultilevel"/>
    <w:lvl w:ilvl="0">
      <w:lvlJc w:val="left"/>
      <w:lvlText w:val="%1."/>
      <w:numFmt w:val="decimal"/>
      <w:start w:val="8"/>
    </w:lvl>
    <w:lvl w:ilvl="1">
      <w:lvlJc w:val="left"/>
      <w:lvlText w:val="%2"/>
      <w:numFmt w:val="lowerLetter"/>
      <w:start w:val="1"/>
    </w:lvl>
  </w:abstractNum>
  <w:abstractNum w:abstractNumId="230">
    <w:nsid w:val="24E135"/>
    <w:multiLevelType w:val="hybridMultilevel"/>
    <w:lvl w:ilvl="0">
      <w:lvlJc w:val="left"/>
      <w:lvlText w:val="%1."/>
      <w:numFmt w:val="decimal"/>
      <w:start w:val="1"/>
    </w:lvl>
  </w:abstractNum>
  <w:abstractNum w:abstractNumId="231">
    <w:nsid w:val="BB13C1"/>
    <w:multiLevelType w:val="hybridMultilevel"/>
    <w:lvl w:ilvl="0">
      <w:lvlJc w:val="left"/>
      <w:lvlText w:val="%1."/>
      <w:numFmt w:val="decimal"/>
      <w:start w:val="1"/>
    </w:lvl>
  </w:abstractNum>
  <w:abstractNum w:abstractNumId="232">
    <w:nsid w:val="271210C7"/>
    <w:multiLevelType w:val="hybridMultilevel"/>
    <w:lvl w:ilvl="0">
      <w:lvlJc w:val="left"/>
      <w:lvlText w:val="%1."/>
      <w:numFmt w:val="decimal"/>
      <w:start w:val="9"/>
    </w:lvl>
  </w:abstractNum>
  <w:abstractNum w:abstractNumId="233">
    <w:nsid w:val="217B22E4"/>
    <w:multiLevelType w:val="hybridMultilevel"/>
    <w:lvl w:ilvl="0">
      <w:lvlJc w:val="left"/>
      <w:lvlText w:val="%1."/>
      <w:numFmt w:val="decimal"/>
      <w:start w:val="10"/>
    </w:lvl>
  </w:abstractNum>
  <w:abstractNum w:abstractNumId="234">
    <w:nsid w:val="53E31A24"/>
    <w:multiLevelType w:val="hybridMultilevel"/>
    <w:lvl w:ilvl="0">
      <w:lvlJc w:val="left"/>
      <w:lvlText w:val="(%1)"/>
      <w:numFmt w:val="lowerRoman"/>
      <w:start w:val="1"/>
    </w:lvl>
  </w:abstractNum>
  <w:abstractNum w:abstractNumId="235">
    <w:nsid w:val="6DC45E83"/>
    <w:multiLevelType w:val="hybridMultilevel"/>
    <w:lvl w:ilvl="0">
      <w:lvlJc w:val="left"/>
      <w:lvlText w:val="%1."/>
      <w:numFmt w:val="decimal"/>
      <w:start w:val="11"/>
    </w:lvl>
  </w:abstractNum>
  <w:abstractNum w:abstractNumId="236">
    <w:nsid w:val="17304A67"/>
    <w:multiLevelType w:val="hybridMultilevel"/>
    <w:lvl w:ilvl="0">
      <w:lvlJc w:val="left"/>
      <w:lvlText w:val="%1."/>
      <w:numFmt w:val="decimal"/>
      <w:start w:val="12"/>
    </w:lvl>
  </w:abstractNum>
  <w:abstractNum w:abstractNumId="237">
    <w:nsid w:val="2BB180D8"/>
    <w:multiLevelType w:val="hybridMultilevel"/>
    <w:lvl w:ilvl="0">
      <w:lvlJc w:val="left"/>
      <w:lvlText w:val="%1."/>
      <w:numFmt w:val="decimal"/>
      <w:start w:val="13"/>
    </w:lvl>
  </w:abstractNum>
  <w:abstractNum w:abstractNumId="238">
    <w:nsid w:val="556B69ED"/>
    <w:multiLevelType w:val="hybridMultilevel"/>
    <w:lvl w:ilvl="0">
      <w:lvlJc w:val="left"/>
      <w:lvlText w:val="%1."/>
      <w:numFmt w:val="decimal"/>
      <w:start w:val="14"/>
    </w:lvl>
  </w:abstractNum>
  <w:abstractNum w:abstractNumId="239">
    <w:nsid w:val="70836196"/>
    <w:multiLevelType w:val="hybridMultilevel"/>
    <w:lvl w:ilvl="0">
      <w:lvlJc w:val="left"/>
      <w:lvlText w:val="%1."/>
      <w:numFmt w:val="decimal"/>
      <w:start w:val="15"/>
    </w:lvl>
  </w:abstractNum>
  <w:abstractNum w:abstractNumId="240">
    <w:nsid w:val="539F7F12"/>
    <w:multiLevelType w:val="hybridMultilevel"/>
    <w:lvl w:ilvl="0">
      <w:lvlJc w:val="left"/>
      <w:lvlText w:val="%1"/>
      <w:numFmt w:val="decimal"/>
      <w:start w:val="1"/>
    </w:lvl>
    <w:lvl w:ilvl="1">
      <w:lvlJc w:val="left"/>
      <w:lvlText w:val="(%2)"/>
      <w:numFmt w:val="decimal"/>
      <w:start w:val="30"/>
    </w:lvl>
  </w:abstractNum>
  <w:abstractNum w:abstractNumId="241">
    <w:nsid w:val="2817E7EC"/>
    <w:multiLevelType w:val="hybridMultilevel"/>
    <w:lvl w:ilvl="0">
      <w:lvlJc w:val="left"/>
      <w:lvlText w:val="%1."/>
      <w:numFmt w:val="decimal"/>
      <w:start w:val="16"/>
    </w:lvl>
    <w:lvl w:ilvl="1">
      <w:lvlJc w:val="left"/>
      <w:lvlText w:val="%2"/>
      <w:numFmt w:val="decimal"/>
      <w:start w:val="1"/>
    </w:lvl>
  </w:abstractNum>
  <w:abstractNum w:abstractNumId="242">
    <w:nsid w:val="71482545"/>
    <w:multiLevelType w:val="hybridMultilevel"/>
    <w:lvl w:ilvl="0">
      <w:lvlJc w:val="left"/>
      <w:lvlText w:val="(%1)"/>
      <w:numFmt w:val="lowerRoman"/>
      <w:start w:val="1"/>
    </w:lvl>
    <w:lvl w:ilvl="1">
      <w:lvlJc w:val="left"/>
      <w:lvlText w:val="(%2)"/>
      <w:numFmt w:val="lowerLetter"/>
      <w:start w:val="1"/>
    </w:lvl>
  </w:abstractNum>
  <w:abstractNum w:abstractNumId="243">
    <w:nsid w:val="17D78639"/>
    <w:multiLevelType w:val="hybridMultilevel"/>
    <w:lvl w:ilvl="0">
      <w:lvlJc w:val="left"/>
      <w:lvlText w:val="(%1)"/>
      <w:numFmt w:val="lowerRoman"/>
      <w:start w:val="3"/>
    </w:lvl>
  </w:abstractNum>
  <w:abstractNum w:abstractNumId="244">
    <w:nsid w:val="141D2302"/>
    <w:multiLevelType w:val="hybridMultilevel"/>
    <w:lvl w:ilvl="0">
      <w:lvlJc w:val="left"/>
      <w:lvlText w:val="(%1)"/>
      <w:numFmt w:val="lowerRoman"/>
      <w:start w:val="1"/>
    </w:lvl>
  </w:abstractNum>
  <w:abstractNum w:abstractNumId="245">
    <w:nsid w:val="407168D8"/>
    <w:multiLevelType w:val="hybridMultilevel"/>
    <w:lvl w:ilvl="0">
      <w:lvlJc w:val="left"/>
      <w:lvlText w:val="(%1)"/>
      <w:numFmt w:val="lowerRoman"/>
      <w:start w:val="3"/>
    </w:lvl>
  </w:abstractNum>
  <w:abstractNum w:abstractNumId="246">
    <w:nsid w:val="6A1B45E5"/>
    <w:multiLevelType w:val="hybridMultilevel"/>
    <w:lvl w:ilvl="0">
      <w:lvlJc w:val="left"/>
      <w:lvlText w:val="(%1)"/>
      <w:numFmt w:val="lowerRoman"/>
      <w:start w:val="1"/>
    </w:lvl>
    <w:lvl w:ilvl="1">
      <w:lvlJc w:val="left"/>
      <w:lvlText w:val="(%2)"/>
      <w:numFmt w:val="lowerLetter"/>
      <w:start w:val="1"/>
    </w:lvl>
  </w:abstractNum>
  <w:abstractNum w:abstractNumId="247">
    <w:nsid w:val="567BD50A"/>
    <w:multiLevelType w:val="hybridMultilevel"/>
    <w:lvl w:ilvl="0">
      <w:lvlJc w:val="left"/>
      <w:lvlText w:val="(%1)"/>
      <w:numFmt w:val="lowerRoman"/>
      <w:start w:val="3"/>
    </w:lvl>
  </w:abstractNum>
  <w:abstractNum w:abstractNumId="248">
    <w:nsid w:val="73BBD7F8"/>
    <w:multiLevelType w:val="hybridMultilevel"/>
    <w:lvl w:ilvl="0">
      <w:lvlJc w:val="left"/>
      <w:lvlText w:val="(%1)"/>
      <w:numFmt w:val="lowerRoman"/>
      <w:start w:val="1"/>
    </w:lvl>
  </w:abstractNum>
  <w:abstractNum w:abstractNumId="249">
    <w:nsid w:val="1876589D"/>
    <w:multiLevelType w:val="hybridMultilevel"/>
    <w:lvl w:ilvl="0">
      <w:lvlJc w:val="left"/>
      <w:lvlText w:val="(%1)"/>
      <w:numFmt w:val="lowerRoman"/>
      <w:start w:val="3"/>
    </w:lvl>
  </w:abstractNum>
  <w:abstractNum w:abstractNumId="250">
    <w:nsid w:val="327FAC77"/>
    <w:multiLevelType w:val="hybridMultilevel"/>
    <w:lvl w:ilvl="0">
      <w:lvlJc w:val="left"/>
      <w:lvlText w:val="(%1)"/>
      <w:numFmt w:val="lowerRoman"/>
      <w:start w:val="1"/>
    </w:lvl>
    <w:lvl w:ilvl="1">
      <w:lvlJc w:val="left"/>
      <w:lvlText w:val="(%2)"/>
      <w:numFmt w:val="lowerLetter"/>
      <w:start w:val="1"/>
    </w:lvl>
  </w:abstractNum>
  <w:abstractNum w:abstractNumId="251">
    <w:nsid w:val="5A606509"/>
    <w:multiLevelType w:val="hybridMultilevel"/>
    <w:lvl w:ilvl="0">
      <w:lvlJc w:val="left"/>
      <w:lvlText w:val="(%1)"/>
      <w:numFmt w:val="lowerRoman"/>
      <w:start w:val="3"/>
    </w:lvl>
  </w:abstractNum>
  <w:abstractNum w:abstractNumId="252">
    <w:nsid w:val="6F38E6D1"/>
    <w:multiLevelType w:val="hybridMultilevel"/>
    <w:lvl w:ilvl="0">
      <w:lvlJc w:val="left"/>
      <w:lvlText w:val="(%1)"/>
      <w:numFmt w:val="lowerRoman"/>
      <w:start w:val="1"/>
    </w:lvl>
  </w:abstractNum>
  <w:abstractNum w:abstractNumId="253">
    <w:nsid w:val="46111BA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2019-12-13T03:16:21Z</dcterms:created>
  <dcterms:modified xsi:type="dcterms:W3CDTF">2019-12-13T03:16:21Z</dcterms:modified>
</cp:coreProperties>
</file>