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59" w:type="dxa"/>
        <w:jc w:val="left"/>
        <w:tblInd w:w="0" w:type="dxa"/>
        <w:tblLayout w:type="fixed"/>
        <w:tblCellMar>
          <w:top w:w="28" w:type="dxa"/>
          <w:left w:w="28" w:type="dxa"/>
          <w:bottom w:w="28" w:type="dxa"/>
          <w:right w:w="28" w:type="dxa"/>
        </w:tblCellMar>
      </w:tblPr>
      <w:tblGrid>
        <w:gridCol w:w="124"/>
        <w:gridCol w:w="109"/>
        <w:gridCol w:w="109"/>
        <w:gridCol w:w="2114"/>
        <w:gridCol w:w="2114"/>
        <w:gridCol w:w="21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4" w:after="283"/>
        <w:jc w:val="center"/>
        <w:rPr/>
      </w:pPr>
      <w:r>
        <w:rPr>
          <w:rFonts w:ascii="Times New Roman;serif" w:hAnsi="Times New Roman;serif"/>
          <w:b/>
          <w:color w:val="000000"/>
          <w:sz w:val="36"/>
        </w:rPr>
        <w:t>FORM 8-K</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4"/>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64"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4,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ELI LILLY AND COMPANY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74" w:type="dxa"/>
        <w:jc w:val="center"/>
        <w:tblInd w:w="0" w:type="dxa"/>
        <w:tblLayout w:type="fixed"/>
        <w:tblCellMar>
          <w:top w:w="28" w:type="dxa"/>
          <w:left w:w="28" w:type="dxa"/>
          <w:bottom w:w="28" w:type="dxa"/>
          <w:right w:w="28" w:type="dxa"/>
        </w:tblCellMar>
      </w:tblPr>
      <w:tblGrid>
        <w:gridCol w:w="809"/>
        <w:gridCol w:w="709"/>
        <w:gridCol w:w="716"/>
        <w:gridCol w:w="109"/>
        <w:gridCol w:w="109"/>
        <w:gridCol w:w="109"/>
        <w:gridCol w:w="374"/>
        <w:gridCol w:w="374"/>
        <w:gridCol w:w="378"/>
        <w:gridCol w:w="109"/>
        <w:gridCol w:w="109"/>
        <w:gridCol w:w="109"/>
        <w:gridCol w:w="455"/>
        <w:gridCol w:w="455"/>
        <w:gridCol w:w="650"/>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001-06351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35-0470950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68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jc w:val="center"/>
        <w:rPr/>
      </w:pPr>
      <w:r>
        <w:rPr/>
      </w:r>
    </w:p>
    <w:tbl>
      <w:tblPr>
        <w:tblW w:w="4852" w:type="dxa"/>
        <w:jc w:val="center"/>
        <w:tblInd w:w="0" w:type="dxa"/>
        <w:tblLayout w:type="fixed"/>
        <w:tblCellMar>
          <w:top w:w="28" w:type="dxa"/>
          <w:left w:w="28" w:type="dxa"/>
          <w:bottom w:w="28" w:type="dxa"/>
          <w:right w:w="28" w:type="dxa"/>
        </w:tblCellMar>
      </w:tblPr>
      <w:tblGrid>
        <w:gridCol w:w="689"/>
        <w:gridCol w:w="604"/>
        <w:gridCol w:w="607"/>
        <w:gridCol w:w="520"/>
        <w:gridCol w:w="520"/>
        <w:gridCol w:w="537"/>
        <w:gridCol w:w="220"/>
        <w:gridCol w:w="220"/>
        <w:gridCol w:w="221"/>
        <w:gridCol w:w="114"/>
        <w:gridCol w:w="114"/>
        <w:gridCol w:w="114"/>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Lilly Corporate Center</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Indianapolis,</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46285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0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0"/>
        </w:rPr>
        <w:t>Registrant’s Telephone Number, Including Area Code: (317) 276-2000</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p>
      <w:pPr>
        <w:pStyle w:val="TextBody"/>
        <w:bidi w:val="0"/>
        <w:spacing w:lineRule="auto" w:line="288"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w:t>
      </w:r>
    </w:p>
    <w:tbl>
      <w:tblPr>
        <w:tblW w:w="80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before="120" w:after="120"/>
        <w:jc w:val="left"/>
        <w:rPr/>
      </w:pPr>
      <w:r>
        <w:rPr/>
      </w:r>
    </w:p>
    <w:tbl>
      <w:tblPr>
        <w:tblW w:w="7971" w:type="dxa"/>
        <w:jc w:val="center"/>
        <w:tblInd w:w="0" w:type="dxa"/>
        <w:tblLayout w:type="fixed"/>
        <w:tblCellMar>
          <w:top w:w="28" w:type="dxa"/>
          <w:left w:w="28" w:type="dxa"/>
          <w:bottom w:w="28" w:type="dxa"/>
          <w:right w:w="28" w:type="dxa"/>
        </w:tblCellMar>
      </w:tblPr>
      <w:tblGrid>
        <w:gridCol w:w="922"/>
        <w:gridCol w:w="808"/>
        <w:gridCol w:w="819"/>
        <w:gridCol w:w="109"/>
        <w:gridCol w:w="109"/>
        <w:gridCol w:w="109"/>
        <w:gridCol w:w="484"/>
        <w:gridCol w:w="484"/>
        <w:gridCol w:w="486"/>
        <w:gridCol w:w="109"/>
        <w:gridCol w:w="109"/>
        <w:gridCol w:w="109"/>
        <w:gridCol w:w="970"/>
        <w:gridCol w:w="970"/>
        <w:gridCol w:w="1374"/>
      </w:tblGrid>
      <w:tr>
        <w:trPr/>
        <w:tc>
          <w:tcPr>
            <w:tcW w:w="9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2.125%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0.625%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6.77%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1.700% Notes due 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LLY49A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Notes due 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1.375% Notes due 2061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Eli Lilly and Company (the “Company”) annual meeting of shareholders (the “2026 Annual Meeting”) was held on May 4, 2026.</w:t>
      </w:r>
      <w:r>
        <w:rPr>
          <w:color w:val="000000"/>
        </w:rPr>
        <w:t xml:space="preserve"> </w:t>
      </w:r>
      <w:r>
        <w:rPr>
          <w:rFonts w:ascii="Times New Roman;serif" w:hAnsi="Times New Roman;serif"/>
          <w:b w:val="false"/>
          <w:color w:val="000000"/>
          <w:sz w:val="20"/>
        </w:rPr>
        <w:t>The total number of shares of the Company's common stock voted in person or by proxy at the 2026 Annual Meeting was 847,254,010, representing approximately 90% of the 944,818,881 shares that were outstanding and entitled to vote as of February 25, 2026, the record date of the 2026 Annual Meeting. Voting results for each matter submitted to a vote at the 2026 Annual Meeting are provided below.</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four nominees for director were elected to serve three-year terms ending at the Company's annual meeting of shareholders in 2029, as follows:</w:t>
      </w:r>
    </w:p>
    <w:p>
      <w:pPr>
        <w:pStyle w:val="TextBody"/>
        <w:bidi w:val="0"/>
        <w:spacing w:before="0" w:after="0"/>
        <w:ind w:left="0" w:right="0" w:firstLine="720"/>
        <w:jc w:val="left"/>
        <w:rPr/>
      </w:pPr>
      <w:r>
        <w:rPr/>
      </w:r>
    </w:p>
    <w:tbl>
      <w:tblPr>
        <w:tblW w:w="6256" w:type="dxa"/>
        <w:jc w:val="left"/>
        <w:tblInd w:w="0" w:type="dxa"/>
        <w:tblLayout w:type="fixed"/>
        <w:tblCellMar>
          <w:top w:w="28" w:type="dxa"/>
          <w:left w:w="28" w:type="dxa"/>
          <w:bottom w:w="28" w:type="dxa"/>
          <w:right w:w="28" w:type="dxa"/>
        </w:tblCellMar>
      </w:tblPr>
      <w:tblGrid>
        <w:gridCol w:w="591"/>
        <w:gridCol w:w="520"/>
        <w:gridCol w:w="523"/>
        <w:gridCol w:w="379"/>
        <w:gridCol w:w="379"/>
        <w:gridCol w:w="383"/>
        <w:gridCol w:w="343"/>
        <w:gridCol w:w="343"/>
        <w:gridCol w:w="350"/>
        <w:gridCol w:w="308"/>
        <w:gridCol w:w="308"/>
        <w:gridCol w:w="315"/>
        <w:gridCol w:w="442"/>
        <w:gridCol w:w="442"/>
        <w:gridCol w:w="6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Nominee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Carolyn Bertozzi</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761,930,361</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1,898,735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939,585</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Kaelin, Jr.</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726,270,361</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37,418,960</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1,079,360</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 Moeller</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749,926,634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13,860,022</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982,025</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Ricks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734,760,028</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29,119,356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889,297</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By the following vote, the shareholders approved, on an advisory basis, the compensation paid to the Company's named executive officers:</w:t>
      </w:r>
    </w:p>
    <w:tbl>
      <w:tblPr>
        <w:tblW w:w="4637" w:type="dxa"/>
        <w:jc w:val="left"/>
        <w:tblInd w:w="0" w:type="dxa"/>
        <w:tblLayout w:type="fixed"/>
        <w:tblCellMar>
          <w:top w:w="28" w:type="dxa"/>
          <w:left w:w="28" w:type="dxa"/>
          <w:bottom w:w="28" w:type="dxa"/>
          <w:right w:w="28" w:type="dxa"/>
        </w:tblCellMar>
      </w:tblPr>
      <w:tblGrid>
        <w:gridCol w:w="418"/>
        <w:gridCol w:w="367"/>
        <w:gridCol w:w="371"/>
        <w:gridCol w:w="344"/>
        <w:gridCol w:w="344"/>
        <w:gridCol w:w="348"/>
        <w:gridCol w:w="309"/>
        <w:gridCol w:w="309"/>
        <w:gridCol w:w="313"/>
        <w:gridCol w:w="428"/>
        <w:gridCol w:w="428"/>
        <w:gridCol w:w="65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731,998,717</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30,467,278</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2,302,686</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The appointment of Ernst &amp; Young LLP as the Company's independent auditor for 2026 was ratified by the following shareholder vote:</w:t>
      </w:r>
    </w:p>
    <w:tbl>
      <w:tblPr>
        <w:tblW w:w="3168" w:type="dxa"/>
        <w:jc w:val="left"/>
        <w:tblInd w:w="0" w:type="dxa"/>
        <w:tblLayout w:type="fixed"/>
        <w:tblCellMar>
          <w:top w:w="28" w:type="dxa"/>
          <w:left w:w="28" w:type="dxa"/>
          <w:bottom w:w="28" w:type="dxa"/>
          <w:right w:w="28" w:type="dxa"/>
        </w:tblCellMar>
      </w:tblPr>
      <w:tblGrid>
        <w:gridCol w:w="418"/>
        <w:gridCol w:w="367"/>
        <w:gridCol w:w="371"/>
        <w:gridCol w:w="344"/>
        <w:gridCol w:w="344"/>
        <w:gridCol w:w="348"/>
        <w:gridCol w:w="275"/>
        <w:gridCol w:w="275"/>
        <w:gridCol w:w="42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802,721,381</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43,473,993</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1,058,636</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The proposal to amend the Company's Articles of Incorporation (the “Articles”) to eliminate the classified board structure did not receive the required vote of 80% of outstanding shares. The shareholders voted as follows:</w:t>
      </w:r>
    </w:p>
    <w:tbl>
      <w:tblPr>
        <w:tblW w:w="4637" w:type="dxa"/>
        <w:jc w:val="left"/>
        <w:tblInd w:w="0" w:type="dxa"/>
        <w:tblLayout w:type="fixed"/>
        <w:tblCellMar>
          <w:top w:w="28" w:type="dxa"/>
          <w:left w:w="28" w:type="dxa"/>
          <w:bottom w:w="28" w:type="dxa"/>
          <w:right w:w="28" w:type="dxa"/>
        </w:tblCellMar>
      </w:tblPr>
      <w:tblGrid>
        <w:gridCol w:w="418"/>
        <w:gridCol w:w="367"/>
        <w:gridCol w:w="371"/>
        <w:gridCol w:w="344"/>
        <w:gridCol w:w="344"/>
        <w:gridCol w:w="348"/>
        <w:gridCol w:w="309"/>
        <w:gridCol w:w="309"/>
        <w:gridCol w:w="313"/>
        <w:gridCol w:w="428"/>
        <w:gridCol w:w="428"/>
        <w:gridCol w:w="65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665,371,049</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97,677,173</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1,720,459</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    The proposal to amend the Articles to eliminate supermajority voting provisions did not receive the required vote of 80% of outstanding shares. The shareholders voted as follows:</w:t>
      </w:r>
    </w:p>
    <w:tbl>
      <w:tblPr>
        <w:tblW w:w="4637" w:type="dxa"/>
        <w:jc w:val="left"/>
        <w:tblInd w:w="0" w:type="dxa"/>
        <w:tblLayout w:type="fixed"/>
        <w:tblCellMar>
          <w:top w:w="28" w:type="dxa"/>
          <w:left w:w="28" w:type="dxa"/>
          <w:bottom w:w="28" w:type="dxa"/>
          <w:right w:w="28" w:type="dxa"/>
        </w:tblCellMar>
      </w:tblPr>
      <w:tblGrid>
        <w:gridCol w:w="418"/>
        <w:gridCol w:w="367"/>
        <w:gridCol w:w="371"/>
        <w:gridCol w:w="344"/>
        <w:gridCol w:w="344"/>
        <w:gridCol w:w="348"/>
        <w:gridCol w:w="309"/>
        <w:gridCol w:w="309"/>
        <w:gridCol w:w="313"/>
        <w:gridCol w:w="428"/>
        <w:gridCol w:w="428"/>
        <w:gridCol w:w="65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664,460,262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98,597,088</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1,711,331</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    By the following vote, a shareholder proposal requesting the adoption of a policy and amendment to the bylaws to require an independent board chair was not approved:</w:t>
      </w:r>
    </w:p>
    <w:tbl>
      <w:tblPr>
        <w:tblW w:w="4742" w:type="dxa"/>
        <w:jc w:val="left"/>
        <w:tblInd w:w="0" w:type="dxa"/>
        <w:tblLayout w:type="fixed"/>
        <w:tblCellMar>
          <w:top w:w="28" w:type="dxa"/>
          <w:left w:w="28" w:type="dxa"/>
          <w:bottom w:w="28" w:type="dxa"/>
          <w:right w:w="28" w:type="dxa"/>
        </w:tblCellMar>
      </w:tblPr>
      <w:tblGrid>
        <w:gridCol w:w="418"/>
        <w:gridCol w:w="367"/>
        <w:gridCol w:w="371"/>
        <w:gridCol w:w="379"/>
        <w:gridCol w:w="379"/>
        <w:gridCol w:w="383"/>
        <w:gridCol w:w="309"/>
        <w:gridCol w:w="309"/>
        <w:gridCol w:w="313"/>
        <w:gridCol w:w="428"/>
        <w:gridCol w:w="428"/>
        <w:gridCol w:w="65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257,292,684</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505,068,416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2,407,581</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    By the following vote, a shareholder proposal to prepare an annual lobbying report was not approved:</w:t>
      </w:r>
    </w:p>
    <w:tbl>
      <w:tblPr>
        <w:tblW w:w="4742" w:type="dxa"/>
        <w:jc w:val="left"/>
        <w:tblInd w:w="0" w:type="dxa"/>
        <w:tblLayout w:type="fixed"/>
        <w:tblCellMar>
          <w:top w:w="28" w:type="dxa"/>
          <w:left w:w="28" w:type="dxa"/>
          <w:bottom w:w="28" w:type="dxa"/>
          <w:right w:w="28" w:type="dxa"/>
        </w:tblCellMar>
      </w:tblPr>
      <w:tblGrid>
        <w:gridCol w:w="418"/>
        <w:gridCol w:w="367"/>
        <w:gridCol w:w="371"/>
        <w:gridCol w:w="379"/>
        <w:gridCol w:w="379"/>
        <w:gridCol w:w="383"/>
        <w:gridCol w:w="309"/>
        <w:gridCol w:w="309"/>
        <w:gridCol w:w="313"/>
        <w:gridCol w:w="428"/>
        <w:gridCol w:w="428"/>
        <w:gridCol w:w="658"/>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113,417,917</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645,415,542</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5,935,222</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82,485,329</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679" w:type="dxa"/>
        <w:jc w:val="right"/>
        <w:tblInd w:w="0" w:type="dxa"/>
        <w:tblLayout w:type="fixed"/>
        <w:tblCellMar>
          <w:top w:w="28" w:type="dxa"/>
          <w:left w:w="28" w:type="dxa"/>
          <w:bottom w:w="28" w:type="dxa"/>
          <w:right w:w="28" w:type="dxa"/>
        </w:tblCellMar>
      </w:tblPr>
      <w:tblGrid>
        <w:gridCol w:w="314"/>
        <w:gridCol w:w="278"/>
        <w:gridCol w:w="278"/>
        <w:gridCol w:w="278"/>
        <w:gridCol w:w="278"/>
        <w:gridCol w:w="278"/>
        <w:gridCol w:w="1162"/>
        <w:gridCol w:w="1162"/>
        <w:gridCol w:w="1651"/>
      </w:tblGrid>
      <w:tr>
        <w:trPr/>
        <w:tc>
          <w:tcPr>
            <w:tcW w:w="3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ELI LILLY AND COMPANY</w:t>
            </w:r>
          </w:p>
        </w:tc>
      </w:tr>
      <w:tr>
        <w:trPr/>
        <w:tc>
          <w:tcPr>
            <w:tcW w:w="5679"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Anat Hakim</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Anat Hakim</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w:t>
              <w:br/>
              <w:t>Secretary</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4413</Characters>
  <CharactersWithSpaces>5079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