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1640" w:type="dxa"/>
        <w:tblCellMar>
          <w:top w:w="0" w:type="dxa"/>
          <w:left w:w="0" w:type="dxa"/>
          <w:bottom w:w="0" w:type="dxa"/>
          <w:right w:w="0" w:type="dxa"/>
        </w:tblCellMar>
      </w:tblPr>
      <w:tr>
        <w:trPr>
          <w:trHeight w:val="243"/>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LILLY CORPORATE CENTER, INDIANAPOLIS, INDIANA 46285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59" w:lineRule="exact"/>
        <w:rPr>
          <w:sz w:val="24"/>
          <w:szCs w:val="24"/>
          <w:color w:val="auto"/>
        </w:rPr>
      </w:pPr>
    </w:p>
    <w:p>
      <w:pPr>
        <w:ind w:right="80"/>
        <w:spacing w:after="0" w:line="25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42"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18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42" w:lineRule="exact"/>
        <w:rPr>
          <w:sz w:val="24"/>
          <w:szCs w:val="24"/>
          <w:color w:val="auto"/>
        </w:rPr>
      </w:pPr>
    </w:p>
    <w:p>
      <w:pPr>
        <w:ind w:right="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ectPr>
          <w:pgSz w:w="11900" w:h="16838" w:orient="portrait"/>
          <w:cols w:equalWidth="0" w:num="1">
            <w:col w:w="11420"/>
          </w:cols>
          <w:pgMar w:left="240" w:top="1131" w:right="239" w:bottom="1440" w:gutter="0" w:footer="0" w:header="0"/>
        </w:sectPr>
      </w:pPr>
    </w:p>
    <w:p>
      <w:pPr>
        <w:spacing w:after="0" w:line="156" w:lineRule="exact"/>
        <w:rPr>
          <w:sz w:val="24"/>
          <w:szCs w:val="24"/>
          <w:color w:val="auto"/>
        </w:rPr>
      </w:pPr>
    </w:p>
    <w:p>
      <w:pPr>
        <w:ind w:left="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Times New Roman" w:cs="Times New Roman" w:eastAsia="Times New Roman" w:hAnsi="Times New Roman"/>
          <w:sz w:val="16"/>
          <w:szCs w:val="16"/>
          <w:color w:val="auto"/>
        </w:rPr>
        <w:t>o</w:t>
      </w:r>
    </w:p>
    <w:p>
      <w:pPr>
        <w:spacing w:after="0" w:line="85" w:lineRule="exact"/>
        <w:rPr>
          <w:sz w:val="24"/>
          <w:szCs w:val="24"/>
          <w:color w:val="auto"/>
        </w:rPr>
      </w:pPr>
    </w:p>
    <w:p>
      <w:pPr>
        <w:sectPr>
          <w:pgSz w:w="11900" w:h="16838" w:orient="portrait"/>
          <w:cols w:equalWidth="0" w:num="2">
            <w:col w:w="9380" w:space="720"/>
            <w:col w:w="1320"/>
          </w:cols>
          <w:pgMar w:left="240" w:top="113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 xml:space="preserve">Non-accelerated filer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Smaller reporting company </w:t>
      </w:r>
      <w:r>
        <w:rPr>
          <w:rFonts w:ascii="Times New Roman" w:cs="Times New Roman" w:eastAsia="Times New Roman" w:hAnsi="Times New Roman"/>
          <w:sz w:val="16"/>
          <w:szCs w:val="16"/>
          <w:color w:val="auto"/>
        </w:rPr>
        <w:t>o</w:t>
      </w:r>
    </w:p>
    <w:p>
      <w:pPr>
        <w:spacing w:after="0" w:line="85" w:lineRule="exact"/>
        <w:rPr>
          <w:sz w:val="24"/>
          <w:szCs w:val="24"/>
          <w:color w:val="auto"/>
        </w:rPr>
      </w:pPr>
    </w:p>
    <w:p>
      <w:pPr>
        <w:sectPr>
          <w:pgSz w:w="11900" w:h="16838" w:orient="portrait"/>
          <w:cols w:equalWidth="0" w:num="2">
            <w:col w:w="8620" w:space="720"/>
            <w:col w:w="2080"/>
          </w:cols>
          <w:pgMar w:left="240" w:top="1131" w:right="239" w:bottom="1440" w:gutter="0" w:footer="0" w:header="0"/>
          <w:type w:val="continuous"/>
        </w:sectPr>
      </w:pPr>
    </w:p>
    <w:p>
      <w:pPr>
        <w:ind w:left="9340"/>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6"/>
          <w:szCs w:val="16"/>
          <w:color w:val="auto"/>
        </w:rPr>
        <w:t>o</w:t>
      </w:r>
    </w:p>
    <w:p>
      <w:pPr>
        <w:sectPr>
          <w:pgSz w:w="11900" w:h="16838" w:orient="portrait"/>
          <w:cols w:equalWidth="0" w:num="1">
            <w:col w:w="11420"/>
          </w:cols>
          <w:pgMar w:left="240" w:top="1131" w:right="239" w:bottom="1440" w:gutter="0" w:footer="0" w:header="0"/>
          <w:type w:val="continuous"/>
        </w:sectPr>
      </w:pPr>
    </w:p>
    <w:p>
      <w:pPr>
        <w:spacing w:after="0" w:line="126" w:lineRule="exact"/>
        <w:rPr>
          <w:sz w:val="24"/>
          <w:szCs w:val="24"/>
          <w:color w:val="auto"/>
        </w:rPr>
      </w:pPr>
    </w:p>
    <w:p>
      <w:pPr>
        <w:ind w:right="30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1" w:lineRule="exact"/>
        <w:rPr>
          <w:sz w:val="24"/>
          <w:szCs w:val="24"/>
          <w:color w:val="auto"/>
        </w:rPr>
      </w:pPr>
    </w:p>
    <w:p>
      <w:pPr>
        <w:spacing w:after="0" w:line="185" w:lineRule="exact"/>
        <w:rPr>
          <w:sz w:val="20"/>
          <w:szCs w:val="20"/>
          <w:color w:val="auto"/>
        </w:rPr>
      </w:pPr>
      <w:r>
        <w:rPr>
          <w:rFonts w:ascii="Arial" w:cs="Arial" w:eastAsia="Arial" w:hAnsi="Arial"/>
          <w:sz w:val="16"/>
          <w:szCs w:val="16"/>
          <w:color w:val="auto"/>
        </w:rPr>
        <w:t xml:space="preserve">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April 29, 2019:</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2320"/>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Number of Shares Outstanding</w:t>
            </w:r>
          </w:p>
        </w:tc>
      </w:tr>
      <w:tr>
        <w:trPr>
          <w:trHeight w:val="245"/>
        </w:trPr>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740" w:type="dxa"/>
            <w:vAlign w:val="bottom"/>
            <w:gridSpan w:val="4"/>
          </w:tcPr>
          <w:p>
            <w:pPr>
              <w:jc w:val="center"/>
              <w:ind w:right="2800"/>
              <w:spacing w:after="0"/>
              <w:rPr>
                <w:sz w:val="20"/>
                <w:szCs w:val="20"/>
                <w:color w:val="auto"/>
              </w:rPr>
            </w:pPr>
            <w:r>
              <w:rPr>
                <w:rFonts w:ascii="Arial" w:cs="Arial" w:eastAsia="Arial" w:hAnsi="Arial"/>
                <w:sz w:val="18"/>
                <w:szCs w:val="18"/>
                <w:color w:val="auto"/>
              </w:rPr>
              <w:t>Common</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970,830,868</w:t>
            </w:r>
          </w:p>
        </w:tc>
      </w:tr>
      <w:tr>
        <w:trPr>
          <w:trHeight w:val="623"/>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80" w:type="dxa"/>
            <w:vAlign w:val="bottom"/>
            <w:gridSpan w:val="7"/>
          </w:tcPr>
          <w:p>
            <w:pPr>
              <w:jc w:val="right"/>
              <w:ind w:right="3080"/>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r>
      <w:tr>
        <w:trPr>
          <w:trHeight w:val="291"/>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Trading Symbol</w:t>
            </w:r>
          </w:p>
        </w:tc>
        <w:tc>
          <w:tcPr>
            <w:tcW w:w="9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158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w:t>
            </w:r>
          </w:p>
        </w:tc>
        <w:tc>
          <w:tcPr>
            <w:tcW w:w="9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1.000% Notes Due June 2, 2022</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LLY22</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7 1/8% Notes Due June 1, 2025</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LLY25</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1.625% Notes Due June 2, 2026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2.125% Notes Due June 3, 2030</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LLY30</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6.77% Notes Due January 1, 2036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359"/>
        </w:trPr>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1"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March 31, 2019</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0"/>
                <w:szCs w:val="20"/>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6"/>
          </w:tcPr>
          <w:p>
            <w:pPr>
              <w:spacing w:after="0"/>
              <w:rPr>
                <w:sz w:val="22"/>
                <w:szCs w:val="22"/>
                <w:color w:val="auto"/>
              </w:rPr>
            </w:pPr>
          </w:p>
        </w:tc>
        <w:tc>
          <w:tcPr>
            <w:tcW w:w="1920" w:type="dxa"/>
            <w:vAlign w:val="bottom"/>
            <w:gridSpan w:val="2"/>
          </w:tcPr>
          <w:p>
            <w:pPr>
              <w:spacing w:after="0"/>
              <w:rPr>
                <w:sz w:val="22"/>
                <w:szCs w:val="22"/>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12"/>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Equity</w:t>
              </w:r>
            </w:hyperlink>
          </w:p>
        </w:tc>
        <w:tc>
          <w:tcPr>
            <w:tcW w:w="3320" w:type="dxa"/>
            <w:vAlign w:val="bottom"/>
            <w:gridSpan w:val="7"/>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4"/>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6"/>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73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6"/>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Revenue</w:t>
              </w:r>
            </w:hyperlink>
          </w:p>
        </w:tc>
        <w:tc>
          <w:tcPr>
            <w:tcW w:w="550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38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Financial Expectations</w:t>
              </w:r>
            </w:hyperlink>
          </w:p>
        </w:tc>
        <w:tc>
          <w:tcPr>
            <w:tcW w:w="550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Available Information on our Website</w:t>
              </w:r>
            </w:hyperlink>
          </w:p>
        </w:tc>
        <w:tc>
          <w:tcPr>
            <w:tcW w:w="4360" w:type="dxa"/>
            <w:vAlign w:val="bottom"/>
            <w:gridSpan w:val="10"/>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360" w:type="dxa"/>
            <w:vAlign w:val="bottom"/>
            <w:gridSpan w:val="10"/>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73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5"/>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73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320" w:type="dxa"/>
            <w:vAlign w:val="bottom"/>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Index to Exhibits</w:t>
              </w:r>
            </w:hyperlink>
          </w:p>
        </w:tc>
        <w:tc>
          <w:tcPr>
            <w:tcW w:w="20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00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497"/>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4"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15" w:lineRule="exact"/>
        <w:rPr>
          <w:sz w:val="20"/>
          <w:szCs w:val="20"/>
          <w:color w:val="auto"/>
        </w:rPr>
      </w:pPr>
    </w:p>
    <w:p>
      <w:pPr>
        <w:ind w:left="1300" w:right="26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United States tax reform legislation enacted in December 2017 and related guidance;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0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particularly under the caption “Risk Factors.”</w:t>
      </w:r>
    </w:p>
    <w:p>
      <w:pPr>
        <w:spacing w:after="0" w:line="55"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0"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3"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(Note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impairment, restructuring, and other special charges (Note 6)</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9)</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discontinued operations (Note 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continuing operations - basic</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discontinued operations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continuing operations -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discontinued operations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calculation of earnings per share: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185" w:lineRule="exact"/>
        <w:rPr>
          <w:sz w:val="20"/>
          <w:szCs w:val="20"/>
          <w:color w:val="auto"/>
        </w:rPr>
      </w:pPr>
    </w:p>
    <w:p>
      <w:pPr>
        <w:jc w:val="center"/>
        <w:ind w:left="33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80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63"/>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5,092.2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4,963.8</w:t>
            </w:r>
          </w:p>
        </w:tc>
      </w:tr>
      <w:tr>
        <w:trPr>
          <w:trHeight w:val="540"/>
        </w:trPr>
        <w:tc>
          <w:tcPr>
            <w:tcW w:w="30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1,138.7</w:t>
            </w:r>
          </w:p>
        </w:tc>
        <w:tc>
          <w:tcPr>
            <w:tcW w:w="3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1,164.6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1,230.5</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1,107.5</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1,517.1</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1,338.7</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136.9</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423.9</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50"/>
        </w:trPr>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4,361.1</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3,598.1</w:t>
            </w:r>
          </w:p>
        </w:tc>
      </w:tr>
      <w:tr>
        <w:trPr>
          <w:trHeight w:val="249"/>
        </w:trPr>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731.1</w:t>
            </w:r>
          </w:p>
        </w:tc>
        <w:tc>
          <w:tcPr>
            <w:tcW w:w="3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1,365.7</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170.0</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198.5</w:t>
            </w:r>
          </w:p>
        </w:tc>
      </w:tr>
      <w:tr>
        <w:trPr>
          <w:trHeight w:val="263"/>
        </w:trPr>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561.1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1,167.2</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3,680.5</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w:t>
            </w:r>
          </w:p>
        </w:tc>
      </w:tr>
      <w:tr>
        <w:trPr>
          <w:trHeight w:val="258"/>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4,241.6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1,217.4</w:t>
            </w:r>
          </w:p>
        </w:tc>
      </w:tr>
      <w:tr>
        <w:trPr>
          <w:trHeight w:val="863"/>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0.57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3.76</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r>
      <w:tr>
        <w:trPr>
          <w:trHeight w:val="271"/>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4.33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r>
      <w:tr>
        <w:trPr>
          <w:trHeight w:val="593"/>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0.57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3.74</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r>
      <w:tr>
        <w:trPr>
          <w:trHeight w:val="271"/>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4.31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r>
      <w:tr>
        <w:trPr>
          <w:trHeight w:val="863"/>
        </w:trPr>
        <w:tc>
          <w:tcPr>
            <w:tcW w:w="30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979.9</w:t>
            </w:r>
          </w:p>
        </w:tc>
        <w:tc>
          <w:tcPr>
            <w:tcW w:w="3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1,048.0</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984.0</w:t>
            </w:r>
          </w:p>
        </w:tc>
        <w:tc>
          <w:tcPr>
            <w:tcW w:w="3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1,049.8</w:t>
            </w:r>
          </w:p>
        </w:tc>
      </w:tr>
    </w:tbl>
    <w:p>
      <w:pPr>
        <w:sectPr>
          <w:pgSz w:w="11900" w:h="16838" w:orient="portrait"/>
          <w:cols w:equalWidth="0" w:num="2">
            <w:col w:w="8060" w:space="720"/>
            <w:col w:w="264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6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4,241.6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1,217.4</w:t>
            </w: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color w:val="auto"/>
              </w:rPr>
              <w:t>Other comprehensive income (loss) from continuing operations, net of tax (Note 12)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3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295.6</w:t>
            </w:r>
          </w:p>
        </w:tc>
      </w:tr>
      <w:tr>
        <w:trPr>
          <w:trHeight w:val="271"/>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comprehensive income from discontinued operations, net of tax (Note 12)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56.8</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r>
      <w:tr>
        <w:trPr>
          <w:trHeight w:val="263"/>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net of tax (Note 12)</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52.7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386.3</w:t>
            </w:r>
          </w:p>
        </w:tc>
      </w:tr>
      <w:tr>
        <w:trPr>
          <w:trHeight w:val="258"/>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4,294.3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1,603.7</w:t>
            </w:r>
          </w:p>
        </w:tc>
      </w:tr>
    </w:tbl>
    <w:p>
      <w:pPr>
        <w:spacing w:after="0" w:line="127" w:lineRule="exact"/>
        <w:rPr>
          <w:sz w:val="20"/>
          <w:szCs w:val="20"/>
          <w:color w:val="auto"/>
        </w:rPr>
      </w:pPr>
    </w:p>
    <w:p>
      <w:pPr>
        <w:ind w:left="180" w:hanging="172"/>
        <w:spacing w:after="0" w:line="309" w:lineRule="auto"/>
        <w:tabs>
          <w:tab w:leader="none" w:pos="166"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color w:val="auto"/>
        </w:rPr>
        <w:t>For the three months ended March 31, 2019, other comprehensive income related to discontinued operations consisted of $45.8 million of accumulated other comprehensive income attributable to controlling interest and $11.0 million of accumulated other comprehensive income attributable to noncontrolling interest.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5" w:name="page6"/>
    <w:bookmarkEnd w:id="5"/>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2,036.4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7)</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100.7</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$24.4 (2019)</w:t>
            </w:r>
            <w:r>
              <w:rPr>
                <w:rFonts w:ascii="Arial" w:cs="Arial" w:eastAsia="Arial" w:hAnsi="Arial"/>
                <w:sz w:val="18"/>
                <w:szCs w:val="18"/>
                <w:color w:val="auto"/>
              </w:rPr>
              <w:t xml:space="preserve"> and $24.1 (2018)</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4,200.5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4,593.9</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977.5</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3,055.2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3,098.1</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2,227.2</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5)</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12,597.5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20,549.6</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(Note 7)</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2,111.4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69"/>
        </w:trPr>
        <w:tc>
          <w:tcPr>
            <w:tcW w:w="7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3,855.9</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6,641.5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69"/>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2,511.0</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2,613.7</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Sundry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1,963.0</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1,824.9</w:t>
            </w:r>
          </w:p>
        </w:tc>
        <w:tc>
          <w:tcPr>
            <w:tcW w:w="0" w:type="dxa"/>
            <w:vAlign w:val="bottom"/>
          </w:tcPr>
          <w:p>
            <w:pPr>
              <w:spacing w:after="0"/>
              <w:rPr>
                <w:sz w:val="1"/>
                <w:szCs w:val="1"/>
                <w:color w:val="auto"/>
              </w:rPr>
            </w:pPr>
          </w:p>
        </w:tc>
      </w:tr>
      <w:tr>
        <w:trPr>
          <w:trHeight w:val="207"/>
        </w:trPr>
        <w:tc>
          <w:tcPr>
            <w:tcW w:w="764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$8,792.0 (2019)</w:t>
            </w:r>
            <w:r>
              <w:rPr>
                <w:rFonts w:ascii="Arial" w:cs="Arial" w:eastAsia="Arial" w:hAnsi="Arial"/>
                <w:sz w:val="18"/>
                <w:szCs w:val="18"/>
                <w:color w:val="auto"/>
              </w:rPr>
              <w:t xml:space="preserve"> and $8,666.9</w:t>
            </w:r>
          </w:p>
        </w:tc>
        <w:tc>
          <w:tcPr>
            <w:tcW w:w="260" w:type="dxa"/>
            <w:vAlign w:val="bottom"/>
          </w:tcPr>
          <w:p>
            <w:pPr>
              <w:spacing w:after="0"/>
              <w:rPr>
                <w:sz w:val="17"/>
                <w:szCs w:val="17"/>
                <w:color w:val="auto"/>
              </w:rPr>
            </w:pPr>
          </w:p>
        </w:tc>
        <w:tc>
          <w:tcPr>
            <w:tcW w:w="16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7,780.0</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64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7,996.1</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 (Note 8)</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546.5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 of discontinued operations (Note 5)</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6,484.1</w:t>
            </w:r>
          </w:p>
        </w:tc>
        <w:tc>
          <w:tcPr>
            <w:tcW w:w="0" w:type="dxa"/>
            <w:vAlign w:val="bottom"/>
          </w:tcPr>
          <w:p>
            <w:pPr>
              <w:spacing w:after="0"/>
              <w:rPr>
                <w:sz w:val="1"/>
                <w:szCs w:val="1"/>
                <w:color w:val="auto"/>
              </w:rPr>
            </w:pPr>
          </w:p>
        </w:tc>
      </w:tr>
      <w:tr>
        <w:trPr>
          <w:trHeight w:val="27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38,006.8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r>
        <w:trPr>
          <w:trHeight w:val="256"/>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2,354.9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1,168.1</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511.7</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4,455.7</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4,849.5</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491.4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2,254.3</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5)</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11,236.1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11,888.1</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13,610.2</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 (Note 8)</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508.2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Accrued retirement benefits (Note 10)</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2,757.6</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2,802.2</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3,760.4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2,399.5</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1,169.8</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liabilities of discontinued operations (Note 5)</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24,205.7</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21,111.2</w:t>
            </w:r>
          </w:p>
        </w:tc>
        <w:tc>
          <w:tcPr>
            <w:tcW w:w="0" w:type="dxa"/>
            <w:vAlign w:val="bottom"/>
          </w:tcPr>
          <w:p>
            <w:pPr>
              <w:spacing w:after="0"/>
              <w:rPr>
                <w:sz w:val="1"/>
                <w:szCs w:val="1"/>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11)</w:t>
            </w: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Eli Lilly and Company Shareholders’ Equity</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607.1</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5,756.6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6,583.6</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4,879.4</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11,395.9</w:t>
            </w:r>
          </w:p>
        </w:tc>
        <w:tc>
          <w:tcPr>
            <w:tcW w:w="0" w:type="dxa"/>
            <w:vAlign w:val="bottom"/>
          </w:tcPr>
          <w:p>
            <w:pPr>
              <w:spacing w:after="0"/>
              <w:rPr>
                <w:sz w:val="1"/>
                <w:szCs w:val="1"/>
                <w:color w:val="auto"/>
              </w:rPr>
            </w:pP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12)</w:t>
            </w:r>
          </w:p>
        </w:tc>
        <w:tc>
          <w:tcPr>
            <w:tcW w:w="260" w:type="dxa"/>
            <w:vAlign w:val="bottom"/>
          </w:tcPr>
          <w:p>
            <w:pPr>
              <w:spacing w:after="0"/>
              <w:rPr>
                <w:sz w:val="23"/>
                <w:szCs w:val="23"/>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(5,687.5)</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(5,729.2)</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2,480.3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9,828.7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84.7</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2,565.0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10,909.1</w:t>
            </w:r>
          </w:p>
        </w:tc>
        <w:tc>
          <w:tcPr>
            <w:tcW w:w="0" w:type="dxa"/>
            <w:vAlign w:val="bottom"/>
          </w:tcPr>
          <w:p>
            <w:pPr>
              <w:spacing w:after="0"/>
              <w:rPr>
                <w:sz w:val="1"/>
                <w:szCs w:val="1"/>
                <w:color w:val="auto"/>
              </w:rPr>
            </w:pPr>
          </w:p>
        </w:tc>
      </w:tr>
      <w:tr>
        <w:trPr>
          <w:trHeight w:val="27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38,006.8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67" w:orient="portrait"/>
          <w:cols w:equalWidth="0" w:num="1">
            <w:col w:w="11420"/>
          </w:cols>
          <w:pgMar w:left="240" w:top="57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67" w:orient="portrait"/>
          <w:cols w:equalWidth="0" w:num="1">
            <w:col w:w="11420"/>
          </w:cols>
          <w:pgMar w:left="240" w:top="574"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79"/>
              <w:spacing w:after="0" w:line="98"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58"/>
              <w:spacing w:after="0" w:line="98"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0"/>
              <w:spacing w:after="0" w:line="98"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59"/>
              <w:spacing w:after="0" w:line="98"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19"/>
              <w:spacing w:after="0" w:line="98"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159"/>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Capital</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Earnings</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Loss</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2018</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1,100,672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687.9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5,817.8</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13,894.1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(5,718.6)</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664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1,217.4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Other comprehensive income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386.3</w:t>
            </w: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tcPr>
          <w:p>
            <w:pPr>
              <w:jc w:val="right"/>
              <w:ind w:right="39"/>
              <w:spacing w:after="0"/>
              <w:rPr>
                <w:sz w:val="20"/>
                <w:szCs w:val="20"/>
                <w:color w:val="auto"/>
              </w:rPr>
            </w:pPr>
            <w:r>
              <w:rPr>
                <w:rFonts w:ascii="Arial" w:cs="Arial" w:eastAsia="Arial" w:hAnsi="Arial"/>
                <w:sz w:val="13"/>
                <w:szCs w:val="13"/>
                <w:color w:val="auto"/>
              </w:rPr>
              <w:t>(14,088)</w:t>
            </w:r>
          </w:p>
        </w:tc>
        <w:tc>
          <w:tcPr>
            <w:tcW w:w="220" w:type="dxa"/>
            <w:vAlign w:val="bottom"/>
          </w:tcPr>
          <w:p>
            <w:pPr>
              <w:spacing w:after="0"/>
              <w:rPr>
                <w:sz w:val="22"/>
                <w:szCs w:val="22"/>
                <w:color w:val="auto"/>
              </w:rPr>
            </w:pPr>
          </w:p>
        </w:tc>
        <w:tc>
          <w:tcPr>
            <w:tcW w:w="580" w:type="dxa"/>
            <w:vAlign w:val="bottom"/>
          </w:tcPr>
          <w:p>
            <w:pPr>
              <w:jc w:val="right"/>
              <w:ind w:right="18"/>
              <w:spacing w:after="0"/>
              <w:rPr>
                <w:sz w:val="20"/>
                <w:szCs w:val="20"/>
                <w:color w:val="auto"/>
              </w:rPr>
            </w:pPr>
            <w:r>
              <w:rPr>
                <w:rFonts w:ascii="Arial" w:cs="Arial" w:eastAsia="Arial" w:hAnsi="Arial"/>
                <w:sz w:val="13"/>
                <w:szCs w:val="13"/>
                <w:color w:val="auto"/>
              </w:rPr>
              <w:t>(8.8)</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(1,091.2)</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(14,088)</w:t>
            </w:r>
          </w:p>
        </w:tc>
        <w:tc>
          <w:tcPr>
            <w:tcW w:w="20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1,100.0</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14,088</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(1,100.0)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tcPr>
          <w:p>
            <w:pPr>
              <w:jc w:val="right"/>
              <w:ind w:right="79"/>
              <w:spacing w:after="0"/>
              <w:rPr>
                <w:sz w:val="20"/>
                <w:szCs w:val="20"/>
                <w:color w:val="auto"/>
              </w:rPr>
            </w:pPr>
            <w:r>
              <w:rPr>
                <w:rFonts w:ascii="Arial" w:cs="Arial" w:eastAsia="Arial" w:hAnsi="Arial"/>
                <w:sz w:val="13"/>
                <w:szCs w:val="13"/>
                <w:color w:val="auto"/>
              </w:rPr>
              <w:t>2,650</w:t>
            </w:r>
          </w:p>
        </w:tc>
        <w:tc>
          <w:tcPr>
            <w:tcW w:w="220" w:type="dxa"/>
            <w:vAlign w:val="bottom"/>
          </w:tcPr>
          <w:p>
            <w:pPr>
              <w:spacing w:after="0"/>
              <w:rPr>
                <w:sz w:val="12"/>
                <w:szCs w:val="12"/>
                <w:color w:val="auto"/>
              </w:rPr>
            </w:pPr>
          </w:p>
        </w:tc>
        <w:tc>
          <w:tcPr>
            <w:tcW w:w="580" w:type="dxa"/>
            <w:vAlign w:val="bottom"/>
            <w:vMerge w:val="restart"/>
          </w:tcPr>
          <w:p>
            <w:pPr>
              <w:jc w:val="right"/>
              <w:ind w:right="58"/>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(127.8)</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12"/>
                <w:szCs w:val="12"/>
                <w:color w:val="auto"/>
              </w:rPr>
            </w:pPr>
          </w:p>
        </w:tc>
        <w:tc>
          <w:tcPr>
            <w:tcW w:w="660" w:type="dxa"/>
            <w:vAlign w:val="bottom"/>
            <w:vMerge w:val="restart"/>
          </w:tcPr>
          <w:p>
            <w:pPr>
              <w:jc w:val="right"/>
              <w:ind w:right="58"/>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3"/>
                <w:szCs w:val="13"/>
                <w:color w:val="auto"/>
              </w:rPr>
              <w:t>Adoption of new accounting standards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2,584.4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3"/>
                <w:szCs w:val="13"/>
                <w:color w:val="auto"/>
              </w:rPr>
              <w:t>(105.2)</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3.5</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March 31, 2018</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1,089,234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680.8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5,758.0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16,608.2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(5,437.5)</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604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324"/>
        </w:trPr>
        <w:tc>
          <w:tcPr>
            <w:tcW w:w="2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3"/>
                <w:szCs w:val="13"/>
                <w:color w:val="auto"/>
              </w:rPr>
              <w:t>Balance at January 1, 2019</w:t>
            </w:r>
          </w:p>
        </w:tc>
        <w:tc>
          <w:tcPr>
            <w:tcW w:w="960" w:type="dxa"/>
            <w:vAlign w:val="bottom"/>
          </w:tcPr>
          <w:p>
            <w:pPr>
              <w:jc w:val="right"/>
              <w:ind w:right="79"/>
              <w:spacing w:after="0"/>
              <w:rPr>
                <w:sz w:val="20"/>
                <w:szCs w:val="20"/>
                <w:color w:val="auto"/>
              </w:rPr>
            </w:pPr>
            <w:r>
              <w:rPr>
                <w:rFonts w:ascii="Arial" w:cs="Arial" w:eastAsia="Arial" w:hAnsi="Arial"/>
                <w:sz w:val="13"/>
                <w:szCs w:val="13"/>
                <w:color w:val="auto"/>
              </w:rPr>
              <w:t>1,057,639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661.0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6,583.6</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98"/>
              <w:spacing w:after="0"/>
              <w:rPr>
                <w:sz w:val="20"/>
                <w:szCs w:val="20"/>
                <w:color w:val="auto"/>
              </w:rPr>
            </w:pPr>
            <w:r>
              <w:rPr>
                <w:rFonts w:ascii="Arial" w:cs="Arial" w:eastAsia="Arial" w:hAnsi="Arial"/>
                <w:sz w:val="13"/>
                <w:szCs w:val="13"/>
                <w:color w:val="auto"/>
              </w:rPr>
              <w:t>11,395.9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(3,013.2)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9"/>
              <w:spacing w:after="0"/>
              <w:rPr>
                <w:sz w:val="20"/>
                <w:szCs w:val="20"/>
                <w:color w:val="auto"/>
              </w:rPr>
            </w:pPr>
            <w:r>
              <w:rPr>
                <w:rFonts w:ascii="Arial" w:cs="Arial" w:eastAsia="Arial" w:hAnsi="Arial"/>
                <w:sz w:val="13"/>
                <w:szCs w:val="13"/>
                <w:color w:val="auto"/>
              </w:rPr>
              <w:t>(5,729.2)</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604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(69.4)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9"/>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4,241.6</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22.2</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159"/>
              <w:spacing w:after="0"/>
              <w:rPr>
                <w:sz w:val="20"/>
                <w:szCs w:val="20"/>
                <w:color w:val="auto"/>
              </w:rPr>
            </w:pPr>
            <w:r>
              <w:rPr>
                <w:rFonts w:ascii="Arial" w:cs="Arial" w:eastAsia="Arial" w:hAnsi="Arial"/>
                <w:sz w:val="13"/>
                <w:szCs w:val="13"/>
                <w:b w:val="1"/>
                <w:bCs w:val="1"/>
                <w:color w:val="auto"/>
              </w:rPr>
              <w:t>41.7</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3"/>
                <w:szCs w:val="13"/>
                <w:b w:val="1"/>
                <w:bCs w:val="1"/>
                <w:color w:val="auto"/>
              </w:rPr>
              <w:t>11.0</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(89,197)</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(55.7)</w:t>
            </w: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97"/>
              </w:rPr>
              <w:t>(10,771.8)</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(89,197)</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10,827.5</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(700.0)</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b w:val="1"/>
                <w:bCs w:val="1"/>
                <w:color w:val="auto"/>
              </w:rPr>
              <w:t>24,196</w:t>
            </w:r>
          </w:p>
        </w:tc>
        <w:tc>
          <w:tcPr>
            <w:tcW w:w="200" w:type="dxa"/>
            <w:vAlign w:val="bottom"/>
          </w:tcPr>
          <w:p>
            <w:pPr>
              <w:spacing w:after="0"/>
              <w:rPr>
                <w:sz w:val="23"/>
                <w:szCs w:val="23"/>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auto"/>
              </w:rPr>
              <w:t>(2,800.0)</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Issuance of stock under employee stock</w:t>
            </w: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b w:val="1"/>
                <w:bCs w:val="1"/>
                <w:color w:val="auto"/>
              </w:rPr>
              <w:t>2,921</w:t>
            </w: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1.8</w:t>
            </w:r>
          </w:p>
        </w:tc>
        <w:tc>
          <w:tcPr>
            <w:tcW w:w="2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(202.8)</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(63)</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7.3</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75.8</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Acquisition of common stock in exchange</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65,001</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(8,027.5)</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offer</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3"/>
                <w:szCs w:val="13"/>
                <w:color w:val="auto"/>
              </w:rPr>
              <w:t>Deconsolidation of Elanco</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(1,028.9)</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b w:val="1"/>
                <w:bCs w:val="1"/>
                <w:color w:val="auto"/>
              </w:rPr>
              <w:t>13.7</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tcPr>
          <w:p>
            <w:pPr>
              <w:ind w:left="40"/>
              <w:spacing w:after="0"/>
              <w:rPr>
                <w:sz w:val="20"/>
                <w:szCs w:val="20"/>
                <w:color w:val="auto"/>
              </w:rPr>
            </w:pPr>
            <w:r>
              <w:rPr>
                <w:rFonts w:ascii="Arial" w:cs="Arial" w:eastAsia="Arial" w:hAnsi="Arial"/>
                <w:sz w:val="13"/>
                <w:szCs w:val="13"/>
                <w:color w:val="auto"/>
              </w:rPr>
              <w:t>Balance at March 31, 2019</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971,363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607.1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5,756.6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4,879.4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(5,687.5)</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541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(62.1)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84.7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8"/>
        <w:spacing w:after="0" w:line="314" w:lineRule="auto"/>
        <w:tabs>
          <w:tab w:leader="none" w:pos="145" w:val="left"/>
        </w:tabs>
        <w:numPr>
          <w:ilvl w:val="0"/>
          <w:numId w:val="3"/>
        </w:numPr>
        <w:rPr>
          <w:rFonts w:ascii="Arial" w:cs="Arial" w:eastAsia="Arial" w:hAnsi="Arial"/>
          <w:sz w:val="8"/>
          <w:szCs w:val="8"/>
          <w:color w:val="auto"/>
        </w:rPr>
      </w:pPr>
      <w:r>
        <w:rPr>
          <w:rFonts w:ascii="Arial" w:cs="Arial" w:eastAsia="Arial" w:hAnsi="Arial"/>
          <w:sz w:val="12"/>
          <w:szCs w:val="12"/>
          <w:color w:val="auto"/>
        </w:rPr>
        <w:t>As of March 31, 2019, there was $3.10 billion remaining under our $8.00 billion share repurchase program authorized in June 2018. Our share repurchases are facilitated through payments to a financial institution that purchases the shares on our behalf. As of March 31, 2019, we had paid $700 million to a financial institution for shares that are expected to be repurchased in the second quarter of 2019.</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14605</wp:posOffset>
            </wp:positionV>
            <wp:extent cx="2400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3" w:lineRule="exact"/>
        <w:rPr>
          <w:sz w:val="20"/>
          <w:szCs w:val="20"/>
          <w:color w:val="auto"/>
        </w:rPr>
      </w:pPr>
    </w:p>
    <w:p>
      <w:pPr>
        <w:ind w:left="8360"/>
        <w:spacing w:after="0"/>
        <w:tabs>
          <w:tab w:leader="none" w:pos="10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27305</wp:posOffset>
            </wp:positionV>
            <wp:extent cx="2400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620" w:val="left"/>
          <w:tab w:leader="none" w:pos="8720" w:val="left"/>
          <w:tab w:leader="none" w:pos="9560" w:val="left"/>
          <w:tab w:leader="none" w:pos="106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4,241.6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1,217.4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574" w:right="259" w:bottom="1440" w:gutter="0" w:footer="0" w:header="0"/>
        </w:sectPr>
      </w:pP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related to disposition of Elanco (Note 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77" w:lineRule="exact"/>
        <w:rPr>
          <w:sz w:val="20"/>
          <w:szCs w:val="20"/>
          <w:color w:val="auto"/>
        </w:rPr>
      </w:pPr>
    </w:p>
    <w:p>
      <w:pPr>
        <w:ind w:left="180" w:right="60"/>
        <w:spacing w:after="0" w:line="319" w:lineRule="auto"/>
        <w:rPr>
          <w:sz w:val="20"/>
          <w:szCs w:val="20"/>
          <w:color w:val="auto"/>
        </w:rPr>
      </w:pPr>
      <w:r>
        <w:rPr>
          <w:rFonts w:ascii="Arial" w:cs="Arial" w:eastAsia="Arial" w:hAnsi="Arial"/>
          <w:sz w:val="18"/>
          <w:szCs w:val="18"/>
          <w:color w:val="auto"/>
        </w:rPr>
        <w:t>Other changes in operating assets and liabilities, net of acquisitions and divestitures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(3,680.5)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356.5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422.8</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(72.4)</w:t>
            </w:r>
          </w:p>
        </w:tc>
        <w:tc>
          <w:tcPr>
            <w:tcW w:w="13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75.8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68.0</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136.9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(714.3)</w:t>
            </w:r>
          </w:p>
        </w:tc>
        <w:tc>
          <w:tcPr>
            <w:tcW w:w="1380" w:type="dxa"/>
            <w:vAlign w:val="bottom"/>
          </w:tcPr>
          <w:p>
            <w:pPr>
              <w:jc w:val="right"/>
              <w:spacing w:after="0"/>
              <w:rPr>
                <w:sz w:val="20"/>
                <w:szCs w:val="20"/>
                <w:color w:val="auto"/>
              </w:rPr>
            </w:pPr>
            <w:r>
              <w:rPr>
                <w:rFonts w:ascii="Arial" w:cs="Arial" w:eastAsia="Arial" w:hAnsi="Arial"/>
                <w:sz w:val="18"/>
                <w:szCs w:val="18"/>
                <w:color w:val="auto"/>
              </w:rPr>
              <w:t>(1,270.0)</w:t>
            </w:r>
          </w:p>
        </w:tc>
      </w:tr>
      <w:tr>
        <w:trPr>
          <w:trHeight w:val="271"/>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(32.3)</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r>
      <w:tr>
        <w:trPr>
          <w:trHeight w:val="249"/>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311.3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436.5</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(203.7)</w:t>
            </w:r>
          </w:p>
        </w:tc>
        <w:tc>
          <w:tcPr>
            <w:tcW w:w="13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35.9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450.7</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(33.7)</w:t>
            </w:r>
          </w:p>
        </w:tc>
        <w:tc>
          <w:tcPr>
            <w:tcW w:w="13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83.6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(60.6)</w:t>
            </w:r>
          </w:p>
        </w:tc>
        <w:tc>
          <w:tcPr>
            <w:tcW w:w="1380" w:type="dxa"/>
            <w:vAlign w:val="bottom"/>
          </w:tcPr>
          <w:p>
            <w:pPr>
              <w:jc w:val="right"/>
              <w:spacing w:after="0"/>
              <w:rPr>
                <w:sz w:val="20"/>
                <w:szCs w:val="20"/>
                <w:color w:val="auto"/>
              </w:rPr>
            </w:pPr>
            <w:r>
              <w:rPr>
                <w:rFonts w:ascii="Arial" w:cs="Arial" w:eastAsia="Arial" w:hAnsi="Arial"/>
                <w:sz w:val="18"/>
                <w:szCs w:val="18"/>
                <w:color w:val="auto"/>
              </w:rPr>
              <w:t>(561.6)</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(6,917.7)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(196.9)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(385.6)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55"/>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(7,678.7)</w:t>
            </w:r>
          </w:p>
        </w:tc>
        <w:tc>
          <w:tcPr>
            <w:tcW w:w="1380" w:type="dxa"/>
            <w:vAlign w:val="bottom"/>
          </w:tcPr>
          <w:p>
            <w:pPr>
              <w:jc w:val="right"/>
              <w:spacing w:after="0"/>
              <w:rPr>
                <w:sz w:val="20"/>
                <w:szCs w:val="20"/>
                <w:color w:val="auto"/>
              </w:rPr>
            </w:pPr>
            <w:r>
              <w:rPr>
                <w:rFonts w:ascii="Arial" w:cs="Arial" w:eastAsia="Arial" w:hAnsi="Arial"/>
                <w:sz w:val="18"/>
                <w:szCs w:val="18"/>
                <w:color w:val="auto"/>
              </w:rPr>
              <w:t>(170.3)</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(637.2)</w:t>
            </w:r>
          </w:p>
        </w:tc>
        <w:tc>
          <w:tcPr>
            <w:tcW w:w="1380" w:type="dxa"/>
            <w:vAlign w:val="bottom"/>
          </w:tcPr>
          <w:p>
            <w:pPr>
              <w:jc w:val="right"/>
              <w:spacing w:after="0"/>
              <w:rPr>
                <w:sz w:val="20"/>
                <w:szCs w:val="20"/>
                <w:color w:val="auto"/>
              </w:rPr>
            </w:pPr>
            <w:r>
              <w:rPr>
                <w:rFonts w:ascii="Arial" w:cs="Arial" w:eastAsia="Arial" w:hAnsi="Arial"/>
                <w:sz w:val="18"/>
                <w:szCs w:val="18"/>
                <w:color w:val="auto"/>
              </w:rPr>
              <w:t>(587.3)</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1,850.4</w:t>
            </w:r>
          </w:p>
        </w:tc>
        <w:tc>
          <w:tcPr>
            <w:tcW w:w="1380" w:type="dxa"/>
            <w:vAlign w:val="bottom"/>
          </w:tcPr>
          <w:p>
            <w:pPr>
              <w:jc w:val="right"/>
              <w:spacing w:after="0"/>
              <w:rPr>
                <w:sz w:val="20"/>
                <w:szCs w:val="20"/>
                <w:color w:val="auto"/>
              </w:rPr>
            </w:pPr>
            <w:r>
              <w:rPr>
                <w:rFonts w:ascii="Arial" w:cs="Arial" w:eastAsia="Arial" w:hAnsi="Arial"/>
                <w:sz w:val="18"/>
                <w:szCs w:val="18"/>
                <w:color w:val="auto"/>
              </w:rPr>
              <w:t>(1,202.5)</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4,448.3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(600.0)</w:t>
            </w:r>
          </w:p>
        </w:tc>
        <w:tc>
          <w:tcPr>
            <w:tcW w:w="1380" w:type="dxa"/>
            <w:vAlign w:val="bottom"/>
          </w:tcPr>
          <w:p>
            <w:pPr>
              <w:jc w:val="right"/>
              <w:spacing w:after="0"/>
              <w:rPr>
                <w:sz w:val="20"/>
                <w:szCs w:val="20"/>
                <w:color w:val="auto"/>
              </w:rPr>
            </w:pPr>
            <w:r>
              <w:rPr>
                <w:rFonts w:ascii="Arial" w:cs="Arial" w:eastAsia="Arial" w:hAnsi="Arial"/>
                <w:sz w:val="18"/>
                <w:szCs w:val="18"/>
                <w:color w:val="auto"/>
              </w:rPr>
              <w:t>(800.3)</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(3,500.0)</w:t>
            </w:r>
          </w:p>
        </w:tc>
        <w:tc>
          <w:tcPr>
            <w:tcW w:w="1380" w:type="dxa"/>
            <w:vAlign w:val="bottom"/>
          </w:tcPr>
          <w:p>
            <w:pPr>
              <w:jc w:val="right"/>
              <w:spacing w:after="0"/>
              <w:rPr>
                <w:sz w:val="20"/>
                <w:szCs w:val="20"/>
                <w:color w:val="auto"/>
              </w:rPr>
            </w:pPr>
            <w:r>
              <w:rPr>
                <w:rFonts w:ascii="Arial" w:cs="Arial" w:eastAsia="Arial" w:hAnsi="Arial"/>
                <w:sz w:val="18"/>
                <w:szCs w:val="18"/>
                <w:color w:val="auto"/>
              </w:rPr>
              <w:t>(1,100.0)</w:t>
            </w:r>
          </w:p>
        </w:tc>
      </w:tr>
      <w:tr>
        <w:trPr>
          <w:trHeight w:val="271"/>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(193.7)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r>
      <w:tr>
        <w:trPr>
          <w:trHeight w:val="249"/>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1,367.8</w:t>
            </w:r>
          </w:p>
        </w:tc>
        <w:tc>
          <w:tcPr>
            <w:tcW w:w="1380" w:type="dxa"/>
            <w:vAlign w:val="bottom"/>
          </w:tcPr>
          <w:p>
            <w:pPr>
              <w:jc w:val="right"/>
              <w:spacing w:after="0"/>
              <w:rPr>
                <w:sz w:val="20"/>
                <w:szCs w:val="20"/>
                <w:color w:val="auto"/>
              </w:rPr>
            </w:pPr>
            <w:r>
              <w:rPr>
                <w:rFonts w:ascii="Arial" w:cs="Arial" w:eastAsia="Arial" w:hAnsi="Arial"/>
                <w:sz w:val="18"/>
                <w:szCs w:val="18"/>
                <w:color w:val="auto"/>
              </w:rPr>
              <w:t>(3,866.5)</w:t>
            </w:r>
          </w:p>
        </w:tc>
      </w:tr>
      <w:tr>
        <w:trPr>
          <w:trHeight w:val="284"/>
        </w:trPr>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37.8</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148.4</w:t>
            </w:r>
          </w:p>
        </w:tc>
      </w:tr>
    </w:tbl>
    <w:p>
      <w:pPr>
        <w:spacing w:after="0" w:line="200" w:lineRule="exact"/>
        <w:rPr>
          <w:sz w:val="20"/>
          <w:szCs w:val="20"/>
          <w:color w:val="auto"/>
        </w:rPr>
      </w:pPr>
    </w:p>
    <w:p>
      <w:pPr>
        <w:sectPr>
          <w:pgSz w:w="11900" w:h="16838" w:orient="portrait"/>
          <w:cols w:equalWidth="0" w:num="2">
            <w:col w:w="6900" w:space="720"/>
            <w:col w:w="3780"/>
          </w:cols>
          <w:pgMar w:left="240" w:top="574" w:right="25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(5,961.8)</w:t>
            </w:r>
          </w:p>
        </w:tc>
        <w:tc>
          <w:tcPr>
            <w:tcW w:w="6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w:t>
            </w:r>
          </w:p>
        </w:tc>
        <w:tc>
          <w:tcPr>
            <w:tcW w:w="0" w:type="dxa"/>
            <w:vAlign w:val="bottom"/>
          </w:tcPr>
          <w:p>
            <w:pPr>
              <w:spacing w:after="0"/>
              <w:rPr>
                <w:sz w:val="1"/>
                <w:szCs w:val="1"/>
                <w:color w:val="auto"/>
              </w:rPr>
            </w:pPr>
          </w:p>
        </w:tc>
      </w:tr>
      <w:tr>
        <w:trPr>
          <w:trHeight w:val="207"/>
        </w:trPr>
        <w:tc>
          <w:tcPr>
            <w:tcW w:w="7620" w:type="dxa"/>
            <w:vAlign w:val="bottom"/>
          </w:tcPr>
          <w:p>
            <w:pPr>
              <w:ind w:left="40"/>
              <w:spacing w:after="0"/>
              <w:rPr>
                <w:sz w:val="20"/>
                <w:szCs w:val="20"/>
                <w:color w:val="auto"/>
              </w:rPr>
            </w:pPr>
            <w:r>
              <w:rPr>
                <w:rFonts w:ascii="Arial" w:cs="Arial" w:eastAsia="Arial" w:hAnsi="Arial"/>
                <w:sz w:val="18"/>
                <w:szCs w:val="18"/>
                <w:color w:val="auto"/>
              </w:rPr>
              <w:t>Cash and cash equivalents at January 1 (includes $677.5 (2019) and $324.4 (2018) of</w:t>
            </w:r>
          </w:p>
        </w:tc>
        <w:tc>
          <w:tcPr>
            <w:tcW w:w="580" w:type="dxa"/>
            <w:vAlign w:val="bottom"/>
          </w:tcPr>
          <w:p>
            <w:pPr>
              <w:spacing w:after="0"/>
              <w:rPr>
                <w:sz w:val="17"/>
                <w:szCs w:val="17"/>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7,998.2</w:t>
            </w:r>
          </w:p>
        </w:tc>
        <w:tc>
          <w:tcPr>
            <w:tcW w:w="660" w:type="dxa"/>
            <w:vAlign w:val="bottom"/>
          </w:tcPr>
          <w:p>
            <w:pPr>
              <w:spacing w:after="0"/>
              <w:rPr>
                <w:sz w:val="17"/>
                <w:szCs w:val="17"/>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143"/>
        </w:trPr>
        <w:tc>
          <w:tcPr>
            <w:tcW w:w="7620" w:type="dxa"/>
            <w:vAlign w:val="bottom"/>
            <w:vMerge w:val="restart"/>
          </w:tcPr>
          <w:p>
            <w:pPr>
              <w:ind w:left="40"/>
              <w:spacing w:after="0"/>
              <w:rPr>
                <w:sz w:val="20"/>
                <w:szCs w:val="20"/>
                <w:color w:val="auto"/>
              </w:rPr>
            </w:pPr>
            <w:r>
              <w:rPr>
                <w:rFonts w:ascii="Arial" w:cs="Arial" w:eastAsia="Arial" w:hAnsi="Arial"/>
                <w:sz w:val="18"/>
                <w:szCs w:val="18"/>
                <w:color w:val="auto"/>
              </w:rPr>
              <w:t>discontinued operations)</w:t>
            </w:r>
          </w:p>
        </w:tc>
        <w:tc>
          <w:tcPr>
            <w:tcW w:w="5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620" w:type="dxa"/>
            <w:vAlign w:val="bottom"/>
            <w:tcBorders>
              <w:bottom w:val="single" w:sz="8" w:color="CCEEFF"/>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and Cash Equivalents at March 31 (includes $264.5 (2018) of discontinued</w:t>
            </w: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2,036.4</w:t>
            </w:r>
          </w:p>
        </w:tc>
        <w:tc>
          <w:tcPr>
            <w:tcW w:w="66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145"/>
        </w:trPr>
        <w:tc>
          <w:tcPr>
            <w:tcW w:w="762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operations)</w:t>
            </w:r>
          </w:p>
        </w:tc>
        <w:tc>
          <w:tcPr>
            <w:tcW w:w="580" w:type="dxa"/>
            <w:vAlign w:val="bottom"/>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7620" w:type="dxa"/>
            <w:vAlign w:val="bottom"/>
            <w:tcBorders>
              <w:bottom w:val="single" w:sz="8" w:color="CCEEFF"/>
            </w:tcBorders>
            <w:vMerge w:val="continue"/>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00"/>
          </w:cols>
          <w:pgMar w:left="240" w:top="57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574" w:right="2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Elanco has been presented as discontinued operations in our consolidated condensed financial statements for all periods presented.</w:t>
      </w:r>
    </w:p>
    <w:p>
      <w:pPr>
        <w:spacing w:after="0" w:line="1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177" w:lineRule="exact"/>
        <w:rPr>
          <w:sz w:val="20"/>
          <w:szCs w:val="20"/>
          <w:color w:val="auto"/>
        </w:rPr>
      </w:pPr>
    </w:p>
    <w:p>
      <w:pPr>
        <w:ind w:right="2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We issue our financial statements by filing with the Securities and Exchange Commission and have evaluated subsequent events up to the time of the filing.</w:t>
      </w:r>
    </w:p>
    <w:p>
      <w:pPr>
        <w:spacing w:after="0" w:line="5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Following the completion of the disposition of Elanco, we now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12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approach, applied at the beginning of the period of adoption, and we elected the package of transitional practical expedients. The adoption of this standard resulted in recording of operating lease assets of approximately $530 million, which included reclassifying approximately $65 million of deferred rent and lease incentives, net of prepaid rent, as a component of the operating lease asset as of January 1, 2019. The adoption also resulted in recording operating lease liabilities of approximately $595 million as of January 1, 2019. Our accounting for finance leases remained substantially unchanged. The standard did not have an impact on our consolidated condensed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7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64"/>
        </w:trPr>
        <w:tc>
          <w:tcPr>
            <w:tcW w:w="878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4,692.3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4,605.9</w:t>
            </w:r>
          </w:p>
        </w:tc>
      </w:tr>
      <w:tr>
        <w:trPr>
          <w:trHeight w:val="271"/>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399.9</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357.9</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5,092.2</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4,963.8</w:t>
            </w:r>
          </w:p>
        </w:tc>
      </w:tr>
    </w:tbl>
    <w:p>
      <w:pPr>
        <w:spacing w:after="0" w:line="95" w:lineRule="exact"/>
        <w:rPr>
          <w:sz w:val="20"/>
          <w:szCs w:val="20"/>
          <w:color w:val="auto"/>
        </w:rPr>
      </w:pPr>
    </w:p>
    <w:p>
      <w:pPr>
        <w:ind w:left="180" w:right="60" w:hanging="172"/>
        <w:spacing w:after="0" w:line="239"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period transfers of intellectual property was $35.5 million and $50.1 million during the three months ended March 31, 2019 and 2018, respectively.</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and upfront and milestone payments we receive under these types of contracts. See Note 4 for additional information related to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4" w:right="239" w:bottom="1440" w:gutter="0" w:footer="0" w:header="0"/>
        </w:sectPr>
      </w:pPr>
    </w:p>
    <w:bookmarkStart w:id="9" w:name="page10"/>
    <w:bookmarkEnd w:id="9"/>
    <w:p>
      <w:pPr>
        <w:jc w:val="both"/>
        <w:ind w:right="760"/>
        <w:spacing w:after="0" w:line="234" w:lineRule="auto"/>
        <w:rPr>
          <w:sz w:val="20"/>
          <w:szCs w:val="20"/>
          <w:color w:val="auto"/>
        </w:rPr>
      </w:pPr>
      <w:r>
        <w:rPr>
          <w:rFonts w:ascii="Arial" w:cs="Arial" w:eastAsia="Arial" w:hAnsi="Arial"/>
          <w:sz w:val="18"/>
          <w:szCs w:val="18"/>
          <w:color w:val="auto"/>
        </w:rPr>
        <w:t>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65"/>
        </w:trPr>
        <w:tc>
          <w:tcPr>
            <w:tcW w:w="3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 xml:space="preserve">United States (U.S.)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3"/>
              </w:rPr>
              <w:t xml:space="preserve">U.S. </w:t>
            </w:r>
            <w:r>
              <w:rPr>
                <w:rFonts w:ascii="Arial" w:cs="Arial" w:eastAsia="Arial" w:hAnsi="Arial"/>
                <w:sz w:val="17"/>
                <w:szCs w:val="17"/>
                <w:b w:val="1"/>
                <w:bCs w:val="1"/>
                <w:color w:val="auto"/>
                <w:w w:val="93"/>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41"/>
        </w:trPr>
        <w:tc>
          <w:tcPr>
            <w:tcW w:w="3500" w:type="dxa"/>
            <w:vAlign w:val="bottom"/>
          </w:tcPr>
          <w:p>
            <w:pPr>
              <w:ind w:left="40"/>
              <w:spacing w:after="0"/>
              <w:rPr>
                <w:sz w:val="20"/>
                <w:szCs w:val="20"/>
                <w:color w:val="auto"/>
              </w:rPr>
            </w:pPr>
            <w:r>
              <w:rPr>
                <w:rFonts w:ascii="Arial" w:cs="Arial" w:eastAsia="Arial" w:hAnsi="Arial"/>
                <w:sz w:val="18"/>
                <w:szCs w:val="18"/>
                <w:color w:val="auto"/>
              </w:rPr>
              <w:t>Revenue—to unaffiliated customers: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4"/>
        </w:trPr>
        <w:tc>
          <w:tcPr>
            <w:tcW w:w="35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665.6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214.1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879.7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678.3</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448.6</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730.8</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791.7</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187.0</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312.9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313.2</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201.3</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297.7</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325.9</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Basaglar</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198.2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251.4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166.0</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Jardiance</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203.6</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r>
      <w:tr>
        <w:trPr>
          <w:trHeight w:val="269"/>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84.6</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131.9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141.1</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122.1</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r>
      <w:tr>
        <w:trPr>
          <w:trHeight w:val="264"/>
        </w:trPr>
        <w:tc>
          <w:tcPr>
            <w:tcW w:w="350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1,873.9</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1,056.2</w:t>
            </w:r>
          </w:p>
        </w:tc>
        <w:tc>
          <w:tcPr>
            <w:tcW w:w="18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2,930.1</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1,715.9</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982.9</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2,698.7</w:t>
            </w:r>
          </w:p>
        </w:tc>
      </w:tr>
      <w:tr>
        <w:trPr>
          <w:trHeight w:val="122"/>
        </w:trPr>
        <w:tc>
          <w:tcPr>
            <w:tcW w:w="3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65"/>
        </w:trPr>
        <w:tc>
          <w:tcPr>
            <w:tcW w:w="3500" w:type="dxa"/>
            <w:vAlign w:val="bottom"/>
          </w:tcPr>
          <w:p>
            <w:pPr>
              <w:ind w:left="280"/>
              <w:spacing w:after="0"/>
              <w:rPr>
                <w:sz w:val="20"/>
                <w:szCs w:val="20"/>
                <w:color w:val="auto"/>
              </w:rPr>
            </w:pPr>
            <w:r>
              <w:rPr>
                <w:rFonts w:ascii="Arial" w:cs="Arial" w:eastAsia="Arial" w:hAnsi="Arial"/>
                <w:sz w:val="18"/>
                <w:szCs w:val="18"/>
                <w:color w:val="auto"/>
              </w:rPr>
              <w:t>Oncology:</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217.4</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499.2</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499.6</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75.1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123.2</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198.3</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183.6</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118.4</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Verzenio</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109.4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69"/>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87.4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r>
      <w:tr>
        <w:trPr>
          <w:trHeight w:val="264"/>
        </w:trPr>
        <w:tc>
          <w:tcPr>
            <w:tcW w:w="35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593.9</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418.9</w:t>
            </w:r>
          </w:p>
        </w:tc>
        <w:tc>
          <w:tcPr>
            <w:tcW w:w="18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1,012.7</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446.3</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956.6</w:t>
            </w:r>
          </w:p>
        </w:tc>
      </w:tr>
      <w:tr>
        <w:trPr>
          <w:trHeight w:val="122"/>
        </w:trPr>
        <w:tc>
          <w:tcPr>
            <w:tcW w:w="3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65"/>
        </w:trPr>
        <w:tc>
          <w:tcPr>
            <w:tcW w:w="35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164.1</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97.9</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107.2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122.6</w:t>
            </w:r>
          </w:p>
        </w:tc>
      </w:tr>
      <w:tr>
        <w:trPr>
          <w:trHeight w:val="270"/>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66.2</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130.7</w:t>
            </w: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14.2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41.4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64"/>
        </w:trPr>
        <w:tc>
          <w:tcPr>
            <w:tcW w:w="350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51.1</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342.0</w:t>
            </w:r>
          </w:p>
        </w:tc>
        <w:tc>
          <w:tcPr>
            <w:tcW w:w="18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393.1</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381.5</w:t>
            </w: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472.7</w:t>
            </w:r>
          </w:p>
        </w:tc>
      </w:tr>
      <w:tr>
        <w:trPr>
          <w:trHeight w:val="122"/>
        </w:trPr>
        <w:tc>
          <w:tcPr>
            <w:tcW w:w="3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65"/>
        </w:trPr>
        <w:tc>
          <w:tcPr>
            <w:tcW w:w="3500" w:type="dxa"/>
            <w:vAlign w:val="bottom"/>
          </w:tcPr>
          <w:p>
            <w:pPr>
              <w:ind w:left="380"/>
              <w:spacing w:after="0"/>
              <w:rPr>
                <w:sz w:val="20"/>
                <w:szCs w:val="20"/>
                <w:color w:val="auto"/>
              </w:rPr>
            </w:pPr>
            <w:r>
              <w:rPr>
                <w:rFonts w:ascii="Arial" w:cs="Arial" w:eastAsia="Arial" w:hAnsi="Arial"/>
                <w:sz w:val="18"/>
                <w:szCs w:val="18"/>
                <w:color w:val="auto"/>
              </w:rPr>
              <w:t>Immunology:</w:t>
            </w: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252.5</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r>
      <w:tr>
        <w:trPr>
          <w:trHeight w:val="269"/>
        </w:trPr>
        <w:tc>
          <w:tcPr>
            <w:tcW w:w="3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Immunology</w:t>
            </w: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82.2</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r>
      <w:tr>
        <w:trPr>
          <w:trHeight w:val="264"/>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Immunology</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334.7</w:t>
            </w: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178.7</w:t>
            </w:r>
          </w:p>
        </w:tc>
      </w:tr>
      <w:tr>
        <w:trPr>
          <w:trHeight w:val="122"/>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350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color w:val="auto"/>
                <w:vertAlign w:val="superscript"/>
              </w:rPr>
              <w:t>®</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143.2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164.9</w:t>
            </w:r>
          </w:p>
        </w:tc>
        <w:tc>
          <w:tcPr>
            <w:tcW w:w="18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308.2</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313.4</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w:t>
            </w:r>
          </w:p>
        </w:tc>
        <w:tc>
          <w:tcPr>
            <w:tcW w:w="3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495.4</w:t>
            </w:r>
          </w:p>
        </w:tc>
      </w:tr>
      <w:tr>
        <w:trPr>
          <w:trHeight w:val="269"/>
        </w:trPr>
        <w:tc>
          <w:tcPr>
            <w:tcW w:w="35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113.4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161.7</w:t>
            </w:r>
          </w:p>
        </w:tc>
      </w:tr>
      <w:tr>
        <w:trPr>
          <w:trHeight w:val="264"/>
        </w:trPr>
        <w:tc>
          <w:tcPr>
            <w:tcW w:w="3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421.6</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657.1</w:t>
            </w:r>
          </w:p>
        </w:tc>
      </w:tr>
      <w:tr>
        <w:trPr>
          <w:trHeight w:val="27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5,092.2</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4,963.8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5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8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7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2,890.8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2,795.6</w:t>
            </w:r>
          </w:p>
        </w:tc>
      </w:tr>
      <w:tr>
        <w:trPr>
          <w:trHeight w:val="269"/>
        </w:trPr>
        <w:tc>
          <w:tcPr>
            <w:tcW w:w="8780" w:type="dxa"/>
            <w:vAlign w:val="bottom"/>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900.3</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864.2</w:t>
            </w:r>
          </w:p>
        </w:tc>
      </w:tr>
      <w:tr>
        <w:trPr>
          <w:trHeight w:val="271"/>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543.7</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537.0</w:t>
            </w:r>
          </w:p>
        </w:tc>
      </w:tr>
      <w:tr>
        <w:trPr>
          <w:trHeight w:val="269"/>
        </w:trPr>
        <w:tc>
          <w:tcPr>
            <w:tcW w:w="8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757.4</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767.1</w:t>
            </w:r>
          </w:p>
        </w:tc>
      </w:tr>
      <w:tr>
        <w:trPr>
          <w:trHeight w:val="271"/>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5,092.2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4,963.8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50"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jc w:val="both"/>
        <w:ind w:right="500"/>
        <w:spacing w:after="0" w:line="271"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during the three months ended March 31, 2019 and 2018 for products shipped in previous periods were approximately 3 percent of revenue and 4 percent of U.S. revenue,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2018</w:t>
            </w:r>
          </w:p>
        </w:tc>
      </w:tr>
      <w:tr>
        <w:trPr>
          <w:trHeight w:val="26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BFE4FF"/>
          </w:tcPr>
          <w:p>
            <w:pPr>
              <w:jc w:val="right"/>
              <w:ind w:right="39"/>
              <w:spacing w:after="0"/>
              <w:rPr>
                <w:sz w:val="20"/>
                <w:szCs w:val="20"/>
                <w:color w:val="auto"/>
              </w:rPr>
            </w:pPr>
            <w:r>
              <w:rPr>
                <w:rFonts w:ascii="Arial" w:cs="Arial" w:eastAsia="Arial" w:hAnsi="Arial"/>
                <w:sz w:val="18"/>
                <w:szCs w:val="18"/>
                <w:b w:val="1"/>
                <w:bCs w:val="1"/>
                <w:color w:val="auto"/>
              </w:rPr>
              <w:t>286.4</w:t>
            </w:r>
          </w:p>
        </w:tc>
        <w:tc>
          <w:tcPr>
            <w:tcW w:w="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BFE4FF"/>
          </w:tcPr>
          <w:p>
            <w:pPr>
              <w:jc w:val="right"/>
              <w:ind w:right="19"/>
              <w:spacing w:after="0"/>
              <w:rPr>
                <w:sz w:val="20"/>
                <w:szCs w:val="20"/>
                <w:color w:val="auto"/>
              </w:rPr>
            </w:pPr>
            <w:r>
              <w:rPr>
                <w:rFonts w:ascii="Arial" w:cs="Arial" w:eastAsia="Arial" w:hAnsi="Arial"/>
                <w:sz w:val="18"/>
                <w:szCs w:val="18"/>
                <w:color w:val="auto"/>
              </w:rPr>
              <w:t>298.7</w:t>
            </w:r>
          </w:p>
        </w:tc>
      </w:tr>
    </w:tbl>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 recognized from contract liabilities during the three months ended March 31, 2019 and 2018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Acquisitions and Divestiture</w:t>
      </w:r>
    </w:p>
    <w:p>
      <w:pPr>
        <w:spacing w:after="0" w:line="17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February 2019, we completed the acquisition of Loxo Oncology, Inc. (Loxo).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condensed financial statements from the date of acquisition.</w:t>
      </w:r>
    </w:p>
    <w:p>
      <w:pPr>
        <w:spacing w:after="0" w:line="69"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addition to the acquisition of Loxo, we acquired assets in development in the three months ended March 31, 2019, which are further discussed in this note below in Asset Acquisitions. Upon acquisition, the acquired in-process research and development (IPR&amp;D) charges related to these products were immediately expensed because the products had no alternative future use. We incurred acquired IPR&amp;D charges of $136.9 million for the three months ended March 31, 2019. There were no acquired IPR&amp;D charges for the three months ended March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February 2019, we acquired all shares of Loxo for a purchase price $6.92 billion, net of cash acquired. The accelerated vesting of Loxo employee equity awards was recognized as transaction expense included in asset impairment, restructuring, and other special charges during the three months ended March 31, 2019.</w:t>
      </w:r>
    </w:p>
    <w:p>
      <w:pPr>
        <w:spacing w:after="0" w:line="5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Under the terms of the agreement, we acquired a pipeline of investigational medicines, including LOXO-292, an oral RET inhibitor that has been granted Breakthrough Therapy designation by the U.S. Food and Drug Administration, and LOXO-305, an oral BTK inhibitor.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access to Loxo information was limited prior to the acquisition. As a consequence, we are in the process of determining fair values and tax bases of a significant portion of the assets acquired and liabilities assumed, including the identification and valuation of intangible assets,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9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4,670.0</w:t>
            </w:r>
          </w:p>
        </w:tc>
      </w:tr>
      <w:tr>
        <w:trPr>
          <w:trHeight w:val="257"/>
        </w:trPr>
        <w:tc>
          <w:tcPr>
            <w:tcW w:w="9860" w:type="dxa"/>
            <w:vAlign w:val="bottom"/>
          </w:tcPr>
          <w:p>
            <w:pPr>
              <w:ind w:left="20"/>
              <w:spacing w:after="0"/>
              <w:rPr>
                <w:sz w:val="20"/>
                <w:szCs w:val="20"/>
                <w:color w:val="auto"/>
              </w:rPr>
            </w:pPr>
            <w:r>
              <w:rPr>
                <w:rFonts w:ascii="Arial" w:cs="Arial" w:eastAsia="Arial" w:hAnsi="Arial"/>
                <w:sz w:val="18"/>
                <w:szCs w:val="18"/>
                <w:color w:val="auto"/>
              </w:rPr>
              <w:t xml:space="preserve">Definite-lived intangibles </w:t>
            </w:r>
            <w:r>
              <w:rPr>
                <w:rFonts w:ascii="Arial" w:cs="Arial" w:eastAsia="Arial" w:hAnsi="Arial"/>
                <w:sz w:val="21"/>
                <w:szCs w:val="21"/>
                <w:color w:val="auto"/>
                <w:vertAlign w:val="superscript"/>
              </w:rPr>
              <w:t>(1)</w:t>
            </w: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960.0</w:t>
            </w:r>
          </w:p>
        </w:tc>
      </w:tr>
      <w:tr>
        <w:trPr>
          <w:trHeight w:val="257"/>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w:t>
            </w:r>
          </w:p>
        </w:tc>
      </w:tr>
      <w:tr>
        <w:trPr>
          <w:trHeight w:val="252"/>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5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4,428.4</w:t>
            </w:r>
          </w:p>
        </w:tc>
      </w:tr>
      <w:tr>
        <w:trPr>
          <w:trHeight w:val="257"/>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2,489.3</w:t>
            </w:r>
          </w:p>
        </w:tc>
      </w:tr>
      <w:tr>
        <w:trPr>
          <w:trHeight w:val="257"/>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6,917.7</w:t>
            </w:r>
          </w:p>
        </w:tc>
      </w:tr>
    </w:tbl>
    <w:p>
      <w:pPr>
        <w:spacing w:after="0" w:line="122" w:lineRule="exact"/>
        <w:rPr>
          <w:sz w:val="20"/>
          <w:szCs w:val="20"/>
          <w:color w:val="auto"/>
        </w:rPr>
      </w:pPr>
    </w:p>
    <w:p>
      <w:pPr>
        <w:ind w:left="180" w:right="120" w:hanging="172"/>
        <w:spacing w:after="0" w:line="303"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Contract-based intangibles, which are being amortized to cost of sales on a straight-line basis over their estimated useful lives, are expected to have a weighted average useful life of approximately 12 years.</w:t>
      </w:r>
    </w:p>
    <w:p>
      <w:pPr>
        <w:spacing w:after="0" w:line="75" w:lineRule="exact"/>
        <w:rPr>
          <w:rFonts w:ascii="Arial" w:cs="Arial" w:eastAsia="Arial" w:hAnsi="Arial"/>
          <w:sz w:val="18"/>
          <w:szCs w:val="18"/>
          <w:color w:val="auto"/>
          <w:vertAlign w:val="superscript"/>
        </w:rPr>
      </w:pPr>
    </w:p>
    <w:p>
      <w:pPr>
        <w:ind w:left="180" w:right="120" w:hanging="172"/>
        <w:spacing w:after="0" w:line="303"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following table summarizes our asset acquisitions during the three months ended March 31, 2019. There were no asset acquisitions during the three months ended March 31, 2018.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9"/>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26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Counterparty</w:t>
            </w:r>
          </w:p>
        </w:tc>
        <w:tc>
          <w:tcPr>
            <w:tcW w:w="38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Compound(s) or Therapy</w:t>
            </w:r>
          </w:p>
        </w:tc>
        <w:tc>
          <w:tcPr>
            <w:tcW w:w="16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17"/>
                <w:szCs w:val="17"/>
                <w:color w:val="auto"/>
              </w:rPr>
            </w:pPr>
          </w:p>
        </w:tc>
        <w:tc>
          <w:tcPr>
            <w:tcW w:w="38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Tau aggregation inhibitor small</w:t>
            </w:r>
          </w:p>
        </w:tc>
        <w:tc>
          <w:tcPr>
            <w:tcW w:w="1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AC Immune SA</w:t>
            </w:r>
          </w:p>
        </w:tc>
        <w:tc>
          <w:tcPr>
            <w:tcW w:w="3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molecules for the potential treatment of</w:t>
            </w:r>
          </w:p>
        </w:tc>
        <w:tc>
          <w:tcPr>
            <w:tcW w:w="1640" w:type="dxa"/>
            <w:vAlign w:val="bottom"/>
            <w:vMerge w:val="restart"/>
            <w:shd w:val="clear" w:color="auto" w:fill="CCEEFF"/>
          </w:tcPr>
          <w:p>
            <w:pPr>
              <w:jc w:val="center"/>
              <w:ind w:right="56"/>
              <w:spacing w:after="0"/>
              <w:rPr>
                <w:sz w:val="20"/>
                <w:szCs w:val="20"/>
                <w:color w:val="auto"/>
              </w:rPr>
            </w:pPr>
            <w:r>
              <w:rPr>
                <w:rFonts w:ascii="Arial" w:cs="Arial" w:eastAsia="Arial" w:hAnsi="Arial"/>
                <w:sz w:val="18"/>
                <w:szCs w:val="18"/>
                <w:color w:val="auto"/>
              </w:rPr>
              <w:t>January 2019</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135"/>
        </w:trPr>
        <w:tc>
          <w:tcPr>
            <w:tcW w:w="2640" w:type="dxa"/>
            <w:vAlign w:val="bottom"/>
            <w:vMerge w:val="continue"/>
            <w:shd w:val="clear" w:color="auto" w:fill="CCEEFF"/>
          </w:tcPr>
          <w:p>
            <w:pPr>
              <w:spacing w:after="0"/>
              <w:rPr>
                <w:sz w:val="11"/>
                <w:szCs w:val="11"/>
                <w:color w:val="auto"/>
              </w:rPr>
            </w:pPr>
          </w:p>
        </w:tc>
        <w:tc>
          <w:tcPr>
            <w:tcW w:w="3820" w:type="dxa"/>
            <w:vAlign w:val="bottom"/>
            <w:vMerge w:val="restart"/>
            <w:shd w:val="clear" w:color="auto" w:fill="CCEEFF"/>
          </w:tcPr>
          <w:p>
            <w:pPr>
              <w:ind w:left="600"/>
              <w:spacing w:after="0" w:line="202" w:lineRule="exact"/>
              <w:rPr>
                <w:sz w:val="20"/>
                <w:szCs w:val="20"/>
                <w:color w:val="auto"/>
              </w:rPr>
            </w:pPr>
            <w:r>
              <w:rPr>
                <w:rFonts w:ascii="Arial" w:cs="Arial" w:eastAsia="Arial" w:hAnsi="Arial"/>
                <w:sz w:val="18"/>
                <w:szCs w:val="18"/>
                <w:color w:val="auto"/>
              </w:rPr>
              <w:t>Alzheimer's disease and other</w:t>
            </w:r>
          </w:p>
        </w:tc>
        <w:tc>
          <w:tcPr>
            <w:tcW w:w="1640" w:type="dxa"/>
            <w:vAlign w:val="bottom"/>
            <w:vMerge w:val="continue"/>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40" w:type="dxa"/>
            <w:vAlign w:val="bottom"/>
            <w:shd w:val="clear" w:color="auto" w:fill="CCEEFF"/>
          </w:tcPr>
          <w:p>
            <w:pPr>
              <w:spacing w:after="0"/>
              <w:rPr>
                <w:sz w:val="5"/>
                <w:szCs w:val="5"/>
                <w:color w:val="auto"/>
              </w:rPr>
            </w:pPr>
          </w:p>
        </w:tc>
        <w:tc>
          <w:tcPr>
            <w:tcW w:w="3820" w:type="dxa"/>
            <w:vAlign w:val="bottom"/>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auto"/>
            </w:tcBorders>
            <w:shd w:val="clear" w:color="auto" w:fill="CCEEFF"/>
          </w:tcPr>
          <w:p>
            <w:pPr>
              <w:spacing w:after="0"/>
              <w:rPr>
                <w:sz w:val="21"/>
                <w:szCs w:val="21"/>
                <w:color w:val="auto"/>
              </w:rPr>
            </w:pPr>
          </w:p>
        </w:tc>
        <w:tc>
          <w:tcPr>
            <w:tcW w:w="3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neurodegenerative diseases</w:t>
            </w:r>
          </w:p>
        </w:tc>
        <w:tc>
          <w:tcPr>
            <w:tcW w:w="16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640" w:type="dxa"/>
            <w:vAlign w:val="bottom"/>
          </w:tcPr>
          <w:p>
            <w:pPr>
              <w:ind w:left="40"/>
              <w:spacing w:after="0"/>
              <w:rPr>
                <w:sz w:val="20"/>
                <w:szCs w:val="20"/>
                <w:color w:val="auto"/>
              </w:rPr>
            </w:pPr>
            <w:r>
              <w:rPr>
                <w:rFonts w:ascii="Arial" w:cs="Arial" w:eastAsia="Arial" w:hAnsi="Arial"/>
                <w:sz w:val="18"/>
                <w:szCs w:val="18"/>
                <w:color w:val="auto"/>
              </w:rPr>
              <w:t>ImmuNext, Inc.</w:t>
            </w:r>
          </w:p>
        </w:tc>
        <w:tc>
          <w:tcPr>
            <w:tcW w:w="3820" w:type="dxa"/>
            <w:vAlign w:val="bottom"/>
          </w:tcPr>
          <w:p>
            <w:pPr>
              <w:ind w:left="600"/>
              <w:spacing w:after="0"/>
              <w:rPr>
                <w:sz w:val="20"/>
                <w:szCs w:val="20"/>
                <w:color w:val="auto"/>
              </w:rPr>
            </w:pPr>
            <w:r>
              <w:rPr>
                <w:rFonts w:ascii="Arial" w:cs="Arial" w:eastAsia="Arial" w:hAnsi="Arial"/>
                <w:sz w:val="18"/>
                <w:szCs w:val="18"/>
                <w:color w:val="auto"/>
              </w:rPr>
              <w:t>Novel immunometabolism target</w:t>
            </w:r>
          </w:p>
        </w:tc>
        <w:tc>
          <w:tcPr>
            <w:tcW w:w="1640" w:type="dxa"/>
            <w:vAlign w:val="bottom"/>
          </w:tcPr>
          <w:p>
            <w:pPr>
              <w:jc w:val="center"/>
              <w:ind w:right="56"/>
              <w:spacing w:after="0"/>
              <w:rPr>
                <w:sz w:val="20"/>
                <w:szCs w:val="20"/>
                <w:color w:val="auto"/>
              </w:rPr>
            </w:pPr>
            <w:r>
              <w:rPr>
                <w:rFonts w:ascii="Arial" w:cs="Arial" w:eastAsia="Arial" w:hAnsi="Arial"/>
                <w:sz w:val="18"/>
                <w:szCs w:val="18"/>
                <w:color w:val="auto"/>
                <w:w w:val="98"/>
              </w:rPr>
              <w:t>March 2019</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April 2019, we entered into a license and research collaboration agreement with Avidity Biosciences, LLC for the discovery, development, and commercialization of potential new medicines in immunology and other select indications. Under terms of the agreement, we paid an upfront fee of $20.0 million and made an investment of $15.0 million. As a result of the transaction, we will record an acquired IPR&amp;D expense of approximately $25 million in the second quarter of 2019.</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April 2019, we announced an agreement to sell the rights in China for two legacy antibiotic medicines, as well as a manufacturing facility in Suzhou, China to Eddingpharm, a China-based specialty pharmaceutical company. Under terms of the agreement, we will receive a deposit of $75.0 million, followed by a payment of $300.0 million upon successful closing of the transaction. The transaction is subject to customary closing conditions and regulatory approval.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7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2 for amounts of collaboration and other revenue recognized from these types of arrangements.</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40" w:type="dxa"/>
            <w:vAlign w:val="bottom"/>
          </w:tcPr>
          <w:p>
            <w:pPr>
              <w:jc w:val="right"/>
              <w:ind w:right="737"/>
              <w:spacing w:after="0"/>
              <w:rPr>
                <w:sz w:val="20"/>
                <w:szCs w:val="20"/>
                <w:color w:val="auto"/>
              </w:rPr>
            </w:pPr>
            <w:r>
              <w:rPr>
                <w:rFonts w:ascii="Arial" w:cs="Arial" w:eastAsia="Arial" w:hAnsi="Arial"/>
                <w:sz w:val="14"/>
                <w:szCs w:val="14"/>
                <w:b w:val="1"/>
                <w:bCs w:val="1"/>
                <w:color w:val="auto"/>
              </w:rPr>
              <w:t>Milestones</w:t>
            </w:r>
          </w:p>
        </w:tc>
      </w:tr>
      <w:tr>
        <w:trPr>
          <w:trHeight w:val="204"/>
        </w:trPr>
        <w:tc>
          <w:tcPr>
            <w:tcW w:w="61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Product Family</w:t>
            </w:r>
          </w:p>
        </w:tc>
        <w:tc>
          <w:tcPr>
            <w:tcW w:w="3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64"/>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446.4</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160" w:type="dxa"/>
            <w:vAlign w:val="bottom"/>
            <w:shd w:val="clear" w:color="auto" w:fill="CCEEFF"/>
          </w:tcPr>
          <w:p>
            <w:pPr>
              <w:spacing w:after="0"/>
              <w:rPr>
                <w:sz w:val="23"/>
                <w:szCs w:val="23"/>
                <w:color w:val="auto"/>
              </w:rPr>
            </w:pP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289.0</w:t>
            </w:r>
          </w:p>
        </w:tc>
      </w:tr>
      <w:tr>
        <w:trPr>
          <w:trHeight w:val="261"/>
        </w:trPr>
        <w:tc>
          <w:tcPr>
            <w:tcW w:w="6120" w:type="dxa"/>
            <w:vAlign w:val="bottom"/>
          </w:tcPr>
          <w:p>
            <w:pPr>
              <w:ind w:left="40"/>
              <w:spacing w:after="0"/>
              <w:rPr>
                <w:sz w:val="20"/>
                <w:szCs w:val="20"/>
                <w:color w:val="auto"/>
              </w:rPr>
            </w:pPr>
            <w:r>
              <w:rPr>
                <w:rFonts w:ascii="Arial" w:cs="Arial" w:eastAsia="Arial" w:hAnsi="Arial"/>
                <w:sz w:val="18"/>
                <w:szCs w:val="18"/>
                <w:color w:val="auto"/>
              </w:rPr>
              <w:t>Basaglar</w:t>
            </w:r>
          </w:p>
        </w:tc>
        <w:tc>
          <w:tcPr>
            <w:tcW w:w="31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(250.0)</w:t>
            </w:r>
          </w:p>
        </w:tc>
      </w:tr>
    </w:tbl>
    <w:p>
      <w:pPr>
        <w:spacing w:after="0" w:line="104" w:lineRule="exact"/>
        <w:rPr>
          <w:sz w:val="20"/>
          <w:szCs w:val="20"/>
          <w:color w:val="auto"/>
        </w:rPr>
      </w:pPr>
    </w:p>
    <w:p>
      <w:pPr>
        <w:ind w:left="180" w:right="280" w:hanging="172"/>
        <w:spacing w:after="0"/>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77" w:lineRule="exact"/>
        <w:rPr>
          <w:rFonts w:ascii="Arial" w:cs="Arial" w:eastAsia="Arial" w:hAnsi="Arial"/>
          <w:sz w:val="17"/>
          <w:szCs w:val="17"/>
          <w:color w:val="auto"/>
          <w:vertAlign w:val="superscript"/>
        </w:rPr>
      </w:pPr>
    </w:p>
    <w:p>
      <w:pPr>
        <w:ind w:left="180" w:right="100" w:hanging="172"/>
        <w:spacing w:after="0" w:line="239" w:lineRule="auto"/>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Jentadueto is included in the Trajenta product family. The collaboration agreement with Boehringer Ingelheim for Trajenta ends upon expiration of the compound patent and any supplementary protection certificates or extensions thereto.</w:t>
      </w:r>
    </w:p>
    <w:p>
      <w:pPr>
        <w:spacing w:after="0" w:line="77" w:lineRule="exact"/>
        <w:rPr>
          <w:rFonts w:ascii="Arial" w:cs="Arial" w:eastAsia="Arial" w:hAnsi="Arial"/>
          <w:sz w:val="17"/>
          <w:szCs w:val="17"/>
          <w:color w:val="auto"/>
          <w:vertAlign w:val="superscript"/>
        </w:rPr>
      </w:pPr>
    </w:p>
    <w:p>
      <w:pPr>
        <w:ind w:left="180" w:right="40" w:hanging="172"/>
        <w:spacing w:after="0" w:line="239" w:lineRule="auto"/>
        <w:tabs>
          <w:tab w:leader="none" w:pos="153"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Glyxambi and Synjardy are included in the Jardiance product family. The collaboration agreement with Boehringer Ingelheim for Jardiance ends upon expiration of the compound patent and any supplementary protection certificates or extensions thereto.</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products as collaboration and other revenue. We record our sales of Basaglar to third parties as net product revenue with the payments made to Boehringer Ingelheim for its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70"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Trajenta and Jardiance families of products:</w:t>
      </w:r>
    </w:p>
    <w:p>
      <w:pPr>
        <w:spacing w:after="0" w:line="9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65"/>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5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251.4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166.0</w:t>
            </w:r>
          </w:p>
        </w:tc>
      </w:tr>
      <w:tr>
        <w:trPr>
          <w:trHeight w:val="269"/>
        </w:trPr>
        <w:tc>
          <w:tcPr>
            <w:tcW w:w="32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58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203.6</w:t>
            </w:r>
          </w:p>
        </w:tc>
        <w:tc>
          <w:tcPr>
            <w:tcW w:w="4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151.0</w:t>
            </w:r>
          </w:p>
        </w:tc>
      </w:tr>
      <w:tr>
        <w:trPr>
          <w:trHeight w:val="271"/>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58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131.9</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141.1</w:t>
            </w:r>
          </w:p>
        </w:tc>
      </w:tr>
      <w:tr>
        <w:trPr>
          <w:trHeight w:val="463"/>
        </w:trPr>
        <w:tc>
          <w:tcPr>
            <w:tcW w:w="3220" w:type="dxa"/>
            <w:vAlign w:val="bottom"/>
          </w:tcPr>
          <w:p>
            <w:pPr>
              <w:spacing w:after="0"/>
              <w:rPr>
                <w:sz w:val="24"/>
                <w:szCs w:val="24"/>
                <w:color w:val="auto"/>
              </w:rPr>
            </w:pPr>
          </w:p>
        </w:tc>
        <w:tc>
          <w:tcPr>
            <w:tcW w:w="5860" w:type="dxa"/>
            <w:vAlign w:val="bottom"/>
          </w:tcPr>
          <w:p>
            <w:pPr>
              <w:jc w:val="right"/>
              <w:ind w:right="317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8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milestones achieved: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w:t>
            </w:r>
          </w:p>
        </w:tc>
        <w:tc>
          <w:tcPr>
            <w:tcW w:w="49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Event</w:t>
            </w:r>
          </w:p>
        </w:tc>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Classification</w:t>
            </w:r>
          </w:p>
        </w:tc>
        <w:tc>
          <w:tcPr>
            <w:tcW w:w="10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7"/>
        </w:trPr>
        <w:tc>
          <w:tcPr>
            <w:tcW w:w="960" w:type="dxa"/>
            <w:vAlign w:val="bottom"/>
            <w:vMerge w:val="restart"/>
          </w:tcPr>
          <w:p>
            <w:pPr>
              <w:jc w:val="right"/>
              <w:ind w:right="434"/>
              <w:spacing w:after="0"/>
              <w:rPr>
                <w:sz w:val="20"/>
                <w:szCs w:val="20"/>
                <w:color w:val="auto"/>
              </w:rPr>
            </w:pPr>
            <w:r>
              <w:rPr>
                <w:rFonts w:ascii="Arial" w:cs="Arial" w:eastAsia="Arial" w:hAnsi="Arial"/>
                <w:sz w:val="18"/>
                <w:szCs w:val="18"/>
                <w:color w:val="auto"/>
              </w:rPr>
              <w:t>2018</w:t>
            </w:r>
          </w:p>
        </w:tc>
        <w:tc>
          <w:tcPr>
            <w:tcW w:w="4920" w:type="dxa"/>
            <w:vAlign w:val="bottom"/>
          </w:tcPr>
          <w:p>
            <w:pPr>
              <w:ind w:left="220"/>
              <w:spacing w:after="0"/>
              <w:rPr>
                <w:sz w:val="20"/>
                <w:szCs w:val="20"/>
                <w:color w:val="auto"/>
              </w:rPr>
            </w:pPr>
            <w:r>
              <w:rPr>
                <w:rFonts w:ascii="Arial" w:cs="Arial" w:eastAsia="Arial" w:hAnsi="Arial"/>
                <w:sz w:val="18"/>
                <w:szCs w:val="18"/>
                <w:color w:val="auto"/>
              </w:rPr>
              <w:t>Regulatory approval in the U.S.</w:t>
            </w:r>
          </w:p>
        </w:tc>
        <w:tc>
          <w:tcPr>
            <w:tcW w:w="2360" w:type="dxa"/>
            <w:vAlign w:val="bottom"/>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Began Phase III testing for systemic lupus erythematosus</w:t>
            </w:r>
          </w:p>
        </w:tc>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Pr>
          <w:p>
            <w:pPr>
              <w:spacing w:after="0"/>
              <w:rPr>
                <w:sz w:val="18"/>
                <w:szCs w:val="18"/>
                <w:color w:val="auto"/>
              </w:rPr>
            </w:pPr>
          </w:p>
        </w:tc>
        <w:tc>
          <w:tcPr>
            <w:tcW w:w="2120" w:type="dxa"/>
            <w:vAlign w:val="bottom"/>
            <w:vMerge w:val="restart"/>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4920" w:type="dxa"/>
            <w:vAlign w:val="bottom"/>
            <w:vMerge w:val="restart"/>
          </w:tcPr>
          <w:p>
            <w:pPr>
              <w:ind w:left="220"/>
              <w:spacing w:after="0"/>
              <w:rPr>
                <w:sz w:val="20"/>
                <w:szCs w:val="20"/>
                <w:color w:val="auto"/>
              </w:rPr>
            </w:pPr>
            <w:r>
              <w:rPr>
                <w:rFonts w:ascii="Arial" w:cs="Arial" w:eastAsia="Arial" w:hAnsi="Arial"/>
                <w:sz w:val="18"/>
                <w:szCs w:val="18"/>
                <w:color w:val="auto"/>
              </w:rPr>
              <w:t>(SLE)</w:t>
            </w:r>
          </w:p>
        </w:tc>
        <w:tc>
          <w:tcPr>
            <w:tcW w:w="23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96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vMerge w:val="continue"/>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Regulatory approval in Europe</w:t>
            </w:r>
          </w:p>
        </w:tc>
        <w:tc>
          <w:tcPr>
            <w:tcW w:w="2360" w:type="dxa"/>
            <w:vAlign w:val="bottom"/>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7"/>
        </w:trPr>
        <w:tc>
          <w:tcPr>
            <w:tcW w:w="960" w:type="dxa"/>
            <w:vAlign w:val="bottom"/>
          </w:tcPr>
          <w:p>
            <w:pPr>
              <w:jc w:val="right"/>
              <w:ind w:right="434"/>
              <w:spacing w:after="0"/>
              <w:rPr>
                <w:sz w:val="20"/>
                <w:szCs w:val="20"/>
                <w:color w:val="auto"/>
              </w:rPr>
            </w:pPr>
            <w:r>
              <w:rPr>
                <w:rFonts w:ascii="Arial" w:cs="Arial" w:eastAsia="Arial" w:hAnsi="Arial"/>
                <w:sz w:val="18"/>
                <w:szCs w:val="18"/>
                <w:color w:val="auto"/>
              </w:rPr>
              <w:t>2017</w:t>
            </w:r>
          </w:p>
        </w:tc>
        <w:tc>
          <w:tcPr>
            <w:tcW w:w="4920" w:type="dxa"/>
            <w:vAlign w:val="bottom"/>
          </w:tcPr>
          <w:p>
            <w:pPr>
              <w:ind w:left="220"/>
              <w:spacing w:after="0"/>
              <w:rPr>
                <w:sz w:val="20"/>
                <w:szCs w:val="20"/>
                <w:color w:val="auto"/>
              </w:rPr>
            </w:pPr>
            <w:r>
              <w:rPr>
                <w:rFonts w:ascii="Arial" w:cs="Arial" w:eastAsia="Arial" w:hAnsi="Arial"/>
                <w:sz w:val="18"/>
                <w:szCs w:val="18"/>
                <w:color w:val="auto"/>
              </w:rPr>
              <w:t>Regulatory approval in Japan</w:t>
            </w:r>
          </w:p>
        </w:tc>
        <w:tc>
          <w:tcPr>
            <w:tcW w:w="2360" w:type="dxa"/>
            <w:vAlign w:val="bottom"/>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2"/>
                <w:szCs w:val="22"/>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3"/>
        </w:trPr>
        <w:tc>
          <w:tcPr>
            <w:tcW w:w="960" w:type="dxa"/>
            <w:vAlign w:val="bottom"/>
            <w:tcBorders>
              <w:bottom w:val="single" w:sz="8" w:color="auto"/>
            </w:tcBorders>
          </w:tcPr>
          <w:p>
            <w:pPr>
              <w:spacing w:after="0"/>
              <w:rPr>
                <w:sz w:val="23"/>
                <w:szCs w:val="23"/>
                <w:color w:val="auto"/>
              </w:rPr>
            </w:pPr>
          </w:p>
        </w:tc>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Began Phase III testing for atopic dermatitis</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4"/>
        </w:trPr>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2016</w:t>
            </w:r>
          </w:p>
        </w:tc>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Regulatory submissions in the U.S. and Europe</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As of March 31, 2019,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3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agreement provided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atopic dermatitis, alopecia areata, and SLE in 2017. In April 2019, Incyte opted-out of co-development of all indications as of January 1, 2019. As a result, we will solely fund all future development and pay a lower royalty rate to Incyte on future sales.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March 31, 2019, Pfizer is eligible to receive up to $350.0 million in success-based regulatory milestones and up to $1.23 billion in a series of sales-based milestones, contingent upon the commercial success of tanezumab.</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have presented Elanco as discontinued operations in our consolidated condensed financial statements for all periods presented.</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recognized a gain related to the disposition of approximately $3.7 billion, which was recorded in net income from discontinued operations in the consolidated condensed statement of operations for the three months ended March 31, 2019. The operating results of Elanco were reported as net income from discontinued operations in the consolidated condensed statements of operations through March 11, 2019, the date of disposition, and were not material. Net income from discontinued operations for the three months ended March 31, 2018 included Elanco's operating results.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6" w:right="2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8"/>
          <w:szCs w:val="18"/>
          <w:color w:val="auto"/>
        </w:rPr>
        <w:t>In the consolidated condensed balance sheet as of December 31, 2018, the assets and liabilities associated with Elanco are classified as assets of discontinued operations and liabilities of discontinued operations, as appropriate. The following table presents the major classes of assets and liabilities from discontinued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1,013.7</w:t>
            </w:r>
          </w:p>
        </w:tc>
      </w:tr>
      <w:tr>
        <w:trPr>
          <w:trHeight w:val="252"/>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1,215.4</w:t>
            </w:r>
          </w:p>
        </w:tc>
      </w:tr>
      <w:tr>
        <w:trPr>
          <w:trHeight w:val="262"/>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2,229.1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2,980.9</w:t>
            </w:r>
          </w:p>
        </w:tc>
      </w:tr>
      <w:tr>
        <w:trPr>
          <w:trHeight w:val="252"/>
        </w:trPr>
        <w:tc>
          <w:tcPr>
            <w:tcW w:w="9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2,453.0</w:t>
            </w:r>
          </w:p>
        </w:tc>
      </w:tr>
      <w:tr>
        <w:trPr>
          <w:trHeight w:val="261"/>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r>
      <w:tr>
        <w:trPr>
          <w:trHeight w:val="252"/>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126.8</w:t>
            </w:r>
          </w:p>
        </w:tc>
      </w:tr>
      <w:tr>
        <w:trPr>
          <w:trHeight w:val="262"/>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6,484.1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692.8</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2,443.3</w:t>
            </w:r>
          </w:p>
        </w:tc>
      </w:tr>
      <w:tr>
        <w:trPr>
          <w:trHeight w:val="252"/>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299.0</w:t>
            </w:r>
          </w:p>
        </w:tc>
      </w:tr>
      <w:tr>
        <w:trPr>
          <w:trHeight w:val="262"/>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2,742.3</w:t>
            </w:r>
          </w:p>
        </w:tc>
      </w:tr>
    </w:tbl>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includes the operating results of Elanco, which were not material. The net cash flows of our discontinued operations for operating and investing activities were not material for either period presented.</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entered into a transitional services agreement (TSA) with Elanco that is designed to facilitate the orderly transfer of various services to Elanco. The TSA relates primarily to administrative services, which are generally to be provided over the next 24 months. This agreement is not material and does not confer upon us the ability to influence the operating and/or financial policies of Elanco subsequent to March 11, 2019, the full disposition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73"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98"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65"/>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r>
      <w:tr>
        <w:trPr>
          <w:trHeight w:val="269"/>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427.5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49.5</w:t>
            </w:r>
          </w:p>
        </w:tc>
      </w:tr>
      <w:tr>
        <w:trPr>
          <w:trHeight w:val="271"/>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r>
    </w:tbl>
    <w:p>
      <w:pPr>
        <w:spacing w:after="0" w:line="8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Asset impairment and other special charges recognized during the three months ended March 31, 2019 consisted of $400.7 million related to the acquisition of Loxo, substantially all of which is associated with the accelerated vesting of Loxo employee equity awards.</w:t>
      </w:r>
    </w:p>
    <w:p>
      <w:pPr>
        <w:spacing w:after="0" w:line="37"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Asset impairment, restructuring, and other special charges recognized during the three months ended March 31, 2018 were primarily associated with asset impairment, exit costs, and severance costs related to the decision to end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production at the Augusta, Georgia manufacturing site.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360" w:hanging="328"/>
        <w:spacing w:after="0" w:line="29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90"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09" w:lineRule="exact"/>
        <w:rPr>
          <w:rFonts w:ascii="Arial" w:cs="Arial" w:eastAsia="Arial" w:hAnsi="Arial"/>
          <w:sz w:val="18"/>
          <w:szCs w:val="18"/>
          <w:color w:val="auto"/>
        </w:rPr>
      </w:pPr>
    </w:p>
    <w:p>
      <w:pPr>
        <w:ind w:left="660" w:right="380" w:hanging="328"/>
        <w:spacing w:after="0" w:line="29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review equity investments other than public equity investments for indications of impairment on a regular basis.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2019, we had outstanding foreign currency forward commitments to purchase 1.22 billion U.S. dollars and sell 1.08 billion euro, commitments to purchase 1.97 billion euro and sell 2.23 billion U.S. dollars, commitments to purchase 356.8 million U.S. dollars and sell 39.58 billion Japanese yen, and commitments to purchase 309.7 million British pounds and sell 409.1 million U.S. dollars, which will all settle within 30 days.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74" w:right="279" w:bottom="1440" w:gutter="0" w:footer="0" w:header="0"/>
        </w:sectPr>
      </w:pPr>
    </w:p>
    <w:bookmarkStart w:id="17" w:name="page18"/>
    <w:bookmarkEnd w:id="17"/>
    <w:p>
      <w:pPr>
        <w:ind w:right="140"/>
        <w:spacing w:after="0" w:line="256"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$3.33 billion and $3.40 billion as of March 31, 2019 and December 31, 2018, respectively, of which $2.33 billion and $ 2.38 billion have been designated as, and are effective as, economic hedges of net investments in certain of our euro-denominated foreign operations as of March 31, 2019 and December 31, 2018, respectively. At March 31, 2019, we had outstanding cross currency swaps with notional amounts of $1.86 billion swapping U.S. dollars to euro, $1.00 billion swapping Swiss francs to U.S. dollars, and $350.0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March 31, 2019, substantially all of our total long-term debt is at a fixed rate. We have converted approximately 15 percent of our long-term fixed-rate notes to floating rates through the use of interest rate swaps.</w:t>
      </w:r>
    </w:p>
    <w:p>
      <w:pPr>
        <w:spacing w:after="0" w:line="178"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1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February 2019, we issued $1.15 billion of 3.38 percent fixed-rate notes due in March 2029, $ 850.0 million of 3.88 percent fixed-rate notes due in March 2039, $1.50 billion of 3.95 percent fixed-rate notes due in March 2049, and $1.00 billion of 4.15 percent fixed-rate notes due in March 2059, with interest to be paid semi-annually. We used the net proceeds of $4.45 billion from the sale of these notes to fund the acquisition of Loxo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8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7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65"/>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92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1"/>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(39.3)</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r>
      <w:tr>
        <w:trPr>
          <w:trHeight w:val="265"/>
        </w:trPr>
        <w:tc>
          <w:tcPr>
            <w:tcW w:w="92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5"/>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 loss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69"/>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 instruments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48.9</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r>
      <w:tr>
        <w:trPr>
          <w:trHeight w:val="271"/>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52.7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bl>
    <w:p>
      <w:pPr>
        <w:spacing w:after="0" w:line="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During the three months ended March 31, 2019 and 2018, the amortization of losses related to the portion of our risk management hedging instruments, fair value hedges, and cash flow hedges that were excluded from the assessment of effectiveness were not material.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7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65"/>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3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9"/>
        </w:trPr>
        <w:tc>
          <w:tcPr>
            <w:tcW w:w="622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3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53.7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71"/>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3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38.3</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65"/>
        </w:trPr>
        <w:tc>
          <w:tcPr>
            <w:tcW w:w="622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3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5"/>
        </w:trPr>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3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(11.7)</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9"/>
        </w:trPr>
        <w:tc>
          <w:tcPr>
            <w:tcW w:w="6220" w:type="dxa"/>
            <w:vAlign w:val="bottom"/>
          </w:tcPr>
          <w:p>
            <w:pPr>
              <w:ind w:left="240"/>
              <w:spacing w:after="0"/>
              <w:rPr>
                <w:sz w:val="20"/>
                <w:szCs w:val="20"/>
                <w:color w:val="auto"/>
              </w:rPr>
            </w:pPr>
            <w:r>
              <w:rPr>
                <w:rFonts w:ascii="Arial" w:cs="Arial" w:eastAsia="Arial" w:hAnsi="Arial"/>
                <w:sz w:val="18"/>
                <w:szCs w:val="18"/>
                <w:color w:val="auto"/>
              </w:rPr>
              <w:t>Cross-currency interest rate swaps</w:t>
            </w:r>
          </w:p>
        </w:tc>
        <w:tc>
          <w:tcPr>
            <w:tcW w:w="326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87"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During the next 12 months, we expect to reclassify $16.1 million of pretax net losses on cash flow hedges from accumulated other comprehensive loss to other–net, (income) expense. During the three months ended March 31, 2019, the amounts excluded from the assessment of hedge effectiveness recognized in other comprehensive income (loss) was not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following tables summarize certain fair value information at March 31, 2019 and December 31, 2018 for assets and liabilities measured at fair value on a recurring basis, as well as the carrying amount and amortized cost of certain other investments: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806.2</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806.2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806.2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806.2</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13.5</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13.5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81.7</w:t>
            </w:r>
          </w:p>
        </w:tc>
        <w:tc>
          <w:tcPr>
            <w:tcW w:w="34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81.7</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81.7</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81.7</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4.0</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4.0</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w:t>
            </w:r>
          </w:p>
        </w:tc>
        <w:tc>
          <w:tcPr>
            <w:tcW w:w="3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1.5</w:t>
            </w: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1.5</w:t>
            </w: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4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100.7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148.0</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150.0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148.0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148.0</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533.6</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535.2</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533.6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533.6</w:t>
            </w: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118.7</w:t>
            </w:r>
          </w:p>
        </w:tc>
        <w:tc>
          <w:tcPr>
            <w:tcW w:w="34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119.9</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118.7</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118.7</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36.2</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36.2</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36.2</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36.2</w:t>
            </w: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82.4</w:t>
            </w:r>
          </w:p>
        </w:tc>
        <w:tc>
          <w:tcPr>
            <w:tcW w:w="34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29.7</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82.4</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82.4</w:t>
            </w: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502.1</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238.7</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502.1</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502.1</w:t>
            </w:r>
          </w:p>
        </w:tc>
        <w:tc>
          <w:tcPr>
            <w:tcW w:w="0" w:type="dxa"/>
            <w:vAlign w:val="bottom"/>
          </w:tcPr>
          <w:p>
            <w:pPr>
              <w:spacing w:after="0"/>
              <w:rPr>
                <w:sz w:val="1"/>
                <w:szCs w:val="1"/>
                <w:color w:val="auto"/>
              </w:rPr>
            </w:pPr>
          </w:p>
        </w:tc>
      </w:tr>
      <w:tr>
        <w:trPr>
          <w:trHeight w:val="198"/>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7"/>
                <w:szCs w:val="17"/>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414.6</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line="234"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275.8</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2,111.4</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5,727.1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5,727.1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5,727.1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5,727.1</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62.2</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62.6</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62.2</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88.2</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149.1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149.1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568.0</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587.8</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568.0</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111.4</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27.7</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27.9</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87.8</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357.5</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238.3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357.5</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80"/>
              <w:spacing w:after="0" w:line="234"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414.7</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289.2</w:t>
            </w:r>
          </w:p>
        </w:tc>
        <w:tc>
          <w:tcPr>
            <w:tcW w:w="3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2,005.4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80" w:right="140" w:hanging="172"/>
        <w:spacing w:after="0" w:line="239" w:lineRule="auto"/>
        <w:tabs>
          <w:tab w:leader="none" w:pos="153"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Fair value disclosures are not applicable for equity method investments, investments accounted for under the measurement alternative for equity investments, and cost method investments that do not have readily determinable fair values.</w:t>
      </w:r>
    </w:p>
    <w:p>
      <w:pPr>
        <w:sectPr>
          <w:pgSz w:w="11900" w:h="16838" w:orient="portrait"/>
          <w:cols w:equalWidth="0" w:num="1">
            <w:col w:w="11420"/>
          </w:cols>
          <w:pgMar w:left="240" w:top="740" w:right="239" w:bottom="116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40" w:right="239" w:bottom="116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8"/>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203"/>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6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9"/>
        </w:trPr>
        <w:tc>
          <w:tcPr>
            <w:tcW w:w="396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(2,349.6)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(2,342.3)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(2,342.3)</w:t>
            </w:r>
          </w:p>
        </w:tc>
      </w:tr>
      <w:tr>
        <w:trPr>
          <w:trHeight w:val="271"/>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(498.9)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69"/>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1"/>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(13,615.5)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(14,238.8)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(14,238.8)</w:t>
            </w:r>
          </w:p>
        </w:tc>
      </w:tr>
      <w:tr>
        <w:trPr>
          <w:trHeight w:val="261"/>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(9,799.7)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(9,970.0)</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(9,970.0)</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gridSpan w:val="6"/>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980" w:type="dxa"/>
            <w:vAlign w:val="bottom"/>
          </w:tcPr>
          <w:p>
            <w:pPr>
              <w:spacing w:after="0"/>
              <w:rPr>
                <w:sz w:val="17"/>
                <w:szCs w:val="17"/>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Unobservable</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Inputs</w:t>
            </w: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30.9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30.9</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(0.3)</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(7.7)</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0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60.9</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60.9</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60.9</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26.9</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26.9</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0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cash flow 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(27.6)</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(27.6)</w:t>
            </w:r>
          </w:p>
        </w:tc>
      </w:tr>
      <w:tr>
        <w:trPr>
          <w:trHeight w:val="20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11.2</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11.2</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(28.8)</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69.2</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not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designated as hedging instruments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3"/>
                <w:szCs w:val="23"/>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3"/>
                <w:szCs w:val="23"/>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8" w:right="239" w:bottom="1440" w:gutter="0" w:footer="0" w:header="0"/>
        </w:sectPr>
      </w:pPr>
    </w:p>
    <w:bookmarkStart w:id="22" w:name="page23"/>
    <w:bookmarkEnd w:id="22"/>
    <w:p>
      <w:pPr>
        <w:ind w:right="160"/>
        <w:spacing w:after="0" w:line="260"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4"/>
                <w:szCs w:val="14"/>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4"/>
                <w:szCs w:val="14"/>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6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935.7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99.3</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539.9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175.2</w:t>
            </w:r>
          </w:p>
        </w:tc>
      </w:tr>
    </w:tbl>
    <w:p>
      <w:pPr>
        <w:spacing w:after="0" w:line="8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net unrealized gains and losses recognized in our consolidated condensed statements of operations for equity securities during the three months ended March 31, 2019 and 2018 were $149.6 million and $18.7 million, respectively.</w:t>
      </w:r>
    </w:p>
    <w:p>
      <w:pPr>
        <w:spacing w:after="0" w:line="3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adjust our equity investments without readily determinable fair values are based upon changes in the equity instruments' values resulting from observable price changes in orderly transactions for an identical or similar investments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months ended March 31, 2019 and 2018 were not material.</w:t>
      </w:r>
    </w:p>
    <w:p>
      <w:pPr>
        <w:spacing w:after="0" w:line="6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6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60" w:type="dxa"/>
            <w:vAlign w:val="bottom"/>
          </w:tcPr>
          <w:p>
            <w:pPr>
              <w:spacing w:after="0"/>
              <w:rPr>
                <w:sz w:val="23"/>
                <w:szCs w:val="23"/>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29.0</w:t>
            </w:r>
          </w:p>
        </w:tc>
      </w:tr>
      <w:tr>
        <w:trPr>
          <w:trHeight w:val="27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338.9</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60" w:type="dxa"/>
            <w:vAlign w:val="bottom"/>
          </w:tcPr>
          <w:p>
            <w:pPr>
              <w:spacing w:after="0"/>
              <w:rPr>
                <w:sz w:val="23"/>
                <w:szCs w:val="23"/>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578.6</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858.6</w:t>
            </w:r>
          </w:p>
        </w:tc>
      </w:tr>
    </w:tbl>
    <w:p>
      <w:pPr>
        <w:spacing w:after="0" w:line="8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 than temporary impairment losses were immaterial in the three months ended March 31, 2019. There were no other-than-temporary impairment losses in the three months ended March 31, 2018.</w:t>
      </w:r>
    </w:p>
    <w:p>
      <w:pPr>
        <w:spacing w:after="0" w:line="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As of March 31, 2019, the available-for-sale securities in an unrealized loss position include primarily fixed-rate debt securities of varying maturities, which are sensitive to changes in the yield curve and other market conditions. Approximately 60 percent of the fixed-rate debt securities in a loss position are investment-grade debt securities. As of March 31, 2019,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7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14605</wp:posOffset>
            </wp:positionV>
            <wp:extent cx="1457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65"/>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93.7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592.6</w:t>
            </w:r>
          </w:p>
        </w:tc>
      </w:tr>
      <w:tr>
        <w:trPr>
          <w:trHeight w:val="269"/>
        </w:trPr>
        <w:tc>
          <w:tcPr>
            <w:tcW w:w="588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36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1"/>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36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0.4</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$638.3 million and $696.2 million of accounts receivable as of March 31, 2019 and December 31, 2018, respectively, under these factoring arrangements. The costs of factoring such accounts receivable on our consolidated condensed results of operations for the three months ended March 31, 2019 and 2018 was not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determine if an arrangement is a lease at inception. We have operating and finance leases for corporate offices, research and development facilities, vehicles, and equipment. Our leases have remaining lease terms of 1 to 14 years, some of which have options to extend the leases, and some of which include options to terminate the leases. Finance leases are included in property and equipment, short-term borrowings and current maturities of long-term debt, and long-term debt in our consolidated condensed balance sheets. Finance leases are not material to our consolidated condensed statements of operations, consolidated condensed balance sheets, and consolidated condensed statements of cash flows. Beginning January 1, 2019 operating leases are included in operating lease assets, other current liabilities, and noncurrent operating lease liabilities in our consolidated condensed balance sheet.</w:t>
      </w:r>
    </w:p>
    <w:p>
      <w:pPr>
        <w:spacing w:after="0" w:line="1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if it is readily determinable. The operating lease assets also include any lease payments made and excludes lease incentives. Our lease terms may include options to extend or terminate the lease when it is reasonably certain and there is a significant economic incentive to exercise that option.</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lease expense for operating lease assets is recognized on a straight-line basis over the lease term. Variable lease payments, which represent lease payments that vary due to changes in facts or circumstances occurring after the commencement date other than the passage of time, are expensed in the period in which the obligation for these payments was incurred. Variable lease expense recognized in the three months ended March 31, 2019 was not material.</w:t>
      </w:r>
    </w:p>
    <w:p>
      <w:pPr>
        <w:spacing w:after="0" w:line="17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 xml:space="preserve">We elected not to apply the recognition requirements of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to short-term leases, which are deemed to be leases with a lease term of 12 months or less. Instead, we recognized lease payments in the consolidated condensed statements of operations on a straight-line basis over the lease term and variable payments in the period in which the obligation for these payments was incurred. We elected this policy for all classes of underlying assets. Short-term lease expense recognized in the three months ended March 31, 2019 was not material.</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impact of operating leases to our consolidated condensed financial statements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tcPr>
          <w:p>
            <w:pPr>
              <w:jc w:val="center"/>
              <w:ind w:right="297"/>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8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rPr>
              <w:t>2019</w:t>
            </w:r>
          </w:p>
        </w:tc>
      </w:tr>
      <w:tr>
        <w:trPr>
          <w:trHeight w:val="257"/>
        </w:trPr>
        <w:tc>
          <w:tcPr>
            <w:tcW w:w="8720" w:type="dxa"/>
            <w:vAlign w:val="bottom"/>
          </w:tcPr>
          <w:p>
            <w:pPr>
              <w:ind w:left="40"/>
              <w:spacing w:after="0"/>
              <w:rPr>
                <w:sz w:val="20"/>
                <w:szCs w:val="20"/>
                <w:color w:val="auto"/>
              </w:rPr>
            </w:pPr>
            <w:r>
              <w:rPr>
                <w:rFonts w:ascii="Arial" w:cs="Arial" w:eastAsia="Arial" w:hAnsi="Arial"/>
                <w:sz w:val="18"/>
                <w:szCs w:val="18"/>
                <w:b w:val="1"/>
                <w:bCs w:val="1"/>
                <w:color w:val="auto"/>
              </w:rPr>
              <w:t>Lease cost</w:t>
            </w:r>
          </w:p>
        </w:tc>
        <w:tc>
          <w:tcPr>
            <w:tcW w:w="38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78"/>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32.1</w:t>
            </w:r>
          </w:p>
        </w:tc>
      </w:tr>
      <w:tr>
        <w:trPr>
          <w:trHeight w:val="324"/>
        </w:trPr>
        <w:tc>
          <w:tcPr>
            <w:tcW w:w="8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70"/>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r>
      <w:tr>
        <w:trPr>
          <w:trHeight w:val="265"/>
        </w:trPr>
        <w:tc>
          <w:tcPr>
            <w:tcW w:w="8720" w:type="dxa"/>
            <w:vAlign w:val="bottom"/>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spacing w:after="0"/>
              <w:rPr>
                <w:sz w:val="23"/>
                <w:szCs w:val="23"/>
                <w:color w:val="auto"/>
              </w:rPr>
            </w:pPr>
          </w:p>
        </w:tc>
        <w:tc>
          <w:tcPr>
            <w:tcW w:w="2320" w:type="dxa"/>
            <w:vAlign w:val="bottom"/>
          </w:tcPr>
          <w:p>
            <w:pPr>
              <w:jc w:val="right"/>
              <w:ind w:right="97"/>
              <w:spacing w:after="0"/>
              <w:rPr>
                <w:sz w:val="20"/>
                <w:szCs w:val="20"/>
                <w:color w:val="auto"/>
              </w:rPr>
            </w:pPr>
            <w:r>
              <w:rPr>
                <w:rFonts w:ascii="Arial" w:cs="Arial" w:eastAsia="Arial" w:hAnsi="Arial"/>
                <w:sz w:val="18"/>
                <w:szCs w:val="18"/>
                <w:color w:val="auto"/>
              </w:rPr>
              <w:t>36.9</w:t>
            </w:r>
          </w:p>
        </w:tc>
      </w:tr>
      <w:tr>
        <w:trPr>
          <w:trHeight w:val="275"/>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80" w:type="dxa"/>
            <w:vAlign w:val="bottom"/>
            <w:shd w:val="clear" w:color="auto" w:fill="CCEEFF"/>
          </w:tcPr>
          <w:p>
            <w:pPr>
              <w:spacing w:after="0"/>
              <w:rPr>
                <w:sz w:val="23"/>
                <w:szCs w:val="23"/>
                <w:color w:val="auto"/>
              </w:rPr>
            </w:pPr>
          </w:p>
        </w:tc>
        <w:tc>
          <w:tcPr>
            <w:tcW w:w="23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35.1</w:t>
            </w:r>
          </w:p>
        </w:tc>
      </w:tr>
      <w:tr>
        <w:trPr>
          <w:trHeight w:val="265"/>
        </w:trPr>
        <w:tc>
          <w:tcPr>
            <w:tcW w:w="872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380" w:type="dxa"/>
            <w:vAlign w:val="bottom"/>
          </w:tcPr>
          <w:p>
            <w:pPr>
              <w:spacing w:after="0"/>
              <w:rPr>
                <w:sz w:val="23"/>
                <w:szCs w:val="23"/>
                <w:color w:val="auto"/>
              </w:rPr>
            </w:pPr>
          </w:p>
        </w:tc>
        <w:tc>
          <w:tcPr>
            <w:tcW w:w="2320" w:type="dxa"/>
            <w:vAlign w:val="bottom"/>
          </w:tcPr>
          <w:p>
            <w:pPr>
              <w:jc w:val="right"/>
              <w:ind w:right="97"/>
              <w:spacing w:after="0"/>
              <w:rPr>
                <w:sz w:val="20"/>
                <w:szCs w:val="20"/>
                <w:color w:val="auto"/>
              </w:rPr>
            </w:pPr>
            <w:r>
              <w:rPr>
                <w:rFonts w:ascii="Arial" w:cs="Arial" w:eastAsia="Arial" w:hAnsi="Arial"/>
                <w:sz w:val="18"/>
                <w:szCs w:val="18"/>
                <w:color w:val="auto"/>
              </w:rPr>
              <w:t>8 years</w:t>
            </w:r>
          </w:p>
        </w:tc>
      </w:tr>
      <w:tr>
        <w:trPr>
          <w:trHeight w:val="275"/>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380" w:type="dxa"/>
            <w:vAlign w:val="bottom"/>
            <w:shd w:val="clear" w:color="auto" w:fill="CCEEFF"/>
          </w:tcPr>
          <w:p>
            <w:pPr>
              <w:spacing w:after="0"/>
              <w:rPr>
                <w:sz w:val="23"/>
                <w:szCs w:val="23"/>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annual minimum lease payments of our operating lease liabilities were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Year 1</w:t>
            </w:r>
          </w:p>
        </w:tc>
        <w:tc>
          <w:tcPr>
            <w:tcW w:w="6180" w:type="dxa"/>
            <w:vAlign w:val="bottom"/>
            <w:tcBorders>
              <w:top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r>
      <w:tr>
        <w:trPr>
          <w:trHeight w:val="252"/>
        </w:trPr>
        <w:tc>
          <w:tcPr>
            <w:tcW w:w="3680" w:type="dxa"/>
            <w:vAlign w:val="bottom"/>
          </w:tcPr>
          <w:p>
            <w:pPr>
              <w:ind w:left="40"/>
              <w:spacing w:after="0"/>
              <w:rPr>
                <w:sz w:val="20"/>
                <w:szCs w:val="20"/>
                <w:color w:val="auto"/>
              </w:rPr>
            </w:pPr>
            <w:r>
              <w:rPr>
                <w:rFonts w:ascii="Arial" w:cs="Arial" w:eastAsia="Arial" w:hAnsi="Arial"/>
                <w:sz w:val="18"/>
                <w:szCs w:val="18"/>
                <w:color w:val="auto"/>
              </w:rPr>
              <w:t>Year 2</w:t>
            </w:r>
          </w:p>
        </w:tc>
        <w:tc>
          <w:tcPr>
            <w:tcW w:w="5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61"/>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3</w:t>
            </w:r>
          </w:p>
        </w:tc>
        <w:tc>
          <w:tcPr>
            <w:tcW w:w="5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52"/>
        </w:trPr>
        <w:tc>
          <w:tcPr>
            <w:tcW w:w="3680" w:type="dxa"/>
            <w:vAlign w:val="bottom"/>
          </w:tcPr>
          <w:p>
            <w:pPr>
              <w:ind w:left="40"/>
              <w:spacing w:after="0"/>
              <w:rPr>
                <w:sz w:val="20"/>
                <w:szCs w:val="20"/>
                <w:color w:val="auto"/>
              </w:rPr>
            </w:pPr>
            <w:r>
              <w:rPr>
                <w:rFonts w:ascii="Arial" w:cs="Arial" w:eastAsia="Arial" w:hAnsi="Arial"/>
                <w:sz w:val="18"/>
                <w:szCs w:val="18"/>
                <w:color w:val="auto"/>
              </w:rPr>
              <w:t>Year 4</w:t>
            </w:r>
          </w:p>
        </w:tc>
        <w:tc>
          <w:tcPr>
            <w:tcW w:w="5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69.5</w:t>
            </w:r>
          </w:p>
        </w:tc>
      </w:tr>
      <w:tr>
        <w:trPr>
          <w:trHeight w:val="261"/>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5</w:t>
            </w:r>
          </w:p>
        </w:tc>
        <w:tc>
          <w:tcPr>
            <w:tcW w:w="5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52"/>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After Year 5</w:t>
            </w:r>
          </w:p>
        </w:tc>
        <w:tc>
          <w:tcPr>
            <w:tcW w:w="5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285.0</w:t>
            </w:r>
          </w:p>
        </w:tc>
      </w:tr>
      <w:tr>
        <w:trPr>
          <w:trHeight w:val="255"/>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731.4</w:t>
            </w:r>
          </w:p>
        </w:tc>
      </w:tr>
      <w:tr>
        <w:trPr>
          <w:trHeight w:val="252"/>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5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75"/>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621.9</w:t>
            </w:r>
          </w:p>
        </w:tc>
      </w:tr>
      <w:tr>
        <w:trPr>
          <w:trHeight w:val="666"/>
        </w:trPr>
        <w:tc>
          <w:tcPr>
            <w:tcW w:w="3680" w:type="dxa"/>
            <w:vAlign w:val="bottom"/>
            <w:tcBorders>
              <w:top w:val="single" w:sz="8" w:color="CCEEFF"/>
            </w:tcBorders>
          </w:tcPr>
          <w:p>
            <w:pPr>
              <w:spacing w:after="0"/>
              <w:rPr>
                <w:sz w:val="24"/>
                <w:szCs w:val="24"/>
                <w:color w:val="auto"/>
              </w:rPr>
            </w:pPr>
          </w:p>
        </w:tc>
        <w:tc>
          <w:tcPr>
            <w:tcW w:w="5100" w:type="dxa"/>
            <w:vAlign w:val="bottom"/>
            <w:tcBorders>
              <w:top w:val="single" w:sz="8" w:color="CCEEFF"/>
            </w:tcBorders>
          </w:tcPr>
          <w:p>
            <w:pPr>
              <w:jc w:val="right"/>
              <w:ind w:right="2870"/>
              <w:spacing w:after="0"/>
              <w:rPr>
                <w:sz w:val="20"/>
                <w:szCs w:val="20"/>
                <w:color w:val="auto"/>
              </w:rPr>
            </w:pPr>
            <w:r>
              <w:rPr>
                <w:rFonts w:ascii="Arial" w:cs="Arial" w:eastAsia="Arial" w:hAnsi="Arial"/>
                <w:sz w:val="18"/>
                <w:szCs w:val="18"/>
                <w:color w:val="auto"/>
              </w:rPr>
              <w:t>25</w:t>
            </w:r>
          </w:p>
        </w:tc>
        <w:tc>
          <w:tcPr>
            <w:tcW w:w="10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Income Taxes</w:t>
      </w:r>
    </w:p>
    <w:p>
      <w:pPr>
        <w:spacing w:after="0" w:line="17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effective tax rates were 23.3 percent and 14.5 percent for the three months ended March 31, 2019 and 2018, respectively. The higher effective tax rate is primarily due to the non-deductibility of accelerated vesting of Loxo employee equity awards as part of the closing of the acquisition of Loxo, as well as tax expenses associated with the suspension of promotion of Lartruvo.</w:t>
      </w:r>
    </w:p>
    <w:p>
      <w:pPr>
        <w:spacing w:after="0" w:line="1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2017, the U.S. enacted the Tax Cuts and Jobs Act (2017 Tax Act), which significantly revised U.S. tax law. Guidance related to the 2017 Tax Act, including Notices, Proposed Regulations, and Final Regulations, has been issued, and we expect additional guidance will be issued in 2019. This additional guidance could materially impact our assumptions and estimates used to record our U.S. federal and state income tax expense resulting from the 2017 Tax Act.</w:t>
      </w:r>
    </w:p>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U.S. examination of tax years 2013-2015 began in 2016, and we believe it is reasonably possible that this examination could reach resolution within the next 12 months for the tax years 2013-2014 and certain matters under examination for tax year 2015, for which the examination remains ongoing. As a result, we currently estimate that gross uncertain tax positions may be reduced by approximately $450 million within the next 12 months. Additionally, we anticipate up to $150 million of cash payments will be due upon resolution.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Retirement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33"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27305</wp:posOffset>
            </wp:positionV>
            <wp:extent cx="1955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p>
      <w:pPr>
        <w:ind w:left="892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Components of net periodic benefit cost:</w:t>
      </w:r>
    </w:p>
    <w:p>
      <w:pPr>
        <w:sectPr>
          <w:pgSz w:w="11900" w:h="16838" w:orient="portrait"/>
          <w:cols w:equalWidth="0" w:num="1">
            <w:col w:w="11420"/>
          </w:cols>
          <w:pgMar w:left="240" w:top="574" w:right="239" w:bottom="1440" w:gutter="0" w:footer="0" w:header="0"/>
        </w:sectPr>
      </w:pP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Expected return on plan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Amortization of prior service cost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Recognized actuarial loss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980" w:val="left"/>
          <w:tab w:leader="none" w:pos="1580" w:val="left"/>
          <w:tab w:leader="none" w:pos="2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29845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900"/>
        <w:spacing w:after="0"/>
        <w:tabs>
          <w:tab w:leader="none" w:pos="2500" w:val="left"/>
        </w:tabs>
        <w:rPr>
          <w:sz w:val="20"/>
          <w:szCs w:val="20"/>
          <w:color w:val="auto"/>
        </w:rPr>
      </w:pPr>
      <w:r>
        <w:rPr>
          <w:rFonts w:ascii="Arial" w:cs="Arial" w:eastAsia="Arial" w:hAnsi="Arial"/>
          <w:sz w:val="18"/>
          <w:szCs w:val="18"/>
          <w:b w:val="1"/>
          <w:bCs w:val="1"/>
          <w:color w:val="auto"/>
        </w:rPr>
        <w:t>120.7</w:t>
      </w:r>
      <w:r>
        <w:rPr>
          <w:sz w:val="20"/>
          <w:szCs w:val="20"/>
          <w:color w:val="auto"/>
        </w:rPr>
        <w:tab/>
      </w:r>
      <w:r>
        <w:rPr>
          <w:rFonts w:ascii="Arial" w:cs="Arial" w:eastAsia="Arial" w:hAnsi="Arial"/>
          <w:sz w:val="17"/>
          <w:szCs w:val="17"/>
          <w:color w:val="auto"/>
        </w:rPr>
        <w:t>112.0</w:t>
      </w:r>
    </w:p>
    <w:p>
      <w:pPr>
        <w:spacing w:after="0" w:line="63" w:lineRule="exact"/>
        <w:rPr>
          <w:sz w:val="20"/>
          <w:szCs w:val="20"/>
          <w:color w:val="auto"/>
        </w:rPr>
      </w:pPr>
    </w:p>
    <w:p>
      <w:pPr>
        <w:jc w:val="right"/>
        <w:ind w:right="40"/>
        <w:spacing w:after="0"/>
        <w:tabs>
          <w:tab w:leader="none" w:pos="54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7"/>
          <w:szCs w:val="17"/>
          <w:color w:val="auto"/>
        </w:rPr>
        <w:t>(211.0)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29845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100"/>
        <w:spacing w:after="0"/>
        <w:tabs>
          <w:tab w:leader="none" w:pos="26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1.2</w:t>
      </w:r>
    </w:p>
    <w:p>
      <w:pPr>
        <w:spacing w:after="0" w:line="63" w:lineRule="exact"/>
        <w:rPr>
          <w:sz w:val="20"/>
          <w:szCs w:val="20"/>
          <w:color w:val="auto"/>
        </w:rPr>
      </w:pPr>
    </w:p>
    <w:p>
      <w:pPr>
        <w:ind w:left="1000"/>
        <w:spacing w:after="0"/>
        <w:tabs>
          <w:tab w:leader="none" w:pos="2580" w:val="left"/>
        </w:tabs>
        <w:rPr>
          <w:sz w:val="20"/>
          <w:szCs w:val="20"/>
          <w:color w:val="auto"/>
        </w:rPr>
      </w:pPr>
      <w:r>
        <w:rPr>
          <w:rFonts w:ascii="Arial" w:cs="Arial" w:eastAsia="Arial" w:hAnsi="Arial"/>
          <w:sz w:val="18"/>
          <w:szCs w:val="18"/>
          <w:b w:val="1"/>
          <w:bCs w:val="1"/>
          <w:color w:val="auto"/>
        </w:rPr>
        <w:t>69.6</w:t>
      </w:r>
      <w:r>
        <w:rPr>
          <w:sz w:val="20"/>
          <w:szCs w:val="20"/>
          <w:color w:val="auto"/>
        </w:rPr>
        <w:tab/>
      </w:r>
      <w:r>
        <w:rPr>
          <w:rFonts w:ascii="Arial" w:cs="Arial" w:eastAsia="Arial" w:hAnsi="Arial"/>
          <w:sz w:val="18"/>
          <w:szCs w:val="18"/>
          <w:color w:val="auto"/>
        </w:rPr>
        <w:t>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29845</wp:posOffset>
            </wp:positionV>
            <wp:extent cx="72466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7" w:lineRule="exact"/>
        <w:rPr>
          <w:sz w:val="20"/>
          <w:szCs w:val="20"/>
          <w:color w:val="auto"/>
        </w:rPr>
      </w:pPr>
    </w:p>
    <w:p>
      <w:pPr>
        <w:spacing w:after="0"/>
        <w:tabs>
          <w:tab w:leader="none" w:pos="980" w:val="left"/>
          <w:tab w:leader="none" w:pos="1580" w:val="left"/>
          <w:tab w:leader="none" w:pos="25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69.7</w:t>
      </w:r>
    </w:p>
    <w:p>
      <w:pPr>
        <w:spacing w:after="0" w:line="38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Retiree Health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27305</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7640" w:space="720"/>
            <w:col w:w="3060"/>
          </w:cols>
          <w:pgMar w:left="240" w:top="574"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6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83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8.8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w:t>
            </w: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14.6</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r>
      <w:tr>
        <w:trPr>
          <w:trHeight w:val="269"/>
        </w:trPr>
        <w:tc>
          <w:tcPr>
            <w:tcW w:w="83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1"/>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69"/>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9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0.5</w:t>
            </w: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71"/>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bl>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contributed approximately $10 million required to satisfy minimum funding requirements to our defined benefit pension and retiree health benefit plans during the three months ended March 31, 2019. During the remainder of 2019, we expect to make contributions to our defined benefit pension and retiree health benefit plans of approximately $40 million to satisfy minimum funding requirements. There was no discretionary funding during the three months ended March 31, 2019, and none is planned for the remainder of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11: Contingencies</w:t>
      </w:r>
    </w:p>
    <w:p>
      <w:pPr>
        <w:spacing w:after="0" w:line="17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 number of generic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preliminary injunction or stay pending the appeal of the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described in the following sentence. In October 2017, the U.S. Patent and Trademark Office (USPTO) issued written decisions in our favor following IPR of our U.S. vitamin regimen patent, finding that the generic company petitioners failed to show that the claims in our patent are unpatentable. In April 2019, the U.S. Court of Appeals for the Federal Circuit affirmed the written decisions of the USPTO IPR upholding our U.S. vitamin regimen patent.</w:t>
      </w:r>
    </w:p>
    <w:p>
      <w:pPr>
        <w:spacing w:after="0" w:line="7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also currently have pending lawsuits in the U.S. District Court for the Southern District of Indiana alleging infringement against Actavis LLC (Actavis) and Apotex Inc. in response to their applications to market alternative forms of pemetrexed (the active ingredient in Alimta) products, and we filed a similar lawsuit in the U.S. District Court for the District of Delaware against Eagle Pharmaceuticals, Inc. In June 2018, the U.S.</w:t>
      </w:r>
    </w:p>
    <w:p>
      <w:pPr>
        <w:ind w:right="60"/>
        <w:spacing w:after="0" w:line="258" w:lineRule="auto"/>
        <w:rPr>
          <w:sz w:val="20"/>
          <w:szCs w:val="20"/>
          <w:color w:val="auto"/>
        </w:rPr>
      </w:pPr>
      <w:r>
        <w:rPr>
          <w:rFonts w:ascii="Arial" w:cs="Arial" w:eastAsia="Arial" w:hAnsi="Arial"/>
          <w:sz w:val="18"/>
          <w:szCs w:val="18"/>
          <w:color w:val="auto"/>
        </w:rPr>
        <w:t>District Court for the Southern District of Indiana ruled in our favor in two similar cases, finding Dr. Reddy's Laboratories' (Dr. Reddy) and Hospira, Inc.'s (Hospira) proposed products would infringe our patent. Dr. Reddy and Hospira have appealed those rulings. The lawsuit against Actavis has been stayed, pending a decision in Dr. Reddy’s appeal. The hearing on the appeal is scheduled for June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by Actavis Group ehf and other Actavis companies directly infringes our vitamin regimen patents in the U.K., Italy, France, and Spain. This litigation in the U.K. is now concluded.</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Hexal AG, Stada Arzneimittel AG (Stada), and Fresenius Kabi Deutschland GmbH have each challenged the validity of our German vitamin regimen patent before the German Federal Patent Court. At a hearing in July 2018, the German Federal Patent Court held that our German vitamin regimen patent is invalid. We have appealed this decision to the German Supreme Court. Under German law, the patent remains in force pending appeal. A number of generic competitors have received approval to market generic versions of pemetrexed in Germany. Some of these companies, including Stada, have launched at risk or are preparing to do so. We are seeking injunctions and/or contesting the lifting of previously granted injunctions against these companies while the appeal to the German Supreme Court is pending. While not material to our business, Alimta revenue in Germany has steadily decreased over the last few quarters and is down significantly for the first quarter of 2019 compared to the first quarter of 2018. The timing of further generic entry and full impact on market erosion in Germany is unpredictable and depends 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4" w:right="239" w:bottom="1440" w:gutter="0" w:footer="0" w:header="0"/>
        </w:sectPr>
      </w:pPr>
    </w:p>
    <w:bookmarkStart w:id="27" w:name="page28"/>
    <w:bookmarkEnd w:id="27"/>
    <w:p>
      <w:pPr>
        <w:ind w:right="20"/>
        <w:spacing w:after="0" w:line="292" w:lineRule="auto"/>
        <w:rPr>
          <w:sz w:val="20"/>
          <w:szCs w:val="20"/>
          <w:color w:val="auto"/>
        </w:rPr>
      </w:pPr>
      <w:r>
        <w:rPr>
          <w:rFonts w:ascii="Arial" w:cs="Arial" w:eastAsia="Arial" w:hAnsi="Arial"/>
          <w:sz w:val="18"/>
          <w:szCs w:val="18"/>
          <w:color w:val="auto"/>
        </w:rPr>
        <w:t>whether the existing injunctions remain in effect, the suspended injunctions are reinstated pending the appeal or further injunctions are granted, or whether additional generic competitors choose to launch at risk.</w:t>
      </w:r>
    </w:p>
    <w:p>
      <w:pPr>
        <w:spacing w:after="0" w:line="3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Additional legal proceedings are ongoing in various national courts throughout Europe. We are aware that several companies have received approval to market generic versions of pemetrexed in major European markets (including one generic product currently on the market in France) and that additional generic competitors may choose to launch at risk. We will continue to seek to remove any generic pemetrexed products launched at risk in European markets, including Germany, seek damages with respect to such launches, and defend our patents against validity challenges.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rejected a demand for invalidation by Sawai Pharmaceutical Co., Ltd., which was affirmed on appeal in 2017. In July 2018, the JPO issued written decisions dismissing demands brought by Nipro Corporation (Nipro) for invalidation of our two Japanese vitamin regimen patents. Nipro filed an appeal, and we anticipate decisions by the Japan Intellectual Property High Court in the third quarter of 2019. We also anticipate decisions by the JPO with respect to another set of demands, brought by Hospira, in the third quarter of 2019.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 Product Liability Litigation</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w:t>
      </w:r>
      <w:r>
        <w:rPr>
          <w:rFonts w:ascii="Arial" w:cs="Arial" w:eastAsia="Arial" w:hAnsi="Arial"/>
          <w:sz w:val="18"/>
          <w:szCs w:val="18"/>
          <w:color w:val="auto"/>
        </w:rPr>
        <w:t>pany)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and/or paid for Cymbalta, asserted claims under the consumer protection statutes of California, Massachusetts, Missouri, and New York, and sought declaratory, injunctive, and monetary relief for various alleged economic injuries arising from discontinuing treatment with Cymbalta. The district court denied the plaintiffs' motions for class certification and dismissed the suits. The plaintiffs subsequently appealed to the U.S. Court of Appeals for the Ninth Circuit. In November 2017, the U.S. Court of Appeals for the Ninth Circuit dismissed the suit. In July 2018, the U.S. District Court for the District of California denied plaintiffs’ motion to reopen the case. Plaintiffs’ appeal of this denial is currently pending before the U.S. Court of Appeals for the Ninth Circuit.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Litigation – Cosmopolis Facility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500.0 million Brazilian real (approximately $130.0 million as of March 31, 2019). The appeals court restricted the broad health coverage awarded by the labor court to health problems that claimants could show arose from exposure to the alleged contamination. We strongly disagree with the appeals court's decision. Lilly Brasil has taken an initial step in the appeal process by filing a Motion for Clarification; a decision on that motion is expected in the second quarter of 2019.</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5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Lilly Brasil and Elanco Quimica Ltda. have been named in two similar lawsuits in the same labor court involving approximately 410 individual plaintiffs. We agreed to indemnify Elanco Quimica Ltda. in this litigation as part of the divestiture of Elanco. In the first lawsuit (involving approximately 305 plaintiffs), plaintiffs alleged harm to employees, former employees, and their dependents. In the second lawsuit (involving approximately 105 plaintiffs), plaintiffs alleged harm to contractors and suppliers, and their dependents. The plaintiffs’ claims in these two lawsuits relate only to mental anguish attributable to the possibility of illness due to alleged exposure to heavy metals or</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ind w:right="200"/>
        <w:spacing w:after="0" w:line="264" w:lineRule="auto"/>
        <w:rPr>
          <w:sz w:val="20"/>
          <w:szCs w:val="20"/>
          <w:color w:val="auto"/>
        </w:rPr>
      </w:pPr>
      <w:r>
        <w:rPr>
          <w:rFonts w:ascii="Arial" w:cs="Arial" w:eastAsia="Arial" w:hAnsi="Arial"/>
          <w:sz w:val="18"/>
          <w:szCs w:val="18"/>
          <w:color w:val="auto"/>
        </w:rPr>
        <w:t>other contaminants. In 2017, the labor court dismissed the claims brought by all but the first named plaintiff in each of the lawsuits. The plaintiffs in both lawsuits appealed. In April 2019, the court issued a written decision rejecting the plaintiff’s appeal in the second lawsuit. The court’s decision was procedurally based and was without a judgment on the merits, meaning that the plaintiffs are able to bring individual actions, notwithstanding the court’s decision.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Adocia, S.A.</w:t>
      </w:r>
    </w:p>
    <w:p>
      <w:pPr>
        <w:spacing w:after="0" w:line="28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been named as a respondent in an arbitration filed by Adocia, S.A. (Adocia), with which we entered into agreements for the co-development of an ultra-rapid insulin product. Adocia alleges that we misappropriated and misused Adocia's confidential information and intellectual property and is seeking approximately $1.30 billion in damages and other specific relief. We have asserted several counterclaims relating to fraudulent misrepresentation and are seeking approximately $188 million in damages. An arbitration hearing was held on Adocia’s claims and our counterclaims in December 2018, and we expect a decision in the third quarter of 2019. We believe Adocia's claims are without merit and have defended against them vigorously.</w:t>
      </w:r>
    </w:p>
    <w:p>
      <w:pPr>
        <w:spacing w:after="0" w:line="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Throughout the dispute process, Adocia has made statements alleging that Adocia employees should be listed as inventors on two of our patents related to our ultra-rapid insulin product currently in development. We strongly contest this allegation. While inventorship of these two patents was not at issue in the arbitration proceedings, in October 2018 we filed a declaratory judgment action against Adocia in the U.S. District Court for the Southern District of Indiana to confirm our inventorship.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Insulin and Glucagon Pricing Litigation and Investigations</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Plaintiffs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Racketeer Influenced and Corrupt Organization Act (federal RICO Act). In February 2019, the court dismissed without prejudice the federal RICO Act claim as well as certain state consumer protection claims. Plaintiffs filed a second amended complaint in March 2019. Separately, we, along with Sanofi and Novo Nordisk, are named as defendants in a purported class action lawsuit, </w:t>
      </w:r>
      <w:r>
        <w:rPr>
          <w:rFonts w:ascii="Arial" w:cs="Arial" w:eastAsia="Arial" w:hAnsi="Arial"/>
          <w:sz w:val="18"/>
          <w:szCs w:val="18"/>
          <w:i w:val="1"/>
          <w:iCs w:val="1"/>
          <w:color w:val="auto"/>
        </w:rPr>
        <w:t>MSP Recovery</w:t>
      </w:r>
      <w:r>
        <w:rPr>
          <w:rFonts w:ascii="Arial" w:cs="Arial" w:eastAsia="Arial" w:hAnsi="Arial"/>
          <w:sz w:val="18"/>
          <w:szCs w:val="18"/>
          <w:color w:val="auto"/>
        </w:rPr>
        <w:t xml:space="preserve"> </w:t>
      </w:r>
      <w:r>
        <w:rPr>
          <w:rFonts w:ascii="Arial" w:cs="Arial" w:eastAsia="Arial" w:hAnsi="Arial"/>
          <w:sz w:val="18"/>
          <w:szCs w:val="18"/>
          <w:i w:val="1"/>
          <w:iCs w:val="1"/>
          <w:color w:val="auto"/>
        </w:rPr>
        <w:t>Claims, Series, LLC et al. v. Sanofi Aventis U.S. LLC et al.</w:t>
      </w:r>
      <w:r>
        <w:rPr>
          <w:rFonts w:ascii="Arial" w:cs="Arial" w:eastAsia="Arial" w:hAnsi="Arial"/>
          <w:sz w:val="18"/>
          <w:szCs w:val="18"/>
          <w:color w:val="auto"/>
        </w:rPr>
        <w:t>, in the same court, seeking damages under various state consumer protection laws,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law fraud, unjust enrichment, and the federal RICO Act. In March 2019, the court dismissed, without prejudice, the plaintiffs' federal RICO Act, unjust enrichment, and certain state consumer protection law claims. Finally, the Minnesota Attorney General’s Office filed a complaint against us, Sanofi, and Novo Nordisk, </w:t>
      </w:r>
      <w:r>
        <w:rPr>
          <w:rFonts w:ascii="Arial" w:cs="Arial" w:eastAsia="Arial" w:hAnsi="Arial"/>
          <w:sz w:val="18"/>
          <w:szCs w:val="18"/>
          <w:i w:val="1"/>
          <w:iCs w:val="1"/>
          <w:color w:val="auto"/>
        </w:rPr>
        <w:t>State of Minnesota v. Sanofi-Aventis U.S. LLC et al.,</w:t>
      </w:r>
      <w:r>
        <w:rPr>
          <w:rFonts w:ascii="Arial" w:cs="Arial" w:eastAsia="Arial" w:hAnsi="Arial"/>
          <w:sz w:val="18"/>
          <w:szCs w:val="18"/>
          <w:color w:val="auto"/>
        </w:rPr>
        <w:t xml:space="preserve"> in the U.S. District Court of New Jersey, alleging unjust enrichment, and violations of various Minnesota state consumer protection laws and the federal RICO Act. We believe all of these claims are without merit and are defending against them vigorously.</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received civil investigative demands from the Offices of the Attorney General from Washington and New Mexico relating to the pricing and sale of our insulin products. We are cooperating with these investigations. The Offices of the Attorney General in Mississippi, Washington D.C., California, Florida, Hawaii, and Nevada have requested information relating to the pricing and sale of our insulin products. We are cooperating with these requests. We received interrogatories from the California Attorney General's Office regarding our competition in the long-acting insulin market. We are cooperating with this investigation. Finally, we received a request from the House of Representatives’ Committee on Oversight and Reform; two requests from its Committee on Energy and Commerce; as well as requests from the Senate’s Committee on Finance and Committee on Health, Education, Labor, and Pensions, seeking certain information related to the pricing of insulin products, among other issues. We are cooperating with these investigations.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along with Novo Nordisk and various pharmacy benefit managers, were named as defendants in a lawsuit seeking class action status in the U.S. District Court of New Jersey relating to glucagon pricing. The lawsuit sought damages under various state consumer protection laws, the federal RICO Act, the Sherman Act, and other state and federal laws. In April 2019, the plaintiff voluntarily dismissed the case without prejudice.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576"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12: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3"/>
                <w:szCs w:val="13"/>
                <w:b w:val="1"/>
                <w:bCs w:val="1"/>
                <w:color w:val="auto"/>
              </w:rPr>
              <w:t>Continuing Operations</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right"/>
              <w:ind w:right="216"/>
              <w:spacing w:after="0"/>
              <w:rPr>
                <w:sz w:val="20"/>
                <w:szCs w:val="20"/>
                <w:color w:val="auto"/>
              </w:rPr>
            </w:pPr>
            <w:r>
              <w:rPr>
                <w:rFonts w:ascii="Arial" w:cs="Arial" w:eastAsia="Arial" w:hAnsi="Arial"/>
                <w:sz w:val="13"/>
                <w:szCs w:val="13"/>
                <w:b w:val="1"/>
                <w:bCs w:val="1"/>
                <w:color w:val="auto"/>
                <w:w w:val="97"/>
              </w:rPr>
              <w:t>Foreign Currency</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Defined Benefit</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540" w:type="dxa"/>
            <w:vAlign w:val="bottom"/>
            <w:gridSpan w:val="2"/>
            <w:vMerge w:val="restart"/>
          </w:tcPr>
          <w:p>
            <w:pPr>
              <w:jc w:val="right"/>
              <w:ind w:right="137"/>
              <w:spacing w:after="0"/>
              <w:rPr>
                <w:sz w:val="20"/>
                <w:szCs w:val="20"/>
                <w:color w:val="auto"/>
              </w:rPr>
            </w:pPr>
            <w:r>
              <w:rPr>
                <w:rFonts w:ascii="Arial" w:cs="Arial" w:eastAsia="Arial" w:hAnsi="Arial"/>
                <w:sz w:val="13"/>
                <w:szCs w:val="13"/>
                <w:b w:val="1"/>
                <w:bCs w:val="1"/>
                <w:color w:val="auto"/>
                <w:w w:val="99"/>
              </w:rPr>
              <w:t>Unrealized Net Gains</w:t>
            </w:r>
          </w:p>
        </w:tc>
        <w:tc>
          <w:tcPr>
            <w:tcW w:w="280" w:type="dxa"/>
            <w:vAlign w:val="bottom"/>
          </w:tcPr>
          <w:p>
            <w:pPr>
              <w:spacing w:after="0"/>
              <w:rPr>
                <w:sz w:val="11"/>
                <w:szCs w:val="11"/>
                <w:color w:val="auto"/>
              </w:rPr>
            </w:pPr>
          </w:p>
        </w:tc>
        <w:tc>
          <w:tcPr>
            <w:tcW w:w="1160" w:type="dxa"/>
            <w:vAlign w:val="bottom"/>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14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Effective Portion of</w:t>
            </w:r>
          </w:p>
        </w:tc>
        <w:tc>
          <w:tcPr>
            <w:tcW w:w="320" w:type="dxa"/>
            <w:vAlign w:val="bottom"/>
          </w:tcPr>
          <w:p>
            <w:pPr>
              <w:spacing w:after="0"/>
              <w:rPr>
                <w:sz w:val="11"/>
                <w:szCs w:val="11"/>
                <w:color w:val="auto"/>
              </w:rPr>
            </w:pPr>
          </w:p>
        </w:tc>
        <w:tc>
          <w:tcPr>
            <w:tcW w:w="116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97"/>
              </w:rPr>
              <w:t>Discontinued</w:t>
            </w:r>
          </w:p>
        </w:tc>
        <w:tc>
          <w:tcPr>
            <w:tcW w:w="200" w:type="dxa"/>
            <w:vAlign w:val="bottom"/>
          </w:tcPr>
          <w:p>
            <w:pPr>
              <w:spacing w:after="0"/>
              <w:rPr>
                <w:sz w:val="11"/>
                <w:szCs w:val="11"/>
                <w:color w:val="auto"/>
              </w:rPr>
            </w:pPr>
          </w:p>
        </w:tc>
        <w:tc>
          <w:tcPr>
            <w:tcW w:w="130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Translation</w:t>
            </w:r>
          </w:p>
        </w:tc>
        <w:tc>
          <w:tcPr>
            <w:tcW w:w="1540" w:type="dxa"/>
            <w:vAlign w:val="bottom"/>
            <w:gridSpan w:val="2"/>
            <w:vMerge w:val="continue"/>
          </w:tcPr>
          <w:p>
            <w:pPr>
              <w:spacing w:after="0"/>
              <w:rPr>
                <w:sz w:val="11"/>
                <w:szCs w:val="11"/>
                <w:color w:val="auto"/>
              </w:rPr>
            </w:pPr>
          </w:p>
        </w:tc>
        <w:tc>
          <w:tcPr>
            <w:tcW w:w="14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14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b w:val="1"/>
                <w:bCs w:val="1"/>
                <w:color w:val="auto"/>
              </w:rPr>
              <w:t>Gains (Losses)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 on Securities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2"/>
              </w:rPr>
              <w:t>Plans</w:t>
            </w: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Cash Flow Hedges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Operations</w:t>
            </w:r>
          </w:p>
        </w:tc>
        <w:tc>
          <w:tcPr>
            <w:tcW w:w="150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(1,569.7)</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7"/>
              <w:spacing w:after="0"/>
              <w:rPr>
                <w:sz w:val="20"/>
                <w:szCs w:val="20"/>
                <w:color w:val="auto"/>
              </w:rPr>
            </w:pPr>
            <w:r>
              <w:rPr>
                <w:rFonts w:ascii="Arial" w:cs="Arial" w:eastAsia="Arial" w:hAnsi="Arial"/>
                <w:sz w:val="18"/>
                <w:szCs w:val="18"/>
                <w:b w:val="1"/>
                <w:bCs w:val="1"/>
                <w:color w:val="auto"/>
              </w:rPr>
              <w:t>(22.1)</w:t>
            </w:r>
          </w:p>
        </w:tc>
        <w:tc>
          <w:tcPr>
            <w:tcW w:w="280" w:type="dxa"/>
            <w:vAlign w:val="bottom"/>
          </w:tcPr>
          <w:p>
            <w:pPr>
              <w:jc w:val="right"/>
              <w:ind w:right="99"/>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40"/>
              <w:spacing w:after="0"/>
              <w:rPr>
                <w:sz w:val="20"/>
                <w:szCs w:val="20"/>
                <w:color w:val="auto"/>
              </w:rPr>
            </w:pPr>
            <w:r>
              <w:rPr>
                <w:rFonts w:ascii="Arial" w:cs="Arial" w:eastAsia="Arial" w:hAnsi="Arial"/>
                <w:sz w:val="18"/>
                <w:szCs w:val="18"/>
                <w:b w:val="1"/>
                <w:bCs w:val="1"/>
                <w:color w:val="auto"/>
              </w:rPr>
              <w:t>(3,852.7)</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(238.9)</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(5,740.2)</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(loss) before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(31.7)</w:t>
            </w:r>
          </w:p>
        </w:tc>
        <w:tc>
          <w:tcPr>
            <w:tcW w:w="420" w:type="dxa"/>
            <w:vAlign w:val="bottom"/>
          </w:tcPr>
          <w:p>
            <w:pPr>
              <w:spacing w:after="0"/>
              <w:rPr>
                <w:sz w:val="17"/>
                <w:szCs w:val="17"/>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8"/>
                <w:szCs w:val="18"/>
                <w:b w:val="1"/>
                <w:bCs w:val="1"/>
                <w:color w:val="auto"/>
              </w:rPr>
              <w:t>16.8</w:t>
            </w:r>
          </w:p>
        </w:tc>
        <w:tc>
          <w:tcPr>
            <w:tcW w:w="280" w:type="dxa"/>
            <w:vAlign w:val="bottom"/>
          </w:tcPr>
          <w:p>
            <w:pPr>
              <w:spacing w:after="0"/>
              <w:rPr>
                <w:sz w:val="17"/>
                <w:szCs w:val="17"/>
                <w:color w:val="auto"/>
              </w:rPr>
            </w:pPr>
          </w:p>
        </w:tc>
        <w:tc>
          <w:tcPr>
            <w:tcW w:w="116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(5.7)</w:t>
            </w:r>
          </w:p>
        </w:tc>
        <w:tc>
          <w:tcPr>
            <w:tcW w:w="480" w:type="dxa"/>
            <w:vAlign w:val="bottom"/>
          </w:tcPr>
          <w:p>
            <w:pPr>
              <w:spacing w:after="0"/>
              <w:rPr>
                <w:sz w:val="17"/>
                <w:szCs w:val="17"/>
                <w:color w:val="auto"/>
              </w:rPr>
            </w:pP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(32.9)</w:t>
            </w:r>
          </w:p>
        </w:tc>
        <w:tc>
          <w:tcPr>
            <w:tcW w:w="320" w:type="dxa"/>
            <w:vAlign w:val="bottom"/>
          </w:tcPr>
          <w:p>
            <w:pPr>
              <w:spacing w:after="0"/>
              <w:rPr>
                <w:sz w:val="17"/>
                <w:szCs w:val="17"/>
                <w:color w:val="auto"/>
              </w:rPr>
            </w:pPr>
          </w:p>
        </w:tc>
        <w:tc>
          <w:tcPr>
            <w:tcW w:w="1160" w:type="dxa"/>
            <w:vAlign w:val="bottom"/>
            <w:vMerge w:val="restart"/>
          </w:tcPr>
          <w:p>
            <w:pPr>
              <w:jc w:val="right"/>
              <w:ind w:right="117"/>
              <w:spacing w:after="0"/>
              <w:rPr>
                <w:sz w:val="20"/>
                <w:szCs w:val="20"/>
                <w:color w:val="auto"/>
              </w:rPr>
            </w:pPr>
            <w:r>
              <w:rPr>
                <w:rFonts w:ascii="Arial" w:cs="Arial" w:eastAsia="Arial" w:hAnsi="Arial"/>
                <w:sz w:val="18"/>
                <w:szCs w:val="18"/>
                <w:b w:val="1"/>
                <w:bCs w:val="1"/>
                <w:color w:val="auto"/>
              </w:rPr>
              <w:t>(27.2)</w:t>
            </w:r>
          </w:p>
        </w:tc>
        <w:tc>
          <w:tcPr>
            <w:tcW w:w="200" w:type="dxa"/>
            <w:vAlign w:val="bottom"/>
          </w:tcPr>
          <w:p>
            <w:pPr>
              <w:spacing w:after="0"/>
              <w:rPr>
                <w:sz w:val="17"/>
                <w:szCs w:val="17"/>
                <w:color w:val="auto"/>
              </w:rPr>
            </w:pPr>
          </w:p>
        </w:tc>
        <w:tc>
          <w:tcPr>
            <w:tcW w:w="1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(80.7)</w:t>
            </w:r>
          </w:p>
        </w:tc>
        <w:tc>
          <w:tcPr>
            <w:tcW w:w="0" w:type="dxa"/>
            <w:vAlign w:val="bottom"/>
          </w:tcPr>
          <w:p>
            <w:pPr>
              <w:spacing w:after="0"/>
              <w:rPr>
                <w:sz w:val="1"/>
                <w:szCs w:val="1"/>
                <w:color w:val="auto"/>
              </w:rPr>
            </w:pPr>
          </w:p>
        </w:tc>
      </w:tr>
      <w:tr>
        <w:trPr>
          <w:trHeight w:val="252"/>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amount reclassified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from accumulated other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44.7</w:t>
            </w:r>
          </w:p>
        </w:tc>
        <w:tc>
          <w:tcPr>
            <w:tcW w:w="4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w:t>
            </w:r>
          </w:p>
        </w:tc>
        <w:tc>
          <w:tcPr>
            <w:tcW w:w="3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84.0</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133.4</w:t>
            </w:r>
          </w:p>
        </w:tc>
        <w:tc>
          <w:tcPr>
            <w:tcW w:w="0" w:type="dxa"/>
            <w:vAlign w:val="bottom"/>
          </w:tcPr>
          <w:p>
            <w:pPr>
              <w:spacing w:after="0"/>
              <w:rPr>
                <w:sz w:val="1"/>
                <w:szCs w:val="1"/>
                <w:color w:val="auto"/>
              </w:rPr>
            </w:pPr>
          </w:p>
        </w:tc>
      </w:tr>
      <w:tr>
        <w:trPr>
          <w:trHeight w:val="25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480" w:type="dxa"/>
            <w:vAlign w:val="bottom"/>
          </w:tcPr>
          <w:p>
            <w:pPr>
              <w:ind w:left="180"/>
              <w:spacing w:after="0" w:line="187" w:lineRule="exact"/>
              <w:rPr>
                <w:sz w:val="20"/>
                <w:szCs w:val="20"/>
                <w:color w:val="auto"/>
              </w:rPr>
            </w:pPr>
            <w:r>
              <w:rPr>
                <w:rFonts w:ascii="Arial" w:cs="Arial" w:eastAsia="Arial" w:hAnsi="Arial"/>
                <w:sz w:val="18"/>
                <w:szCs w:val="18"/>
                <w:color w:val="auto"/>
              </w:rPr>
              <w:t>Net other comprehensive</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8"/>
                <w:szCs w:val="18"/>
                <w:b w:val="1"/>
                <w:bCs w:val="1"/>
                <w:color w:val="auto"/>
              </w:rPr>
              <w:t>(31.7)</w:t>
            </w:r>
          </w:p>
        </w:tc>
        <w:tc>
          <w:tcPr>
            <w:tcW w:w="4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ind w:right="277"/>
              <w:spacing w:after="0"/>
              <w:rPr>
                <w:sz w:val="20"/>
                <w:szCs w:val="20"/>
                <w:color w:val="auto"/>
              </w:rPr>
            </w:pPr>
            <w:r>
              <w:rPr>
                <w:rFonts w:ascii="Arial" w:cs="Arial" w:eastAsia="Arial" w:hAnsi="Arial"/>
                <w:sz w:val="18"/>
                <w:szCs w:val="18"/>
                <w:b w:val="1"/>
                <w:bCs w:val="1"/>
                <w:color w:val="auto"/>
              </w:rPr>
              <w:t>18.5</w:t>
            </w: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8"/>
                <w:szCs w:val="18"/>
                <w:b w:val="1"/>
                <w:bCs w:val="1"/>
                <w:color w:val="auto"/>
              </w:rPr>
              <w:t>39.0</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(29.9)</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8"/>
                <w:szCs w:val="18"/>
                <w:b w:val="1"/>
                <w:bCs w:val="1"/>
                <w:color w:val="auto"/>
              </w:rPr>
              <w:t>56.8</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8"/>
                <w:szCs w:val="18"/>
                <w:b w:val="1"/>
                <w:bCs w:val="1"/>
                <w:color w:val="auto"/>
              </w:rPr>
              <w:t>52.7</w:t>
            </w:r>
          </w:p>
        </w:tc>
        <w:tc>
          <w:tcPr>
            <w:tcW w:w="0" w:type="dxa"/>
            <w:vAlign w:val="bottom"/>
          </w:tcPr>
          <w:p>
            <w:pPr>
              <w:spacing w:after="0"/>
              <w:rPr>
                <w:sz w:val="1"/>
                <w:szCs w:val="1"/>
                <w:color w:val="auto"/>
              </w:rPr>
            </w:pPr>
          </w:p>
        </w:tc>
      </w:tr>
      <w:tr>
        <w:trPr>
          <w:trHeight w:val="252"/>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Balance at March 31, 2019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16"/>
              <w:spacing w:after="0"/>
              <w:rPr>
                <w:sz w:val="20"/>
                <w:szCs w:val="20"/>
                <w:color w:val="auto"/>
              </w:rPr>
            </w:pPr>
            <w:r>
              <w:rPr>
                <w:rFonts w:ascii="Arial" w:cs="Arial" w:eastAsia="Arial" w:hAnsi="Arial"/>
                <w:sz w:val="18"/>
                <w:szCs w:val="18"/>
                <w:b w:val="1"/>
                <w:bCs w:val="1"/>
                <w:color w:val="auto"/>
              </w:rPr>
              <w:t>(1,601.4)</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7"/>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jc w:val="right"/>
              <w:ind w:right="99"/>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40"/>
              <w:spacing w:after="0"/>
              <w:rPr>
                <w:sz w:val="20"/>
                <w:szCs w:val="20"/>
                <w:color w:val="auto"/>
              </w:rPr>
            </w:pPr>
            <w:r>
              <w:rPr>
                <w:rFonts w:ascii="Arial" w:cs="Arial" w:eastAsia="Arial" w:hAnsi="Arial"/>
                <w:sz w:val="18"/>
                <w:szCs w:val="18"/>
                <w:b w:val="1"/>
                <w:bCs w:val="1"/>
                <w:color w:val="auto"/>
              </w:rPr>
              <w:t>(3,813.7)</w:t>
            </w:r>
          </w:p>
        </w:tc>
        <w:tc>
          <w:tcPr>
            <w:tcW w:w="4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(268.8)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7"/>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(5,687.5)</w:t>
            </w:r>
          </w:p>
        </w:tc>
        <w:tc>
          <w:tcPr>
            <w:tcW w:w="0" w:type="dxa"/>
            <w:vAlign w:val="bottom"/>
          </w:tcPr>
          <w:p>
            <w:pPr>
              <w:spacing w:after="0"/>
              <w:rPr>
                <w:sz w:val="1"/>
                <w:szCs w:val="1"/>
                <w:color w:val="auto"/>
              </w:rPr>
            </w:pPr>
          </w:p>
        </w:tc>
      </w:tr>
      <w:tr>
        <w:trPr>
          <w:trHeight w:val="509"/>
        </w:trPr>
        <w:tc>
          <w:tcPr>
            <w:tcW w:w="24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Continuing Operations</w:t>
            </w:r>
          </w:p>
        </w:tc>
        <w:tc>
          <w:tcPr>
            <w:tcW w:w="4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Foreign Currency</w:t>
            </w:r>
          </w:p>
        </w:tc>
        <w:tc>
          <w:tcPr>
            <w:tcW w:w="15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w w:val="96"/>
              </w:rPr>
              <w:t>Unrealized Net Gains</w:t>
            </w:r>
          </w:p>
        </w:tc>
        <w:tc>
          <w:tcPr>
            <w:tcW w:w="280" w:type="dxa"/>
            <w:vAlign w:val="bottom"/>
          </w:tcPr>
          <w:p>
            <w:pPr>
              <w:spacing w:after="0"/>
              <w:rPr>
                <w:sz w:val="11"/>
                <w:szCs w:val="11"/>
                <w:color w:val="auto"/>
              </w:rPr>
            </w:pPr>
          </w:p>
        </w:tc>
        <w:tc>
          <w:tcPr>
            <w:tcW w:w="1160" w:type="dxa"/>
            <w:vAlign w:val="bottom"/>
          </w:tcPr>
          <w:p>
            <w:pPr>
              <w:jc w:val="center"/>
              <w:ind w:right="40"/>
              <w:spacing w:after="0" w:line="136" w:lineRule="exact"/>
              <w:rPr>
                <w:sz w:val="20"/>
                <w:szCs w:val="20"/>
                <w:color w:val="auto"/>
              </w:rPr>
            </w:pPr>
            <w:r>
              <w:rPr>
                <w:rFonts w:ascii="Arial" w:cs="Arial" w:eastAsia="Arial" w:hAnsi="Arial"/>
                <w:sz w:val="13"/>
                <w:szCs w:val="13"/>
                <w:b w:val="1"/>
                <w:bCs w:val="1"/>
                <w:color w:val="auto"/>
                <w:w w:val="96"/>
              </w:rPr>
              <w:t>Defined Benefit</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1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Effective Portion of</w:t>
            </w:r>
          </w:p>
        </w:tc>
        <w:tc>
          <w:tcPr>
            <w:tcW w:w="320" w:type="dxa"/>
            <w:vAlign w:val="bottom"/>
          </w:tcPr>
          <w:p>
            <w:pPr>
              <w:spacing w:after="0"/>
              <w:rPr>
                <w:sz w:val="11"/>
                <w:szCs w:val="11"/>
                <w:color w:val="auto"/>
              </w:rPr>
            </w:pPr>
          </w:p>
        </w:tc>
        <w:tc>
          <w:tcPr>
            <w:tcW w:w="116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97"/>
              </w:rPr>
              <w:t>Discontinued</w:t>
            </w:r>
          </w:p>
        </w:tc>
        <w:tc>
          <w:tcPr>
            <w:tcW w:w="15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Translation</w:t>
            </w:r>
          </w:p>
        </w:tc>
        <w:tc>
          <w:tcPr>
            <w:tcW w:w="420" w:type="dxa"/>
            <w:vAlign w:val="bottom"/>
          </w:tcPr>
          <w:p>
            <w:pPr>
              <w:spacing w:after="0"/>
              <w:rPr>
                <w:sz w:val="11"/>
                <w:szCs w:val="11"/>
                <w:color w:val="auto"/>
              </w:rPr>
            </w:pPr>
          </w:p>
        </w:tc>
        <w:tc>
          <w:tcPr>
            <w:tcW w:w="112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1"/>
                <w:szCs w:val="11"/>
                <w:color w:val="auto"/>
              </w:rPr>
            </w:pPr>
          </w:p>
        </w:tc>
        <w:tc>
          <w:tcPr>
            <w:tcW w:w="11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Gains (Losses)</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on Securities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7"/>
              </w:rPr>
              <w:t>Benefit Plans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Cash Flow Hedges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9"/>
              </w:rPr>
              <w:t>Operations</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(1,191.7)</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0"/>
              <w:spacing w:after="0"/>
              <w:rPr>
                <w:sz w:val="20"/>
                <w:szCs w:val="20"/>
                <w:color w:val="auto"/>
              </w:rPr>
            </w:pPr>
            <w:r>
              <w:rPr>
                <w:rFonts w:ascii="Arial" w:cs="Arial" w:eastAsia="Arial" w:hAnsi="Arial"/>
                <w:sz w:val="18"/>
                <w:szCs w:val="18"/>
                <w:color w:val="auto"/>
              </w:rPr>
              <w:t>(4,311.3)</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162"/>
        </w:trPr>
        <w:tc>
          <w:tcPr>
            <w:tcW w:w="2800" w:type="dxa"/>
            <w:vAlign w:val="bottom"/>
            <w:gridSpan w:val="4"/>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940" w:type="dxa"/>
            <w:vAlign w:val="bottom"/>
            <w:gridSpan w:val="5"/>
          </w:tcPr>
          <w:p>
            <w:pPr>
              <w:ind w:left="180"/>
              <w:spacing w:after="0"/>
              <w:rPr>
                <w:sz w:val="20"/>
                <w:szCs w:val="20"/>
                <w:color w:val="auto"/>
              </w:rPr>
            </w:pPr>
            <w:r>
              <w:rPr>
                <w:rFonts w:ascii="Arial" w:cs="Arial" w:eastAsia="Arial" w:hAnsi="Arial"/>
                <w:sz w:val="18"/>
                <w:szCs w:val="18"/>
                <w:color w:val="auto"/>
              </w:rPr>
              <w:t>Reclassification due to adoption</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40" w:type="dxa"/>
            <w:vAlign w:val="bottom"/>
            <w:gridSpan w:val="3"/>
          </w:tcPr>
          <w:p>
            <w:pPr>
              <w:ind w:left="180"/>
              <w:spacing w:after="0"/>
              <w:rPr>
                <w:sz w:val="20"/>
                <w:szCs w:val="20"/>
                <w:color w:val="auto"/>
              </w:rPr>
            </w:pPr>
            <w:r>
              <w:rPr>
                <w:rFonts w:ascii="Arial" w:cs="Arial" w:eastAsia="Arial" w:hAnsi="Arial"/>
                <w:sz w:val="18"/>
                <w:szCs w:val="18"/>
                <w:color w:val="auto"/>
              </w:rPr>
              <w:t xml:space="preserve">of new accounting standard </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7"/>
        </w:trPr>
        <w:tc>
          <w:tcPr>
            <w:tcW w:w="2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(loss) before reclassifications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07"/>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Net amount reclassified from</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accumulated 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57.7</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91"/>
        </w:trPr>
        <w:tc>
          <w:tcPr>
            <w:tcW w:w="250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Net other comprehensive</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(51.0)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(4,274.4)</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(5,437.5)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80" w:hanging="172"/>
        <w:spacing w:after="0" w:line="251"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119" w:lineRule="exact"/>
        <w:rPr>
          <w:rFonts w:ascii="Arial" w:cs="Arial" w:eastAsia="Arial" w:hAnsi="Arial"/>
          <w:sz w:val="21"/>
          <w:szCs w:val="21"/>
          <w:color w:val="auto"/>
          <w:vertAlign w:val="superscript"/>
        </w:rPr>
      </w:pPr>
    </w:p>
    <w:p>
      <w:pPr>
        <w:ind w:left="180" w:hanging="172"/>
        <w:spacing w:after="0" w:line="251"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2018 consists of $5.72 billion of accumulated other comprehensive loss attributable to controlling interest and $23.7 million of accumulated other comprehensive income attributable to noncontrolling interest.</w:t>
      </w:r>
    </w:p>
    <w:p>
      <w:pPr>
        <w:spacing w:after="0" w:line="119" w:lineRule="exact"/>
        <w:rPr>
          <w:rFonts w:ascii="Arial" w:cs="Arial" w:eastAsia="Arial" w:hAnsi="Arial"/>
          <w:sz w:val="21"/>
          <w:szCs w:val="21"/>
          <w:color w:val="auto"/>
          <w:vertAlign w:val="superscript"/>
        </w:rPr>
      </w:pPr>
    </w:p>
    <w:p>
      <w:pPr>
        <w:ind w:left="180" w:hanging="172"/>
        <w:spacing w:after="0" w:line="308" w:lineRule="auto"/>
        <w:tabs>
          <w:tab w:leader="none" w:pos="175" w:val="left"/>
        </w:tabs>
        <w:numPr>
          <w:ilvl w:val="0"/>
          <w:numId w:val="12"/>
        </w:numPr>
        <w:rPr>
          <w:rFonts w:ascii="Arial" w:cs="Arial" w:eastAsia="Arial" w:hAnsi="Arial"/>
          <w:sz w:val="19"/>
          <w:szCs w:val="19"/>
          <w:color w:val="auto"/>
          <w:vertAlign w:val="superscript"/>
        </w:rPr>
      </w:pPr>
      <w:r>
        <w:rPr>
          <w:rFonts w:ascii="Arial" w:cs="Arial" w:eastAsia="Arial" w:hAnsi="Arial"/>
          <w:sz w:val="13"/>
          <w:szCs w:val="13"/>
          <w:color w:val="auto"/>
        </w:rPr>
        <w:t>This reclassification consists of $105.2 million of accumulated other comprehensive loss attributable to controlling interest and $23.7 million of accumulated other comprehensive loss attributable to noncontrolling interest.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264"/>
        </w:trPr>
        <w:tc>
          <w:tcPr>
            <w:tcW w:w="8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65"/>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(19.3)</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40.1</w:t>
            </w:r>
          </w:p>
        </w:tc>
      </w:tr>
      <w:tr>
        <w:trPr>
          <w:trHeight w:val="269"/>
        </w:trPr>
        <w:tc>
          <w:tcPr>
            <w:tcW w:w="894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3"/>
                <w:szCs w:val="23"/>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b w:val="1"/>
                <w:bCs w:val="1"/>
                <w:color w:val="auto"/>
              </w:rPr>
              <w:t>(4.8)</w:t>
            </w:r>
          </w:p>
        </w:tc>
        <w:tc>
          <w:tcPr>
            <w:tcW w:w="500" w:type="dxa"/>
            <w:vAlign w:val="bottom"/>
          </w:tcPr>
          <w:p>
            <w:pPr>
              <w:spacing w:after="0"/>
              <w:rPr>
                <w:sz w:val="23"/>
                <w:szCs w:val="23"/>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10.2</w:t>
            </w:r>
          </w:p>
        </w:tc>
      </w:tr>
      <w:tr>
        <w:trPr>
          <w:trHeight w:val="271"/>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(11.4)</w:t>
            </w: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(14.0)</w:t>
            </w:r>
          </w:p>
        </w:tc>
      </w:tr>
      <w:tr>
        <w:trPr>
          <w:trHeight w:val="269"/>
        </w:trPr>
        <w:tc>
          <w:tcPr>
            <w:tcW w:w="8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8.0</w:t>
            </w:r>
          </w:p>
        </w:tc>
        <w:tc>
          <w:tcPr>
            <w:tcW w:w="5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(0.8)</w:t>
            </w:r>
          </w:p>
        </w:tc>
      </w:tr>
      <w:tr>
        <w:trPr>
          <w:trHeight w:val="258"/>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 (loss)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(27.5)</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35.5</w:t>
            </w: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7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1000" w:type="dxa"/>
            <w:vAlign w:val="bottom"/>
          </w:tcPr>
          <w:p>
            <w:pPr>
              <w:spacing w:after="0"/>
              <w:rPr>
                <w:sz w:val="17"/>
                <w:szCs w:val="17"/>
                <w:color w:val="auto"/>
              </w:rPr>
            </w:pPr>
          </w:p>
        </w:tc>
        <w:tc>
          <w:tcPr>
            <w:tcW w:w="1740" w:type="dxa"/>
            <w:vAlign w:val="bottom"/>
            <w:gridSpan w:val="2"/>
          </w:tcPr>
          <w:p>
            <w:pPr>
              <w:jc w:val="right"/>
              <w:ind w:right="656"/>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7"/>
                <w:szCs w:val="17"/>
                <w:color w:val="auto"/>
              </w:rPr>
            </w:pPr>
          </w:p>
        </w:tc>
        <w:tc>
          <w:tcPr>
            <w:tcW w:w="3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9"/>
        </w:trPr>
        <w:tc>
          <w:tcPr>
            <w:tcW w:w="4640" w:type="dxa"/>
            <w:vAlign w:val="bottom"/>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4640" w:type="dxa"/>
            <w:vAlign w:val="bottom"/>
            <w:vMerge w:val="continue"/>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Components</w:t>
            </w:r>
          </w:p>
        </w:tc>
        <w:tc>
          <w:tcPr>
            <w:tcW w:w="1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60"/>
        </w:trPr>
        <w:tc>
          <w:tcPr>
            <w:tcW w:w="4640" w:type="dxa"/>
            <w:vAlign w:val="bottom"/>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1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Actuarial losses, net</w:t>
            </w:r>
          </w:p>
        </w:tc>
        <w:tc>
          <w:tcPr>
            <w:tcW w:w="1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70.1</w:t>
            </w:r>
          </w:p>
        </w:tc>
        <w:tc>
          <w:tcPr>
            <w:tcW w:w="1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92.3</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4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Total before tax</w:t>
            </w: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55.9</w:t>
            </w: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tcPr>
          <w:p>
            <w:pPr>
              <w:jc w:val="right"/>
              <w:ind w:right="53"/>
              <w:spacing w:after="0"/>
              <w:rPr>
                <w:sz w:val="20"/>
                <w:szCs w:val="20"/>
                <w:color w:val="auto"/>
              </w:rPr>
            </w:pPr>
            <w:r>
              <w:rPr>
                <w:rFonts w:ascii="Arial" w:cs="Arial" w:eastAsia="Arial" w:hAnsi="Arial"/>
                <w:sz w:val="18"/>
                <w:szCs w:val="18"/>
                <w:color w:val="auto"/>
              </w:rPr>
              <w:t>Tax benefit</w:t>
            </w:r>
          </w:p>
        </w:tc>
        <w:tc>
          <w:tcPr>
            <w:tcW w:w="1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4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Net of tax</w:t>
            </w: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44.7</w:t>
            </w: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of tax</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4.7</w:t>
            </w:r>
          </w:p>
        </w:tc>
        <w:tc>
          <w:tcPr>
            <w:tcW w:w="1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4640" w:type="dxa"/>
            <w:vAlign w:val="bottom"/>
          </w:tcPr>
          <w:p>
            <w:pPr>
              <w:ind w:left="20"/>
              <w:spacing w:after="0"/>
              <w:rPr>
                <w:sz w:val="20"/>
                <w:szCs w:val="20"/>
                <w:color w:val="auto"/>
              </w:rPr>
            </w:pPr>
            <w:r>
              <w:rPr>
                <w:rFonts w:ascii="Arial" w:cs="Arial" w:eastAsia="Arial" w:hAnsi="Arial"/>
                <w:sz w:val="18"/>
                <w:szCs w:val="18"/>
                <w:color w:val="auto"/>
              </w:rPr>
              <w:t>Reclassifications from continuing operations (net of tax)</w:t>
            </w:r>
          </w:p>
        </w:tc>
        <w:tc>
          <w:tcPr>
            <w:tcW w:w="100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49.4</w:t>
            </w:r>
          </w:p>
        </w:tc>
        <w:tc>
          <w:tcPr>
            <w:tcW w:w="11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from discontinued operations (net of</w:t>
            </w:r>
          </w:p>
        </w:tc>
        <w:tc>
          <w:tcPr>
            <w:tcW w:w="10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84.0</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0" w:type="dxa"/>
            <w:vAlign w:val="bottom"/>
          </w:tcPr>
          <w:p>
            <w:pPr>
              <w:spacing w:after="0"/>
              <w:rPr>
                <w:sz w:val="1"/>
                <w:szCs w:val="1"/>
                <w:color w:val="auto"/>
              </w:rPr>
            </w:pPr>
          </w:p>
        </w:tc>
      </w:tr>
      <w:tr>
        <w:trPr>
          <w:trHeight w:val="271"/>
        </w:trPr>
        <w:tc>
          <w:tcPr>
            <w:tcW w:w="464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133.4</w:t>
            </w:r>
          </w:p>
        </w:tc>
        <w:tc>
          <w:tcPr>
            <w:tcW w:w="11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Other–Net, (Income) Expense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7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Retirement benefit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Other–net, (income) expense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00" w:type="dxa"/>
            <w:vAlign w:val="bottom"/>
          </w:tcPr>
          <w:p>
            <w:pPr>
              <w:spacing w:after="0"/>
              <w:rPr>
                <w:sz w:val="17"/>
                <w:szCs w:val="17"/>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84"/>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86.5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61.2</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58"/>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-530860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-187960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-882650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640"/>
          </w:cols>
          <w:pgMar w:left="240" w:top="6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68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right="2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Item 1A, “Risk Factors,” of Part I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may cause our actual results, financial position, and cash generated from operations to differ materially from these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202"/>
        </w:trPr>
        <w:tc>
          <w:tcPr>
            <w:tcW w:w="7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center"/>
              <w:ind w:left="33"/>
              <w:spacing w:after="0" w:line="156" w:lineRule="exact"/>
              <w:rPr>
                <w:sz w:val="20"/>
                <w:szCs w:val="20"/>
                <w:color w:val="auto"/>
              </w:rPr>
            </w:pPr>
            <w:r>
              <w:rPr>
                <w:rFonts w:ascii="Arial" w:cs="Arial" w:eastAsia="Arial" w:hAnsi="Arial"/>
                <w:sz w:val="14"/>
                <w:szCs w:val="14"/>
                <w:b w:val="1"/>
                <w:bCs w:val="1"/>
                <w:color w:val="auto"/>
              </w:rPr>
              <w:t>Percent</w:t>
            </w:r>
          </w:p>
        </w:tc>
      </w:tr>
      <w:tr>
        <w:trPr>
          <w:trHeight w:val="203"/>
        </w:trPr>
        <w:tc>
          <w:tcPr>
            <w:tcW w:w="76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Change</w:t>
            </w:r>
          </w:p>
        </w:tc>
      </w:tr>
      <w:tr>
        <w:trPr>
          <w:trHeight w:val="265"/>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5,092.2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4,963.8</w:t>
            </w:r>
          </w:p>
        </w:tc>
        <w:tc>
          <w:tcPr>
            <w:tcW w:w="10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3</w:t>
            </w: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3,953.5</w:t>
            </w:r>
          </w:p>
        </w:tc>
        <w:tc>
          <w:tcPr>
            <w:tcW w:w="4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3,799.2</w:t>
            </w:r>
          </w:p>
        </w:tc>
        <w:tc>
          <w:tcPr>
            <w:tcW w:w="102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r>
      <w:tr>
        <w:trPr>
          <w:trHeight w:val="271"/>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20" w:type="dxa"/>
            <w:vAlign w:val="bottom"/>
            <w:shd w:val="clear" w:color="auto" w:fill="CCEEFF"/>
          </w:tcPr>
          <w:p>
            <w:pPr>
              <w:spacing w:after="0"/>
              <w:rPr>
                <w:sz w:val="23"/>
                <w:szCs w:val="23"/>
                <w:color w:val="auto"/>
              </w:rPr>
            </w:pP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2,747.6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2,446.2</w:t>
            </w:r>
          </w:p>
        </w:tc>
        <w:tc>
          <w:tcPr>
            <w:tcW w:w="1020" w:type="dxa"/>
            <w:vAlign w:val="bottom"/>
          </w:tcPr>
          <w:p>
            <w:pPr>
              <w:jc w:val="center"/>
              <w:ind w:left="13"/>
              <w:spacing w:after="0"/>
              <w:rPr>
                <w:sz w:val="20"/>
                <w:szCs w:val="20"/>
                <w:color w:val="auto"/>
              </w:rPr>
            </w:pPr>
            <w:r>
              <w:rPr>
                <w:rFonts w:ascii="Arial" w:cs="Arial" w:eastAsia="Arial" w:hAnsi="Arial"/>
                <w:sz w:val="18"/>
                <w:szCs w:val="18"/>
                <w:color w:val="auto"/>
                <w:w w:val="99"/>
              </w:rPr>
              <w:t>12</w:t>
            </w:r>
          </w:p>
        </w:tc>
      </w:tr>
      <w:tr>
        <w:trPr>
          <w:trHeight w:val="271"/>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(IPR&amp;D)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136.9</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423.9</w:t>
            </w:r>
          </w:p>
        </w:tc>
        <w:tc>
          <w:tcPr>
            <w:tcW w:w="4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56.8</w:t>
            </w:r>
          </w:p>
        </w:tc>
        <w:tc>
          <w:tcPr>
            <w:tcW w:w="102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71"/>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561.1</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1,167.2</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(52)</w:t>
            </w: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3,680.5</w:t>
            </w:r>
          </w:p>
        </w:tc>
        <w:tc>
          <w:tcPr>
            <w:tcW w:w="4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50.2</w:t>
            </w:r>
          </w:p>
        </w:tc>
        <w:tc>
          <w:tcPr>
            <w:tcW w:w="102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71"/>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4,241.6</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1,217.4</w:t>
            </w:r>
          </w:p>
        </w:tc>
        <w:tc>
          <w:tcPr>
            <w:tcW w:w="10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EPS from continuing operations</w:t>
            </w:r>
          </w:p>
        </w:tc>
        <w:tc>
          <w:tcPr>
            <w:tcW w:w="32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0.57</w:t>
            </w:r>
          </w:p>
        </w:tc>
        <w:tc>
          <w:tcPr>
            <w:tcW w:w="4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1.11</w:t>
            </w:r>
          </w:p>
        </w:tc>
        <w:tc>
          <w:tcPr>
            <w:tcW w:w="1020" w:type="dxa"/>
            <w:vAlign w:val="bottom"/>
          </w:tcPr>
          <w:p>
            <w:pPr>
              <w:spacing w:after="0"/>
              <w:rPr>
                <w:sz w:val="23"/>
                <w:szCs w:val="23"/>
                <w:color w:val="auto"/>
              </w:rPr>
            </w:pPr>
          </w:p>
        </w:tc>
      </w:tr>
      <w:tr>
        <w:trPr>
          <w:trHeight w:val="271"/>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 from discontinued operations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3.74</w:t>
            </w: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0.05</w:t>
            </w:r>
          </w:p>
        </w:tc>
        <w:tc>
          <w:tcPr>
            <w:tcW w:w="1020" w:type="dxa"/>
            <w:vAlign w:val="bottom"/>
            <w:shd w:val="clear" w:color="auto" w:fill="CCEEFF"/>
          </w:tcPr>
          <w:p>
            <w:pPr>
              <w:spacing w:after="0"/>
              <w:rPr>
                <w:sz w:val="23"/>
                <w:szCs w:val="23"/>
                <w:color w:val="auto"/>
              </w:rPr>
            </w:pPr>
          </w:p>
        </w:tc>
      </w:tr>
      <w:tr>
        <w:trPr>
          <w:trHeight w:val="269"/>
        </w:trPr>
        <w:tc>
          <w:tcPr>
            <w:tcW w:w="7600" w:type="dxa"/>
            <w:vAlign w:val="bottom"/>
          </w:tcPr>
          <w:p>
            <w:pPr>
              <w:ind w:left="40"/>
              <w:spacing w:after="0"/>
              <w:rPr>
                <w:sz w:val="20"/>
                <w:szCs w:val="20"/>
                <w:color w:val="auto"/>
              </w:rPr>
            </w:pPr>
            <w:r>
              <w:rPr>
                <w:rFonts w:ascii="Arial" w:cs="Arial" w:eastAsia="Arial" w:hAnsi="Arial"/>
                <w:sz w:val="18"/>
                <w:szCs w:val="18"/>
                <w:color w:val="auto"/>
              </w:rPr>
              <w:t>EPS</w:t>
            </w:r>
          </w:p>
        </w:tc>
        <w:tc>
          <w:tcPr>
            <w:tcW w:w="32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8"/>
                <w:szCs w:val="18"/>
                <w:b w:val="1"/>
                <w:bCs w:val="1"/>
                <w:color w:val="auto"/>
              </w:rPr>
              <w:t>4.31</w:t>
            </w:r>
          </w:p>
        </w:tc>
        <w:tc>
          <w:tcPr>
            <w:tcW w:w="46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102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Revenue increased for the three months ended March 31, 2019 driven by increased volume, partially offset by lower realized prices and the unfavorable impact of foreign exchange rates. Operating expense increased for the three months ended March 31, 2019, reflecting additional investments in recently launched products and late-stage assets. The increase in net income and EPS for the three months ended March 31, 2019 were driven by the gain recognized on the disposition of Elanco Animal Health (Elanco).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highlighted items also affect comparisons of our financial results for the three months ended March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acquired IPR&amp;D charges of $136.9 million, or $0.12 per share, related to collaborations with AC Immune SA (AC Immune) and ImmuNext, Inc. (ImmunNext).</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$423.9 million (pretax), or $0.44 per share, primarily associated with the accelerated vesting of Loxo Oncology, Inc. (Loxo) employee equity awards as a result of the closing of the acquisition of Loxo.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hanging="328"/>
        <w:spacing w:after="0" w:line="30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charges of $56.8 million (pretax), or $0.04 per share, primarily associated with asset impairment, exit costs, and severance costs related to the decision to end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production at the Augusta, Georgia manufacturing site.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1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10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new molecular entity (NME) has been approved by regulatory authorities in at least one of the major geographies for use in the condition described. The first quarter in which the NME initially was approved in any major geography for any indication is shown in parentheses:</w:t>
      </w:r>
    </w:p>
    <w:p>
      <w:pPr>
        <w:spacing w:after="0" w:line="107" w:lineRule="exact"/>
        <w:rPr>
          <w:sz w:val="20"/>
          <w:szCs w:val="20"/>
          <w:color w:val="auto"/>
        </w:rPr>
      </w:pPr>
    </w:p>
    <w:p>
      <w:pPr>
        <w:ind w:left="660" w:right="260"/>
        <w:spacing w:after="0" w:line="251" w:lineRule="auto"/>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Refer to Item 1, "Legal Proceedings - Other Patent Matters" of Part II for discussion of the lawsuit filed by Teva Pharmaceuticals International GMBH and Teva Pharmaceuticals USA, Inc.</w:t>
      </w:r>
    </w:p>
    <w:p>
      <w:pPr>
        <w:spacing w:after="0" w:line="127" w:lineRule="exact"/>
        <w:rPr>
          <w:sz w:val="20"/>
          <w:szCs w:val="20"/>
          <w:color w:val="auto"/>
        </w:rPr>
      </w:pPr>
    </w:p>
    <w:p>
      <w:pPr>
        <w:jc w:val="both"/>
        <w:ind w:right="500"/>
        <w:spacing w:after="0" w:line="29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conditions described. The first quarter in which each NME initially was submitted in any major geography for any indication is shown in parentheses:</w:t>
      </w:r>
    </w:p>
    <w:p>
      <w:pPr>
        <w:spacing w:after="0" w:line="89" w:lineRule="exact"/>
        <w:rPr>
          <w:sz w:val="20"/>
          <w:szCs w:val="20"/>
          <w:color w:val="auto"/>
        </w:rPr>
      </w:pPr>
    </w:p>
    <w:p>
      <w:pPr>
        <w:ind w:left="660" w:right="40"/>
        <w:spacing w:after="0" w:line="294" w:lineRule="auto"/>
        <w:rPr>
          <w:sz w:val="20"/>
          <w:szCs w:val="20"/>
          <w:color w:val="auto"/>
        </w:rPr>
      </w:pPr>
      <w:r>
        <w:rPr>
          <w:rFonts w:ascii="Arial" w:cs="Arial" w:eastAsia="Arial" w:hAnsi="Arial"/>
          <w:sz w:val="18"/>
          <w:szCs w:val="18"/>
          <w:b w:val="1"/>
          <w:bCs w:val="1"/>
          <w:color w:val="auto"/>
        </w:rPr>
        <w:t>Lasmiditan (Q4 2018)</w:t>
      </w:r>
      <w:r>
        <w:rPr>
          <w:rFonts w:ascii="Arial" w:cs="Arial" w:eastAsia="Arial" w:hAnsi="Arial"/>
          <w:sz w:val="18"/>
          <w:szCs w:val="18"/>
          <w:color w:val="auto"/>
        </w:rPr>
        <w:t>—an oral 5-HT1F agonist for the acute treatment of migraine. In the United States (U.S.), lasmiditan is protected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compound patent (2025, including possible extension upon approval).</w:t>
      </w:r>
    </w:p>
    <w:p>
      <w:pPr>
        <w:spacing w:after="0" w:line="87" w:lineRule="exact"/>
        <w:rPr>
          <w:sz w:val="20"/>
          <w:szCs w:val="20"/>
          <w:color w:val="auto"/>
        </w:rPr>
      </w:pPr>
    </w:p>
    <w:p>
      <w:pPr>
        <w:ind w:left="660" w:right="100"/>
        <w:spacing w:after="0" w:line="272" w:lineRule="auto"/>
        <w:rPr>
          <w:sz w:val="20"/>
          <w:szCs w:val="20"/>
          <w:color w:val="auto"/>
        </w:rPr>
      </w:pPr>
      <w:r>
        <w:rPr>
          <w:rFonts w:ascii="Arial" w:cs="Arial" w:eastAsia="Arial" w:hAnsi="Arial"/>
          <w:sz w:val="18"/>
          <w:szCs w:val="18"/>
          <w:b w:val="1"/>
          <w:bCs w:val="1"/>
          <w:color w:val="auto"/>
        </w:rPr>
        <w:t>Nasal glucagon* (Q2 2018)</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 In the U.S., nasal glucagon is protected by a delivery device patent (2034), a formulation patent (2036), and data protection (3.5 years) expected upon approval. In Europe, nasal glucagon is protected by a delivery device patent (2034).</w:t>
      </w:r>
    </w:p>
    <w:p>
      <w:pPr>
        <w:spacing w:after="0" w:line="107" w:lineRule="exact"/>
        <w:rPr>
          <w:sz w:val="20"/>
          <w:szCs w:val="20"/>
          <w:color w:val="auto"/>
        </w:rPr>
      </w:pPr>
    </w:p>
    <w:p>
      <w:pPr>
        <w:ind w:left="660" w:right="340"/>
        <w:spacing w:after="0" w:line="272" w:lineRule="auto"/>
        <w:rPr>
          <w:sz w:val="20"/>
          <w:szCs w:val="20"/>
          <w:color w:val="auto"/>
        </w:rPr>
      </w:pPr>
      <w:r>
        <w:rPr>
          <w:rFonts w:ascii="Arial" w:cs="Arial" w:eastAsia="Arial" w:hAnsi="Arial"/>
          <w:sz w:val="18"/>
          <w:szCs w:val="18"/>
          <w:b w:val="1"/>
          <w:bCs w:val="1"/>
          <w:color w:val="auto"/>
        </w:rPr>
        <w:t>Ultra-rapid Lispro* (Q1 2019)</w:t>
      </w:r>
      <w:r>
        <w:rPr>
          <w:rFonts w:ascii="Arial" w:cs="Arial" w:eastAsia="Arial" w:hAnsi="Arial"/>
          <w:sz w:val="18"/>
          <w:szCs w:val="18"/>
          <w:color w:val="auto"/>
        </w:rPr>
        <w:t>—an ultra-rapid insulin for the treatment of type 1 and type 2 diabetes. In Europe, ultra-rapid lispro is</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a formulation patent (2035). In Japan, ultra-rapid lispro is protected by a formulation patent (2035, including possible patent extension) and data protection (4 years) expected upon approval.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4" w:right="239" w:bottom="1440" w:gutter="0" w:footer="0" w:header="0"/>
        </w:sectPr>
      </w:pPr>
    </w:p>
    <w:bookmarkStart w:id="33" w:name="page34"/>
    <w:bookmarkEnd w:id="33"/>
    <w:p>
      <w:pPr>
        <w:ind w:right="60"/>
        <w:spacing w:after="0" w:line="271"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conditions described but have not yet been submitted for regulatory approval for any indication. The first quarter in which each NME and the diagnostic agent initially entered Phase III for any indication is shown in parentheses:</w:t>
      </w:r>
    </w:p>
    <w:p>
      <w:pPr>
        <w:spacing w:after="0" w:line="107" w:lineRule="exact"/>
        <w:rPr>
          <w:sz w:val="20"/>
          <w:szCs w:val="20"/>
          <w:color w:val="auto"/>
        </w:rPr>
      </w:pPr>
    </w:p>
    <w:p>
      <w:pPr>
        <w:ind w:left="660" w:right="160"/>
        <w:spacing w:after="0" w:line="294"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right="360"/>
        <w:spacing w:after="0" w:line="294"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both chemotherapy and checkpoint inhibitor therapy, across several tumor types.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8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87" w:lineRule="exact"/>
        <w:rPr>
          <w:sz w:val="20"/>
          <w:szCs w:val="20"/>
          <w:color w:val="auto"/>
        </w:rPr>
      </w:pPr>
    </w:p>
    <w:p>
      <w:pPr>
        <w:ind w:left="660" w:right="180"/>
        <w:spacing w:after="0" w:line="294"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w:t>
      </w:r>
      <w:r>
        <w:rPr>
          <w:rFonts w:ascii="Arial" w:cs="Arial" w:eastAsia="Arial" w:hAnsi="Arial"/>
          <w:sz w:val="18"/>
          <w:szCs w:val="18"/>
          <w:b w:val="1"/>
          <w:bCs w:val="1"/>
          <w:color w:val="auto"/>
        </w:rPr>
        <w:t xml:space="preserve"> </w:t>
      </w:r>
      <w:r>
        <w:rPr>
          <w:rFonts w:ascii="Arial" w:cs="Arial" w:eastAsia="Arial" w:hAnsi="Arial"/>
          <w:sz w:val="18"/>
          <w:szCs w:val="18"/>
          <w:color w:val="auto"/>
        </w:rPr>
        <w:t>peptide 1 for the treatment of type 2 diabetes.</w:t>
      </w:r>
    </w:p>
    <w:p>
      <w:pPr>
        <w:spacing w:after="0" w:line="35" w:lineRule="exact"/>
        <w:rPr>
          <w:sz w:val="20"/>
          <w:szCs w:val="20"/>
          <w:color w:val="auto"/>
        </w:rPr>
      </w:pPr>
    </w:p>
    <w:p>
      <w:pPr>
        <w:ind w:left="340" w:right="4080" w:hanging="8"/>
        <w:spacing w:after="0" w:line="375"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2019:</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2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6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36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D8D8D8"/>
          </w:tcPr>
          <w:p>
            <w:pPr>
              <w:jc w:val="center"/>
              <w:ind w:right="590"/>
              <w:spacing w:after="0"/>
              <w:rPr>
                <w:sz w:val="20"/>
                <w:szCs w:val="20"/>
                <w:color w:val="auto"/>
              </w:rPr>
            </w:pPr>
            <w:r>
              <w:rPr>
                <w:rFonts w:ascii="Arial" w:cs="Arial" w:eastAsia="Arial" w:hAnsi="Arial"/>
                <w:sz w:val="18"/>
                <w:szCs w:val="18"/>
                <w:b w:val="1"/>
                <w:bCs w:val="1"/>
                <w:color w:val="auto"/>
                <w:w w:val="99"/>
              </w:rPr>
              <w:t>Japan</w:t>
            </w:r>
          </w:p>
        </w:tc>
        <w:tc>
          <w:tcPr>
            <w:tcW w:w="47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 April 2019, the U.S. Food and Drug Administration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(FDA) extended the review time by up to three months to</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Nasal glucagon</w:t>
            </w:r>
          </w:p>
        </w:tc>
        <w:tc>
          <w:tcPr>
            <w:tcW w:w="148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2"/>
            <w:vMerge w:val="restart"/>
          </w:tcPr>
          <w:p>
            <w:pPr>
              <w:ind w:left="140"/>
              <w:spacing w:after="0" w:line="202" w:lineRule="exact"/>
              <w:rPr>
                <w:sz w:val="20"/>
                <w:szCs w:val="20"/>
                <w:color w:val="auto"/>
              </w:rPr>
            </w:pPr>
            <w:r>
              <w:rPr>
                <w:rFonts w:ascii="Arial" w:cs="Arial" w:eastAsia="Arial" w:hAnsi="Arial"/>
                <w:sz w:val="18"/>
                <w:szCs w:val="18"/>
                <w:color w:val="auto"/>
              </w:rPr>
              <w:t>Submitted</w:t>
            </w:r>
          </w:p>
        </w:tc>
        <w:tc>
          <w:tcPr>
            <w:tcW w:w="3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ind w:left="240"/>
              <w:spacing w:after="0" w:line="202" w:lineRule="exact"/>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allow for review of information requested late in the review</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5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cycle. The submission of the additional information</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4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constituted a Major Amendment.</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Phase III</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4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Type 1 and 2</w:t>
            </w:r>
          </w:p>
        </w:tc>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680" w:type="dxa"/>
            <w:vAlign w:val="bottom"/>
          </w:tcPr>
          <w:p>
            <w:pPr>
              <w:spacing w:after="0"/>
              <w:rPr>
                <w:sz w:val="17"/>
                <w:szCs w:val="17"/>
                <w:color w:val="auto"/>
              </w:rPr>
            </w:pPr>
          </w:p>
        </w:tc>
        <w:tc>
          <w:tcPr>
            <w:tcW w:w="16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Submitted</w:t>
            </w:r>
          </w:p>
        </w:tc>
        <w:tc>
          <w:tcPr>
            <w:tcW w:w="47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Submitted to regulatory authorities in Europe and Japan in</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160" w:type="dxa"/>
            <w:vAlign w:val="bottom"/>
            <w:tcBorders>
              <w:right w:val="single" w:sz="8" w:color="auto"/>
            </w:tcBorders>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tcBorders>
              <w:right w:val="single" w:sz="8" w:color="auto"/>
            </w:tcBorders>
            <w:gridSpan w:val="2"/>
            <w:vMerge w:val="continue"/>
          </w:tcPr>
          <w:p>
            <w:pPr>
              <w:spacing w:after="0"/>
              <w:rPr>
                <w:sz w:val="11"/>
                <w:szCs w:val="11"/>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first quarter of 2019.</w:t>
            </w: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7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Phase III</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12"/>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80" w:type="dxa"/>
            <w:vAlign w:val="bottom"/>
            <w:tcBorders>
              <w:right w:val="single" w:sz="8" w:color="auto"/>
            </w:tcBorders>
            <w:gridSpan w:val="3"/>
            <w:vMerge w:val="restart"/>
          </w:tcPr>
          <w:p>
            <w:pPr>
              <w:ind w:left="200"/>
              <w:spacing w:after="0"/>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40"/>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80" w:type="dxa"/>
            <w:vAlign w:val="bottom"/>
            <w:tcBorders>
              <w:bottom w:val="single" w:sz="8" w:color="auto"/>
              <w:right w:val="single" w:sz="8" w:color="auto"/>
            </w:tcBorders>
            <w:gridSpan w:val="3"/>
            <w:vMerge w:val="continue"/>
          </w:tcPr>
          <w:p>
            <w:pPr>
              <w:spacing w:after="0"/>
              <w:rPr>
                <w:sz w:val="12"/>
                <w:szCs w:val="12"/>
                <w:color w:val="auto"/>
              </w:rPr>
            </w:pPr>
          </w:p>
        </w:tc>
        <w:tc>
          <w:tcPr>
            <w:tcW w:w="47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Submitted to FDA in fourth quarter of 2018 and to</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Cluster headache</w:t>
            </w:r>
          </w:p>
        </w:tc>
        <w:tc>
          <w:tcPr>
            <w:tcW w:w="540" w:type="dxa"/>
            <w:vAlign w:val="bottom"/>
          </w:tcPr>
          <w:p>
            <w:pPr>
              <w:spacing w:after="0"/>
              <w:rPr>
                <w:sz w:val="17"/>
                <w:szCs w:val="17"/>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8"/>
                <w:szCs w:val="18"/>
                <w:color w:val="auto"/>
              </w:rPr>
              <w:t>Submitted</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European regulatory authorities in first quarter of 2019 in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480" w:type="dxa"/>
            <w:vAlign w:val="bottom"/>
            <w:tcBorders>
              <w:right w:val="single" w:sz="8" w:color="auto"/>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47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episodic cluster headache. Granted Priority Review</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w:t>
            </w: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in first quarter of 2019.</w:t>
            </w:r>
          </w:p>
        </w:tc>
        <w:tc>
          <w:tcPr>
            <w:tcW w:w="0" w:type="dxa"/>
            <w:vAlign w:val="bottom"/>
          </w:tcPr>
          <w:p>
            <w:pPr>
              <w:spacing w:after="0"/>
              <w:rPr>
                <w:sz w:val="1"/>
                <w:szCs w:val="1"/>
                <w:color w:val="auto"/>
              </w:rPr>
            </w:pPr>
          </w:p>
        </w:tc>
      </w:tr>
      <w:tr>
        <w:trPr>
          <w:trHeight w:val="72"/>
        </w:trPr>
        <w:tc>
          <w:tcPr>
            <w:tcW w:w="1740" w:type="dxa"/>
            <w:vAlign w:val="bottom"/>
            <w:tcBorders>
              <w:left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47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Migraine</w:t>
            </w:r>
          </w:p>
        </w:tc>
        <w:tc>
          <w:tcPr>
            <w:tcW w:w="540" w:type="dxa"/>
            <w:vAlign w:val="bottom"/>
          </w:tcPr>
          <w:p>
            <w:pPr>
              <w:spacing w:after="0"/>
              <w:rPr>
                <w:sz w:val="17"/>
                <w:szCs w:val="17"/>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8"/>
                <w:szCs w:val="18"/>
                <w:color w:val="auto"/>
              </w:rPr>
              <w:t>Launched</w:t>
            </w:r>
          </w:p>
        </w:tc>
        <w:tc>
          <w:tcPr>
            <w:tcW w:w="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the first quarter 2019.</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4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discussion with regulatory authorities to determine next</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Flortaucipir</w:t>
            </w:r>
          </w:p>
        </w:tc>
        <w:tc>
          <w:tcPr>
            <w:tcW w:w="148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80" w:type="dxa"/>
            <w:vAlign w:val="bottom"/>
            <w:tcBorders>
              <w:right w:val="single" w:sz="8" w:color="auto"/>
            </w:tcBorders>
            <w:gridSpan w:val="3"/>
            <w:vMerge w:val="restart"/>
          </w:tcPr>
          <w:p>
            <w:pPr>
              <w:ind w:left="200"/>
              <w:spacing w:after="0" w:line="202" w:lineRule="exact"/>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steps following Phase III trial met primary endpoints in the</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80" w:type="dxa"/>
            <w:vAlign w:val="bottom"/>
            <w:tcBorders>
              <w:right w:val="single" w:sz="8" w:color="auto"/>
            </w:tcBorders>
            <w:gridSpan w:val="3"/>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third quarter of 2018.</w:t>
            </w: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7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Lasmiditan</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1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Submitted</w:t>
            </w:r>
          </w:p>
        </w:tc>
        <w:tc>
          <w:tcPr>
            <w:tcW w:w="68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gridSpan w:val="2"/>
          </w:tcPr>
          <w:p>
            <w:pPr>
              <w:jc w:val="center"/>
              <w:ind w:right="630"/>
              <w:spacing w:after="0"/>
              <w:rPr>
                <w:sz w:val="20"/>
                <w:szCs w:val="20"/>
                <w:color w:val="auto"/>
              </w:rPr>
            </w:pPr>
            <w:r>
              <w:rPr>
                <w:rFonts w:ascii="Arial" w:cs="Arial" w:eastAsia="Arial" w:hAnsi="Arial"/>
                <w:sz w:val="18"/>
                <w:szCs w:val="18"/>
                <w:color w:val="auto"/>
              </w:rPr>
              <w:t>Phase III</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9"/>
        </w:trPr>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gridSpan w:val="2"/>
          </w:tcPr>
          <w:p>
            <w:pPr>
              <w:jc w:val="right"/>
              <w:ind w:right="750"/>
              <w:spacing w:after="0"/>
              <w:rPr>
                <w:sz w:val="20"/>
                <w:szCs w:val="20"/>
                <w:color w:val="auto"/>
              </w:rPr>
            </w:pPr>
            <w:r>
              <w:rPr>
                <w:rFonts w:ascii="Arial" w:cs="Arial" w:eastAsia="Arial" w:hAnsi="Arial"/>
                <w:sz w:val="18"/>
                <w:szCs w:val="18"/>
                <w:color w:val="auto"/>
              </w:rPr>
              <w:t>34</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38" w:right="21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4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8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0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7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 the third quarter of 2018 and January 2019, announced</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multiple Phase III trials met several primary endpoints. In</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April 2019, announced the results of the long-term Phase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III study in which the 5mg dose met two of the three co-</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primary endpoints and the 2.5mg dose did not meet any of</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the three co-primary endpoints. We are analyzing these</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4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findings in the context of the recent Phase III study results</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plan to review the totality of data from our clinical</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development program with regulatory authorities.</w:t>
            </w:r>
          </w:p>
        </w:tc>
        <w:tc>
          <w:tcPr>
            <w:tcW w:w="0" w:type="dxa"/>
            <w:vAlign w:val="bottom"/>
          </w:tcPr>
          <w:p>
            <w:pPr>
              <w:spacing w:after="0"/>
              <w:rPr>
                <w:sz w:val="1"/>
                <w:szCs w:val="1"/>
                <w:color w:val="auto"/>
              </w:rPr>
            </w:pPr>
          </w:p>
        </w:tc>
      </w:tr>
      <w:tr>
        <w:trPr>
          <w:trHeight w:val="140"/>
        </w:trPr>
        <w:tc>
          <w:tcPr>
            <w:tcW w:w="1740" w:type="dxa"/>
            <w:vAlign w:val="bottom"/>
            <w:tcBorders>
              <w:left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first quarter of 2019, announced Phase III trial met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 for the 10mg dose and did not meet</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primary endpoint on the 5mg dose. We anticipate an</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additional readout from the program to be available in</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4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4"/>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4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 the first quarter of 2019, announced confirmatory phase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Not</w:t>
            </w: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III trial did not meet primary endpoint. As trial did not</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3" w:lineRule="exact"/>
              <w:rPr>
                <w:sz w:val="20"/>
                <w:szCs w:val="20"/>
                <w:color w:val="auto"/>
              </w:rPr>
            </w:pPr>
            <w:r>
              <w:rPr>
                <w:rFonts w:ascii="Arial" w:cs="Arial" w:eastAsia="Arial" w:hAnsi="Arial"/>
                <w:sz w:val="18"/>
                <w:szCs w:val="18"/>
                <w:color w:val="auto"/>
              </w:rPr>
              <w:t>Lartruvo</w:t>
            </w:r>
            <w:r>
              <w:rPr>
                <w:rFonts w:ascii="Arial" w:cs="Arial" w:eastAsia="Arial" w:hAnsi="Arial"/>
                <w:sz w:val="21"/>
                <w:szCs w:val="21"/>
                <w:b w:val="1"/>
                <w:bCs w:val="1"/>
                <w:color w:val="auto"/>
                <w:vertAlign w:val="superscript"/>
              </w:rPr>
              <w:t>®</w:t>
            </w:r>
          </w:p>
        </w:tc>
        <w:tc>
          <w:tcPr>
            <w:tcW w:w="148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1720" w:type="dxa"/>
            <w:vAlign w:val="bottom"/>
            <w:tcBorders>
              <w:right w:val="single" w:sz="8" w:color="auto"/>
            </w:tcBorders>
            <w:gridSpan w:val="2"/>
            <w:vMerge w:val="restart"/>
          </w:tcPr>
          <w:p>
            <w:pPr>
              <w:ind w:left="120"/>
              <w:spacing w:after="0" w:line="202" w:lineRule="exact"/>
              <w:rPr>
                <w:sz w:val="20"/>
                <w:szCs w:val="20"/>
                <w:color w:val="auto"/>
              </w:rPr>
            </w:pPr>
            <w:r>
              <w:rPr>
                <w:rFonts w:ascii="Arial" w:cs="Arial" w:eastAsia="Arial" w:hAnsi="Arial"/>
                <w:sz w:val="18"/>
                <w:szCs w:val="18"/>
                <w:color w:val="auto"/>
              </w:rPr>
              <w:t>Withdrawing</w:t>
            </w:r>
          </w:p>
        </w:tc>
        <w:tc>
          <w:tcPr>
            <w:tcW w:w="1240" w:type="dxa"/>
            <w:vAlign w:val="bottom"/>
            <w:tcBorders>
              <w:right w:val="single" w:sz="8" w:color="auto"/>
            </w:tcBorders>
            <w:vMerge w:val="continue"/>
          </w:tcPr>
          <w:p>
            <w:pPr>
              <w:spacing w:after="0"/>
              <w:rPr>
                <w:sz w:val="8"/>
                <w:szCs w:val="8"/>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confirm clinical benefit, we have suspended promotion and</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480" w:type="dxa"/>
            <w:vAlign w:val="bottom"/>
          </w:tcPr>
          <w:p>
            <w:pPr>
              <w:spacing w:after="0"/>
              <w:rPr>
                <w:sz w:val="9"/>
                <w:szCs w:val="9"/>
                <w:color w:val="auto"/>
              </w:rPr>
            </w:pPr>
          </w:p>
        </w:tc>
        <w:tc>
          <w:tcPr>
            <w:tcW w:w="172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Submitting</w:t>
            </w: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 April 2019, announced our intention to globally withdraw</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47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from the market.</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Pegilodecakin</w:t>
            </w:r>
          </w:p>
        </w:tc>
        <w:tc>
          <w:tcPr>
            <w:tcW w:w="14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Pancreatic</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vMerge w:val="restart"/>
          </w:tcPr>
          <w:p>
            <w:pPr>
              <w:ind w:left="20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4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0" w:right="380" w:hanging="172"/>
        <w:spacing w:after="0" w:line="232" w:lineRule="auto"/>
        <w:tabs>
          <w:tab w:leader="none" w:pos="168"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See Note 5 to the consolidated condensed financial statements for further discussion.</w:t>
      </w:r>
    </w:p>
    <w:p>
      <w:pPr>
        <w:spacing w:after="0" w:line="5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As a result of the disposition, we now operate as a single segment. See Note 1 to the consolidated condensed financial statements for further discussion.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Pursuant to a settlement agreement related to our unit dose patent in the U.S., generic tadalafil entered the U.S. market in September 2018. We expect that the entry of additional generic competition into these markets following the loss of exclusivity will continue to cause a rapid and severe decline in revenue, which will, in the aggregate, have a material adverse effect on our consolidated results of operations and cash flows.</w:t>
      </w:r>
    </w:p>
    <w:p>
      <w:pPr>
        <w:spacing w:after="0" w:line="7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our use patents will expire in August 2019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generic competition when the U.S. patents expire. Outside the U.S., we expect a decline in revenue following patent expirations; however the decline may not be rapid and severe. In the aggregate, we expect that the decline in revenue will have a material adverse effect on our consolidated results of operations and cash flows.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822" w:right="219" w:bottom="1440" w:gutter="0" w:footer="0" w:header="0"/>
        </w:sectPr>
      </w:pPr>
    </w:p>
    <w:bookmarkStart w:id="35" w:name="page36"/>
    <w:bookmarkEnd w:id="35"/>
    <w:p>
      <w:pPr>
        <w:spacing w:after="0" w:line="250"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are aware that several companies have received approval to market generic versions of pemetrexed in major European markets (including Germany and France) and that additional generic competitors may choose to launch at risk. Although we will continue to seek to remove any such products, their entry is resulting in some loss in revenue. We expect that further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11 to the consolidated condensed financial statements for a more detailed account of the legal proceedings currently pending in the U.S., Europe, and Japan regarding our Alimta patents.</w:t>
      </w:r>
    </w:p>
    <w:p>
      <w:pPr>
        <w:spacing w:after="0" w:line="7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 Additionally, in the first quarter of 2019, we announced we will introduce our own insulin lispro authorized generic.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 While there is uncertainty in the future movements in foreign exchange rates, fluctuations in these rates could negatively impact our future consolidated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related to Medicaid prescription drug coverage and manufacturer drug rebates, proposals that would require biopharmaceutical manufacturers to disclose proprietary drug pricing information, and state -level proposals related to prescription drug prices and reducing the cost of pharmaceuticals purchased by government health care programs. California and several other states have enacted legislation related to prescription drug pricing transparency and it is unclear the effect this legislation will have on our business. The Bipartisan Budget Act, enacted in February 2018, requires manufacturers of brand-name drugs, biologics, and biosimilars to pay a 70 percent discount in the Medicare Part D Coverage Gap, up from the previous 50 percent discount. This increase in Coverage Gap discounts became effective at the beginning of 2019. In May 2018, the White House released "American Patients First: The Trump Administration Blueprint to Lower Drug Prices and Reduce Out-of-Pocket Costs" (Blueprint). The Administration’s corresponding request for information included more than 30 proposed policy changes. We believe the effect of certain of these proposals would be positive for our business while others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 In January 2019, the Department of Health and Human Services released a proposed rule to reform the system of rebates paid to Medicare Part D plans, Medicaid Managed Care organizations, and pharmacy benefit managers. In April 2019, the White House signed into law significant, targeted amendments to the Medicaid Drug Rebate Program statute. We are currently reviewing the new statute and proposed rule, the impact of both is uncertain at this time.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684" w:right="299" w:bottom="1440" w:gutter="0" w:footer="0" w:header="0"/>
        </w:sectPr>
      </w:pPr>
    </w:p>
    <w:bookmarkStart w:id="36" w:name="page37"/>
    <w:bookmarkEnd w:id="36"/>
    <w:p>
      <w:pPr>
        <w:ind w:right="20"/>
        <w:spacing w:after="0" w:line="253"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and cash flows.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income taxes in the U.S. and numerous foreign jurisdictions. Changes in tax laws, regulations, administrative practices, and interpretations could adversely affect our future effective tax rates. In 2017, the U.S. enacted the Tax Cuts and Jobs Act (2017 Tax Act) significantly revising U.S. tax law, and other countries are actively considering or enacting tax law changes. Further,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Subsequent to the enactment of the 2017 Tax Act, several items of additional guidance have been issued, including Notices, Proposed Regulations, and Final Regulations. We expect that additional guidance will be issued in 2019 which could materially affect the assumptions and estimates used to record our U.S. federal and state income tax expense resulting from the 2017 Tax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2019, we acquired all shares of Loxo for a purchase price $6.92 billion, net of cash acquired. Under the terms of the agreement, we acquired a pipeline of investigational medicines, including LOXO-292, an oral RET inhibitor that has been granted Breakthrough Therapy designation by the FDA, and LOXO-305, an oral BTK inhibitor. See Note 3 to the consolidated condensed financial statements for further discussion regarding our recent acquisitions of businesses and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1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2"/>
        </w:trPr>
        <w:tc>
          <w:tcPr>
            <w:tcW w:w="7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639"/>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56"/>
        </w:trPr>
        <w:tc>
          <w:tcPr>
            <w:tcW w:w="7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ind w:left="34"/>
              <w:spacing w:after="0" w:line="156" w:lineRule="exact"/>
              <w:rPr>
                <w:sz w:val="20"/>
                <w:szCs w:val="20"/>
                <w:color w:val="auto"/>
              </w:rPr>
            </w:pPr>
            <w:r>
              <w:rPr>
                <w:rFonts w:ascii="Arial" w:cs="Arial" w:eastAsia="Arial" w:hAnsi="Arial"/>
                <w:sz w:val="14"/>
                <w:szCs w:val="14"/>
                <w:b w:val="1"/>
                <w:bCs w:val="1"/>
                <w:color w:val="auto"/>
              </w:rPr>
              <w:t>Percent</w:t>
            </w:r>
          </w:p>
        </w:tc>
      </w:tr>
      <w:tr>
        <w:trPr>
          <w:trHeight w:val="203"/>
        </w:trPr>
        <w:tc>
          <w:tcPr>
            <w:tcW w:w="70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r>
      <w:tr>
        <w:trPr>
          <w:trHeight w:val="265"/>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2,890.8</w:t>
            </w:r>
          </w:p>
        </w:tc>
        <w:tc>
          <w:tcPr>
            <w:tcW w:w="4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2,795.6</w:t>
            </w:r>
          </w:p>
        </w:tc>
        <w:tc>
          <w:tcPr>
            <w:tcW w:w="10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3</w:t>
            </w:r>
          </w:p>
        </w:tc>
      </w:tr>
      <w:tr>
        <w:trPr>
          <w:trHeight w:val="269"/>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7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2,201.4</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2,168.2</w:t>
            </w:r>
          </w:p>
        </w:tc>
        <w:tc>
          <w:tcPr>
            <w:tcW w:w="102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9"/>
              </w:rPr>
              <w:t>2</w:t>
            </w:r>
          </w:p>
        </w:tc>
      </w:tr>
      <w:tr>
        <w:trPr>
          <w:trHeight w:val="284"/>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5,092.2</w:t>
            </w:r>
          </w:p>
        </w:tc>
        <w:tc>
          <w:tcPr>
            <w:tcW w:w="4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4,963.8</w:t>
            </w:r>
          </w:p>
        </w:tc>
        <w:tc>
          <w:tcPr>
            <w:tcW w:w="10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3</w:t>
            </w:r>
          </w:p>
        </w:tc>
      </w:tr>
      <w:tr>
        <w:trPr>
          <w:trHeight w:val="276"/>
        </w:trPr>
        <w:tc>
          <w:tcPr>
            <w:tcW w:w="704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Numbers may not add due to rounding.</w:t>
            </w: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r>
      <w:tr>
        <w:trPr>
          <w:trHeight w:val="320"/>
        </w:trPr>
        <w:tc>
          <w:tcPr>
            <w:tcW w:w="704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U.S. revenue includes revenue in Puerto Rico.</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3"/>
        </w:trPr>
        <w:tc>
          <w:tcPr>
            <w:tcW w:w="7040" w:type="dxa"/>
            <w:vAlign w:val="bottom"/>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7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7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1"/>
        </w:trPr>
        <w:tc>
          <w:tcPr>
            <w:tcW w:w="704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rPr>
              <w:t>2019 vs. 2018</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49"/>
        </w:trPr>
        <w:tc>
          <w:tcPr>
            <w:tcW w:w="7040" w:type="dxa"/>
            <w:vAlign w:val="bottom"/>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U.S.</w:t>
            </w:r>
          </w:p>
        </w:tc>
        <w:tc>
          <w:tcPr>
            <w:tcW w:w="210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rPr>
              <w:t>Outside U.S.</w:t>
            </w:r>
          </w:p>
        </w:tc>
        <w:tc>
          <w:tcPr>
            <w:tcW w:w="134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7"/>
        </w:trPr>
        <w:tc>
          <w:tcPr>
            <w:tcW w:w="7040" w:type="dxa"/>
            <w:vAlign w:val="bottom"/>
          </w:tcPr>
          <w:p>
            <w:pPr>
              <w:ind w:left="40"/>
              <w:spacing w:after="0"/>
              <w:rPr>
                <w:sz w:val="20"/>
                <w:szCs w:val="20"/>
                <w:color w:val="auto"/>
              </w:rPr>
            </w:pPr>
            <w:r>
              <w:rPr>
                <w:rFonts w:ascii="Arial" w:cs="Arial" w:eastAsia="Arial" w:hAnsi="Arial"/>
                <w:sz w:val="18"/>
                <w:szCs w:val="18"/>
                <w:color w:val="auto"/>
              </w:rPr>
              <w:t>Volume</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99"/>
              <w:spacing w:after="0"/>
              <w:rPr>
                <w:sz w:val="20"/>
                <w:szCs w:val="20"/>
                <w:color w:val="auto"/>
              </w:rPr>
            </w:pPr>
            <w:r>
              <w:rPr>
                <w:rFonts w:ascii="Arial" w:cs="Arial" w:eastAsia="Arial" w:hAnsi="Arial"/>
                <w:sz w:val="18"/>
                <w:szCs w:val="18"/>
                <w:color w:val="auto"/>
              </w:rPr>
              <w:t>6 %</w:t>
            </w:r>
          </w:p>
        </w:tc>
        <w:tc>
          <w:tcPr>
            <w:tcW w:w="44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9 %</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61"/>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2"/>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w:t>
            </w:r>
          </w:p>
        </w:tc>
      </w:tr>
      <w:tr>
        <w:trPr>
          <w:trHeight w:val="262"/>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7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3 %</w:t>
            </w:r>
          </w:p>
        </w:tc>
        <w:tc>
          <w:tcPr>
            <w:tcW w:w="4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2 %</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In the U.S. for the three months ended March 31, 2019, the volume increase was primarily driven by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Verzenio</w:t>
      </w:r>
      <w:r>
        <w:rPr>
          <w:rFonts w:ascii="Arial" w:cs="Arial" w:eastAsia="Arial" w:hAnsi="Arial"/>
          <w:sz w:val="21"/>
          <w:szCs w:val="21"/>
          <w:color w:val="auto"/>
          <w:vertAlign w:val="superscript"/>
        </w:rPr>
        <w:t>®</w:t>
      </w:r>
      <w:r>
        <w:rPr>
          <w:rFonts w:ascii="Arial" w:cs="Arial" w:eastAsia="Arial" w:hAnsi="Arial"/>
          <w:sz w:val="18"/>
          <w:szCs w:val="18"/>
          <w:color w:val="auto"/>
        </w:rPr>
        <w:t>, and Basaglar</w:t>
      </w:r>
      <w:r>
        <w:rPr>
          <w:rFonts w:ascii="Arial" w:cs="Arial" w:eastAsia="Arial" w:hAnsi="Arial"/>
          <w:sz w:val="21"/>
          <w:szCs w:val="21"/>
          <w:color w:val="auto"/>
          <w:vertAlign w:val="superscript"/>
        </w:rPr>
        <w:t>®</w:t>
      </w:r>
      <w:r>
        <w:rPr>
          <w:rFonts w:ascii="Arial" w:cs="Arial" w:eastAsia="Arial" w:hAnsi="Arial"/>
          <w:sz w:val="18"/>
          <w:szCs w:val="18"/>
          <w:color w:val="auto"/>
        </w:rPr>
        <w:t>, partially offset by decreased volume for products that have lost exclusivity, including Cialis and Strattera</w:t>
      </w:r>
      <w:r>
        <w:rPr>
          <w:rFonts w:ascii="Arial" w:cs="Arial" w:eastAsia="Arial" w:hAnsi="Arial"/>
          <w:sz w:val="21"/>
          <w:szCs w:val="21"/>
          <w:color w:val="auto"/>
          <w:vertAlign w:val="superscript"/>
        </w:rPr>
        <w:t>®</w:t>
      </w:r>
      <w:r>
        <w:rPr>
          <w:rFonts w:ascii="Arial" w:cs="Arial" w:eastAsia="Arial" w:hAnsi="Arial"/>
          <w:sz w:val="18"/>
          <w:szCs w:val="18"/>
          <w:color w:val="auto"/>
        </w:rPr>
        <w:t>. The decrease in realized prices was primarily related to Trulicity.</w:t>
      </w:r>
    </w:p>
    <w:p>
      <w:pPr>
        <w:spacing w:after="0" w:line="8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Outside the U.S. for the three months ended March 31, 2019, the volume increase was primarily driven by Trulicity, Olumiant</w:t>
      </w:r>
      <w:r>
        <w:rPr>
          <w:rFonts w:ascii="Arial" w:cs="Arial" w:eastAsia="Arial" w:hAnsi="Arial"/>
          <w:sz w:val="21"/>
          <w:szCs w:val="21"/>
          <w:color w:val="auto"/>
          <w:vertAlign w:val="superscript"/>
        </w:rPr>
        <w:t>®</w:t>
      </w:r>
      <w:r>
        <w:rPr>
          <w:rFonts w:ascii="Arial" w:cs="Arial" w:eastAsia="Arial" w:hAnsi="Arial"/>
          <w:sz w:val="18"/>
          <w:szCs w:val="18"/>
          <w:color w:val="auto"/>
        </w:rPr>
        <w:t>, and Taltz. The decrease in realized prices was related to most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3"/>
        </w:trPr>
        <w:tc>
          <w:tcPr>
            <w:tcW w:w="4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60" w:type="dxa"/>
            <w:vAlign w:val="bottom"/>
          </w:tcPr>
          <w:p>
            <w:pPr>
              <w:spacing w:after="0"/>
              <w:rPr>
                <w:sz w:val="22"/>
                <w:szCs w:val="22"/>
                <w:color w:val="auto"/>
              </w:rPr>
            </w:pPr>
          </w:p>
        </w:tc>
      </w:tr>
      <w:tr>
        <w:trPr>
          <w:trHeight w:val="265"/>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665.6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214.1</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678.3</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30</w:t>
            </w:r>
          </w:p>
        </w:tc>
      </w:tr>
      <w:tr>
        <w:trPr>
          <w:trHeight w:val="269"/>
        </w:trPr>
        <w:tc>
          <w:tcPr>
            <w:tcW w:w="408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448.6</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282.2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730.8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791.7</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71"/>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281.8</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217.4</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499.6</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w:t>
            </w:r>
          </w:p>
        </w:tc>
      </w:tr>
      <w:tr>
        <w:trPr>
          <w:trHeight w:val="269"/>
        </w:trPr>
        <w:tc>
          <w:tcPr>
            <w:tcW w:w="408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125.9</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187.0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313.2</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r>
      <w:tr>
        <w:trPr>
          <w:trHeight w:val="271"/>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143.2</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164.9</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495.4</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(38)</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96.4</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297.7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325.9</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(9)</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180.8</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71.7</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72</w:t>
            </w:r>
          </w:p>
        </w:tc>
      </w:tr>
      <w:tr>
        <w:trPr>
          <w:trHeight w:val="269"/>
        </w:trPr>
        <w:tc>
          <w:tcPr>
            <w:tcW w:w="4080" w:type="dxa"/>
            <w:vAlign w:val="bottom"/>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198.2</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53.2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251.4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166.0</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51</w:t>
            </w:r>
          </w:p>
        </w:tc>
      </w:tr>
      <w:tr>
        <w:trPr>
          <w:trHeight w:val="271"/>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 (2)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125.2</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78.4</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151.0</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35</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75.1</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123.2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183.6</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153.8</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169.6</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(3)</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47.4</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84.6</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141.1</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(6)</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113.3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149.6</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(21)</w:t>
            </w:r>
          </w:p>
        </w:tc>
      </w:tr>
      <w:tr>
        <w:trPr>
          <w:trHeight w:val="269"/>
        </w:trPr>
        <w:tc>
          <w:tcPr>
            <w:tcW w:w="408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93.5</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15.9</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1"/>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97.9</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122.6</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(13)</w:t>
            </w:r>
          </w:p>
        </w:tc>
      </w:tr>
      <w:tr>
        <w:trPr>
          <w:trHeight w:val="269"/>
        </w:trPr>
        <w:tc>
          <w:tcPr>
            <w:tcW w:w="408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64.7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130.7</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(49)</w:t>
            </w:r>
          </w:p>
        </w:tc>
      </w:tr>
      <w:tr>
        <w:trPr>
          <w:trHeight w:val="271"/>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Emgality</w:t>
            </w:r>
            <w:r>
              <w:rPr>
                <w:rFonts w:ascii="Arial" w:cs="Arial" w:eastAsia="Arial" w:hAnsi="Arial"/>
                <w:sz w:val="21"/>
                <w:szCs w:val="21"/>
                <w:color w:val="auto"/>
                <w:vertAlign w:val="superscript"/>
              </w:rPr>
              <w: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14.2</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63"/>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157.6</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288.8</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446.5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469.3</w:t>
            </w:r>
          </w:p>
        </w:tc>
        <w:tc>
          <w:tcPr>
            <w:tcW w:w="1460" w:type="dxa"/>
            <w:vAlign w:val="bottom"/>
            <w:tcBorders>
              <w:bottom w:val="single" w:sz="8" w:color="CCEEFF"/>
            </w:tcBorders>
          </w:tcPr>
          <w:p>
            <w:pPr>
              <w:jc w:val="center"/>
              <w:ind w:left="31"/>
              <w:spacing w:after="0"/>
              <w:rPr>
                <w:sz w:val="20"/>
                <w:szCs w:val="20"/>
                <w:color w:val="auto"/>
              </w:rPr>
            </w:pPr>
            <w:r>
              <w:rPr>
                <w:rFonts w:ascii="Arial" w:cs="Arial" w:eastAsia="Arial" w:hAnsi="Arial"/>
                <w:sz w:val="18"/>
                <w:szCs w:val="18"/>
                <w:color w:val="auto"/>
                <w:w w:val="99"/>
              </w:rPr>
              <w:t>(5)</w:t>
            </w:r>
          </w:p>
        </w:tc>
      </w:tr>
      <w:tr>
        <w:trPr>
          <w:trHeight w:val="271"/>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2,890.8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2,201.4</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5,092.2</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4,963.8</w:t>
            </w:r>
          </w:p>
        </w:tc>
        <w:tc>
          <w:tcPr>
            <w:tcW w:w="146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9"/>
              </w:rPr>
              <w:t>3</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of Trulicity, a treatment for type 2 diabetes, increased 26 percent in the U.S. during the three months ended March 31, 2019, driven by increased demand, partially offset by realized prices and changes in estimates to rebates and discounts. Revenue outside the U.S. increased 43 percent during the three months ended March 31, 2019, driven by increased volume, partially offset by the unfavorable impact of foreign exchange rates and, to a lesser extent, lower realized prices.</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 of Humalog, an injectable human insulin analog for the treatment of diabetes, decreased 11 percent in the U.S. during the three months ended March 31, 2019, driven by decreased demand and, to a lesser extent, lower realized prices primarily due to the impact of patient affordability programs. Revenue outside the U.S. decreased 2 percent during the three months ended March 31, 2019, driven primarily by the unfavorable impact of foreign exchange rates, largely offset by increased volume.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to continue over time. Additionally, in the first quarter of 2019, we announced we will introduce our own insulin lispro authorized generic.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4" w:right="239" w:bottom="1440" w:gutter="0" w:footer="0" w:header="0"/>
        </w:sectPr>
      </w:pPr>
    </w:p>
    <w:bookmarkStart w:id="39" w:name="page40"/>
    <w:bookmarkEnd w:id="39"/>
    <w:p>
      <w:pPr>
        <w:spacing w:after="0" w:line="260" w:lineRule="auto"/>
        <w:rPr>
          <w:sz w:val="20"/>
          <w:szCs w:val="20"/>
          <w:color w:val="auto"/>
        </w:rPr>
      </w:pPr>
      <w:r>
        <w:rPr>
          <w:rFonts w:ascii="Arial" w:cs="Arial" w:eastAsia="Arial" w:hAnsi="Arial"/>
          <w:sz w:val="18"/>
          <w:szCs w:val="18"/>
          <w:color w:val="auto"/>
        </w:rPr>
        <w:t>Revenue of Alimta, a treatment for various cancers, increased 15 percent in the U.S. during the three months ended March 31, 2019, primarily driven by increased demand. Revenue outside the U.S. decreased 15 percent during the three months ended March 31, 2019, driven by decreased volume resulting from the entry of generic pemetrexed in Germany and, to a lesser extent, the unfavorable impact of foreign exchange rates and lower realized prices. We have faced and remain exposed to generic entry in multiple countries, which has eroded revenue and is likely to continue to erode revenue from current levels.</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3 percent in the U.S. during the three months ended March 31, 2019, primarily due to higher realized prices, partially offset by decreased demand. Revenue outside the U.S. decreased 2 percent during the three months ended March 31, 2019, primarily driven by the unfavorable impact of foreign exchange rates, partially offset by increased volume. Our formulation patents for Forteo expired in December 2018, and our use patents will expire in August 2019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generic competition when the U.S. patents expire. Outside the U.S., we expect a decline in revenue following patent expirations; however the decline may not be rapid and severe.</w:t>
      </w:r>
    </w:p>
    <w:p>
      <w:pPr>
        <w:spacing w:after="0" w:line="7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Revenue of Cialis, a treatment for erectile dysfunction and benign prostatic hyperplasia, decreased 54 percent in the U.S. during the three months ended March 31, 2019, driven by decreased demand due to generic competition, partially offset by higher realized prices. Revenue outside the U.S. decreased 9 percent during the three months ended March 31, 2019, primarily driven by the unfavorable impact of foreign exchange rates. We lost our compound patent protection for Cialis in the U.S. in September 2018. See "Executive Overview - Other Matters - Patent Matters" for more information. We expect that generic competition due to the loss of exclusivity will continue to cause a rapid and severe decline in revenue.</w:t>
      </w:r>
    </w:p>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of Humulin, an injectable human insulin for the treatment of diabetes, decreased 9 percent in the U.S. during the three months ended March 31, 2019, driven by lower realized prices due to changes in estimates to rebates and discounts and, to a lesser extent, decreased volume. Revenue outside the U.S. decreased 8 percent during the three months ended March 31, 2019, primarily due to the unfavorable impact of foreign exchange rates.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of Taltz, a product for the treatment of moderate-to-severe plaque psoriasis and active psoriatic arthritis, increased 63 percent in the U.S. during the three months ended March 31, 2019, driven by increased demand, partially offset by lower realized prices. Revenue outside the U.S. increased $36.4 million during the three months ended March 31, 2019, driven by increased volume from recent launches, partially offset by the unfavorable impact of foreign exchange rates.</w:t>
      </w:r>
    </w:p>
    <w:p>
      <w:pPr>
        <w:spacing w:after="0" w:line="6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Revenue of Basaglar, a long-acting human insulin analog for the treatment of diabetes, increased 56 percent in the U.S. during the three months ended March 31, 2019, driven primarily by increased demand and, to a lesser extent, higher realized prices and changes in estimates to rebates and discounts. Revenue outside the U.S. increased 35 percent during the three months ended March 31, 2019, primarily driven by increased volume, partially offset by lower realized prices and the unfavorable impact of foreign exchange rates. See Note 4 to the consolidated condensed financial statements for information regarding our collaboration with Boehringer Ingelheim involving Basaglar.</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32 percent in the U.S. during the three months ended March 31, 2019, driven by increased demand. Revenue outside the U.S. increased 40 percent during the three months ended March 31, 2019, primarily driven by increased volume, partially offset by the unfavorable impact of foreign exchange rates. See Note 4 to the consolidated condensed financial statements for information regarding our collaboration with Boehringer Ingelheim involving Jardiance.</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Revenue of Cyramza, a treatment for various cancers, increased 10 percent in the U.S. during the three months ended March 31, 2019, driven primarily by increased demand. Revenue outside the U.S. increased 7 percent during the three months ended March 31, 2019, driven by increased volume, partially offset by the unfavorable impact of foreign exchange rates and lower realized prices.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8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margin as a percent of revenue increased 1.1 percentage points to 77.6 percent for the three months ended March 31, 2019. The increase in gross margin percent was primarily due to the favorable effect of foreign exchange rates on international inventories sold, partially offset by the timing of planned manufacturing production schedules, decreased volume for post-patent products, unfavorable product mix, the negative impact of price on revenue, and charges resulting from the suspension of promotion of Lartruvo.</w:t>
      </w:r>
    </w:p>
    <w:p>
      <w:pPr>
        <w:spacing w:after="0" w:line="62"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Research and development expenses increased 11 percent to $1.23 billion for the three months ended March 31, 2019 driven by higher development expenses for late-stage assets.</w:t>
      </w:r>
    </w:p>
    <w:p>
      <w:pPr>
        <w:spacing w:after="0" w:line="3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Marketing, selling, and administrative expenses increased 13 percent to $1.52 billion for the three months ended March 31, 2019 primarily due to increased marketing expenses related to recent product launches.</w:t>
      </w:r>
    </w:p>
    <w:p>
      <w:pPr>
        <w:spacing w:after="0" w:line="3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We recognized $136.9 million of acquired IPR&amp;D charges for the three months ended March 31, 2019 related to the collaborations with AC Immune and ImmuNext. There were no acquired IPR&amp;D charges for the three months ended March 31, 2018.</w:t>
      </w:r>
    </w:p>
    <w:p>
      <w:pPr>
        <w:spacing w:after="0" w:line="3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recognized asset impairment, restructuring, and other special charges of $423.9 million for the three months ended March 31, 2019, compared with charges of $56.8 million for the three months ended March 31, 2018. The charges for the three months ended March 31, 2019 consisted of $400.7 million related to the acquisition of Loxo, substantially all of which is associated with the accelerated vesting of Loxo employee equity awards. The charges for the three months ended March 31, 2018 were primarily associated with asset impairment, exit costs, and severance costs related to the decision to end Posilac (rbST) production at the Augusta, Georgia manufacturing site. See Note 6 to the consolidated condensed financial statements for additional information.</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Other–net, (income) expense was income of $86.0 million and $69.5 million for the three months ended March 31, 2019 and 2018, respectively. The increase was primarily driven by mark-to-market adjustments on investment securities, partially offset by higher net interest expense. See Note 13 to the consolidated condensed financial statements for additional information.</w:t>
      </w:r>
    </w:p>
    <w:p>
      <w:pPr>
        <w:spacing w:after="0" w:line="5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effective tax rate was 23.3 percent and 14.5 percent for the three months ended March 31, 2019 and 2018, respectively, primarily due to the non-deductibility of accelerated vesting of Loxo employee equity awards as a result of the closing of the acquisition of Loxo.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Cash and cash equivalents decreased to $2.04 billion as of March 31, 2019, compared with $7.32 billion as of December 31, 2018. Refer to the consolidated condensed statements of cash flows for additional details on the significant sources and uses of cash for the three months ended March 31, 2019 and 2018.</w:t>
      </w:r>
    </w:p>
    <w:p>
      <w:pPr>
        <w:spacing w:after="0" w:line="55" w:lineRule="exact"/>
        <w:rPr>
          <w:sz w:val="20"/>
          <w:szCs w:val="20"/>
          <w:color w:val="auto"/>
        </w:rPr>
      </w:pPr>
    </w:p>
    <w:p>
      <w:pPr>
        <w:ind w:right="112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$2.21 billion and $2.09 billion as of March 31, 2019 and December 31, 2018, respectively. See Note 7 to the consolidated condensed financial statements for additional details.</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Total debt increased to $15.97 billion as of March 31, 2019, compared with $ 10.30 billion as of December 31, 2018. The increase primarily related to the issuance of $4.45 billion of senior notes in February 2019. The proceeds from these notes were used to fund the acquisition of Loxo and for general corporate purposes. See Note 7 to the consolidated condensed financial statements for additional details.</w:t>
      </w:r>
    </w:p>
    <w:p>
      <w:pPr>
        <w:spacing w:after="0" w:line="1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2019, we had a total of $5.42 billion of committed bank credit facilities, $5.00 billion of which is available to support our commercial paper program. In January 2019, we entered into a $4.00 billion credit facility to support our commercial paper program which was terminated upon closing of the February 2019 debt offering. We believe that amounts accessible through existing commercial paper markets should be adequate to fund short-term borrowing needs.</w:t>
      </w:r>
    </w:p>
    <w:p>
      <w:pPr>
        <w:spacing w:after="0" w:line="17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As of March 31, 2019, we had $3.10 billion remaining under our $8.00 billion share repurchase program authorized in June 2018. Our share repurchases are facilitated through payments to a financial institution that purchases the shares on our behalf. As of March 31, 2019, we had paid $700 million to a financial institution for shares that are expected to be repurchased in the second quarter of 2019.</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under our share repurchase program, and capital expenditures.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4" w:right="239" w:bottom="1440" w:gutter="0" w:footer="0" w:header="0"/>
        </w:sectPr>
      </w:pPr>
    </w:p>
    <w:bookmarkStart w:id="41" w:name="page42"/>
    <w:bookmarkEnd w:id="41"/>
    <w:p>
      <w:pPr>
        <w:ind w:right="720"/>
        <w:spacing w:after="0" w:line="323" w:lineRule="auto"/>
        <w:rPr>
          <w:sz w:val="20"/>
          <w:szCs w:val="20"/>
          <w:color w:val="auto"/>
        </w:rPr>
      </w:pPr>
      <w:r>
        <w:rPr>
          <w:rFonts w:ascii="Arial" w:cs="Arial" w:eastAsia="Arial" w:hAnsi="Arial"/>
          <w:sz w:val="17"/>
          <w:szCs w:val="17"/>
          <w:color w:val="auto"/>
        </w:rPr>
        <w:t>On March 11, 2019, we completed the disposition of our remaining 80.2 percent ownership of Elanco common stock through a tax-free exchange offer, which resulted in a reduction in shares of our common stock outstanding by approximately 65 million as of that date.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Full-year 2019 EPS is now anticipated to be in the range of $8.57 to $ 8.67, reflecting the benefits of the disposition of Elanco. We now expect 2019 revenue of between $ 22.0 billion and $22.5 billion, reflecting the disposition of Elanco. Revenue growth is expected to be driven by volume from Trulicity, Taltz, Basaglar, Jardiance, Verzenio, Cyramza and Olumiant. Revenue growth is also expected to benefit from the recent launch of Emgality and could benefit from the potential approval and launch of other medicines in 2019. Revenue growth is expected to be partially offset by lower revenue for Cialis and other products that have lost patent exclusivity. Revenue growth is also expected to be partially offset by the negative impact of foreign exchange rates, continued low- to mid-single digit realized price declines in the U.S. driven primarily by patient affordability programs, rebates, and legislated increases to Medicare Part D cost sharing, price declines in some international markets, and the impact of the planned Lartruvo withdrawal.</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Gross margin as a percent of revenue is now expected to be approximately 79.0 percent. Research and development expenses are now expected to be in the range of $5.5 billion to $5.7 billion. Marketing, selling, and administrative expenses are now expected to be in the range of $5.7 billion to $6.0 billion. Other—net, (income) expense is now expected to be expense between $100 million and $250 million.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2019 tax rate is expected to be in the range of 15 percent to 16 percent.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1" w:lineRule="exact"/>
        <w:rPr>
          <w:sz w:val="20"/>
          <w:szCs w:val="20"/>
          <w:color w:val="auto"/>
        </w:rPr>
      </w:pPr>
    </w:p>
    <w:p>
      <w:pPr>
        <w:ind w:left="660" w:right="80" w:hanging="652"/>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67" w:lineRule="exact"/>
        <w:rPr>
          <w:rFonts w:ascii="Arial" w:cs="Arial" w:eastAsia="Arial" w:hAnsi="Arial"/>
          <w:sz w:val="18"/>
          <w:szCs w:val="18"/>
          <w:color w:val="auto"/>
        </w:rPr>
      </w:pPr>
    </w:p>
    <w:p>
      <w:pPr>
        <w:ind w:left="660" w:right="60"/>
        <w:spacing w:after="0" w:line="271"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March 31, 2019, and concluded that they were effective.</w:t>
      </w:r>
    </w:p>
    <w:p>
      <w:pPr>
        <w:spacing w:after="0" w:line="55" w:lineRule="exact"/>
        <w:rPr>
          <w:rFonts w:ascii="Arial" w:cs="Arial" w:eastAsia="Arial" w:hAnsi="Arial"/>
          <w:sz w:val="18"/>
          <w:szCs w:val="18"/>
          <w:color w:val="auto"/>
        </w:rPr>
      </w:pPr>
    </w:p>
    <w:p>
      <w:pPr>
        <w:ind w:left="660" w:right="60" w:hanging="652"/>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2019, there were no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4" w:right="239" w:bottom="1440" w:gutter="0" w:footer="0" w:header="0"/>
        </w:sectPr>
      </w:pPr>
    </w:p>
    <w:bookmarkStart w:id="42" w:name="page43"/>
    <w:bookmarkEnd w:id="42"/>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See "Notes to Consolidated Condensed Financial Statements - Note 11, Contingencies" for information on various legal proceedings, including but not limited to:</w:t>
      </w:r>
    </w:p>
    <w:p>
      <w:pPr>
        <w:spacing w:after="0" w:line="64"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litigation in Brazil regarding the Cosmopolis facility;</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proceedings involving Adocia; and</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insulin and glucagon pricing litigation and investigations.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(Part I, Item 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named as a defendant in approximately 480 Axiron personal injury/product liability lawsuits in the U.S. involving approximately 480 plaintiffs. In about one-third of the cases, other manufacturers of testosterone are named as co-defendants. Nearly all of these lawsuits have been consolidated in a federal multi-district litigation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There can be no assurances, however, that a final settlement will be reached. We have also been engaged in litigation with Medical Mutual of Ohio (“MMO”), which filed a class action complaint against multiple manufacturers of testosterone products, including us, in the U.S. District Court for the Northern District of Illinois, on behalf of third-party payers who paid for those products and is seeking damages under the Federal Racketeer Influenced and Corrupt Organizations Act. MMO's motion for class certification was denied, and in February 2019, the District Court granted summary judgment in favor of defendants, dismissing MMO's lawsuit with prejudice. MMO has filed a Notice of Appeal from this dismissal order. We continue to believe all of these lawsuits are without merit and are defending against them vigorously.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have been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We believe this lawsuit is without merit and are defending against it vigorously. Separately, the U.S. Patent and Trademark Office has granted our request to initiate an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review </w:t>
      </w:r>
      <w:r>
        <w:rPr>
          <w:rFonts w:ascii="Arial" w:cs="Arial" w:eastAsia="Arial" w:hAnsi="Arial"/>
          <w:sz w:val="18"/>
          <w:szCs w:val="18"/>
          <w:color w:val="auto"/>
        </w:rPr>
        <w:t>(IPR) to reexamine the validity of the nine Teva patents asserted against us in the litigation. The litigation in the U.S. District Court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District of Massachusetts has been stayed pending the outcome of the IPR.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ind w:right="6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There have been no material changes from the risk factors previously disclosed in our Annual Report.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20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65"/>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2019</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24,196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115.72</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24,196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3,100.0</w:t>
            </w:r>
          </w:p>
        </w:tc>
      </w:tr>
      <w:tr>
        <w:trPr>
          <w:trHeight w:val="265"/>
        </w:trPr>
        <w:tc>
          <w:tcPr>
            <w:tcW w:w="2640" w:type="dxa"/>
            <w:vAlign w:val="bottom"/>
          </w:tcPr>
          <w:p>
            <w:pPr>
              <w:ind w:left="40"/>
              <w:spacing w:after="0"/>
              <w:rPr>
                <w:sz w:val="20"/>
                <w:szCs w:val="20"/>
                <w:color w:val="auto"/>
              </w:rPr>
            </w:pPr>
            <w:r>
              <w:rPr>
                <w:rFonts w:ascii="Arial" w:cs="Arial" w:eastAsia="Arial" w:hAnsi="Arial"/>
                <w:sz w:val="18"/>
                <w:szCs w:val="18"/>
                <w:color w:val="auto"/>
              </w:rPr>
              <w:t>February 2019</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3,100.0</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2019</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3,100.0</w:t>
            </w:r>
          </w:p>
        </w:tc>
      </w:tr>
      <w:tr>
        <w:trPr>
          <w:trHeight w:val="262"/>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24,196</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115.72</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24,196</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8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During the three months ended March 31, 2019, we repurchased $2.80 billion of shares under the $8.00 billion share repurchase program authorized in June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576"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Loxo Oncology, Inc. Agreement and Plan of Merger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 Company Americas, as successor trustee to Citibank, N.A., Trustee</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4.2</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Agreement dated September 13, 2007 appointing Deutsche Bank Trust Company Americas as Successor Trustee under the Indenture listed above</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76"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Index to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62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8720" w:type="dxa"/>
            <w:vAlign w:val="bottom"/>
            <w:gridSpan w:val="17"/>
          </w:tcPr>
          <w:p>
            <w:pPr>
              <w:spacing w:after="0"/>
              <w:rPr>
                <w:rFonts w:ascii="Arial" w:cs="Arial" w:eastAsia="Arial" w:hAnsi="Arial"/>
                <w:sz w:val="18"/>
                <w:szCs w:val="18"/>
                <w:color w:val="0000FF"/>
              </w:rPr>
            </w:pPr>
            <w:hyperlink r:id="rId63">
              <w:r>
                <w:rPr>
                  <w:rFonts w:ascii="Arial" w:cs="Arial" w:eastAsia="Arial" w:hAnsi="Arial"/>
                  <w:sz w:val="18"/>
                  <w:szCs w:val="18"/>
                  <w:color w:val="0000FF"/>
                </w:rPr>
                <w:t>Agreement and Plan of Merger, dated January 5, 2019, among Eli Lilly and Company, Bowfin Acquisition</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3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Corporation and Loxo Oncology, Inc, is incorporated by reference to Exhibit 2.1 to the Current Report on</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2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Form 8-K filed by Loxo Oncology on January 7, 2019</w:t>
              </w:r>
            </w:hyperlink>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620" w:type="dxa"/>
            <w:vAlign w:val="bottom"/>
            <w:gridSpan w:val="2"/>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720" w:type="dxa"/>
            <w:vAlign w:val="bottom"/>
            <w:gridSpan w:val="17"/>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Amended Articles of Incorporation are incorporated by reference to Exhibit 3.1 to the Company's Report on</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5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Form 10-K for the year ended December 31,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620" w:type="dxa"/>
            <w:vAlign w:val="bottom"/>
            <w:gridSpan w:val="2"/>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720" w:type="dxa"/>
            <w:vAlign w:val="bottom"/>
            <w:gridSpan w:val="17"/>
          </w:tcPr>
          <w:p>
            <w:pPr>
              <w:spacing w:after="0"/>
              <w:rPr>
                <w:rFonts w:ascii="Arial" w:cs="Arial" w:eastAsia="Arial" w:hAnsi="Arial"/>
                <w:sz w:val="18"/>
                <w:szCs w:val="18"/>
                <w:color w:val="0000FF"/>
              </w:rPr>
            </w:pPr>
            <w:hyperlink r:id="rId65">
              <w:r>
                <w:rPr>
                  <w:rFonts w:ascii="Arial" w:cs="Arial" w:eastAsia="Arial" w:hAnsi="Arial"/>
                  <w:sz w:val="18"/>
                  <w:szCs w:val="18"/>
                  <w:color w:val="0000FF"/>
                </w:rPr>
                <w:t>By-laws, as amended, are incorporated by reference to Exhibit 99.1 to the Company's Report on Form 8-K</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dated August 29, 2017</w:t>
              </w:r>
            </w:hyperlink>
          </w:p>
        </w:tc>
        <w:tc>
          <w:tcPr>
            <w:tcW w:w="6640" w:type="dxa"/>
            <w:vAlign w:val="bottom"/>
            <w:tcBorders>
              <w:top w:val="single" w:sz="8" w:color="0000FF"/>
            </w:tcBorders>
            <w:gridSpan w:val="10"/>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8720" w:type="dxa"/>
            <w:vAlign w:val="bottom"/>
            <w:gridSpan w:val="17"/>
          </w:tcPr>
          <w:p>
            <w:pPr>
              <w:spacing w:after="0"/>
              <w:rPr>
                <w:rFonts w:ascii="Arial" w:cs="Arial" w:eastAsia="Arial" w:hAnsi="Arial"/>
                <w:sz w:val="18"/>
                <w:szCs w:val="18"/>
                <w:color w:val="0000FF"/>
              </w:rPr>
            </w:pPr>
            <w:hyperlink r:id="rId66">
              <w:r>
                <w:rPr>
                  <w:rFonts w:ascii="Arial" w:cs="Arial" w:eastAsia="Arial" w:hAnsi="Arial"/>
                  <w:sz w:val="18"/>
                  <w:szCs w:val="18"/>
                  <w:color w:val="0000FF"/>
                </w:rPr>
                <w:t>Indenture with respect to Debt Securities dated as of February 1, 1991, between Eli Lilly and Company and</w:t>
              </w:r>
            </w:hyperlink>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720" w:type="dxa"/>
            <w:vAlign w:val="bottom"/>
            <w:gridSpan w:val="17"/>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Deutsche Bank Trust Company Americas, as successor trustee to Citibank, N.A., Trustee, is incorporated by</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5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reference to Exhibit 4.1 to the Company's Registration Statement on Form S-3, Registration No. 33-186979</w:t>
              </w:r>
            </w:hyperlink>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8720" w:type="dxa"/>
            <w:vAlign w:val="bottom"/>
            <w:gridSpan w:val="17"/>
          </w:tcPr>
          <w:p>
            <w:pPr>
              <w:spacing w:after="0"/>
              <w:rPr>
                <w:rFonts w:ascii="Arial" w:cs="Arial" w:eastAsia="Arial" w:hAnsi="Arial"/>
                <w:sz w:val="18"/>
                <w:szCs w:val="18"/>
                <w:color w:val="0000FF"/>
              </w:rPr>
            </w:pPr>
            <w:hyperlink r:id="rId67">
              <w:r>
                <w:rPr>
                  <w:rFonts w:ascii="Arial" w:cs="Arial" w:eastAsia="Arial" w:hAnsi="Arial"/>
                  <w:sz w:val="18"/>
                  <w:szCs w:val="18"/>
                  <w:color w:val="0000FF"/>
                </w:rPr>
                <w:t>Agreement dated September 13, 2007 appointing Deutsche Bank Trust Company Americas as Successor</w:t>
              </w:r>
            </w:hyperlink>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720" w:type="dxa"/>
            <w:vAlign w:val="bottom"/>
            <w:gridSpan w:val="17"/>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Trustee under the Indenture listed above, is incorporated by reference to Exhibit 4.2 to the Company's Report</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on Form 10-K for the year ended December 31, 2008</w:t>
              </w:r>
            </w:hyperlink>
          </w:p>
        </w:tc>
        <w:tc>
          <w:tcPr>
            <w:tcW w:w="44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872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8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Rule 13a-14(a) Certification of Joshua L. Smiley, Senior Vice President and Chief Financial Officer</w:t>
              </w:r>
            </w:hyperlink>
          </w:p>
        </w:tc>
        <w:tc>
          <w:tcPr>
            <w:tcW w:w="900" w:type="dxa"/>
            <w:vAlign w:val="bottom"/>
            <w:gridSpan w:val="10"/>
          </w:tcPr>
          <w:p>
            <w:pPr>
              <w:spacing w:after="0"/>
              <w:rPr>
                <w:sz w:val="24"/>
                <w:szCs w:val="24"/>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Section 1350 Certification</w:t>
              </w:r>
            </w:hyperlink>
          </w:p>
        </w:tc>
        <w:tc>
          <w:tcPr>
            <w:tcW w:w="6660" w:type="dxa"/>
            <w:vAlign w:val="bottom"/>
            <w:gridSpan w:val="15"/>
          </w:tcPr>
          <w:p>
            <w:pPr>
              <w:spacing w:after="0"/>
              <w:rPr>
                <w:sz w:val="24"/>
                <w:szCs w:val="24"/>
                <w:color w:val="auto"/>
              </w:rPr>
            </w:pPr>
          </w:p>
        </w:tc>
      </w:tr>
      <w:tr>
        <w:trPr>
          <w:trHeight w:val="605"/>
        </w:trPr>
        <w:tc>
          <w:tcPr>
            <w:tcW w:w="262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720" w:type="dxa"/>
            <w:vAlign w:val="bottom"/>
            <w:gridSpan w:val="17"/>
          </w:tcPr>
          <w:p>
            <w:pPr>
              <w:spacing w:after="0"/>
              <w:rPr>
                <w:sz w:val="20"/>
                <w:szCs w:val="20"/>
                <w:color w:val="auto"/>
              </w:rPr>
            </w:pPr>
            <w:r>
              <w:rPr>
                <w:rFonts w:ascii="Arial" w:cs="Arial" w:eastAsia="Arial" w:hAnsi="Arial"/>
                <w:sz w:val="18"/>
                <w:szCs w:val="18"/>
                <w:color w:val="auto"/>
              </w:rPr>
              <w:t>Interactive Data Files</w:t>
            </w:r>
          </w:p>
        </w:tc>
      </w:tr>
      <w:tr>
        <w:trPr>
          <w:trHeight w:val="454"/>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5"/>
          </w:tcPr>
          <w:p>
            <w:pPr>
              <w:ind w:left="520"/>
              <w:spacing w:after="0"/>
              <w:rPr>
                <w:sz w:val="20"/>
                <w:szCs w:val="20"/>
                <w:color w:val="auto"/>
              </w:rPr>
            </w:pPr>
            <w:r>
              <w:rPr>
                <w:rFonts w:ascii="Arial" w:cs="Arial" w:eastAsia="Arial" w:hAnsi="Arial"/>
                <w:sz w:val="18"/>
                <w:szCs w:val="18"/>
                <w:b w:val="1"/>
                <w:bCs w:val="1"/>
                <w:color w:val="auto"/>
              </w:rPr>
              <w:t>Signatures</w:t>
            </w:r>
          </w:p>
        </w:tc>
      </w:tr>
    </w:tbl>
    <w:p>
      <w:pPr>
        <w:spacing w:after="0" w:line="208" w:lineRule="exact"/>
        <w:rPr>
          <w:sz w:val="20"/>
          <w:szCs w:val="20"/>
          <w:color w:val="auto"/>
        </w:rPr>
      </w:pPr>
    </w:p>
    <w:p>
      <w:pPr>
        <w:ind w:right="160"/>
        <w:spacing w:after="0" w:line="4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5"/>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May 2,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May 2,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5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2,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1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2,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819"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Quarterly Report on Form 10-Q for the quarter ended March 31, 2019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9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May 2, 2019</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May 2, 2019</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360"/>
      </w:cols>
      <w:pgMar w:left="240" w:top="7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10" Type="http://schemas.openxmlformats.org/officeDocument/2006/relationships/hyperlink" Target="http://www.sec.gov/Archives/edgar/data/59478/000005947819000082/lly-20181231x10xk.htm" TargetMode="External"/><Relationship Id="rId63" Type="http://schemas.openxmlformats.org/officeDocument/2006/relationships/hyperlink" Target="http://www.sec.gov/Archives/edgar/data/1581720/000119312519003083/d674169dex21.htm" TargetMode="External"/><Relationship Id="rId64" Type="http://schemas.openxmlformats.org/officeDocument/2006/relationships/hyperlink" Target="http://www.sec.gov/Archives/edgar/data/59478/000005947814000078/lly-20131231x10kexhibit31.htm" TargetMode="External"/><Relationship Id="rId65" Type="http://schemas.openxmlformats.org/officeDocument/2006/relationships/hyperlink" Target="http://www.sec.gov/Archives/edgar/data/59478/000005947817000189/bylawsasamendment82917.htm" TargetMode="External"/><Relationship Id="rId66" Type="http://schemas.openxmlformats.org/officeDocument/2006/relationships/hyperlink" Target="http://www.sec.gov/Archives/edgar/data/59478/000005947813000010/exhibit41-indenturedatedfe.htm" TargetMode="External"/><Relationship Id="rId67" Type="http://schemas.openxmlformats.org/officeDocument/2006/relationships/hyperlink" Target="http://www.sec.gov/Archives/edgar/data/59478/000095015209001897/c49534exv4w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2019-12-28T13:03:06Z</dcterms:created>
  <dcterms:modified xsi:type="dcterms:W3CDTF">2019-12-28T13:03:06Z</dcterms:modified>
</cp:coreProperties>
</file>